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Low-Level Design (LLD)</w:t>
      </w:r>
    </w:p>
    <w:p>
      <w:pPr>
        <w:jc w:val="center"/>
      </w:pPr>
      <w:r>
        <w:rPr>
          <w:b/>
          <w:sz w:val="28"/>
        </w:rPr>
        <w:t>Global Employee Compensation Management System</w:t>
      </w:r>
    </w:p>
    <w:p>
      <w:pPr>
        <w:jc w:val="center"/>
      </w:pPr>
      <w:r>
        <w:rPr>
          <w:i/>
        </w:rPr>
        <w:t>Incubyte Assessment • Version 2.5 • Target design, not deployment evidence</w:t>
      </w:r>
    </w:p>
    <w:p>
      <w:pPr>
        <w:pStyle w:val="Heading1"/>
      </w:pPr>
      <w:r>
        <w:t>1. Purpose and Boundaries</w:t>
      </w:r>
    </w:p>
    <w:p>
      <w:r>
        <w:t>This LLD specifies implementation guidance for tenant/domain authorization, PostgreSQL RLS, database constraints, API behavior, background jobs, health checks, AWS security, backup/recovery, and tests. Exact environment values (retention, intervals, thresholds, sizing, RPO/RTO) must be decided and verified during deployment.</w:t>
      </w:r>
    </w:p>
    <w:p>
      <w:pPr>
        <w:pStyle w:val="Heading1"/>
      </w:pPr>
      <w:r>
        <w:t>2. Data Model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Entity</w:t>
            </w:r>
          </w:p>
        </w:tc>
        <w:tc>
          <w:tcPr>
            <w:tcW w:type="dxa" w:w="3360"/>
          </w:tcPr>
          <w:p>
            <w:r>
              <w:t>Key fields</w:t>
            </w:r>
          </w:p>
        </w:tc>
        <w:tc>
          <w:tcPr>
            <w:tcW w:type="dxa" w:w="3360"/>
          </w:tcPr>
          <w:p>
            <w:r>
              <w:t>Constraints / purpose</w:t>
            </w:r>
          </w:p>
        </w:tc>
      </w:tr>
      <w:tr>
        <w:tc>
          <w:tcPr>
            <w:tcW w:type="dxa" w:w="3360"/>
          </w:tcPr>
          <w:p>
            <w:r>
              <w:t>Tenant</w:t>
            </w:r>
          </w:p>
        </w:tc>
        <w:tc>
          <w:tcPr>
            <w:tcW w:type="dxa" w:w="3360"/>
          </w:tcPr>
          <w:p>
            <w:r>
              <w:t>id, name, status, timestamps</w:t>
            </w:r>
          </w:p>
        </w:tc>
        <w:tc>
          <w:tcPr>
            <w:tcW w:type="dxa" w:w="3360"/>
          </w:tcPr>
          <w:p>
            <w:r>
              <w:t>Organization boundary.</w:t>
            </w:r>
          </w:p>
        </w:tc>
      </w:tr>
      <w:tr>
        <w:tc>
          <w:tcPr>
            <w:tcW w:type="dxa" w:w="3360"/>
          </w:tcPr>
          <w:p>
            <w:r>
              <w:t>User</w:t>
            </w:r>
          </w:p>
        </w:tc>
        <w:tc>
          <w:tcPr>
            <w:tcW w:type="dxa" w:w="3360"/>
          </w:tcPr>
          <w:p>
            <w:r>
              <w:t>id, tenant_id, email, password_digest or identity_subject, role, status</w:t>
            </w:r>
          </w:p>
        </w:tc>
        <w:tc>
          <w:tcPr>
            <w:tcW w:type="dxa" w:w="3360"/>
          </w:tcPr>
          <w:p>
            <w:r>
              <w:t>Roles: organization_admin, hr_manager; identity strategy to confirm.</w:t>
            </w:r>
          </w:p>
        </w:tc>
      </w:tr>
      <w:tr>
        <w:tc>
          <w:tcPr>
            <w:tcW w:type="dxa" w:w="3360"/>
          </w:tcPr>
          <w:p>
            <w:r>
              <w:t>Domain</w:t>
            </w:r>
          </w:p>
        </w:tc>
        <w:tc>
          <w:tcPr>
            <w:tcW w:type="dxa" w:w="3360"/>
          </w:tcPr>
          <w:p>
            <w:r>
              <w:t>id, tenant_id, name, status</w:t>
            </w:r>
          </w:p>
        </w:tc>
        <w:tc>
          <w:tcPr>
            <w:tcW w:type="dxa" w:w="3360"/>
          </w:tcPr>
          <w:p>
            <w:r>
              <w:t>Department/domain within tenant.</w:t>
            </w:r>
          </w:p>
        </w:tc>
      </w:tr>
      <w:tr>
        <w:tc>
          <w:tcPr>
            <w:tcW w:type="dxa" w:w="3360"/>
          </w:tcPr>
          <w:p>
            <w:r>
              <w:t>UserDomainAssignment</w:t>
            </w:r>
          </w:p>
        </w:tc>
        <w:tc>
          <w:tcPr>
            <w:tcW w:type="dxa" w:w="3360"/>
          </w:tcPr>
          <w:p>
            <w:r>
              <w:t>tenant_id, user_id, domain_id</w:t>
            </w:r>
          </w:p>
        </w:tc>
        <w:tc>
          <w:tcPr>
            <w:tcW w:type="dxa" w:w="3360"/>
          </w:tcPr>
          <w:p>
            <w:r>
              <w:t>Unique assignment; all referenced records same tenant.</w:t>
            </w:r>
          </w:p>
        </w:tc>
      </w:tr>
      <w:tr>
        <w:tc>
          <w:tcPr>
            <w:tcW w:type="dxa" w:w="3360"/>
          </w:tcPr>
          <w:p>
            <w:r>
              <w:t>Employee</w:t>
            </w:r>
          </w:p>
        </w:tc>
        <w:tc>
          <w:tcPr>
            <w:tcW w:type="dxa" w:w="3360"/>
          </w:tcPr>
          <w:p>
            <w:r>
              <w:t>id, tenant_id, domain_id, employee_number, names, email, country_code, job_title, status, hire_date</w:t>
            </w:r>
          </w:p>
        </w:tc>
        <w:tc>
          <w:tcPr>
            <w:tcW w:type="dxa" w:w="3360"/>
          </w:tcPr>
          <w:p>
            <w:r>
              <w:t>Tenant-owned; employee_number unique within tenant; domain belongs to tenant.</w:t>
            </w:r>
          </w:p>
        </w:tc>
      </w:tr>
      <w:tr>
        <w:tc>
          <w:tcPr>
            <w:tcW w:type="dxa" w:w="3360"/>
          </w:tcPr>
          <w:p>
            <w:r>
              <w:t>CompensationRecord</w:t>
            </w:r>
          </w:p>
        </w:tc>
        <w:tc>
          <w:tcPr>
            <w:tcW w:type="dxa" w:w="3360"/>
          </w:tcPr>
          <w:p>
            <w:r>
              <w:t>tenant_id, employee_id, currency_code, pay_frequency, effective_start/end, base_amount</w:t>
            </w:r>
          </w:p>
        </w:tc>
        <w:tc>
          <w:tcPr>
            <w:tcW w:type="dxa" w:w="3360"/>
          </w:tcPr>
          <w:p>
            <w:r>
              <w:t>Fixed precision money; preserve effective-dated history.</w:t>
            </w:r>
          </w:p>
        </w:tc>
      </w:tr>
      <w:tr>
        <w:tc>
          <w:tcPr>
            <w:tcW w:type="dxa" w:w="3360"/>
          </w:tcPr>
          <w:p>
            <w:r>
              <w:t>CompensationComponent</w:t>
            </w:r>
          </w:p>
        </w:tc>
        <w:tc>
          <w:tcPr>
            <w:tcW w:type="dxa" w:w="3360"/>
          </w:tcPr>
          <w:p>
            <w:r>
              <w:t>tenant_id, compensation_record_id, type, name, amount</w:t>
            </w:r>
          </w:p>
        </w:tc>
        <w:tc>
          <w:tcPr>
            <w:tcW w:type="dxa" w:w="3360"/>
          </w:tcPr>
          <w:p>
            <w:r>
              <w:t>Amount uses fixed precision and record currency.</w:t>
            </w:r>
          </w:p>
        </w:tc>
      </w:tr>
      <w:tr>
        <w:tc>
          <w:tcPr>
            <w:tcW w:type="dxa" w:w="3360"/>
          </w:tcPr>
          <w:p>
            <w:r>
              <w:t>ImportJob</w:t>
            </w:r>
          </w:p>
        </w:tc>
        <w:tc>
          <w:tcPr>
            <w:tcW w:type="dxa" w:w="3360"/>
          </w:tcPr>
          <w:p>
            <w:r>
              <w:t>tenant_id, requester_id, source_file_key, status, row counts, error_file_key, idempotency_key</w:t>
            </w:r>
          </w:p>
        </w:tc>
        <w:tc>
          <w:tcPr>
            <w:tcW w:type="dxa" w:w="3360"/>
          </w:tcPr>
          <w:p>
            <w:r>
              <w:t>Persisted job state and sanitized row errors.</w:t>
            </w:r>
          </w:p>
        </w:tc>
      </w:tr>
      <w:tr>
        <w:tc>
          <w:tcPr>
            <w:tcW w:type="dxa" w:w="3360"/>
          </w:tcPr>
          <w:p>
            <w:r>
              <w:t>ExportJob</w:t>
            </w:r>
          </w:p>
        </w:tc>
        <w:tc>
          <w:tcPr>
            <w:tcW w:type="dxa" w:w="3360"/>
          </w:tcPr>
          <w:p>
            <w:r>
              <w:t>tenant_id, requester_id, filters/scope, status, file_key, expires_at</w:t>
            </w:r>
          </w:p>
        </w:tc>
        <w:tc>
          <w:tcPr>
            <w:tcW w:type="dxa" w:w="3360"/>
          </w:tcPr>
          <w:p>
            <w:r>
              <w:t>Reauthorize status and download.</w:t>
            </w:r>
          </w:p>
        </w:tc>
      </w:tr>
      <w:tr>
        <w:tc>
          <w:tcPr>
            <w:tcW w:type="dxa" w:w="3360"/>
          </w:tcPr>
          <w:p>
            <w:r>
              <w:t>AuditEvent</w:t>
            </w:r>
          </w:p>
        </w:tc>
        <w:tc>
          <w:tcPr>
            <w:tcW w:type="dxa" w:w="3360"/>
          </w:tcPr>
          <w:p>
            <w:r>
              <w:t>tenant_id, actor_id, action, resource, request_id, redacted metadata, timestamp</w:t>
            </w:r>
          </w:p>
        </w:tc>
        <w:tc>
          <w:tcPr>
            <w:tcW w:type="dxa" w:w="3360"/>
          </w:tcPr>
          <w:p>
            <w:r>
              <w:t>Sensitive-action audit without secrets or raw compensation payloads.</w:t>
            </w:r>
          </w:p>
        </w:tc>
      </w:tr>
    </w:tbl>
    <w:p>
      <w:pPr>
        <w:pStyle w:val="Heading1"/>
      </w:pPr>
      <w:r>
        <w:t>3. Tenant Context, RLS, and Domain Authorization</w:t>
      </w:r>
    </w:p>
    <w:p>
      <w:pPr>
        <w:pStyle w:val="Heading2"/>
      </w:pPr>
      <w:r>
        <w:t>3.1 Request/job authorization sequence</w:t>
      </w:r>
    </w:p>
    <w:p>
      <w:pPr>
        <w:pStyle w:val="ListNumber"/>
      </w:pPr>
      <w:r>
        <w:t>Authenticate the user using the selected session/identity provider.</w:t>
      </w:r>
    </w:p>
    <w:p>
      <w:pPr>
        <w:pStyle w:val="ListNumber"/>
      </w:pPr>
      <w:r>
        <w:t>Resolve tenant_id from the trusted authenticated user record; never trust a browser-supplied tenant_id.</w:t>
      </w:r>
    </w:p>
    <w:p>
      <w:pPr>
        <w:pStyle w:val="ListNumber"/>
      </w:pPr>
      <w:r>
        <w:t>Authorize role and requested employee domain(s).</w:t>
      </w:r>
    </w:p>
    <w:p>
      <w:pPr>
        <w:pStyle w:val="ListNumber"/>
      </w:pPr>
      <w:r>
        <w:t>Scope Rails relations and every read/write/report/import/export operation to tenant and permitted domains.</w:t>
      </w:r>
    </w:p>
    <w:p>
      <w:pPr>
        <w:pStyle w:val="ListNumber"/>
      </w:pPr>
      <w:r>
        <w:t>For jobs, load persisted job metadata, validate tenant/requester/scope, then establish tenant context before querying data.</w:t>
      </w:r>
    </w:p>
    <w:p>
      <w:pPr>
        <w:pStyle w:val="Heading2"/>
      </w:pPr>
      <w:r>
        <w:t>3.2 PostgreSQL RLS design</w:t>
      </w:r>
    </w:p>
    <w:p>
      <w:r>
        <w:t>Enable RLS on tenant-owned tables (employees, compensation records/components, domains/assignments as appropriate, import/export jobs, audit events). Policies constrain rows using tenant_id and trusted transaction-local tenant context. Apply USING and WITH CHECK semantics to prevent unauthorized reads/updates/deletes and cross-tenant inserts.</w:t>
      </w:r>
    </w:p>
    <w:p>
      <w:pPr>
        <w:pStyle w:val="ListBullet"/>
      </w:pPr>
      <w:r>
        <w:t>Use a runtime DB role without SUPERUSER or BYPASSRLS; avoid executing app queries as a table-owner role that bypasses policies. Consider FORCE ROW LEVEL SECURITY.</w:t>
      </w:r>
    </w:p>
    <w:p>
      <w:pPr>
        <w:pStyle w:val="ListBullet"/>
      </w:pPr>
      <w:r>
        <w:t>Set tenant context transaction-locally (e.g., set_config with local=true) inside a transaction before protected queries. Transaction-local context avoids leakage across pooled connections.</w:t>
      </w:r>
    </w:p>
    <w:p>
      <w:pPr>
        <w:pStyle w:val="ListBullet"/>
      </w:pPr>
      <w:r>
        <w:t>Ensure every tenant-scoped request/job wraps database work in the appropriate transaction; context must not persist across pooled connection reuse.</w:t>
      </w:r>
    </w:p>
    <w:p>
      <w:pPr>
        <w:pStyle w:val="ListBullet"/>
      </w:pPr>
      <w:r>
        <w:t>Use separately controlled roles/procedures for migrations, seeding, and audited operational tasks.</w:t>
      </w:r>
    </w:p>
    <w:p>
      <w:pPr>
        <w:pStyle w:val="ListBullet"/>
      </w:pPr>
      <w:r>
        <w:t>RLS is defense in depth; Rails tenant and domain authorization remains mandatory.</w:t>
      </w:r>
    </w:p>
    <w:p>
      <w:r>
        <w:t>Illustrative policy predicate (adapt to actual schema and role setup):</w:t>
      </w:r>
    </w:p>
    <w:p>
      <w:pPr>
        <w:pStyle w:val="Quote"/>
      </w:pPr>
      <w:r>
        <w:t>USING (tenant_id = current_setting('app.current_tenant_id', true)::bigint) AND WITH CHECK (tenant_id = current_setting('app.current_tenant_id', true)::bigint)</w:t>
      </w:r>
    </w:p>
    <w:p>
      <w:pPr>
        <w:pStyle w:val="Heading2"/>
      </w:pPr>
      <w:r>
        <w:t>3.3 Domain-scoped access</w:t>
      </w:r>
    </w:p>
    <w:p>
      <w:pPr>
        <w:pStyle w:val="ListBullet"/>
      </w:pPr>
      <w:r>
        <w:t>Organization Admin manages tenant users and domain assignments; define explicitly whether admin also has all employee-data access.</w:t>
      </w:r>
    </w:p>
    <w:p>
      <w:pPr>
        <w:pStyle w:val="ListBullet"/>
      </w:pPr>
      <w:r>
        <w:t>HR Managers are restricted to assigned domain_id values within their tenant.</w:t>
      </w:r>
    </w:p>
    <w:p>
      <w:pPr>
        <w:pStyle w:val="ListBullet"/>
      </w:pPr>
      <w:r>
        <w:t>Validate tenant consistency between users, domains, employees, compensation, and job records; use composite foreign keys/constraints where practical.</w:t>
      </w:r>
    </w:p>
    <w:p>
      <w:pPr>
        <w:pStyle w:val="ListBullet"/>
      </w:pPr>
      <w:r>
        <w:t>Apply domain authorization to direct-ID requests, search, reports, import rows, export filters, job status, and downloads.</w:t>
      </w:r>
    </w:p>
    <w:p>
      <w:pPr>
        <w:pStyle w:val="Heading1"/>
      </w:pPr>
      <w:r>
        <w:t>4. Database Integrity and Indexes</w:t>
      </w:r>
    </w:p>
    <w:p>
      <w:pPr>
        <w:pStyle w:val="ListBullet"/>
      </w:pPr>
      <w:r>
        <w:t>Unique (tenant_id, employee_number); optionally unique (tenant_id,email) for users/employees according to identity policy.</w:t>
      </w:r>
    </w:p>
    <w:p>
      <w:pPr>
        <w:pStyle w:val="ListBullet"/>
      </w:pPr>
      <w:r>
        <w:t>Unique (tenant_id,user_id,domain_id) for assignments; ensure domain and employee belong to same tenant.</w:t>
      </w:r>
    </w:p>
    <w:p>
      <w:pPr>
        <w:pStyle w:val="ListBullet"/>
      </w:pPr>
      <w:r>
        <w:t>Indexes for employees: (tenant_id,domain_id), (tenant_id,country_code), (tenant_id,employment_status), plus indexes matching search patterns.</w:t>
      </w:r>
    </w:p>
    <w:p>
      <w:pPr>
        <w:pStyle w:val="ListBullet"/>
      </w:pPr>
      <w:r>
        <w:t>Compensation index (tenant_id,employee_id,effective_start); effective_end must be &gt;= effective_start; reject prohibited overlapping effective periods.</w:t>
      </w:r>
    </w:p>
    <w:p>
      <w:pPr>
        <w:pStyle w:val="ListBullet"/>
      </w:pPr>
      <w:r>
        <w:t>Use NUMERIC/DECIMAL for money, ISO currency code, and explicit pay frequency; never floating-point amounts.</w:t>
      </w:r>
    </w:p>
    <w:p>
      <w:pPr>
        <w:pStyle w:val="ListBullet"/>
      </w:pPr>
      <w:r>
        <w:t>Job indexes (tenant_id,status), idempotency key uniqueness within tenant, and export expiration lookup.</w:t>
      </w:r>
    </w:p>
    <w:p>
      <w:pPr>
        <w:pStyle w:val="Heading1"/>
      </w:pPr>
      <w:r>
        <w:t>5. API Contract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Endpoint</w:t>
            </w:r>
          </w:p>
        </w:tc>
        <w:tc>
          <w:tcPr>
            <w:tcW w:type="dxa" w:w="5040"/>
          </w:tcPr>
          <w:p>
            <w:r>
              <w:t>Authorization / behavior</w:t>
            </w:r>
          </w:p>
        </w:tc>
      </w:tr>
      <w:tr>
        <w:tc>
          <w:tcPr>
            <w:tcW w:type="dxa" w:w="5040"/>
          </w:tcPr>
          <w:p>
            <w:r>
              <w:t>POST/GET/DELETE /api/session</w:t>
            </w:r>
          </w:p>
        </w:tc>
        <w:tc>
          <w:tcPr>
            <w:tcW w:type="dxa" w:w="5040"/>
          </w:tcPr>
          <w:p>
            <w:r>
              <w:t>Login/current user/logout; tenant comes from authenticated identity.</w:t>
            </w:r>
          </w:p>
        </w:tc>
      </w:tr>
      <w:tr>
        <w:tc>
          <w:tcPr>
            <w:tcW w:type="dxa" w:w="5040"/>
          </w:tcPr>
          <w:p>
            <w:r>
              <w:t>GET/POST /api/employees; GET/PATCH /api/employees/:id</w:t>
            </w:r>
          </w:p>
        </w:tc>
        <w:tc>
          <w:tcPr>
            <w:tcW w:type="dxa" w:w="5040"/>
          </w:tcPr>
          <w:p>
            <w:r>
              <w:t>Tenant- and domain-scoped employee operations.</w:t>
            </w:r>
          </w:p>
        </w:tc>
      </w:tr>
      <w:tr>
        <w:tc>
          <w:tcPr>
            <w:tcW w:type="dxa" w:w="5040"/>
          </w:tcPr>
          <w:p>
            <w:r>
              <w:t>GET/POST /api/employees/:id/compensation</w:t>
            </w:r>
          </w:p>
        </w:tc>
        <w:tc>
          <w:tcPr>
            <w:tcW w:type="dxa" w:w="5040"/>
          </w:tcPr>
          <w:p>
            <w:r>
              <w:t>Verify employee access; preserve history and currency.</w:t>
            </w:r>
          </w:p>
        </w:tc>
      </w:tr>
      <w:tr>
        <w:tc>
          <w:tcPr>
            <w:tcW w:type="dxa" w:w="5040"/>
          </w:tcPr>
          <w:p>
            <w:r>
              <w:t>POST /api/imports; GET /api/imports/:id</w:t>
            </w:r>
          </w:p>
        </w:tc>
        <w:tc>
          <w:tcPr>
            <w:tcW w:type="dxa" w:w="5040"/>
          </w:tcPr>
          <w:p>
            <w:r>
              <w:t>Create/status only for authorized tenant and domain scope.</w:t>
            </w:r>
          </w:p>
        </w:tc>
      </w:tr>
      <w:tr>
        <w:tc>
          <w:tcPr>
            <w:tcW w:type="dxa" w:w="5040"/>
          </w:tcPr>
          <w:p>
            <w:r>
              <w:t>POST /api/exports; GET /api/exports/:id; GET /api/exports/:id/download</w:t>
            </w:r>
          </w:p>
        </w:tc>
        <w:tc>
          <w:tcPr>
            <w:tcW w:type="dxa" w:w="5040"/>
          </w:tcPr>
          <w:p>
            <w:r>
              <w:t>Persist permitted scope; reauthorize status/download; short-lived URL if used.</w:t>
            </w:r>
          </w:p>
        </w:tc>
      </w:tr>
      <w:tr>
        <w:tc>
          <w:tcPr>
            <w:tcW w:type="dxa" w:w="5040"/>
          </w:tcPr>
          <w:p>
            <w:r>
              <w:t>GET /api/reports/workforce; GET /api/reports/compensation</w:t>
            </w:r>
          </w:p>
        </w:tc>
        <w:tc>
          <w:tcPr>
            <w:tcW w:type="dxa" w:w="5040"/>
          </w:tcPr>
          <w:p>
            <w:r>
              <w:t>Tenant/domain scoped; group compensation by currency; no cross-currency summation.</w:t>
            </w:r>
          </w:p>
        </w:tc>
      </w:tr>
    </w:tbl>
    <w:p>
      <w:r>
        <w:t>Allowlist sort/filter fields, cap pagination, return safe 401/403/404 errors, and never expose tenant_id as a user-controlled authorization parameter.</w:t>
      </w:r>
    </w:p>
    <w:p>
      <w:pPr>
        <w:pStyle w:val="Heading1"/>
      </w:pPr>
      <w:r>
        <w:t>6. CSV Import and Export</w:t>
      </w:r>
    </w:p>
    <w:p>
      <w:pPr>
        <w:pStyle w:val="Heading2"/>
      </w:pPr>
      <w:r>
        <w:t>6.1 Import</w:t>
      </w:r>
    </w:p>
    <w:p>
      <w:pPr>
        <w:pStyle w:val="ListNumber"/>
      </w:pPr>
      <w:r>
        <w:t>Authorize import and requested domains; validate type, size, headers, encoding, and structure.</w:t>
      </w:r>
    </w:p>
    <w:p>
      <w:pPr>
        <w:pStyle w:val="ListNumber"/>
      </w:pPr>
      <w:r>
        <w:t>Store input in a private S3 location; create persisted ImportJob with tenant, requester, scope, idempotency key, and queued status.</w:t>
      </w:r>
    </w:p>
    <w:p>
      <w:pPr>
        <w:pStyle w:val="ListNumber"/>
      </w:pPr>
      <w:r>
        <w:t>Enqueue only the persisted job ID. Worker reloads job metadata and verifies scope before processing.</w:t>
      </w:r>
    </w:p>
    <w:p>
      <w:pPr>
        <w:pStyle w:val="ListNumber"/>
      </w:pPr>
      <w:r>
        <w:t>Process bounded batches with row validation, deterministic duplicate/upsert behavior, and bounded DB transactions.</w:t>
      </w:r>
    </w:p>
    <w:p>
      <w:pPr>
        <w:pStyle w:val="ListNumber"/>
      </w:pPr>
      <w:r>
        <w:t>Persist row counts and sanitized errors; distinguish row-level validation failures from infrastructure failures.</w:t>
      </w:r>
    </w:p>
    <w:p>
      <w:pPr>
        <w:pStyle w:val="ListNumber"/>
      </w:pPr>
      <w:r>
        <w:t>Retry transient failures only; make retries idempotent and avoid duplicate employee/compensation records.</w:t>
      </w:r>
    </w:p>
    <w:p>
      <w:pPr>
        <w:pStyle w:val="Heading2"/>
      </w:pPr>
      <w:r>
        <w:t>6.2 Export</w:t>
      </w:r>
    </w:p>
    <w:p>
      <w:pPr>
        <w:pStyle w:val="ListNumber"/>
      </w:pPr>
      <w:r>
        <w:t>Authorize export; validate filters and persist permitted domain scope.</w:t>
      </w:r>
    </w:p>
    <w:p>
      <w:pPr>
        <w:pStyle w:val="ListNumber"/>
      </w:pPr>
      <w:r>
        <w:t>Create ExportJob and enqueue its ID.</w:t>
      </w:r>
    </w:p>
    <w:p>
      <w:pPr>
        <w:pStyle w:val="ListNumber"/>
      </w:pPr>
      <w:r>
        <w:t>Worker reloads job, establishes RLS tenant context, and applies tenant/domain scopes.</w:t>
      </w:r>
    </w:p>
    <w:p>
      <w:pPr>
        <w:pStyle w:val="ListNumber"/>
      </w:pPr>
      <w:r>
        <w:t>Generate CSV in bounded batches and store in private S3 with tenant/job-associated key.</w:t>
      </w:r>
    </w:p>
    <w:p>
      <w:pPr>
        <w:pStyle w:val="ListNumber"/>
      </w:pPr>
      <w:r>
        <w:t>Mark status and expiry; on download, reauthorize and use a short-lived URL or controlled Rails streaming.</w:t>
      </w:r>
    </w:p>
    <w:p>
      <w:pPr>
        <w:pStyle w:val="ListNumber"/>
      </w:pPr>
      <w:r>
        <w:t>Apply S3 lifecycle/cleanup to temporary exports.</w:t>
      </w:r>
    </w:p>
    <w:p>
      <w:pPr>
        <w:pStyle w:val="Heading1"/>
      </w:pPr>
      <w:r>
        <w:t>7. Sidekiq and Redis</w:t>
      </w:r>
    </w:p>
    <w:p>
      <w:pPr>
        <w:pStyle w:val="ListBullet"/>
      </w:pPr>
      <w:r>
        <w:t>Use separate imports, exports, and default queues; tune concurrency based on measured database/Redis capacity.</w:t>
      </w:r>
    </w:p>
    <w:p>
      <w:pPr>
        <w:pStyle w:val="ListBullet"/>
      </w:pPr>
      <w:r>
        <w:t>Persist job status in RDS; Redis is queue infrastructure, not the authoritative job record.</w:t>
      </w:r>
    </w:p>
    <w:p>
      <w:pPr>
        <w:pStyle w:val="ListBullet"/>
      </w:pPr>
      <w:r>
        <w:t>State model: queued → processing → completed or failed; row validation errors may yield completed-with-errors.</w:t>
      </w:r>
    </w:p>
    <w:p>
      <w:pPr>
        <w:pStyle w:val="ListBullet"/>
      </w:pPr>
      <w:r>
        <w:t>Use bounded retries for transient failures; deterministic validation errors should not retry indefinitely.</w:t>
      </w:r>
    </w:p>
    <w:p>
      <w:pPr>
        <w:pStyle w:val="ListBullet"/>
      </w:pPr>
      <w:r>
        <w:t>Monitor queue depth/latency, worker heartbeat, duration, retry counts, and dead/failed jobs. No SQS/DLQ in MVP.</w:t>
      </w:r>
    </w:p>
    <w:p>
      <w:pPr>
        <w:pStyle w:val="Heading1"/>
      </w:pPr>
      <w:r>
        <w:t>8. Health Checks and Availability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Check</w:t>
            </w:r>
          </w:p>
        </w:tc>
        <w:tc>
          <w:tcPr>
            <w:tcW w:type="dxa" w:w="2520"/>
          </w:tcPr>
          <w:p>
            <w:r>
              <w:t>Purpose</w:t>
            </w:r>
          </w:p>
        </w:tc>
        <w:tc>
          <w:tcPr>
            <w:tcW w:type="dxa" w:w="2520"/>
          </w:tcPr>
          <w:p>
            <w:r>
              <w:t>Proposed behavior</w:t>
            </w:r>
          </w:p>
        </w:tc>
        <w:tc>
          <w:tcPr>
            <w:tcW w:type="dxa" w:w="2520"/>
          </w:tcPr>
          <w:p>
            <w:r>
              <w:t>Used by</w:t>
            </w:r>
          </w:p>
        </w:tc>
      </w:tr>
      <w:tr>
        <w:tc>
          <w:tcPr>
            <w:tcW w:type="dxa" w:w="2520"/>
          </w:tcPr>
          <w:p>
            <w:r>
              <w:t>GET /health/live</w:t>
            </w:r>
          </w:p>
        </w:tc>
        <w:tc>
          <w:tcPr>
            <w:tcW w:type="dxa" w:w="2520"/>
          </w:tcPr>
          <w:p>
            <w:r>
              <w:t>Process liveness</w:t>
            </w:r>
          </w:p>
        </w:tc>
        <w:tc>
          <w:tcPr>
            <w:tcW w:type="dxa" w:w="2520"/>
          </w:tcPr>
          <w:p>
            <w:r>
              <w:t>Fast response; no DB dependency</w:t>
            </w:r>
          </w:p>
        </w:tc>
        <w:tc>
          <w:tcPr>
            <w:tcW w:type="dxa" w:w="2520"/>
          </w:tcPr>
          <w:p>
            <w:r>
              <w:t>ECS container health / operations</w:t>
            </w:r>
          </w:p>
        </w:tc>
      </w:tr>
      <w:tr>
        <w:tc>
          <w:tcPr>
            <w:tcW w:type="dxa" w:w="2520"/>
          </w:tcPr>
          <w:p>
            <w:r>
              <w:t>GET /health/ready</w:t>
            </w:r>
          </w:p>
        </w:tc>
        <w:tc>
          <w:tcPr>
            <w:tcW w:type="dxa" w:w="2520"/>
          </w:tcPr>
          <w:p>
            <w:r>
              <w:t>Traffic readiness</w:t>
            </w:r>
          </w:p>
        </w:tc>
        <w:tc>
          <w:tcPr>
            <w:tcW w:type="dxa" w:w="2520"/>
          </w:tcPr>
          <w:p>
            <w:r>
              <w:t>Bounded check of critical dependencies, e.g. DB connectivity</w:t>
            </w:r>
          </w:p>
        </w:tc>
        <w:tc>
          <w:tcPr>
            <w:tcW w:type="dxa" w:w="2520"/>
          </w:tcPr>
          <w:p>
            <w:r>
              <w:t>ALB target group</w:t>
            </w:r>
          </w:p>
        </w:tc>
      </w:tr>
      <w:tr>
        <w:tc>
          <w:tcPr>
            <w:tcW w:type="dxa" w:w="2520"/>
          </w:tcPr>
          <w:p>
            <w:r>
              <w:t>ECS task health</w:t>
            </w:r>
          </w:p>
        </w:tc>
        <w:tc>
          <w:tcPr>
            <w:tcW w:type="dxa" w:w="2520"/>
          </w:tcPr>
          <w:p>
            <w:r>
              <w:t>Container state</w:t>
            </w:r>
          </w:p>
        </w:tc>
        <w:tc>
          <w:tcPr>
            <w:tcW w:type="dxa" w:w="2520"/>
          </w:tcPr>
          <w:p>
            <w:r>
              <w:t>Container health check and deployment grace settings</w:t>
            </w:r>
          </w:p>
        </w:tc>
        <w:tc>
          <w:tcPr>
            <w:tcW w:type="dxa" w:w="2520"/>
          </w:tcPr>
          <w:p>
            <w:r>
              <w:t>ECS scheduler</w:t>
            </w:r>
          </w:p>
        </w:tc>
      </w:tr>
      <w:tr>
        <w:tc>
          <w:tcPr>
            <w:tcW w:type="dxa" w:w="2520"/>
          </w:tcPr>
          <w:p>
            <w:r>
              <w:t>Sidekiq health</w:t>
            </w:r>
          </w:p>
        </w:tc>
        <w:tc>
          <w:tcPr>
            <w:tcW w:type="dxa" w:w="2520"/>
          </w:tcPr>
          <w:p>
            <w:r>
              <w:t>Worker capability</w:t>
            </w:r>
          </w:p>
        </w:tc>
        <w:tc>
          <w:tcPr>
            <w:tcW w:type="dxa" w:w="2520"/>
          </w:tcPr>
          <w:p>
            <w:r>
              <w:t>Heartbeat, queue latency, job failures/retries</w:t>
            </w:r>
          </w:p>
        </w:tc>
        <w:tc>
          <w:tcPr>
            <w:tcW w:type="dxa" w:w="2520"/>
          </w:tcPr>
          <w:p>
            <w:r>
              <w:t>CloudWatch/operations</w:t>
            </w:r>
          </w:p>
        </w:tc>
      </w:tr>
    </w:tbl>
    <w:p>
      <w:r>
        <w:t>Keep liveness independent of database availability to avoid restart loops. Readiness checks must use strict timeouts and avoid expensive queries. Configure ALB interval, timeout, healthy/unhealthy thresholds, ECS health-check grace period, and deployment minimum/maximum healthy percentages per environment; record actual values in IaC and validate them with rollout/failure tests. Health endpoints must not disclose secrets or sensitive diagnostics.</w:t>
      </w:r>
    </w:p>
    <w:p>
      <w:pPr>
        <w:pStyle w:val="Heading1"/>
      </w:pPr>
      <w:r>
        <w:t>9. KMS, Secrets, and IAM</w:t>
      </w:r>
    </w:p>
    <w:p>
      <w:pPr>
        <w:pStyle w:val="ListBullet"/>
      </w:pPr>
      <w:r>
        <w:t>Enable RDS and S3 encryption at rest with KMS-managed keys; document key policies, grants, rotation approach, and recovery implications.</w:t>
      </w:r>
    </w:p>
    <w:p>
      <w:pPr>
        <w:pStyle w:val="ListBullet"/>
      </w:pPr>
      <w:r>
        <w:t>Use TLS for browser/API and database connections where supported.</w:t>
      </w:r>
    </w:p>
    <w:p>
      <w:pPr>
        <w:pStyle w:val="ListBullet"/>
      </w:pPr>
      <w:r>
        <w:t>Store DB credentials and application secrets in Secrets Manager or Parameter Store; inject references at runtime, never commit secret values.</w:t>
      </w:r>
    </w:p>
    <w:p>
      <w:pPr>
        <w:pStyle w:val="ListBullet"/>
      </w:pPr>
      <w:r>
        <w:t>Use separate least-privilege ECS task roles for Rails and Sidekiq, limited to required secrets, S3 prefixes, KMS actions, and logging.</w:t>
      </w:r>
    </w:p>
    <w:p>
      <w:pPr>
        <w:pStyle w:val="ListBullet"/>
      </w:pPr>
      <w:r>
        <w:t>Separate deployment/operator permissions from runtime permissions; avoid broad wildcard access.</w:t>
      </w:r>
    </w:p>
    <w:p>
      <w:pPr>
        <w:pStyle w:val="ListBullet"/>
      </w:pPr>
      <w:r>
        <w:t>Ensure KMS key policies permit required runtime/service roles and define response to disabled or scheduled-for-deletion keys.</w:t>
      </w:r>
    </w:p>
    <w:p>
      <w:pPr>
        <w:pStyle w:val="Heading1"/>
      </w:pPr>
      <w:r>
        <w:t>10. Backup and Recovery</w:t>
      </w:r>
    </w:p>
    <w:p>
      <w:pPr>
        <w:pStyle w:val="ListBullet"/>
      </w:pPr>
      <w:r>
        <w:t>Configure RDS automated backup retention and PITR by environment; take snapshots before risky changes when appropriate.</w:t>
      </w:r>
    </w:p>
    <w:p>
      <w:pPr>
        <w:pStyle w:val="ListBullet"/>
      </w:pPr>
      <w:r>
        <w:t>Define S3 versioning, lifecycle, and recovery policy for required uploaded/generated files; expire temporary exports.</w:t>
      </w:r>
    </w:p>
    <w:p>
      <w:pPr>
        <w:pStyle w:val="ListBullet"/>
      </w:pPr>
      <w:r>
        <w:t>Document restore runbook: restore RDS to an isolated target, validate data and tenant boundaries, update configuration safely, and record results.</w:t>
      </w:r>
    </w:p>
    <w:p>
      <w:pPr>
        <w:pStyle w:val="ListBullet"/>
      </w:pPr>
      <w:r>
        <w:t>Perform periodic restore drills; a backup is not validated until restoration is tested.</w:t>
      </w:r>
    </w:p>
    <w:p>
      <w:pPr>
        <w:pStyle w:val="ListBullet"/>
      </w:pPr>
      <w:r>
        <w:t>Retain versioned ECR images and IaC; document redeployment and rollback.</w:t>
      </w:r>
    </w:p>
    <w:p>
      <w:pPr>
        <w:pStyle w:val="ListBullet"/>
      </w:pPr>
      <w:r>
        <w:t>Agree RPO/RTO targets before treating them as commitments.</w:t>
      </w:r>
    </w:p>
    <w:p>
      <w:pPr>
        <w:pStyle w:val="Heading1"/>
      </w:pPr>
      <w:r>
        <w:t>11. Observability and Audit</w:t>
      </w:r>
    </w:p>
    <w:p>
      <w:pPr>
        <w:pStyle w:val="ListBullet"/>
      </w:pPr>
      <w:r>
        <w:t>Structured logs include request/correlation ID, safe tenant/actor identifiers, job ID, outcome, and duration; exclude credentials, raw salary data, and unnecessary PII.</w:t>
      </w:r>
    </w:p>
    <w:p>
      <w:pPr>
        <w:pStyle w:val="ListBullet"/>
      </w:pPr>
      <w:r>
        <w:t>Propagate correlation IDs from API requests to Sidekiq jobs.</w:t>
      </w:r>
    </w:p>
    <w:p>
      <w:pPr>
        <w:pStyle w:val="ListBullet"/>
      </w:pPr>
      <w:r>
        <w:t>Monitor API latency/errors, ECS task health/resources, RDS connections/CPU/storage, Redis memory/latency, queue depth/latency, job duration/retries/dead jobs, and S3 failures.</w:t>
      </w:r>
    </w:p>
    <w:p>
      <w:pPr>
        <w:pStyle w:val="ListBullet"/>
      </w:pPr>
      <w:r>
        <w:t>Use CloudTrail for AWS API activity and application AuditEvent records for sensitive user actions.</w:t>
      </w:r>
    </w:p>
    <w:p>
      <w:pPr>
        <w:pStyle w:val="ListBullet"/>
      </w:pPr>
      <w:r>
        <w:t>Distributed tracing (X-Ray or compatible instrumentation) is a production enhancement, not a blocker for local MVP.</w:t>
      </w:r>
    </w:p>
    <w:p>
      <w:pPr>
        <w:pStyle w:val="Heading1"/>
      </w:pPr>
      <w:r>
        <w:t>12. Required Tests</w:t>
      </w:r>
    </w:p>
    <w:p>
      <w:pPr>
        <w:pStyle w:val="ListBullet"/>
      </w:pPr>
      <w:r>
        <w:t>RLS isolation: tenant A cannot read/update/delete tenant B rows; mismatched tenant inserts/updates are rejected.</w:t>
      </w:r>
    </w:p>
    <w:p>
      <w:pPr>
        <w:pStyle w:val="ListBullet"/>
      </w:pPr>
      <w:r>
        <w:t>Connection pool safety: requests/jobs switching tenant context cannot inherit stale context.</w:t>
      </w:r>
    </w:p>
    <w:p>
      <w:pPr>
        <w:pStyle w:val="ListBullet"/>
      </w:pPr>
      <w:r>
        <w:t>Runtime DB role cannot bypass RLS; migration/admin access is separately controlled.</w:t>
      </w:r>
    </w:p>
    <w:p>
      <w:pPr>
        <w:pStyle w:val="ListBullet"/>
      </w:pPr>
      <w:r>
        <w:t>Domain tests cover direct IDs, search, reports, import rows, export jobs, and downloads.</w:t>
      </w:r>
    </w:p>
    <w:p>
      <w:pPr>
        <w:pStyle w:val="ListBullet"/>
      </w:pPr>
      <w:r>
        <w:t>Tenant tests cover employee/compensation/job/report/file access and altered tenant parameters.</w:t>
      </w:r>
    </w:p>
    <w:p>
      <w:pPr>
        <w:pStyle w:val="ListBullet"/>
      </w:pPr>
      <w:r>
        <w:t>Health tests: liveness remains independent of DB outage; readiness fails on unavailable critical dependency; ALB excludes unhealthy targets in integration environment.</w:t>
      </w:r>
    </w:p>
    <w:p>
      <w:pPr>
        <w:pStyle w:val="ListBullet"/>
      </w:pPr>
      <w:r>
        <w:t>Job tests: retries are idempotent, row errors are visible, terminal failures observable, and export download authorization/expiry enforced.</w:t>
      </w:r>
    </w:p>
    <w:p>
      <w:pPr>
        <w:pStyle w:val="ListBullet"/>
      </w:pPr>
      <w:r>
        <w:t>Configuration checks verify RDS/S3 encryption, secret references, least-privilege IAM, and absence of sensitive data in logs.</w:t>
      </w:r>
    </w:p>
    <w:p>
      <w:pPr>
        <w:pStyle w:val="Heading1"/>
      </w:pPr>
      <w:r>
        <w:t>13. Decisions to Confirm During Implementation</w:t>
      </w:r>
    </w:p>
    <w:p>
      <w:pPr>
        <w:pStyle w:val="ListBullet"/>
      </w:pPr>
      <w:r>
        <w:t>Authentication provider/session design: Cognito, approved OIDC provider, or custom auth. Rails remains authoritative for authorization.</w:t>
      </w:r>
    </w:p>
    <w:p>
      <w:pPr>
        <w:pStyle w:val="ListBullet"/>
      </w:pPr>
      <w:r>
        <w:t>Organization Admin employee-data access policy and whether HR users can hold multiple domain assignments.</w:t>
      </w:r>
    </w:p>
    <w:p>
      <w:pPr>
        <w:pStyle w:val="ListBullet"/>
      </w:pPr>
      <w:r>
        <w:t>Exact RDS backup retention/PITR, S3 lifecycle, KMS key policy/rotation, ALB/ECS health-check thresholds, and environment sizing.</w:t>
      </w:r>
    </w:p>
    <w:p>
      <w:pPr>
        <w:pStyle w:val="ListBullet"/>
      </w:pPr>
      <w:r>
        <w:t>RLS SQL, tenant-context mechanism, runtime/migration roles, and FORCE RLS behavior validated through PostgreSQL integration tests.</w:t>
      </w:r>
    </w:p>
    <w:p>
      <w:pPr>
        <w:pStyle w:val="ListBullet"/>
      </w:pPr>
      <w:r>
        <w:t>RPO/RTO and restore drill cadence agreed with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