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Architecture and Product Decision Log</w:t>
      </w:r>
    </w:p>
    <w:p>
      <w:pPr>
        <w:jc w:val="center"/>
      </w:pPr>
      <w:r>
        <w:rPr>
          <w:b/>
          <w:sz w:val="28"/>
        </w:rPr>
        <w:t>Global Employee Compensation Management System</w:t>
      </w:r>
    </w:p>
    <w:p>
      <w:pPr>
        <w:jc w:val="center"/>
      </w:pPr>
      <w:r>
        <w:rPr>
          <w:i/>
        </w:rPr>
        <w:t>Incubyte Assessment • Version 2.5</w:t>
      </w:r>
    </w:p>
    <w:p>
      <w:pPr>
        <w:pStyle w:val="Heading1"/>
      </w:pPr>
      <w:r>
        <w:t>Decision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Decision</w:t>
            </w:r>
          </w:p>
        </w:tc>
        <w:tc>
          <w:tcPr>
            <w:tcW w:type="dxa" w:w="2484"/>
          </w:tcPr>
          <w:p>
            <w:r>
              <w:t>Reason / trade-off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D-01</w:t>
            </w:r>
          </w:p>
        </w:tc>
        <w:tc>
          <w:tcPr>
            <w:tcW w:type="dxa" w:w="2484"/>
          </w:tcPr>
          <w:p>
            <w:r>
              <w:t>Multi-tenant SaaS; shared application serves multiple organizations.</w:t>
            </w:r>
          </w:p>
        </w:tc>
        <w:tc>
          <w:tcPr>
            <w:tcW w:type="dxa" w:w="2484"/>
          </w:tcPr>
          <w:p>
            <w:r>
              <w:t>One deployable product; requires strict tenant isolation.</w:t>
            </w:r>
          </w:p>
        </w:tc>
        <w:tc>
          <w:tcPr>
            <w:tcW w:type="dxa" w:w="2484"/>
          </w:tcPr>
          <w:p>
            <w:r>
              <w:t>Agreed baseline</w:t>
            </w:r>
          </w:p>
        </w:tc>
      </w:tr>
      <w:tr>
        <w:tc>
          <w:tcPr>
            <w:tcW w:type="dxa" w:w="2484"/>
          </w:tcPr>
          <w:p>
            <w:r>
              <w:t>D-02</w:t>
            </w:r>
          </w:p>
        </w:tc>
        <w:tc>
          <w:tcPr>
            <w:tcW w:type="dxa" w:w="2484"/>
          </w:tcPr>
          <w:p>
            <w:r>
              <w:t>Shared Amazon RDS for PostgreSQL schema with tenant_id for MVP.</w:t>
            </w:r>
          </w:p>
        </w:tc>
        <w:tc>
          <w:tcPr>
            <w:tcW w:type="dxa" w:w="2484"/>
          </w:tcPr>
          <w:p>
            <w:r>
              <w:t>Cost/simple operations; logical isolation reinforced by RLS and application authorization.</w:t>
            </w:r>
          </w:p>
        </w:tc>
        <w:tc>
          <w:tcPr>
            <w:tcW w:type="dxa" w:w="2484"/>
          </w:tcPr>
          <w:p>
            <w:r>
              <w:t>Agreed baseline</w:t>
            </w:r>
          </w:p>
        </w:tc>
      </w:tr>
      <w:tr>
        <w:tc>
          <w:tcPr>
            <w:tcW w:type="dxa" w:w="2484"/>
          </w:tcPr>
          <w:p>
            <w:r>
              <w:t>D-03</w:t>
            </w:r>
          </w:p>
        </w:tc>
        <w:tc>
          <w:tcPr>
            <w:tcW w:type="dxa" w:w="2484"/>
          </w:tcPr>
          <w:p>
            <w:r>
              <w:t>PostgreSQL RLS as defense in depth.</w:t>
            </w:r>
          </w:p>
        </w:tc>
        <w:tc>
          <w:tcPr>
            <w:tcW w:type="dxa" w:w="2484"/>
          </w:tcPr>
          <w:p>
            <w:r>
              <w:t>Database policies reduce impact of accidentally unscoped application queries; tenant context/DB roles require careful design.</w:t>
            </w:r>
          </w:p>
        </w:tc>
        <w:tc>
          <w:tcPr>
            <w:tcW w:type="dxa" w:w="2484"/>
          </w:tcPr>
          <w:p>
            <w:r>
              <w:t>Implementation detail to validate</w:t>
            </w:r>
          </w:p>
        </w:tc>
      </w:tr>
      <w:tr>
        <w:tc>
          <w:tcPr>
            <w:tcW w:type="dxa" w:w="2484"/>
          </w:tcPr>
          <w:p>
            <w:r>
              <w:t>D-04</w:t>
            </w:r>
          </w:p>
        </w:tc>
        <w:tc>
          <w:tcPr>
            <w:tcW w:type="dxa" w:w="2484"/>
          </w:tcPr>
          <w:p>
            <w:r>
              <w:t>Tenant identity comes from authenticated identity/session, not browser tenant_id.</w:t>
            </w:r>
          </w:p>
        </w:tc>
        <w:tc>
          <w:tcPr>
            <w:tcW w:type="dxa" w:w="2484"/>
          </w:tcPr>
          <w:p>
            <w:r>
              <w:t>Prevents user-controlled tenant switching.</w:t>
            </w:r>
          </w:p>
        </w:tc>
        <w:tc>
          <w:tcPr>
            <w:tcW w:type="dxa" w:w="2484"/>
          </w:tcPr>
          <w:p>
            <w:r>
              <w:t>Agreed baseline</w:t>
            </w:r>
          </w:p>
        </w:tc>
      </w:tr>
      <w:tr>
        <w:tc>
          <w:tcPr>
            <w:tcW w:type="dxa" w:w="2484"/>
          </w:tcPr>
          <w:p>
            <w:r>
              <w:t>D-05</w:t>
            </w:r>
          </w:p>
        </w:tc>
        <w:tc>
          <w:tcPr>
            <w:tcW w:type="dxa" w:w="2484"/>
          </w:tcPr>
          <w:p>
            <w:r>
              <w:t>Domain-scoped HR Manager access within tenant; Organization Admin manages users/assignments.</w:t>
            </w:r>
          </w:p>
        </w:tc>
        <w:tc>
          <w:tcPr>
            <w:tcW w:type="dxa" w:w="2484"/>
          </w:tcPr>
          <w:p>
            <w:r>
              <w:t>Supports multiple HR teams managing different employee populations without weakening tenant boundary.</w:t>
            </w:r>
          </w:p>
        </w:tc>
        <w:tc>
          <w:tcPr>
            <w:tcW w:type="dxa" w:w="2484"/>
          </w:tcPr>
          <w:p>
            <w:r>
              <w:t>Agreed baseline; admin data-access policy to define</w:t>
            </w:r>
          </w:p>
        </w:tc>
      </w:tr>
      <w:tr>
        <w:tc>
          <w:tcPr>
            <w:tcW w:type="dxa" w:w="2484"/>
          </w:tcPr>
          <w:p>
            <w:r>
              <w:t>D-06</w:t>
            </w:r>
          </w:p>
        </w:tc>
        <w:tc>
          <w:tcPr>
            <w:tcW w:type="dxa" w:w="2484"/>
          </w:tcPr>
          <w:p>
            <w:r>
              <w:t>Support multiple countries and currencies in employee/compensation records.</w:t>
            </w:r>
          </w:p>
        </w:tc>
        <w:tc>
          <w:tcPr>
            <w:tcW w:type="dxa" w:w="2484"/>
          </w:tcPr>
          <w:p>
            <w:r>
              <w:t>Supports global product direction; no unsupported currency aggregation.</w:t>
            </w:r>
          </w:p>
        </w:tc>
        <w:tc>
          <w:tcPr>
            <w:tcW w:type="dxa" w:w="2484"/>
          </w:tcPr>
          <w:p>
            <w:r>
              <w:t>Agreed baseline</w:t>
            </w:r>
          </w:p>
        </w:tc>
      </w:tr>
      <w:tr>
        <w:tc>
          <w:tcPr>
            <w:tcW w:type="dxa" w:w="2484"/>
          </w:tcPr>
          <w:p>
            <w:r>
              <w:t>D-07</w:t>
            </w:r>
          </w:p>
        </w:tc>
        <w:tc>
          <w:tcPr>
            <w:tcW w:type="dxa" w:w="2484"/>
          </w:tcPr>
          <w:p>
            <w:r>
              <w:t>No FX conversion or statutory payroll calculations in MVP.</w:t>
            </w:r>
          </w:p>
        </w:tc>
        <w:tc>
          <w:tcPr>
            <w:tcW w:type="dxa" w:w="2484"/>
          </w:tcPr>
          <w:p>
            <w:r>
              <w:t>Requires rates, dates, jurisdictions and compliance rules beyond assessment scope.</w:t>
            </w:r>
          </w:p>
        </w:tc>
        <w:tc>
          <w:tcPr>
            <w:tcW w:type="dxa" w:w="2484"/>
          </w:tcPr>
          <w:p>
            <w:r>
              <w:t>Out of scope</w:t>
            </w:r>
          </w:p>
        </w:tc>
      </w:tr>
      <w:tr>
        <w:tc>
          <w:tcPr>
            <w:tcW w:type="dxa" w:w="2484"/>
          </w:tcPr>
          <w:p>
            <w:r>
              <w:t>D-08</w:t>
            </w:r>
          </w:p>
        </w:tc>
        <w:tc>
          <w:tcPr>
            <w:tcW w:type="dxa" w:w="2484"/>
          </w:tcPr>
          <w:p>
            <w:r>
              <w:t>Rails modular monolith + React frontend.</w:t>
            </w:r>
          </w:p>
        </w:tc>
        <w:tc>
          <w:tcPr>
            <w:tcW w:type="dxa" w:w="2484"/>
          </w:tcPr>
          <w:p>
            <w:r>
              <w:t>Maintainable, fast assessment delivery; avoid premature service decomposition.</w:t>
            </w:r>
          </w:p>
        </w:tc>
        <w:tc>
          <w:tcPr>
            <w:tcW w:type="dxa" w:w="2484"/>
          </w:tcPr>
          <w:p>
            <w:r>
              <w:t>Agreed baseline</w:t>
            </w:r>
          </w:p>
        </w:tc>
      </w:tr>
      <w:tr>
        <w:tc>
          <w:tcPr>
            <w:tcW w:type="dxa" w:w="2484"/>
          </w:tcPr>
          <w:p>
            <w:r>
              <w:t>D-09</w:t>
            </w:r>
          </w:p>
        </w:tc>
        <w:tc>
          <w:tcPr>
            <w:tcW w:type="dxa" w:w="2484"/>
          </w:tcPr>
          <w:p>
            <w:r>
              <w:t>React static build served from S3/CloudFront; Rails API behind ALB.</w:t>
            </w:r>
          </w:p>
        </w:tc>
        <w:tc>
          <w:tcPr>
            <w:tcW w:type="dxa" w:w="2484"/>
          </w:tcPr>
          <w:p>
            <w:r>
              <w:t>Avoids dedicated frontend compute; CDN delivers static assets.</w:t>
            </w:r>
          </w:p>
        </w:tc>
        <w:tc>
          <w:tcPr>
            <w:tcW w:type="dxa" w:w="2484"/>
          </w:tcPr>
          <w:p>
            <w:r>
              <w:t>Target design</w:t>
            </w:r>
          </w:p>
        </w:tc>
      </w:tr>
      <w:tr>
        <w:tc>
          <w:tcPr>
            <w:tcW w:type="dxa" w:w="2484"/>
          </w:tcPr>
          <w:p>
            <w:r>
              <w:t>D-10</w:t>
            </w:r>
          </w:p>
        </w:tc>
        <w:tc>
          <w:tcPr>
            <w:tcW w:type="dxa" w:w="2484"/>
          </w:tcPr>
          <w:p>
            <w:r>
              <w:t>ECS Fargate for Rails API and separately scalable Sidekiq workers.</w:t>
            </w:r>
          </w:p>
        </w:tc>
        <w:tc>
          <w:tcPr>
            <w:tcW w:type="dxa" w:w="2484"/>
          </w:tcPr>
          <w:p>
            <w:r>
              <w:t>Managed container runtime and independent web/worker scaling.</w:t>
            </w:r>
          </w:p>
        </w:tc>
        <w:tc>
          <w:tcPr>
            <w:tcW w:type="dxa" w:w="2484"/>
          </w:tcPr>
          <w:p>
            <w:r>
              <w:t>Target design</w:t>
            </w:r>
          </w:p>
        </w:tc>
      </w:tr>
      <w:tr>
        <w:tc>
          <w:tcPr>
            <w:tcW w:type="dxa" w:w="2484"/>
          </w:tcPr>
          <w:p>
            <w:r>
              <w:t>D-11</w:t>
            </w:r>
          </w:p>
        </w:tc>
        <w:tc>
          <w:tcPr>
            <w:tcW w:type="dxa" w:w="2484"/>
          </w:tcPr>
          <w:p>
            <w:r>
              <w:t>Sidekiq + Redis for async CSV jobs; no SQS/DLQ in MVP.</w:t>
            </w:r>
          </w:p>
        </w:tc>
        <w:tc>
          <w:tcPr>
            <w:tcW w:type="dxa" w:w="2484"/>
          </w:tcPr>
          <w:p>
            <w:r>
              <w:t>Sufficient job queue/retry/dead handling for current scope with fewer moving parts.</w:t>
            </w:r>
          </w:p>
        </w:tc>
        <w:tc>
          <w:tcPr>
            <w:tcW w:type="dxa" w:w="2484"/>
          </w:tcPr>
          <w:p>
            <w:r>
              <w:t>Agreed baseline</w:t>
            </w:r>
          </w:p>
        </w:tc>
      </w:tr>
      <w:tr>
        <w:tc>
          <w:tcPr>
            <w:tcW w:type="dxa" w:w="2484"/>
          </w:tcPr>
          <w:p>
            <w:r>
              <w:t>D-12</w:t>
            </w:r>
          </w:p>
        </w:tc>
        <w:tc>
          <w:tcPr>
            <w:tcW w:type="dxa" w:w="2484"/>
          </w:tcPr>
          <w:p>
            <w:r>
              <w:t>CSV import and export are P0 and asynchronous.</w:t>
            </w:r>
          </w:p>
        </w:tc>
        <w:tc>
          <w:tcPr>
            <w:tcW w:type="dxa" w:w="2484"/>
          </w:tcPr>
          <w:p>
            <w:r>
              <w:t>Bulk work should not block normal HTTP requests; status and errors are visible.</w:t>
            </w:r>
          </w:p>
        </w:tc>
        <w:tc>
          <w:tcPr>
            <w:tcW w:type="dxa" w:w="2484"/>
          </w:tcPr>
          <w:p>
            <w:r>
              <w:t>Agreed baseline</w:t>
            </w:r>
          </w:p>
        </w:tc>
      </w:tr>
      <w:tr>
        <w:tc>
          <w:tcPr>
            <w:tcW w:type="dxa" w:w="2484"/>
          </w:tcPr>
          <w:p>
            <w:r>
              <w:t>D-13</w:t>
            </w:r>
          </w:p>
        </w:tc>
        <w:tc>
          <w:tcPr>
            <w:tcW w:type="dxa" w:w="2484"/>
          </w:tcPr>
          <w:p>
            <w:r>
              <w:t>RDS/S3 encryption with KMS; secrets in Secrets Manager/SSM; least-privilege IAM.</w:t>
            </w:r>
          </w:p>
        </w:tc>
        <w:tc>
          <w:tcPr>
            <w:tcW w:type="dxa" w:w="2484"/>
          </w:tcPr>
          <w:p>
            <w:r>
              <w:t>Sensitive employee/compensation data needs explicit data-protection controls.</w:t>
            </w:r>
          </w:p>
        </w:tc>
        <w:tc>
          <w:tcPr>
            <w:tcW w:type="dxa" w:w="2484"/>
          </w:tcPr>
          <w:p>
            <w:r>
              <w:t>Target design; verify deployment</w:t>
            </w:r>
          </w:p>
        </w:tc>
      </w:tr>
      <w:tr>
        <w:tc>
          <w:tcPr>
            <w:tcW w:type="dxa" w:w="2484"/>
          </w:tcPr>
          <w:p>
            <w:r>
              <w:t>D-14</w:t>
            </w:r>
          </w:p>
        </w:tc>
        <w:tc>
          <w:tcPr>
            <w:tcW w:type="dxa" w:w="2484"/>
          </w:tcPr>
          <w:p>
            <w:r>
              <w:t>Separate liveness and readiness checks; ALB uses readiness; worker health monitored separately.</w:t>
            </w:r>
          </w:p>
        </w:tc>
        <w:tc>
          <w:tcPr>
            <w:tcW w:type="dxa" w:w="2484"/>
          </w:tcPr>
          <w:p>
            <w:r>
              <w:t>Avoid DB-outage restart loops and keep unhealthy API targets out of traffic.</w:t>
            </w:r>
          </w:p>
        </w:tc>
        <w:tc>
          <w:tcPr>
            <w:tcW w:type="dxa" w:w="2484"/>
          </w:tcPr>
          <w:p>
            <w:r>
              <w:t>Target design; thresholds to configure</w:t>
            </w:r>
          </w:p>
        </w:tc>
      </w:tr>
      <w:tr>
        <w:tc>
          <w:tcPr>
            <w:tcW w:type="dxa" w:w="2484"/>
          </w:tcPr>
          <w:p>
            <w:r>
              <w:t>D-15</w:t>
            </w:r>
          </w:p>
        </w:tc>
        <w:tc>
          <w:tcPr>
            <w:tcW w:type="dxa" w:w="2484"/>
          </w:tcPr>
          <w:p>
            <w:r>
              <w:t>RDS automated backups/PITR and S3 recovery/lifecycle; restore drills.</w:t>
            </w:r>
          </w:p>
        </w:tc>
        <w:tc>
          <w:tcPr>
            <w:tcW w:type="dxa" w:w="2484"/>
          </w:tcPr>
          <w:p>
            <w:r>
              <w:t>Backups require tested restoration, not just configured snapshots.</w:t>
            </w:r>
          </w:p>
        </w:tc>
        <w:tc>
          <w:tcPr>
            <w:tcW w:type="dxa" w:w="2484"/>
          </w:tcPr>
          <w:p>
            <w:r>
              <w:t>Target design; retention/RPO/RTO to confirm</w:t>
            </w:r>
          </w:p>
        </w:tc>
      </w:tr>
      <w:tr>
        <w:tc>
          <w:tcPr>
            <w:tcW w:type="dxa" w:w="2484"/>
          </w:tcPr>
          <w:p>
            <w:r>
              <w:t>D-16</w:t>
            </w:r>
          </w:p>
        </w:tc>
        <w:tc>
          <w:tcPr>
            <w:tcW w:type="dxa" w:w="2484"/>
          </w:tcPr>
          <w:p>
            <w:r>
              <w:t>Dedicated or customer-managed database is a future isolation option, not MVP.</w:t>
            </w:r>
          </w:p>
        </w:tc>
        <w:tc>
          <w:tcPr>
            <w:tcW w:type="dxa" w:w="2484"/>
          </w:tcPr>
          <w:p>
            <w:r>
              <w:t>Supports enterprise isolation needs at additional routing, migration, secret, backup and operations cost.</w:t>
            </w:r>
          </w:p>
        </w:tc>
        <w:tc>
          <w:tcPr>
            <w:tcW w:type="dxa" w:w="2484"/>
          </w:tcPr>
          <w:p>
            <w:r>
              <w:t>Future option</w:t>
            </w:r>
          </w:p>
        </w:tc>
      </w:tr>
      <w:tr>
        <w:tc>
          <w:tcPr>
            <w:tcW w:type="dxa" w:w="2484"/>
          </w:tcPr>
          <w:p>
            <w:r>
              <w:t>D-17</w:t>
            </w:r>
          </w:p>
        </w:tc>
        <w:tc>
          <w:tcPr>
            <w:tcW w:type="dxa" w:w="2484"/>
          </w:tcPr>
          <w:p>
            <w:r>
              <w:t>Organization Admin's access to employee/compensation records requires explicit policy.</w:t>
            </w:r>
          </w:p>
        </w:tc>
        <w:tc>
          <w:tcPr>
            <w:tcW w:type="dxa" w:w="2484"/>
          </w:tcPr>
          <w:p>
            <w:r>
              <w:t>Avoid implicit overbroad permissions.</w:t>
            </w:r>
          </w:p>
        </w:tc>
        <w:tc>
          <w:tcPr>
            <w:tcW w:type="dxa" w:w="2484"/>
          </w:tcPr>
          <w:p>
            <w:r>
              <w:t>Open implementation detail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