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000000"/>
          <w:sz w:val="30"/>
        </w:rPr>
        <w:t>Lab 1: Use-Case Flow Specification</w:t>
      </w:r>
    </w:p>
    <w:p>
      <w:pPr>
        <w:spacing w:before="0" w:after="240"/>
      </w:pPr>
      <w:r>
        <w:rPr>
          <w:color w:val="000000"/>
          <w:sz w:val="20"/>
        </w:rPr>
        <w:t xml:space="preserve">Name: </w:t>
      </w:r>
      <w:r>
        <w:rPr>
          <w:b/>
          <w:color w:val="000000"/>
          <w:sz w:val="20"/>
        </w:rPr>
        <w:t>HEMANT RAM NELAPATI</w:t>
      </w:r>
      <w:r>
        <w:rPr>
          <w:color w:val="000000"/>
          <w:sz w:val="20"/>
        </w:rPr>
        <w:t xml:space="preserve">   |   SRN: </w:t>
      </w:r>
      <w:r>
        <w:rPr>
          <w:b/>
          <w:color w:val="000000"/>
          <w:sz w:val="20"/>
        </w:rPr>
        <w:t>PES2UG24CS192</w:t>
      </w:r>
      <w:r>
        <w:rPr>
          <w:color w:val="000000"/>
          <w:sz w:val="19"/>
        </w:rPr>
        <w:br/>
        <w:t>Problem Statement #06: Alumni Mentorship &amp; Mock Interview Platform (Campus &amp; Academic Operations)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F4F4F4"/>
          </w:tcPr>
          <w:p>
            <w:pPr>
              <w:spacing w:after="70" w:before="70"/>
            </w:pPr>
            <w:r>
              <w:rPr>
                <w:b/>
                <w:color w:val="000000"/>
                <w:sz w:val="19"/>
              </w:rPr>
              <w:t>Use Case ID &amp; Name</w:t>
            </w:r>
          </w:p>
        </w:tc>
        <w:tc>
          <w:tcPr>
            <w:tcW w:type="dxa" w:w="7056"/>
          </w:tcPr>
          <w:p>
            <w:pPr>
              <w:spacing w:after="70" w:before="70"/>
            </w:pPr>
            <w:r>
              <w:rPr>
                <w:color w:val="000000"/>
                <w:sz w:val="19"/>
              </w:rPr>
              <w:t>UC-02: Book Mentorship Session</w:t>
            </w:r>
          </w:p>
        </w:tc>
      </w:tr>
      <w:tr>
        <w:tc>
          <w:tcPr>
            <w:tcW w:type="dxa" w:w="2880"/>
            <w:shd w:fill="F4F4F4"/>
          </w:tcPr>
          <w:p>
            <w:pPr>
              <w:spacing w:after="70" w:before="70"/>
            </w:pPr>
            <w:r>
              <w:rPr>
                <w:b/>
                <w:color w:val="000000"/>
                <w:sz w:val="19"/>
              </w:rPr>
              <w:t>Primary Actor</w:t>
            </w:r>
          </w:p>
        </w:tc>
        <w:tc>
          <w:tcPr>
            <w:tcW w:type="dxa" w:w="7056"/>
          </w:tcPr>
          <w:p>
            <w:pPr>
              <w:spacing w:after="70" w:before="70"/>
            </w:pPr>
            <w:r>
              <w:rPr>
                <w:color w:val="000000"/>
                <w:sz w:val="19"/>
              </w:rPr>
              <w:t>Student Mentee</w:t>
            </w:r>
          </w:p>
        </w:tc>
      </w:tr>
      <w:tr>
        <w:tc>
          <w:tcPr>
            <w:tcW w:type="dxa" w:w="2880"/>
            <w:shd w:fill="F4F4F4"/>
          </w:tcPr>
          <w:p>
            <w:pPr>
              <w:spacing w:after="70" w:before="70"/>
            </w:pPr>
            <w:r>
              <w:rPr>
                <w:b/>
                <w:color w:val="000000"/>
                <w:sz w:val="19"/>
              </w:rPr>
              <w:t>Secondary Actor</w:t>
            </w:r>
          </w:p>
        </w:tc>
        <w:tc>
          <w:tcPr>
            <w:tcW w:type="dxa" w:w="7056"/>
          </w:tcPr>
          <w:p>
            <w:pPr>
              <w:spacing w:after="70" w:before="70"/>
            </w:pPr>
            <w:r>
              <w:rPr>
                <w:color w:val="000000"/>
                <w:sz w:val="19"/>
              </w:rPr>
              <w:t>None</w:t>
            </w:r>
          </w:p>
        </w:tc>
      </w:tr>
      <w:tr>
        <w:tc>
          <w:tcPr>
            <w:tcW w:type="dxa" w:w="2880"/>
            <w:shd w:fill="F4F4F4"/>
          </w:tcPr>
          <w:p>
            <w:pPr>
              <w:spacing w:after="70" w:before="70"/>
            </w:pPr>
            <w:r>
              <w:rPr>
                <w:b/>
                <w:color w:val="000000"/>
                <w:sz w:val="19"/>
              </w:rPr>
              <w:t>Preconditions</w:t>
            </w:r>
          </w:p>
        </w:tc>
        <w:tc>
          <w:tcPr>
            <w:tcW w:type="dxa" w:w="7056"/>
          </w:tcPr>
          <w:p>
            <w:pPr>
              <w:spacing w:after="70" w:before="70"/>
            </w:pPr>
            <w:r>
              <w:rPr>
                <w:color w:val="000000"/>
                <w:sz w:val="19"/>
              </w:rPr>
              <w:t>1. Student Mentee is logged into the platform.</w:t>
              <w:br/>
              <w:t>2. Alumni Mentor has published active availability slots.</w:t>
            </w:r>
          </w:p>
        </w:tc>
      </w:tr>
      <w:tr>
        <w:tc>
          <w:tcPr>
            <w:tcW w:type="dxa" w:w="2880"/>
            <w:shd w:fill="F4F4F4"/>
          </w:tcPr>
          <w:p>
            <w:pPr>
              <w:spacing w:after="70" w:before="70"/>
            </w:pPr>
            <w:r>
              <w:rPr>
                <w:b/>
                <w:color w:val="000000"/>
                <w:sz w:val="19"/>
              </w:rPr>
              <w:t>Postconditions</w:t>
            </w:r>
          </w:p>
        </w:tc>
        <w:tc>
          <w:tcPr>
            <w:tcW w:type="dxa" w:w="7056"/>
          </w:tcPr>
          <w:p>
            <w:pPr>
              <w:spacing w:after="70" w:before="70"/>
            </w:pPr>
            <w:r>
              <w:rPr>
                <w:color w:val="000000"/>
                <w:sz w:val="19"/>
              </w:rPr>
              <w:t>1. Mock interview session is confirmed and added to both platform schedules.</w:t>
              <w:br/>
              <w:t>2. Selected slot is locked to prevent double-booking.</w:t>
            </w:r>
          </w:p>
        </w:tc>
      </w:tr>
    </w:tbl>
    <w:p>
      <w:pPr>
        <w:spacing w:before="280" w:after="120"/>
      </w:pPr>
      <w:r>
        <w:rPr>
          <w:b/>
          <w:color w:val="000000"/>
          <w:sz w:val="24"/>
        </w:rPr>
        <w:t>Main Success Scenario (MSS)</w:t>
      </w:r>
    </w:p>
    <w:p>
      <w:pPr>
        <w:spacing w:after="90" w:before="30" w:line="276" w:lineRule="auto"/>
        <w:ind w:left="360"/>
      </w:pPr>
      <w:r>
        <w:rPr>
          <w:b/>
          <w:color w:val="000000"/>
          <w:sz w:val="19"/>
        </w:rPr>
        <w:t xml:space="preserve">1. </w:t>
      </w:r>
      <w:r>
        <w:rPr>
          <w:color w:val="000000"/>
          <w:sz w:val="19"/>
        </w:rPr>
        <w:t>Student Mentee browses recommended mentors and opens a verified Alumni Mentor profile.</w:t>
      </w:r>
    </w:p>
    <w:p>
      <w:pPr>
        <w:spacing w:after="90" w:before="30" w:line="276" w:lineRule="auto"/>
        <w:ind w:left="360"/>
      </w:pPr>
      <w:r>
        <w:rPr>
          <w:b/>
          <w:color w:val="000000"/>
          <w:sz w:val="19"/>
        </w:rPr>
        <w:t xml:space="preserve">2. </w:t>
      </w:r>
      <w:r>
        <w:rPr>
          <w:color w:val="000000"/>
          <w:sz w:val="19"/>
        </w:rPr>
        <w:t>System retrieves and displays the mentor's profile details and published availability calendar.</w:t>
      </w:r>
    </w:p>
    <w:p>
      <w:pPr>
        <w:spacing w:after="90" w:before="30" w:line="276" w:lineRule="auto"/>
        <w:ind w:left="360"/>
      </w:pPr>
      <w:r>
        <w:rPr>
          <w:b/>
          <w:color w:val="000000"/>
          <w:sz w:val="19"/>
        </w:rPr>
        <w:t xml:space="preserve">3. </w:t>
      </w:r>
      <w:r>
        <w:rPr>
          <w:color w:val="000000"/>
          <w:sz w:val="19"/>
        </w:rPr>
        <w:t>Student Mentee selects an available date and time slot for a mock interview.</w:t>
      </w:r>
    </w:p>
    <w:p>
      <w:pPr>
        <w:spacing w:after="90" w:before="30" w:line="276" w:lineRule="auto"/>
        <w:ind w:left="360"/>
      </w:pPr>
      <w:r>
        <w:rPr>
          <w:b/>
          <w:color w:val="000000"/>
          <w:sz w:val="19"/>
        </w:rPr>
        <w:t xml:space="preserve">4. </w:t>
      </w:r>
      <w:r>
        <w:rPr>
          <w:color w:val="000000"/>
          <w:sz w:val="19"/>
        </w:rPr>
        <w:t>System executes UC-07: Validate Slot Availability to verify the selected slot remains unreserved.</w:t>
      </w:r>
    </w:p>
    <w:p>
      <w:pPr>
        <w:spacing w:after="90" w:before="30" w:line="276" w:lineRule="auto"/>
        <w:ind w:left="360"/>
      </w:pPr>
      <w:r>
        <w:rPr>
          <w:b/>
          <w:color w:val="000000"/>
          <w:sz w:val="19"/>
        </w:rPr>
        <w:t xml:space="preserve">5. </w:t>
      </w:r>
      <w:r>
        <w:rPr>
          <w:color w:val="000000"/>
          <w:sz w:val="19"/>
        </w:rPr>
        <w:t>System creates the session reservation and locks the time slot to prevent double-booking.</w:t>
      </w:r>
    </w:p>
    <w:p>
      <w:pPr>
        <w:spacing w:after="90" w:before="30" w:line="276" w:lineRule="auto"/>
        <w:ind w:left="360"/>
      </w:pPr>
      <w:r>
        <w:rPr>
          <w:b/>
          <w:color w:val="000000"/>
          <w:sz w:val="19"/>
        </w:rPr>
        <w:t xml:space="preserve">6. </w:t>
      </w:r>
      <w:r>
        <w:rPr>
          <w:color w:val="000000"/>
          <w:sz w:val="19"/>
        </w:rPr>
        <w:t>System adds the confirmed session to both the Student Mentee's and Alumni Mentor's platform schedules.</w:t>
      </w:r>
    </w:p>
    <w:p>
      <w:pPr>
        <w:spacing w:after="90" w:before="30" w:line="276" w:lineRule="auto"/>
        <w:ind w:left="360"/>
      </w:pPr>
      <w:r>
        <w:rPr>
          <w:b/>
          <w:color w:val="000000"/>
          <w:sz w:val="19"/>
        </w:rPr>
        <w:t xml:space="preserve">7. </w:t>
      </w:r>
      <w:r>
        <w:rPr>
          <w:color w:val="000000"/>
          <w:sz w:val="19"/>
        </w:rPr>
        <w:t>System displays a booking confirmation message with complete session details to the Student Mentee.</w:t>
      </w:r>
    </w:p>
    <w:p>
      <w:pPr>
        <w:spacing w:before="280" w:after="120"/>
      </w:pPr>
      <w:r>
        <w:rPr>
          <w:b/>
          <w:color w:val="000000"/>
          <w:sz w:val="24"/>
        </w:rPr>
        <w:t>Alternate Flow</w:t>
      </w:r>
    </w:p>
    <w:p>
      <w:pPr>
        <w:spacing w:before="80" w:after="60"/>
      </w:pPr>
      <w:r>
        <w:rPr>
          <w:b/>
          <w:color w:val="000000"/>
          <w:sz w:val="20"/>
        </w:rPr>
        <w:t>4a. Selected Slot Unavailable / Concurrently Booked (Branch from Step 4)</w:t>
      </w:r>
    </w:p>
    <w:p>
      <w:pPr>
        <w:spacing w:after="70" w:line="276" w:lineRule="auto"/>
        <w:ind w:left="360"/>
      </w:pPr>
      <w:r>
        <w:rPr>
          <w:color w:val="000000"/>
          <w:sz w:val="19"/>
        </w:rPr>
        <w:t>4a1. System detects that the selected time slot was locked by another student or is no longer open.</w:t>
      </w:r>
    </w:p>
    <w:p>
      <w:pPr>
        <w:spacing w:after="70" w:line="276" w:lineRule="auto"/>
        <w:ind w:left="360"/>
      </w:pPr>
      <w:r>
        <w:rPr>
          <w:color w:val="000000"/>
          <w:sz w:val="19"/>
        </w:rPr>
        <w:t>4a2. System displays an alert notification: 'The selected time slot is no longer available.'</w:t>
      </w:r>
    </w:p>
    <w:p>
      <w:pPr>
        <w:spacing w:after="70" w:line="276" w:lineRule="auto"/>
        <w:ind w:left="360"/>
      </w:pPr>
      <w:r>
        <w:rPr>
          <w:color w:val="000000"/>
          <w:sz w:val="19"/>
        </w:rPr>
        <w:t>4a3. System refreshes the mentor's availability calendar with remaining open slots.</w:t>
      </w:r>
    </w:p>
    <w:p>
      <w:pPr>
        <w:spacing w:after="70" w:line="276" w:lineRule="auto"/>
        <w:ind w:left="360"/>
      </w:pPr>
      <w:r>
        <w:rPr>
          <w:color w:val="000000"/>
          <w:sz w:val="19"/>
        </w:rPr>
        <w:t>4a4. Student Mentee selects an alternative open time slot (flow resumes at Step 3) or cancels booking.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