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Segoe UI" w:hAnsi="Segoe UI"/>
          <w:b/>
          <w:sz w:val="26"/>
        </w:rPr>
        <w:t>Lab 3 – Architectural Pattern Selection</w:t>
      </w:r>
    </w:p>
    <w:p>
      <w:pPr>
        <w:spacing w:before="0" w:after="40"/>
        <w:jc w:val="center"/>
      </w:pPr>
      <w:r>
        <w:rPr>
          <w:rFonts w:ascii="Segoe UI" w:hAnsi="Segoe UI"/>
          <w:b/>
          <w:sz w:val="22"/>
        </w:rPr>
        <w:t>Alumni Mentorship &amp; Mock Interview Platform</w:t>
      </w:r>
    </w:p>
    <w:p>
      <w:pPr>
        <w:spacing w:before="0" w:after="80"/>
        <w:jc w:val="center"/>
      </w:pPr>
      <w:r>
        <w:rPr>
          <w:rFonts w:ascii="Segoe UI" w:hAnsi="Segoe UI"/>
          <w:sz w:val="19"/>
        </w:rPr>
        <w:t>Student: HEMANT RAM NELAPATI   |   SRN: PES2UG24CS192</w:t>
      </w:r>
    </w:p>
    <w:p>
      <w:pPr>
        <w:spacing w:before="0" w:after="80"/>
        <w:pBdr>
          <w:bottom w:val="single" w:sz="6" w:space="1" w:color="000000"/>
        </w:pBdr>
      </w:pPr>
    </w:p>
    <w:p>
      <w:pPr>
        <w:spacing w:before="80" w:after="20"/>
      </w:pPr>
      <w:r>
        <w:rPr>
          <w:rFonts w:ascii="Segoe UI" w:hAnsi="Segoe UI"/>
          <w:b/>
          <w:sz w:val="19"/>
        </w:rPr>
        <w:t>1. Architecture Selection</w:t>
      </w:r>
    </w:p>
    <w:p>
      <w:pPr>
        <w:spacing w:after="40" w:line="264" w:lineRule="auto"/>
        <w:jc w:val="both"/>
      </w:pPr>
      <w:r>
        <w:rPr>
          <w:rFonts w:ascii="Segoe UI" w:hAnsi="Segoe UI"/>
          <w:sz w:val="17"/>
        </w:rPr>
        <w:t>We chose the Layered (Three-Tier) Architecture for the Alumni Mentorship &amp; Mock Interview Platform. The system is decoupled into three cohesive tiers — Presentation, Business Logic, and Data Persistence — where each tier communicates strictly with adjacent layers through well-defined interfaces.</w:t>
      </w:r>
    </w:p>
    <w:p>
      <w:pPr>
        <w:spacing w:before="80" w:after="20"/>
      </w:pPr>
      <w:r>
        <w:rPr>
          <w:rFonts w:ascii="Segoe UI" w:hAnsi="Segoe UI"/>
          <w:b/>
          <w:sz w:val="19"/>
        </w:rPr>
        <w:t>2. Reason 1: Shared Domain Logic Across Distinct Role Portals</w:t>
      </w:r>
    </w:p>
    <w:p>
      <w:pPr>
        <w:spacing w:after="40" w:line="264" w:lineRule="auto"/>
        <w:jc w:val="both"/>
      </w:pPr>
      <w:r>
        <w:rPr>
          <w:rFonts w:ascii="Segoe UI" w:hAnsi="Segoe UI"/>
          <w:sz w:val="17"/>
        </w:rPr>
        <w:t>The platform serves two primary actor classes — Student Mentees and Alumni Mentors — each requiring dedicated user interfaces with divergent workflows (mentee discovery vs. mentor availability management). However, both portals operate over unified business rules: authentication, RBAC, matching workflows, session tracking, and interview scheduling. Layered architecture cleanly isolates role-specific presentation concerns while consolidating shared domain logic into reusable business components, eliminating duplicate code and preventing logic drift.</w:t>
      </w:r>
    </w:p>
    <w:p>
      <w:pPr>
        <w:spacing w:before="80" w:after="20"/>
      </w:pPr>
      <w:r>
        <w:rPr>
          <w:rFonts w:ascii="Segoe UI" w:hAnsi="Segoe UI"/>
          <w:b/>
          <w:sz w:val="19"/>
        </w:rPr>
        <w:t>3. Reason 2: Transactional Integrity Across Coupled Operations</w:t>
      </w:r>
    </w:p>
    <w:p>
      <w:pPr>
        <w:spacing w:after="40" w:line="264" w:lineRule="auto"/>
        <w:jc w:val="both"/>
      </w:pPr>
      <w:r>
        <w:rPr>
          <w:rFonts w:ascii="Segoe UI" w:hAnsi="Segoe UI"/>
          <w:sz w:val="17"/>
        </w:rPr>
        <w:t>A mock interview workflow is inherently transactional: booking a slot requires simultaneously verifying mentor availability, reserving the calendar interval, generating a session record, and queuing notifications. A centralized data access layer backed by ACID-compliant relational transactions guarantees consistency and prevents concurrency hazards such as double-booking. In contrast, distributed microservice data stores would necessitate complex two-phase commits or eventual-consistency saga orchestrations disproportionate to this application.</w:t>
      </w:r>
    </w:p>
    <w:p>
      <w:pPr>
        <w:spacing w:before="80" w:after="20"/>
      </w:pPr>
      <w:r>
        <w:rPr>
          <w:rFonts w:ascii="Segoe UI" w:hAnsi="Segoe UI"/>
          <w:b/>
          <w:sz w:val="19"/>
        </w:rPr>
        <w:t>4. Security Advantage: Centralized Role-Based Access Control (RBAC)</w:t>
      </w:r>
    </w:p>
    <w:p>
      <w:pPr>
        <w:spacing w:after="40" w:line="264" w:lineRule="auto"/>
        <w:jc w:val="both"/>
      </w:pPr>
      <w:r>
        <w:rPr>
          <w:rFonts w:ascii="Segoe UI" w:hAnsi="Segoe UI"/>
          <w:sz w:val="17"/>
        </w:rPr>
        <w:t>The Business Logic Layer functions as a single, authoritative security boundary. All incoming requests from both portals must traverse the Authentication &amp; User Management component before reaching mentorship or scheduling services. This choke point centralizes token validation and RBAC enforcement, ensuring students cannot alter alumni schedules and alumni cannot view unauthorized mentee records. This eliminates the sprawling attack surface and inter-service token propagation vulnerabilities inherent in microservice architectures.</w:t>
      </w:r>
    </w:p>
    <w:p>
      <w:pPr>
        <w:spacing w:before="80" w:after="20"/>
      </w:pPr>
      <w:r>
        <w:rPr>
          <w:rFonts w:ascii="Segoe UI" w:hAnsi="Segoe UI"/>
          <w:b/>
          <w:sz w:val="19"/>
        </w:rPr>
        <w:t>5. Performance Advantage: Zero-Latency In-Process Communication</w:t>
      </w:r>
    </w:p>
    <w:p>
      <w:pPr>
        <w:spacing w:after="40" w:line="264" w:lineRule="auto"/>
        <w:jc w:val="both"/>
      </w:pPr>
      <w:r>
        <w:rPr>
          <w:rFonts w:ascii="Segoe UI" w:hAnsi="Segoe UI"/>
          <w:sz w:val="17"/>
        </w:rPr>
        <w:t>All inter-component collaborations within the business tier execute as direct in-process method invocations rather than serialized HTTP/REST or gRPC network calls. A student search and booking request traverses authentication, matching, scheduling, and database access within a unified runtime context, delivering sub-second response times. For campus-scale traffic (hundreds to low thousands of concurrent users), in-process communication avoids API gateway latencies, network serialization overhead, and the operational complexity of distributed service meshes.</w:t>
      </w:r>
    </w:p>
    <w:p>
      <w:pPr>
        <w:spacing w:before="80" w:after="40"/>
      </w:pPr>
      <w:r>
        <w:rPr>
          <w:rFonts w:ascii="Segoe UI" w:hAnsi="Segoe UI"/>
          <w:b/>
          <w:sz w:val="18"/>
        </w:rPr>
        <w:t>Architectural Pattern Comparison Summary</w:t>
      </w:r>
    </w:p>
    <w:tbl>
      <w:tblPr>
        <w:tblStyle w:val="TableGrid"/>
        <w:tblW w:type="auto" w:w="0"/>
        <w:jc w:val="center"/>
        <w:tblLook w:firstColumn="1" w:firstRow="1" w:lastColumn="0" w:lastRow="0" w:noHBand="0" w:noVBand="1" w:val="04A0"/>
      </w:tblPr>
      <w:tblGrid>
        <w:gridCol w:w="2663"/>
        <w:gridCol w:w="2663"/>
        <w:gridCol w:w="2663"/>
        <w:gridCol w:w="2663"/>
      </w:tblGrid>
      <w:tr>
        <w:tc>
          <w:tcPr>
            <w:tcW w:type="dxa" w:w="2438"/>
            <w:shd w:val="clear" w:color="auto" w:fill="E6E6E6"/>
          </w:tcPr>
          <w:p>
            <w:pPr>
              <w:spacing w:before="20" w:after="20" w:line="240" w:lineRule="auto"/>
              <w:jc w:val="center"/>
            </w:pPr>
            <w:r/>
            <w:r>
              <w:rPr>
                <w:rFonts w:ascii="Segoe UI" w:hAnsi="Segoe UI"/>
                <w:b/>
                <w:sz w:val="15"/>
              </w:rPr>
              <w:t>Evaluation Criterion</w:t>
            </w:r>
          </w:p>
        </w:tc>
        <w:tc>
          <w:tcPr>
            <w:tcW w:type="dxa" w:w="2665"/>
            <w:shd w:val="clear" w:color="auto" w:fill="E6E6E6"/>
          </w:tcPr>
          <w:p>
            <w:pPr>
              <w:spacing w:before="20" w:after="20" w:line="240" w:lineRule="auto"/>
              <w:jc w:val="center"/>
            </w:pPr>
            <w:r/>
            <w:r>
              <w:rPr>
                <w:rFonts w:ascii="Segoe UI" w:hAnsi="Segoe UI"/>
                <w:b/>
                <w:sz w:val="15"/>
              </w:rPr>
              <w:t>Layered (Selected)</w:t>
            </w:r>
          </w:p>
        </w:tc>
        <w:tc>
          <w:tcPr>
            <w:tcW w:type="dxa" w:w="2665"/>
            <w:shd w:val="clear" w:color="auto" w:fill="E6E6E6"/>
          </w:tcPr>
          <w:p>
            <w:pPr>
              <w:spacing w:before="20" w:after="20" w:line="240" w:lineRule="auto"/>
              <w:jc w:val="center"/>
            </w:pPr>
            <w:r/>
            <w:r>
              <w:rPr>
                <w:rFonts w:ascii="Segoe UI" w:hAnsi="Segoe UI"/>
                <w:b/>
                <w:sz w:val="15"/>
              </w:rPr>
              <w:t>Microservices</w:t>
            </w:r>
          </w:p>
        </w:tc>
        <w:tc>
          <w:tcPr>
            <w:tcW w:type="dxa" w:w="2551"/>
            <w:shd w:val="clear" w:color="auto" w:fill="E6E6E6"/>
          </w:tcPr>
          <w:p>
            <w:pPr>
              <w:spacing w:before="20" w:after="20" w:line="240" w:lineRule="auto"/>
              <w:jc w:val="center"/>
            </w:pPr>
            <w:r/>
            <w:r>
              <w:rPr>
                <w:rFonts w:ascii="Segoe UI" w:hAnsi="Segoe UI"/>
                <w:b/>
                <w:sz w:val="15"/>
              </w:rPr>
              <w:t>Client-Server</w:t>
            </w:r>
          </w:p>
        </w:tc>
      </w:tr>
      <w:tr>
        <w:tc>
          <w:tcPr>
            <w:tcW w:type="dxa" w:w="2438"/>
          </w:tcPr>
          <w:p>
            <w:pPr>
              <w:spacing w:before="20" w:after="20" w:line="240" w:lineRule="auto"/>
              <w:jc w:val="left"/>
            </w:pPr>
            <w:r/>
            <w:r>
              <w:rPr>
                <w:rFonts w:ascii="Segoe UI" w:hAnsi="Segoe UI"/>
                <w:sz w:val="15"/>
              </w:rPr>
              <w:t>Separation of Concerns</w:t>
            </w:r>
          </w:p>
        </w:tc>
        <w:tc>
          <w:tcPr>
            <w:tcW w:type="dxa" w:w="2665"/>
          </w:tcPr>
          <w:p>
            <w:pPr>
              <w:spacing w:before="20" w:after="20" w:line="240" w:lineRule="auto"/>
              <w:jc w:val="center"/>
            </w:pPr>
            <w:r/>
            <w:r>
              <w:rPr>
                <w:rFonts w:ascii="Segoe UI" w:hAnsi="Segoe UI"/>
                <w:b/>
                <w:sz w:val="15"/>
              </w:rPr>
              <w:t>High (Clean 3-Tier Separation)</w:t>
            </w:r>
          </w:p>
        </w:tc>
        <w:tc>
          <w:tcPr>
            <w:tcW w:type="dxa" w:w="2665"/>
          </w:tcPr>
          <w:p>
            <w:pPr>
              <w:spacing w:before="20" w:after="20" w:line="240" w:lineRule="auto"/>
              <w:jc w:val="center"/>
            </w:pPr>
            <w:r/>
            <w:r>
              <w:rPr>
                <w:rFonts w:ascii="Segoe UI" w:hAnsi="Segoe UI"/>
                <w:sz w:val="15"/>
              </w:rPr>
              <w:t>High (Per-Service Boundaries)</w:t>
            </w:r>
          </w:p>
        </w:tc>
        <w:tc>
          <w:tcPr>
            <w:tcW w:type="dxa" w:w="2551"/>
          </w:tcPr>
          <w:p>
            <w:pPr>
              <w:spacing w:before="20" w:after="20" w:line="240" w:lineRule="auto"/>
              <w:jc w:val="center"/>
            </w:pPr>
            <w:r/>
            <w:r>
              <w:rPr>
                <w:rFonts w:ascii="Segoe UI" w:hAnsi="Segoe UI"/>
                <w:sz w:val="15"/>
              </w:rPr>
              <w:t>Low (Monolithic Server)</w:t>
            </w:r>
          </w:p>
        </w:tc>
      </w:tr>
      <w:tr>
        <w:tc>
          <w:tcPr>
            <w:tcW w:type="dxa" w:w="2438"/>
          </w:tcPr>
          <w:p>
            <w:pPr>
              <w:spacing w:before="20" w:after="20" w:line="240" w:lineRule="auto"/>
              <w:jc w:val="left"/>
            </w:pPr>
            <w:r/>
            <w:r>
              <w:rPr>
                <w:rFonts w:ascii="Segoe UI" w:hAnsi="Segoe UI"/>
                <w:sz w:val="15"/>
              </w:rPr>
              <w:t>Deployment &amp; Ops Complexity</w:t>
            </w:r>
          </w:p>
        </w:tc>
        <w:tc>
          <w:tcPr>
            <w:tcW w:type="dxa" w:w="2665"/>
          </w:tcPr>
          <w:p>
            <w:pPr>
              <w:spacing w:before="20" w:after="20" w:line="240" w:lineRule="auto"/>
              <w:jc w:val="center"/>
            </w:pPr>
            <w:r/>
            <w:r>
              <w:rPr>
                <w:rFonts w:ascii="Segoe UI" w:hAnsi="Segoe UI"/>
                <w:b/>
                <w:sz w:val="15"/>
              </w:rPr>
              <w:t>Low (Single Unified Package)</w:t>
            </w:r>
          </w:p>
        </w:tc>
        <w:tc>
          <w:tcPr>
            <w:tcW w:type="dxa" w:w="2665"/>
          </w:tcPr>
          <w:p>
            <w:pPr>
              <w:spacing w:before="20" w:after="20" w:line="240" w:lineRule="auto"/>
              <w:jc w:val="center"/>
            </w:pPr>
            <w:r/>
            <w:r>
              <w:rPr>
                <w:rFonts w:ascii="Segoe UI" w:hAnsi="Segoe UI"/>
                <w:sz w:val="15"/>
              </w:rPr>
              <w:t>Very High (Mesh &amp; Orchestration)</w:t>
            </w:r>
          </w:p>
        </w:tc>
        <w:tc>
          <w:tcPr>
            <w:tcW w:type="dxa" w:w="2551"/>
          </w:tcPr>
          <w:p>
            <w:pPr>
              <w:spacing w:before="20" w:after="20" w:line="240" w:lineRule="auto"/>
              <w:jc w:val="center"/>
            </w:pPr>
            <w:r/>
            <w:r>
              <w:rPr>
                <w:rFonts w:ascii="Segoe UI" w:hAnsi="Segoe UI"/>
                <w:sz w:val="15"/>
              </w:rPr>
              <w:t>Low (Single Monolith)</w:t>
            </w:r>
          </w:p>
        </w:tc>
      </w:tr>
      <w:tr>
        <w:tc>
          <w:tcPr>
            <w:tcW w:type="dxa" w:w="2438"/>
          </w:tcPr>
          <w:p>
            <w:pPr>
              <w:spacing w:before="20" w:after="20" w:line="240" w:lineRule="auto"/>
              <w:jc w:val="left"/>
            </w:pPr>
            <w:r/>
            <w:r>
              <w:rPr>
                <w:rFonts w:ascii="Segoe UI" w:hAnsi="Segoe UI"/>
                <w:sz w:val="15"/>
              </w:rPr>
              <w:t>Security &amp; RBAC Enforcement</w:t>
            </w:r>
          </w:p>
        </w:tc>
        <w:tc>
          <w:tcPr>
            <w:tcW w:type="dxa" w:w="2665"/>
          </w:tcPr>
          <w:p>
            <w:pPr>
              <w:spacing w:before="20" w:after="20" w:line="240" w:lineRule="auto"/>
              <w:jc w:val="center"/>
            </w:pPr>
            <w:r/>
            <w:r>
              <w:rPr>
                <w:rFonts w:ascii="Segoe UI" w:hAnsi="Segoe UI"/>
                <w:b/>
                <w:sz w:val="15"/>
              </w:rPr>
              <w:t>Centralized Enforcement Point</w:t>
            </w:r>
          </w:p>
        </w:tc>
        <w:tc>
          <w:tcPr>
            <w:tcW w:type="dxa" w:w="2665"/>
          </w:tcPr>
          <w:p>
            <w:pPr>
              <w:spacing w:before="20" w:after="20" w:line="240" w:lineRule="auto"/>
              <w:jc w:val="center"/>
            </w:pPr>
            <w:r/>
            <w:r>
              <w:rPr>
                <w:rFonts w:ascii="Segoe UI" w:hAnsi="Segoe UI"/>
                <w:sz w:val="15"/>
              </w:rPr>
              <w:t>Distributed / Multi-Gateway</w:t>
            </w:r>
          </w:p>
        </w:tc>
        <w:tc>
          <w:tcPr>
            <w:tcW w:type="dxa" w:w="2551"/>
          </w:tcPr>
          <w:p>
            <w:pPr>
              <w:spacing w:before="20" w:after="20" w:line="240" w:lineRule="auto"/>
              <w:jc w:val="center"/>
            </w:pPr>
            <w:r/>
            <w:r>
              <w:rPr>
                <w:rFonts w:ascii="Segoe UI" w:hAnsi="Segoe UI"/>
                <w:sz w:val="15"/>
              </w:rPr>
              <w:t>Centralized but Monolithic</w:t>
            </w:r>
          </w:p>
        </w:tc>
      </w:tr>
      <w:tr>
        <w:tc>
          <w:tcPr>
            <w:tcW w:type="dxa" w:w="2438"/>
          </w:tcPr>
          <w:p>
            <w:pPr>
              <w:spacing w:before="20" w:after="20" w:line="240" w:lineRule="auto"/>
              <w:jc w:val="left"/>
            </w:pPr>
            <w:r/>
            <w:r>
              <w:rPr>
                <w:rFonts w:ascii="Segoe UI" w:hAnsi="Segoe UI"/>
                <w:sz w:val="15"/>
              </w:rPr>
              <w:t>Data Consistency (ACID)</w:t>
            </w:r>
          </w:p>
        </w:tc>
        <w:tc>
          <w:tcPr>
            <w:tcW w:type="dxa" w:w="2665"/>
          </w:tcPr>
          <w:p>
            <w:pPr>
              <w:spacing w:before="20" w:after="20" w:line="240" w:lineRule="auto"/>
              <w:jc w:val="center"/>
            </w:pPr>
            <w:r/>
            <w:r>
              <w:rPr>
                <w:rFonts w:ascii="Segoe UI" w:hAnsi="Segoe UI"/>
                <w:b/>
                <w:sz w:val="15"/>
              </w:rPr>
              <w:t>High (Central Relational ACID)</w:t>
            </w:r>
          </w:p>
        </w:tc>
        <w:tc>
          <w:tcPr>
            <w:tcW w:type="dxa" w:w="2665"/>
          </w:tcPr>
          <w:p>
            <w:pPr>
              <w:spacing w:before="20" w:after="20" w:line="240" w:lineRule="auto"/>
              <w:jc w:val="center"/>
            </w:pPr>
            <w:r/>
            <w:r>
              <w:rPr>
                <w:rFonts w:ascii="Segoe UI" w:hAnsi="Segoe UI"/>
                <w:sz w:val="15"/>
              </w:rPr>
              <w:t>Low (Eventual Consistency / Sagas)</w:t>
            </w:r>
          </w:p>
        </w:tc>
        <w:tc>
          <w:tcPr>
            <w:tcW w:type="dxa" w:w="2551"/>
          </w:tcPr>
          <w:p>
            <w:pPr>
              <w:spacing w:before="20" w:after="20" w:line="240" w:lineRule="auto"/>
              <w:jc w:val="center"/>
            </w:pPr>
            <w:r/>
            <w:r>
              <w:rPr>
                <w:rFonts w:ascii="Segoe UI" w:hAnsi="Segoe UI"/>
                <w:sz w:val="15"/>
              </w:rPr>
              <w:t>High (Central Relational ACID)</w:t>
            </w:r>
          </w:p>
        </w:tc>
      </w:tr>
      <w:tr>
        <w:tc>
          <w:tcPr>
            <w:tcW w:type="dxa" w:w="2438"/>
          </w:tcPr>
          <w:p>
            <w:pPr>
              <w:spacing w:before="20" w:after="20" w:line="240" w:lineRule="auto"/>
              <w:jc w:val="left"/>
            </w:pPr>
            <w:r/>
            <w:r>
              <w:rPr>
                <w:rFonts w:ascii="Segoe UI" w:hAnsi="Segoe UI"/>
                <w:sz w:val="15"/>
              </w:rPr>
              <w:t>Performance (Campus Scale)</w:t>
            </w:r>
          </w:p>
        </w:tc>
        <w:tc>
          <w:tcPr>
            <w:tcW w:type="dxa" w:w="2665"/>
          </w:tcPr>
          <w:p>
            <w:pPr>
              <w:spacing w:before="20" w:after="20" w:line="240" w:lineRule="auto"/>
              <w:jc w:val="center"/>
            </w:pPr>
            <w:r/>
            <w:r>
              <w:rPr>
                <w:rFonts w:ascii="Segoe UI" w:hAnsi="Segoe UI"/>
                <w:b/>
                <w:sz w:val="15"/>
              </w:rPr>
              <w:t>Optimal (In-Process Execution)</w:t>
            </w:r>
          </w:p>
        </w:tc>
        <w:tc>
          <w:tcPr>
            <w:tcW w:type="dxa" w:w="2665"/>
          </w:tcPr>
          <w:p>
            <w:pPr>
              <w:spacing w:before="20" w:after="20" w:line="240" w:lineRule="auto"/>
              <w:jc w:val="center"/>
            </w:pPr>
            <w:r/>
            <w:r>
              <w:rPr>
                <w:rFonts w:ascii="Segoe UI" w:hAnsi="Segoe UI"/>
                <w:sz w:val="15"/>
              </w:rPr>
              <w:t>Moderate (Network Latency)</w:t>
            </w:r>
          </w:p>
        </w:tc>
        <w:tc>
          <w:tcPr>
            <w:tcW w:type="dxa" w:w="2551"/>
          </w:tcPr>
          <w:p>
            <w:pPr>
              <w:spacing w:before="20" w:after="20" w:line="240" w:lineRule="auto"/>
              <w:jc w:val="center"/>
            </w:pPr>
            <w:r/>
            <w:r>
              <w:rPr>
                <w:rFonts w:ascii="Segoe UI" w:hAnsi="Segoe UI"/>
                <w:sz w:val="15"/>
              </w:rPr>
              <w:t>High (Direct Server Invocations)</w:t>
            </w:r>
          </w:p>
        </w:tc>
      </w:tr>
    </w:tbl>
    <w:p>
      <w:r>
        <w:br w:type="page"/>
      </w:r>
    </w:p>
    <w:p>
      <w:pPr>
        <w:spacing w:before="0" w:after="20"/>
        <w:jc w:val="center"/>
      </w:pPr>
      <w:r>
        <w:rPr>
          <w:rFonts w:ascii="Segoe UI" w:hAnsi="Segoe UI"/>
          <w:b/>
          <w:sz w:val="24"/>
        </w:rPr>
        <w:t>UML Component Diagram</w:t>
      </w:r>
    </w:p>
    <w:p>
      <w:pPr>
        <w:spacing w:before="0" w:after="80"/>
        <w:jc w:val="center"/>
      </w:pPr>
      <w:r>
        <w:rPr>
          <w:rFonts w:ascii="Segoe UI" w:hAnsi="Segoe UI"/>
          <w:sz w:val="18"/>
        </w:rPr>
        <w:t>Alumni Mentorship &amp; Mock Interview Platform   |   Layered (Three-Tier) Architecture</w:t>
      </w:r>
    </w:p>
    <w:p>
      <w:pPr>
        <w:spacing w:before="0" w:after="80"/>
        <w:jc w:val="center"/>
      </w:pPr>
      <w:r>
        <w:drawing>
          <wp:inline xmlns:a="http://schemas.openxmlformats.org/drawingml/2006/main" xmlns:pic="http://schemas.openxmlformats.org/drawingml/2006/picture">
            <wp:extent cx="6408000" cy="6621341"/>
            <wp:docPr id="1" name="Picture 1"/>
            <wp:cNvGraphicFramePr>
              <a:graphicFrameLocks noChangeAspect="1"/>
            </wp:cNvGraphicFramePr>
            <a:graphic>
              <a:graphicData uri="http://schemas.openxmlformats.org/drawingml/2006/picture">
                <pic:pic>
                  <pic:nvPicPr>
                    <pic:cNvPr id="0" name="Lab3_Alumni_Mentorship_Component_Diagram.png"/>
                    <pic:cNvPicPr/>
                  </pic:nvPicPr>
                  <pic:blipFill>
                    <a:blip r:embed="rId9"/>
                    <a:stretch>
                      <a:fillRect/>
                    </a:stretch>
                  </pic:blipFill>
                  <pic:spPr>
                    <a:xfrm>
                      <a:off x="0" y="0"/>
                      <a:ext cx="6408000" cy="6621341"/>
                    </a:xfrm>
                    <a:prstGeom prst="rect"/>
                  </pic:spPr>
                </pic:pic>
              </a:graphicData>
            </a:graphic>
          </wp:inline>
        </w:drawing>
      </w:r>
    </w:p>
    <w:p>
      <w:pPr>
        <w:spacing w:before="40" w:after="40"/>
      </w:pPr>
      <w:r>
        <w:rPr>
          <w:rFonts w:ascii="Segoe UI" w:hAnsi="Segoe UI"/>
          <w:b/>
          <w:sz w:val="17"/>
        </w:rPr>
        <w:t>Component &amp; Interface Traceability Matrix</w:t>
      </w:r>
    </w:p>
    <w:tbl>
      <w:tblPr>
        <w:tblStyle w:val="TableGrid"/>
        <w:tblW w:type="auto" w:w="0"/>
        <w:jc w:val="center"/>
        <w:tblLook w:firstColumn="1" w:firstRow="1" w:lastColumn="0" w:lastRow="0" w:noHBand="0" w:noVBand="1" w:val="04A0"/>
      </w:tblPr>
      <w:tblGrid>
        <w:gridCol w:w="2663"/>
        <w:gridCol w:w="2663"/>
        <w:gridCol w:w="2663"/>
        <w:gridCol w:w="2663"/>
      </w:tblGrid>
      <w:tr>
        <w:tc>
          <w:tcPr>
            <w:tcW w:type="dxa" w:w="1984"/>
            <w:shd w:val="clear" w:color="auto" w:fill="E6E6E6"/>
          </w:tcPr>
          <w:p>
            <w:pPr>
              <w:spacing w:before="20" w:after="20" w:line="240" w:lineRule="auto"/>
              <w:jc w:val="center"/>
            </w:pPr>
            <w:r/>
            <w:r>
              <w:rPr>
                <w:rFonts w:ascii="Segoe UI" w:hAnsi="Segoe UI"/>
                <w:b/>
                <w:sz w:val="14"/>
              </w:rPr>
              <w:t>Layer / Tier</w:t>
            </w:r>
          </w:p>
        </w:tc>
        <w:tc>
          <w:tcPr>
            <w:tcW w:type="dxa" w:w="2948"/>
            <w:shd w:val="clear" w:color="auto" w:fill="E6E6E6"/>
          </w:tcPr>
          <w:p>
            <w:pPr>
              <w:spacing w:before="20" w:after="20" w:line="240" w:lineRule="auto"/>
              <w:jc w:val="center"/>
            </w:pPr>
            <w:r/>
            <w:r>
              <w:rPr>
                <w:rFonts w:ascii="Segoe UI" w:hAnsi="Segoe UI"/>
                <w:b/>
                <w:sz w:val="14"/>
              </w:rPr>
              <w:t>Components (6 Total)</w:t>
            </w:r>
          </w:p>
        </w:tc>
        <w:tc>
          <w:tcPr>
            <w:tcW w:type="dxa" w:w="2665"/>
            <w:shd w:val="clear" w:color="auto" w:fill="E6E6E6"/>
          </w:tcPr>
          <w:p>
            <w:pPr>
              <w:spacing w:before="20" w:after="20" w:line="240" w:lineRule="auto"/>
              <w:jc w:val="center"/>
            </w:pPr>
            <w:r/>
            <w:r>
              <w:rPr>
                <w:rFonts w:ascii="Segoe UI" w:hAnsi="Segoe UI"/>
                <w:b/>
                <w:sz w:val="14"/>
              </w:rPr>
              <w:t>Provided Interfaces</w:t>
            </w:r>
          </w:p>
        </w:tc>
        <w:tc>
          <w:tcPr>
            <w:tcW w:type="dxa" w:w="2721"/>
            <w:shd w:val="clear" w:color="auto" w:fill="E6E6E6"/>
          </w:tcPr>
          <w:p>
            <w:pPr>
              <w:spacing w:before="20" w:after="20" w:line="240" w:lineRule="auto"/>
              <w:jc w:val="center"/>
            </w:pPr>
            <w:r/>
            <w:r>
              <w:rPr>
                <w:rFonts w:ascii="Segoe UI" w:hAnsi="Segoe UI"/>
                <w:b/>
                <w:sz w:val="14"/>
              </w:rPr>
              <w:t>Required Interfaces</w:t>
            </w:r>
          </w:p>
        </w:tc>
      </w:tr>
      <w:tr>
        <w:tc>
          <w:tcPr>
            <w:tcW w:type="dxa" w:w="1984"/>
          </w:tcPr>
          <w:p>
            <w:pPr>
              <w:spacing w:before="20" w:after="20" w:line="240" w:lineRule="auto"/>
              <w:jc w:val="left"/>
            </w:pPr>
            <w:r/>
            <w:r>
              <w:rPr>
                <w:rFonts w:ascii="Segoe UI" w:hAnsi="Segoe UI"/>
                <w:b/>
                <w:sz w:val="14"/>
              </w:rPr>
              <w:t>Presentation Tier</w:t>
            </w:r>
          </w:p>
        </w:tc>
        <w:tc>
          <w:tcPr>
            <w:tcW w:type="dxa" w:w="2948"/>
          </w:tcPr>
          <w:p>
            <w:pPr>
              <w:spacing w:before="20" w:after="20" w:line="240" w:lineRule="auto"/>
              <w:jc w:val="left"/>
            </w:pPr>
            <w:r/>
            <w:r>
              <w:rPr>
                <w:rFonts w:ascii="Segoe UI" w:hAnsi="Segoe UI"/>
                <w:sz w:val="14"/>
              </w:rPr>
              <w:t>Student Mentee Portal</w:t>
              <w:br/>
              <w:t>Alumni Mentor Portal</w:t>
            </w:r>
          </w:p>
        </w:tc>
        <w:tc>
          <w:tcPr>
            <w:tcW w:type="dxa" w:w="2665"/>
          </w:tcPr>
          <w:p>
            <w:pPr>
              <w:spacing w:before="20" w:after="20" w:line="240" w:lineRule="auto"/>
              <w:jc w:val="left"/>
            </w:pPr>
            <w:r/>
            <w:r>
              <w:rPr>
                <w:rFonts w:ascii="Segoe UI" w:hAnsi="Segoe UI"/>
                <w:sz w:val="14"/>
              </w:rPr>
              <w:t>None (Client Portals)</w:t>
            </w:r>
          </w:p>
        </w:tc>
        <w:tc>
          <w:tcPr>
            <w:tcW w:type="dxa" w:w="2721"/>
          </w:tcPr>
          <w:p>
            <w:pPr>
              <w:spacing w:before="20" w:after="20" w:line="240" w:lineRule="auto"/>
              <w:jc w:val="left"/>
            </w:pPr>
            <w:r/>
            <w:r>
              <w:rPr>
                <w:rFonts w:ascii="Segoe UI" w:hAnsi="Segoe UI"/>
                <w:sz w:val="14"/>
              </w:rPr>
              <w:t>IAuthentication, IUserProfile,</w:t>
              <w:br/>
              <w:t>IMentorshipService, IInterviewScheduling</w:t>
            </w:r>
          </w:p>
        </w:tc>
      </w:tr>
      <w:tr>
        <w:tc>
          <w:tcPr>
            <w:tcW w:type="dxa" w:w="1984"/>
          </w:tcPr>
          <w:p>
            <w:pPr>
              <w:spacing w:before="20" w:after="20" w:line="240" w:lineRule="auto"/>
              <w:jc w:val="left"/>
            </w:pPr>
            <w:r/>
            <w:r>
              <w:rPr>
                <w:rFonts w:ascii="Segoe UI" w:hAnsi="Segoe UI"/>
                <w:b/>
                <w:sz w:val="14"/>
              </w:rPr>
              <w:t>Business Logic Tier</w:t>
            </w:r>
          </w:p>
        </w:tc>
        <w:tc>
          <w:tcPr>
            <w:tcW w:type="dxa" w:w="2948"/>
          </w:tcPr>
          <w:p>
            <w:pPr>
              <w:spacing w:before="20" w:after="20" w:line="240" w:lineRule="auto"/>
              <w:jc w:val="left"/>
            </w:pPr>
            <w:r/>
            <w:r>
              <w:rPr>
                <w:rFonts w:ascii="Segoe UI" w:hAnsi="Segoe UI"/>
                <w:sz w:val="14"/>
              </w:rPr>
              <w:t>Authentication &amp; User Management</w:t>
              <w:br/>
              <w:t>Mentorship &amp; Mock Interview Mgmt</w:t>
              <w:br/>
              <w:t>Notification Service</w:t>
            </w:r>
          </w:p>
        </w:tc>
        <w:tc>
          <w:tcPr>
            <w:tcW w:type="dxa" w:w="2665"/>
          </w:tcPr>
          <w:p>
            <w:pPr>
              <w:spacing w:before="20" w:after="20" w:line="240" w:lineRule="auto"/>
              <w:jc w:val="left"/>
            </w:pPr>
            <w:r/>
            <w:r>
              <w:rPr>
                <w:rFonts w:ascii="Segoe UI" w:hAnsi="Segoe UI"/>
                <w:sz w:val="14"/>
              </w:rPr>
              <w:t>IAuthentication, IUserProfile,</w:t>
              <w:br/>
              <w:t>IMentorshipService, IInterviewScheduling,</w:t>
              <w:br/>
              <w:t>INotification</w:t>
            </w:r>
          </w:p>
        </w:tc>
        <w:tc>
          <w:tcPr>
            <w:tcW w:type="dxa" w:w="2721"/>
          </w:tcPr>
          <w:p>
            <w:pPr>
              <w:spacing w:before="20" w:after="20" w:line="240" w:lineRule="auto"/>
              <w:jc w:val="left"/>
            </w:pPr>
            <w:r/>
            <w:r>
              <w:rPr>
                <w:rFonts w:ascii="Segoe UI" w:hAnsi="Segoe UI"/>
                <w:sz w:val="14"/>
              </w:rPr>
              <w:t>INotification (MIM -&gt; NOTIF),</w:t>
              <w:br/>
              <w:t>IDataAccess (AUTH, MIM, NOTIF -&gt; DB)</w:t>
            </w:r>
          </w:p>
        </w:tc>
      </w:tr>
      <w:tr>
        <w:tc>
          <w:tcPr>
            <w:tcW w:type="dxa" w:w="1984"/>
          </w:tcPr>
          <w:p>
            <w:pPr>
              <w:spacing w:before="20" w:after="20" w:line="240" w:lineRule="auto"/>
              <w:jc w:val="left"/>
            </w:pPr>
            <w:r/>
            <w:r>
              <w:rPr>
                <w:rFonts w:ascii="Segoe UI" w:hAnsi="Segoe UI"/>
                <w:b/>
                <w:sz w:val="14"/>
              </w:rPr>
              <w:t>Data Persistence Tier</w:t>
            </w:r>
          </w:p>
        </w:tc>
        <w:tc>
          <w:tcPr>
            <w:tcW w:type="dxa" w:w="2948"/>
          </w:tcPr>
          <w:p>
            <w:pPr>
              <w:spacing w:before="20" w:after="20" w:line="240" w:lineRule="auto"/>
              <w:jc w:val="left"/>
            </w:pPr>
            <w:r/>
            <w:r>
              <w:rPr>
                <w:rFonts w:ascii="Segoe UI" w:hAnsi="Segoe UI"/>
                <w:sz w:val="14"/>
              </w:rPr>
              <w:t>Database Access</w:t>
            </w:r>
          </w:p>
        </w:tc>
        <w:tc>
          <w:tcPr>
            <w:tcW w:type="dxa" w:w="2665"/>
          </w:tcPr>
          <w:p>
            <w:pPr>
              <w:spacing w:before="20" w:after="20" w:line="240" w:lineRule="auto"/>
              <w:jc w:val="left"/>
            </w:pPr>
            <w:r/>
            <w:r>
              <w:rPr>
                <w:rFonts w:ascii="Segoe UI" w:hAnsi="Segoe UI"/>
                <w:sz w:val="14"/>
              </w:rPr>
              <w:t>IDataAccess</w:t>
            </w:r>
          </w:p>
        </w:tc>
        <w:tc>
          <w:tcPr>
            <w:tcW w:type="dxa" w:w="2721"/>
          </w:tcPr>
          <w:p>
            <w:pPr>
              <w:spacing w:before="20" w:after="20" w:line="240" w:lineRule="auto"/>
              <w:jc w:val="left"/>
            </w:pPr>
            <w:r/>
            <w:r>
              <w:rPr>
                <w:rFonts w:ascii="Segoe UI" w:hAnsi="Segoe UI"/>
                <w:sz w:val="14"/>
              </w:rPr>
              <w:t>None (Relational Storage Engine)</w:t>
            </w:r>
          </w:p>
        </w:tc>
      </w:tr>
    </w:tbl>
    <w:sectPr w:rsidR="00FC693F" w:rsidRPr="0006063C" w:rsidSect="00034616">
      <w:pgSz w:w="12240" w:h="15840"/>
      <w:pgMar w:top="567" w:right="794" w:bottom="56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20" w:line="264" w:lineRule="auto"/>
    </w:pPr>
    <w:rPr>
      <w:rFonts w:ascii="Segoe UI" w:hAnsi="Segoe U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