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2DA6B3" w14:textId="5F982E05" w:rsidR="005358A8" w:rsidRPr="005358A8" w:rsidRDefault="005358A8" w:rsidP="007717C0">
      <w:pPr>
        <w:pStyle w:val="Ttulo2"/>
        <w:tabs>
          <w:tab w:val="left" w:pos="0"/>
          <w:tab w:val="left" w:pos="142"/>
          <w:tab w:val="left" w:pos="1701"/>
        </w:tabs>
        <w:suppressAutoHyphens/>
      </w:pPr>
      <w:r w:rsidRPr="003E08CC">
        <w:t>Impossibilidade de enquadramento como bancári</w:t>
      </w:r>
      <w:r>
        <w:t>o</w:t>
      </w:r>
      <w:r>
        <w:t xml:space="preserve"> </w:t>
      </w:r>
      <w:r w:rsidR="00CD0845">
        <w:t xml:space="preserve">- </w:t>
      </w:r>
      <w:r w:rsidRPr="005358A8">
        <w:t>Tema 383 do STF</w:t>
      </w:r>
    </w:p>
    <w:p w14:paraId="55610A27" w14:textId="77777777" w:rsidR="005358A8" w:rsidRPr="003E08CC" w:rsidRDefault="005358A8" w:rsidP="005358A8">
      <w:pPr>
        <w:pStyle w:val="AVLF"/>
        <w:numPr>
          <w:ilvl w:val="0"/>
          <w:numId w:val="0"/>
        </w:numPr>
      </w:pPr>
    </w:p>
    <w:p w14:paraId="06CF4DF1" w14:textId="77777777" w:rsidR="005358A8" w:rsidRPr="00497551" w:rsidRDefault="005358A8" w:rsidP="005358A8">
      <w:pPr>
        <w:pStyle w:val="APargrafo"/>
      </w:pPr>
      <w:r>
        <w:t>A reclamante pleiteia</w:t>
      </w:r>
      <w:r w:rsidRPr="00497551">
        <w:t xml:space="preserve"> o seu enquadramento como bancári</w:t>
      </w:r>
      <w:r>
        <w:t>o</w:t>
      </w:r>
      <w:r w:rsidRPr="00497551">
        <w:t xml:space="preserve"> para fazer jus aos benefícios convencionais e à jornada prevista no art</w:t>
      </w:r>
      <w:r>
        <w:t xml:space="preserve">. </w:t>
      </w:r>
      <w:r w:rsidRPr="00497551">
        <w:t>224, caput, da CLT.</w:t>
      </w:r>
    </w:p>
    <w:p w14:paraId="59EDCCDF" w14:textId="77777777" w:rsidR="005358A8" w:rsidRPr="00497551" w:rsidRDefault="005358A8" w:rsidP="005358A8">
      <w:pPr>
        <w:pStyle w:val="m6582299275299223099gmail-msonormal"/>
        <w:shd w:val="clear" w:color="auto" w:fill="FFFFFF"/>
        <w:tabs>
          <w:tab w:val="left" w:pos="1701"/>
        </w:tabs>
        <w:spacing w:before="0" w:beforeAutospacing="0" w:after="0" w:afterAutospacing="0" w:line="360" w:lineRule="auto"/>
        <w:jc w:val="both"/>
        <w:rPr>
          <w:rFonts w:ascii="Arial Nova" w:hAnsi="Arial Nova"/>
          <w:sz w:val="22"/>
        </w:rPr>
      </w:pPr>
    </w:p>
    <w:p w14:paraId="12D97B4E" w14:textId="77777777" w:rsidR="005358A8" w:rsidRPr="00497551" w:rsidRDefault="005358A8" w:rsidP="005358A8">
      <w:pPr>
        <w:pStyle w:val="APargrafo"/>
      </w:pPr>
      <w:r>
        <w:t xml:space="preserve">No entanto, </w:t>
      </w:r>
      <w:r w:rsidRPr="00497551">
        <w:t xml:space="preserve">mesmo se considerasse que </w:t>
      </w:r>
      <w:r>
        <w:t>a reclamante</w:t>
      </w:r>
      <w:r w:rsidRPr="00497551">
        <w:t xml:space="preserve"> prestou serviços para o Banco Inter, o que já restou veementemente impugnado, não há como se cogitar o enquadramento por equiparação à categoria pretendida, consoante tese proferida pelo STF no </w:t>
      </w:r>
      <w:r w:rsidRPr="00E3415B">
        <w:rPr>
          <w:b/>
          <w:bCs/>
          <w:u w:val="single"/>
        </w:rPr>
        <w:t>Tema de Repercussão Geral n. 383</w:t>
      </w:r>
      <w:r w:rsidRPr="00497551">
        <w:t>, em 19.05.2021, na qual estabeleceu que a equiparação de remuneração e, portanto, de enquadramento, entre empregados da empresa tomadora de serviços e empregados da empresa contratada fere o princípio da livre iniciativa:</w:t>
      </w:r>
    </w:p>
    <w:p w14:paraId="3C5C0F37" w14:textId="77777777" w:rsidR="005358A8" w:rsidRPr="00497551" w:rsidRDefault="005358A8" w:rsidP="005358A8">
      <w:pPr>
        <w:pStyle w:val="PargrafodaLista"/>
        <w:rPr>
          <w:rFonts w:ascii="Arial Nova" w:hAnsi="Arial Nova"/>
        </w:rPr>
      </w:pPr>
    </w:p>
    <w:p w14:paraId="32C08D71" w14:textId="77777777" w:rsidR="005358A8" w:rsidRPr="00FB07A4" w:rsidRDefault="005358A8" w:rsidP="005358A8">
      <w:pPr>
        <w:pStyle w:val="CitaoVLF"/>
      </w:pPr>
      <w:r w:rsidRPr="00FB07A4">
        <w:t xml:space="preserve">“A equiparação de remuneração entre empregados da empresa tomadora de serviços e empregados da empresa contratada (terceirizada) fere o princípio da livre iniciativa, por se tratar de agentes econômicos distintos, que não podem estar sujeitos a decisões empresariais que não são suas’. </w:t>
      </w:r>
    </w:p>
    <w:p w14:paraId="1FFF0770" w14:textId="77777777" w:rsidR="005358A8" w:rsidRPr="00497551" w:rsidRDefault="005358A8" w:rsidP="005358A8">
      <w:pPr>
        <w:pStyle w:val="m6582299275299223099gmail-msonormal"/>
        <w:shd w:val="clear" w:color="auto" w:fill="FFFFFF"/>
        <w:tabs>
          <w:tab w:val="left" w:pos="1701"/>
        </w:tabs>
        <w:spacing w:before="0" w:beforeAutospacing="0" w:after="0" w:afterAutospacing="0" w:line="276" w:lineRule="auto"/>
        <w:jc w:val="both"/>
        <w:rPr>
          <w:rFonts w:ascii="Arial Nova" w:hAnsi="Arial Nova"/>
          <w:sz w:val="20"/>
          <w:szCs w:val="20"/>
        </w:rPr>
      </w:pPr>
    </w:p>
    <w:p w14:paraId="15CD0FEF" w14:textId="77777777" w:rsidR="005358A8" w:rsidRPr="00497551" w:rsidRDefault="005358A8" w:rsidP="005358A8">
      <w:pPr>
        <w:pStyle w:val="APargrafo"/>
      </w:pPr>
      <w:r w:rsidRPr="00497551">
        <w:t>Destaca-se abaixo as recentes decisões do Tribunal Superior do Trabalho relacionadas ao reenquadramento de empregados terceirizados como bancário, as quais estão sendo prolatadas sob a ótica do referido Tema 383 do STF:</w:t>
      </w:r>
    </w:p>
    <w:p w14:paraId="76E8F8CC" w14:textId="77777777" w:rsidR="005358A8" w:rsidRPr="00497551" w:rsidRDefault="005358A8" w:rsidP="005358A8">
      <w:pPr>
        <w:pStyle w:val="m6582299275299223099gmail-msonormal"/>
        <w:shd w:val="clear" w:color="auto" w:fill="FFFFFF"/>
        <w:tabs>
          <w:tab w:val="left" w:pos="1701"/>
        </w:tabs>
        <w:spacing w:before="0" w:beforeAutospacing="0" w:after="0" w:afterAutospacing="0"/>
        <w:ind w:left="1701"/>
        <w:jc w:val="both"/>
        <w:rPr>
          <w:rFonts w:ascii="Arial Nova" w:hAnsi="Arial Nova"/>
          <w:sz w:val="20"/>
          <w:szCs w:val="22"/>
        </w:rPr>
      </w:pPr>
    </w:p>
    <w:p w14:paraId="629D940E" w14:textId="77777777" w:rsidR="005358A8" w:rsidRPr="00497551" w:rsidRDefault="005358A8" w:rsidP="005358A8">
      <w:pPr>
        <w:pStyle w:val="CitaoVLF"/>
      </w:pPr>
      <w:r w:rsidRPr="00497551">
        <w:t>AGRAVO DE INSTRUMENTO DA RECLAMADA. RECURSO DE REVISTA D</w:t>
      </w:r>
      <w:r>
        <w:t>A RECLAMANTE</w:t>
      </w:r>
      <w:r w:rsidRPr="00497551">
        <w:t xml:space="preserve">. PROCESSO SOB A ÉGIDE DA LEI Nº 13.015/2014 E ANTERIOR À LEI Nº 13.467/2017. TERCEIRIZAÇÃO TRABALHISTA. EMPRESA DE ENERGIA ELÉTRICA. ADEQUAÇÃO AO ENTENDIMENTO DO STF (TEMA 739 DE REPERCUSSÃO GERAL NO STF. ARE 791.932). TERCEIRIZAÇÃO LÍCITA. DIREITOS E BENEFÍCIOS LEGAIS, NORMATIVOS E/OU CONTRATUAIS DOS EMPREGADOS DA TOMADORA DAÍ DECORRENTES. IMPOSSIBILIDADE (TEMA 383 DE REPERCUSSÃO GERAL NO STF. RE 635.546). O STF, NO JULGAMENTO DA ADC 26/DF, TRANSITADO EM JULGADO EM 18.09.2019, SEGUINDO A TESE FIRMADA NO ARE 791.932, EM REPERCUSSÃO GERAL (TEMA 739), DECLAROU A CONSTITUCIONALIDADE DO ART. 25, § 1º, DA LEI Nº 8.987/1995, QUE AUTORIZA A TERCEIRIZAÇÃO DE ATIVIDADES POR EMPRESAS CONCESSIONÁRIAS DE SERVIÇO PÚBLICO, E, REITERANDO O ENTENDIMENTO EXARADO PELO PLENÁRIO DO STF EM 30.08.2018, NO JULGAMENTO DA ADPF-324 E DO RE-958252, COM REPERCUSSÃO GERAL (TEMA 725), RECONHECEU A CONSTITUCIONALIDADE DO INSTITUTO DA TERCEIRIZAÇÃO DE TODA E QUALQUER ATIVIDADE, MEIO OU FIM, AFASTANDO A INCIDÊNCIA DA SÚMULA Nº 331 DO TST. É necessário, pois, o exame da matéria à luz da tese firmada pelo STF, relativamente à possibilidade de terceirização de serviços afetos às atividades precípuas das concessionárias </w:t>
      </w:r>
      <w:r w:rsidRPr="00497551">
        <w:lastRenderedPageBreak/>
        <w:t xml:space="preserve">de energia elétrica, sendo irrelevante perquirir sobre a natureza das atividades exercidas pela empresa contratada. </w:t>
      </w:r>
      <w:r w:rsidRPr="00497551">
        <w:rPr>
          <w:b/>
          <w:bCs/>
        </w:rPr>
        <w:t>No caso vertente, o TRT deferiu os direitos previstos nos instrumentos coletivos aplicáveis aos empregados da empresa tomadora de serviços, por aplicação analógica do art. 12, a, da Lei nº 6.019/1974, e em razão do princípio da isonomia, entendimento que deve ser afastado, haja vista a licitude da terceirização, à luz do entendimento do E. STF e do art. art. 25, § 1º, da Lei nº 8.987/1995. Consequentemente, não se viabiliza o reconhecimento da isonomia salarial em relação aos empregados da empresa tomadora de serviços e a condenação ao pagamento de direitos e benefícios legais, normativos e/ou contratuais daí decorrentes, em consonância com o entendimento do STF, no julgamento do RE 635.546/MG, segundo o qual, a equiparação de remuneração entre empregados da empresa tomadora de serviços e empregados da empresa contratada (terceirizada) fere o princípio da livre iniciativa, por se tratarem de agentes econômicos distintos, que não podem estar sujeitos a decisões empresariais que não são suas (Tema 383).</w:t>
      </w:r>
      <w:r w:rsidRPr="00497551">
        <w:t xml:space="preserve"> Remanesce, contudo, a responsabilidade subsidiária em caso de eventual condenação, nos termos da decisão do STF (Tema 725) e da Súmula nº 331, IV/TST. Mantém-se, pois, a responsabilidade da Reclamada e afasta-se a condenação pretendida pel</w:t>
      </w:r>
      <w:r>
        <w:t>a reclamante</w:t>
      </w:r>
      <w:r w:rsidRPr="00497551">
        <w:t>. Juízo de retratação exercido apenas para não conhecer do recurso de revista d</w:t>
      </w:r>
      <w:r>
        <w:t>a reclamante</w:t>
      </w:r>
      <w:r w:rsidRPr="00497551">
        <w:t>. (TST; ARR 0000650-30.2011.5.03.0074; Terceira Turma; Rel. Min. Mauricio Godinho Delgado; DEJT</w:t>
      </w:r>
      <w:r w:rsidRPr="00497551">
        <w:rPr>
          <w:b/>
          <w:bCs/>
          <w:u w:val="single"/>
        </w:rPr>
        <w:t xml:space="preserve"> 19/08/2022</w:t>
      </w:r>
      <w:r w:rsidRPr="00497551">
        <w:t>; Pág. 4109)</w:t>
      </w:r>
    </w:p>
    <w:p w14:paraId="5245D74B" w14:textId="77777777" w:rsidR="005358A8" w:rsidRPr="00497551" w:rsidRDefault="005358A8" w:rsidP="005358A8">
      <w:pPr>
        <w:pStyle w:val="CitaoVLF"/>
      </w:pPr>
    </w:p>
    <w:p w14:paraId="5C613BE6" w14:textId="77777777" w:rsidR="005358A8" w:rsidRPr="00497551" w:rsidRDefault="005358A8" w:rsidP="005358A8">
      <w:pPr>
        <w:pStyle w:val="CitaoVLF"/>
      </w:pPr>
      <w:r w:rsidRPr="00497551">
        <w:t>RECURSO DE REVISTA DA SEGUNDA RECLAMADA. CEF. TERCEIRIZAÇÃO. LICITUDE. AUSÊNCIA DE ISONOMIA SALARIAL ENTRE EMPREGADOS TERCEIRIZADOS E OS DA TOMADORA DOS SERVIÇOS. TESE FIRMADA PELO SUPREMO TRIBUNAL FEDERAL. PROVIMENTO. O excelso Supremo Tribunal, em 30.08.2018, ao julgar conjuntamente a ADPF 324 e o RE 958.252, em repercussão geral, nos quais se discutia a licitude da terceirização de atividades precípuas da empresa tomadora de serviços, fixou tese jurídica nestes termos: É lícita a terceirização ou qualquer outra forma de divisão do trabalho entre pessoas jurídicas distintas, independentemente do objeto social das empresas envolvidas, mantida a responsabilidade subsidiária da empresa contratante. Em 11.10.2018, aquela Corte, nos autos do ARE 791.932, tema 739 da repercussão geral, ao apreciar a possibilidade de recusa de aplicação do </w:t>
      </w:r>
      <w:hyperlink r:id="rId11" w:anchor="JD_LEI9472art94" w:history="1">
        <w:r w:rsidRPr="00497551">
          <w:t>artigo 94, II</w:t>
        </w:r>
      </w:hyperlink>
      <w:r w:rsidRPr="00497551">
        <w:t>, da </w:t>
      </w:r>
      <w:hyperlink r:id="rId12" w:anchor="JD_LEI9472" w:history="1">
        <w:r w:rsidRPr="00497551">
          <w:t>Lei nº 9.472/1997</w:t>
        </w:r>
      </w:hyperlink>
      <w:r w:rsidRPr="00497551">
        <w:t>. de idêntico teor ao § 1º do artigo 25 da Lei nº 8.987/1995., em razão da invocação do entendimento preconizado na Súmula nº 331, sem a observância da regra de reserva de plenário, firmou a seguinte tese: É nula a decisão de órgão fracionário que se recusa a aplicar o </w:t>
      </w:r>
      <w:hyperlink r:id="rId13" w:anchor="JD_LEI9472art94" w:history="1">
        <w:r w:rsidRPr="00497551">
          <w:t>artigo 94, II</w:t>
        </w:r>
      </w:hyperlink>
      <w:r w:rsidRPr="00497551">
        <w:t>, da </w:t>
      </w:r>
      <w:hyperlink r:id="rId14" w:anchor="JD_LEI9472" w:history="1">
        <w:r w:rsidRPr="00497551">
          <w:t>Lei nº 9.472/1997</w:t>
        </w:r>
      </w:hyperlink>
      <w:r w:rsidRPr="00497551">
        <w:t>, sem observar a cláusula de reserva de Plenário (</w:t>
      </w:r>
      <w:hyperlink r:id="rId15" w:anchor="JD_CFart97" w:history="1">
        <w:r w:rsidRPr="00497551">
          <w:t>CF, art. 97</w:t>
        </w:r>
      </w:hyperlink>
      <w:r w:rsidRPr="00497551">
        <w:t>), observado o </w:t>
      </w:r>
      <w:hyperlink r:id="rId16" w:anchor="JD_NCPCart949" w:history="1">
        <w:r w:rsidRPr="00497551">
          <w:t>art. 949 do Código de Processo Civil</w:t>
        </w:r>
      </w:hyperlink>
      <w:r w:rsidRPr="00497551">
        <w:t xml:space="preserve">. Na mesma linha de sua jurisprudência consolidada, a Suprema Corte, ao julgar a ADC nº 26, declarou a constitucionalidade do artigo 25, § 1º, da Lei nº 8.987/1995, reafirmando, por conseguinte, a constitucionalidade do instituto da terceirização e afastando a incidência da Súmula nº 331. Desse modo, seguindo as diretrizes fixadas pelo excelso Supremo Tribunal Federal, qualquer pessoa jurídica, independentemente do ramo em que atue, está autorizada a terceirizar suas atividades, sejam elas essenciais ou acessórias ao objeto da contratante. Ademais, o Plenário do excelso Supremo Tribunal Federal, ao concluir o julgamento do RE 635.546, em 26.3.2021, que resultou n </w:t>
      </w:r>
      <w:proofErr w:type="spellStart"/>
      <w:r w:rsidRPr="00497551">
        <w:t>otema</w:t>
      </w:r>
      <w:proofErr w:type="spellEnd"/>
      <w:r w:rsidRPr="00497551">
        <w:t xml:space="preserve"> 383da repercussão geral, fixou a seguinte tese jurídica: A equiparação de remuneração entre empregados da empresa tomadora de serviços e empregados da empresa </w:t>
      </w:r>
      <w:r w:rsidRPr="00497551">
        <w:lastRenderedPageBreak/>
        <w:t xml:space="preserve">contratada (terceirizada) fere o princípio da livre iniciativa, por se </w:t>
      </w:r>
      <w:proofErr w:type="gramStart"/>
      <w:r w:rsidRPr="00497551">
        <w:t>tratarem</w:t>
      </w:r>
      <w:proofErr w:type="gramEnd"/>
      <w:r w:rsidRPr="00497551">
        <w:t xml:space="preserve"> de agentes econômicos distintos, que não podem estar sujeitos a decisões empresariais que não são suas. Sendo assim, diante do entendimento vinculante do Supremo Tribunal Federal quanto à licitude da terceirização e quanto à impossibilidade de equiparação de remuneração entre empregados da tomadora dos serviços e empregados da empresa terceirizada, não há mais falar na aplicação da isonomia salarial prevista na Orientação Jurisprudencial nº 383 da SBDI-1. No caso, a Corte Regional manteve o </w:t>
      </w:r>
      <w:bookmarkStart w:id="0" w:name="LPHit8"/>
      <w:bookmarkEnd w:id="0"/>
      <w:r w:rsidRPr="00497551">
        <w:t>enquadramento d</w:t>
      </w:r>
      <w:r>
        <w:t>a reclamante</w:t>
      </w:r>
      <w:r w:rsidRPr="00497551">
        <w:t xml:space="preserve"> como </w:t>
      </w:r>
      <w:bookmarkStart w:id="1" w:name="LPHit9"/>
      <w:bookmarkEnd w:id="1"/>
      <w:r w:rsidRPr="00497551">
        <w:t>bancário, reconhecendo-lhe os mesmos direitos e vantagens percebidas pelos empregados bancários da tomadora de serviços, CEF, com fundamento no princípio da isonomia e na orientação jurisprudencial nº </w:t>
      </w:r>
      <w:bookmarkStart w:id="2" w:name="LPHit10"/>
      <w:bookmarkEnd w:id="2"/>
      <w:r w:rsidRPr="00497551">
        <w:t>383 da SBDI-1. Dessa forma, a decisão regional está em desacordo com o quanto decidido pelo excelso Supremo Tribunal Federal no julgamento da ADPF 324 e do RE 958.252 (</w:t>
      </w:r>
      <w:bookmarkStart w:id="3" w:name="LPHit11"/>
      <w:bookmarkEnd w:id="3"/>
      <w:r w:rsidRPr="00497551">
        <w:t>Tema 725), bem como no julgamento do RE 635.546 (</w:t>
      </w:r>
      <w:bookmarkStart w:id="4" w:name="LPHit12"/>
      <w:bookmarkEnd w:id="4"/>
      <w:r w:rsidRPr="00497551">
        <w:t>Tema </w:t>
      </w:r>
      <w:bookmarkStart w:id="5" w:name="LPHit13"/>
      <w:bookmarkEnd w:id="5"/>
      <w:r w:rsidRPr="00497551">
        <w:t>383). Assim, a decisão regional deve ser adequada à jurisprudência do excelso Supremo Tribunal Federal. Recurso de revista de que se conhece e a que se dá provimento. (</w:t>
      </w:r>
      <w:bookmarkStart w:id="6" w:name="LPHit14"/>
      <w:bookmarkEnd w:id="6"/>
      <w:r w:rsidRPr="00497551">
        <w:t>TST; RR 0000802-10.2014.5.04.0571; Quarta Turma; Rel. Min. Guilherme Augusto Caputo Bastos; DEJT 08/10/2021; Pág. 3291)</w:t>
      </w:r>
    </w:p>
    <w:p w14:paraId="1943D6BA" w14:textId="77777777" w:rsidR="005358A8" w:rsidRPr="00497551" w:rsidRDefault="005358A8" w:rsidP="005358A8">
      <w:pPr>
        <w:pStyle w:val="m6582299275299223099gmail-msonormal"/>
        <w:shd w:val="clear" w:color="auto" w:fill="FFFFFF"/>
        <w:tabs>
          <w:tab w:val="left" w:pos="1701"/>
        </w:tabs>
        <w:spacing w:before="0" w:beforeAutospacing="0" w:after="0" w:afterAutospacing="0" w:line="360" w:lineRule="auto"/>
        <w:jc w:val="both"/>
        <w:rPr>
          <w:rFonts w:ascii="Arial Nova" w:hAnsi="Arial Nova"/>
          <w:sz w:val="22"/>
        </w:rPr>
      </w:pPr>
    </w:p>
    <w:p w14:paraId="5A914DD3" w14:textId="77777777" w:rsidR="005358A8" w:rsidRPr="00497551" w:rsidRDefault="005358A8" w:rsidP="005358A8">
      <w:pPr>
        <w:pStyle w:val="APargrafo"/>
      </w:pPr>
      <w:r w:rsidRPr="00497551">
        <w:t>Como visto, a pretensão de enquadramento sindical de empregado de empresa prestadora de serviço, ao dos empregados da empresa tomadora de serviços, viola o princípio da livre iniciativa e inviabiliza o modelo de terceirização que possui expressa previsão legal.</w:t>
      </w:r>
    </w:p>
    <w:p w14:paraId="13637098" w14:textId="77777777" w:rsidR="005358A8" w:rsidRPr="00497551" w:rsidRDefault="005358A8" w:rsidP="005358A8">
      <w:pPr>
        <w:pStyle w:val="m6582299275299223099gmail-msonormal"/>
        <w:shd w:val="clear" w:color="auto" w:fill="FFFFFF"/>
        <w:tabs>
          <w:tab w:val="left" w:pos="1701"/>
        </w:tabs>
        <w:spacing w:before="0" w:beforeAutospacing="0" w:after="0" w:afterAutospacing="0" w:line="360" w:lineRule="auto"/>
        <w:jc w:val="both"/>
        <w:rPr>
          <w:rFonts w:ascii="Arial Nova" w:hAnsi="Arial Nova"/>
          <w:sz w:val="22"/>
        </w:rPr>
      </w:pPr>
    </w:p>
    <w:p w14:paraId="68E341FF" w14:textId="77777777" w:rsidR="005358A8" w:rsidRDefault="005358A8" w:rsidP="005358A8">
      <w:pPr>
        <w:pStyle w:val="APargrafo"/>
      </w:pPr>
      <w:r w:rsidRPr="00497551">
        <w:t>Ante todo o exposto, deve ser julgado improcedente o pleit</w:t>
      </w:r>
      <w:r>
        <w:t>o obreira</w:t>
      </w:r>
      <w:r w:rsidRPr="00497551">
        <w:t xml:space="preserve"> de reenquadramento sindical e, consequentemente, todas as verbas que seriam decorrentes do pedido, sob pena de afronta ao entendimento do Excelso Supremo Tribunal Federal no julgamento do RE 635.546 (Tema 383).</w:t>
      </w:r>
    </w:p>
    <w:p w14:paraId="3ACB46E0" w14:textId="26412BE5" w:rsidR="00702F18" w:rsidRDefault="00702F18" w:rsidP="00702F18"/>
    <w:p w14:paraId="1A2C0EC3" w14:textId="77777777" w:rsidR="003213CC" w:rsidRPr="00702F18" w:rsidRDefault="003213CC" w:rsidP="00702F18"/>
    <w:sectPr w:rsidR="003213CC" w:rsidRPr="00702F18" w:rsidSect="00B4249F">
      <w:headerReference w:type="default" r:id="rId17"/>
      <w:footerReference w:type="default" r:id="rId18"/>
      <w:headerReference w:type="first" r:id="rId19"/>
      <w:type w:val="continuous"/>
      <w:pgSz w:w="11910" w:h="16840" w:code="9"/>
      <w:pgMar w:top="2268" w:right="1418" w:bottom="1985" w:left="1701" w:header="720" w:footer="386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7C23A8" w14:textId="77777777" w:rsidR="00C36790" w:rsidRDefault="00C36790" w:rsidP="00B40954">
      <w:r>
        <w:separator/>
      </w:r>
    </w:p>
  </w:endnote>
  <w:endnote w:type="continuationSeparator" w:id="0">
    <w:p w14:paraId="05E68012" w14:textId="77777777" w:rsidR="00C36790" w:rsidRDefault="00C36790" w:rsidP="00B40954">
      <w:r>
        <w:continuationSeparator/>
      </w:r>
    </w:p>
  </w:endnote>
  <w:endnote w:type="continuationNotice" w:id="1">
    <w:p w14:paraId="06B43F98" w14:textId="77777777" w:rsidR="00C36790" w:rsidRDefault="00C3679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Ecofont Vera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  <w:sz w:val="28"/>
        <w:szCs w:val="28"/>
      </w:rPr>
      <w:id w:val="257038087"/>
      <w:docPartObj>
        <w:docPartGallery w:val="Page Numbers (Bottom of Page)"/>
        <w:docPartUnique/>
      </w:docPartObj>
    </w:sdtPr>
    <w:sdtEndPr>
      <w:rPr>
        <w:rFonts w:ascii="Arial Nova" w:hAnsi="Arial Nova"/>
      </w:rPr>
    </w:sdtEndPr>
    <w:sdtContent>
      <w:p w14:paraId="3CC929AB" w14:textId="32FDA2AC" w:rsidR="003443CB" w:rsidRPr="00F30004" w:rsidRDefault="003443CB" w:rsidP="00F30004">
        <w:pPr>
          <w:pStyle w:val="Rodap"/>
          <w:numPr>
            <w:ilvl w:val="0"/>
            <w:numId w:val="9"/>
          </w:numPr>
          <w:tabs>
            <w:tab w:val="clear" w:pos="8504"/>
            <w:tab w:val="left" w:pos="284"/>
          </w:tabs>
          <w:ind w:left="0" w:firstLine="0"/>
          <w:jc w:val="right"/>
          <w:rPr>
            <w:rFonts w:ascii="Arial Nova" w:hAnsi="Arial Nova"/>
          </w:rPr>
        </w:pPr>
        <w:r w:rsidRPr="00F30004">
          <w:rPr>
            <w:rFonts w:ascii="Arial Nova" w:eastAsiaTheme="majorEastAsia" w:hAnsi="Arial Nova" w:cstheme="majorBidi"/>
            <w:sz w:val="16"/>
            <w:szCs w:val="16"/>
          </w:rPr>
          <w:t xml:space="preserve">p. </w:t>
        </w:r>
        <w:r w:rsidRPr="00F30004">
          <w:rPr>
            <w:rFonts w:ascii="Arial Nova" w:eastAsiaTheme="minorEastAsia" w:hAnsi="Arial Nova" w:cs="Times New Roman"/>
            <w:sz w:val="16"/>
            <w:szCs w:val="16"/>
          </w:rPr>
          <w:fldChar w:fldCharType="begin"/>
        </w:r>
        <w:r w:rsidRPr="00F30004">
          <w:rPr>
            <w:rFonts w:ascii="Arial Nova" w:hAnsi="Arial Nova"/>
            <w:sz w:val="16"/>
            <w:szCs w:val="16"/>
          </w:rPr>
          <w:instrText>PAGE    \* MERGEFORMAT</w:instrText>
        </w:r>
        <w:r w:rsidRPr="00F30004">
          <w:rPr>
            <w:rFonts w:ascii="Arial Nova" w:eastAsiaTheme="minorEastAsia" w:hAnsi="Arial Nova" w:cs="Times New Roman"/>
            <w:sz w:val="16"/>
            <w:szCs w:val="16"/>
          </w:rPr>
          <w:fldChar w:fldCharType="separate"/>
        </w:r>
        <w:r w:rsidRPr="00F30004">
          <w:rPr>
            <w:rFonts w:ascii="Arial Nova" w:eastAsiaTheme="majorEastAsia" w:hAnsi="Arial Nova" w:cstheme="majorBidi"/>
            <w:sz w:val="16"/>
            <w:szCs w:val="16"/>
          </w:rPr>
          <w:t>2</w:t>
        </w:r>
        <w:r w:rsidRPr="00F30004">
          <w:rPr>
            <w:rFonts w:ascii="Arial Nova" w:eastAsiaTheme="majorEastAsia" w:hAnsi="Arial Nova" w:cstheme="majorBidi"/>
            <w:sz w:val="16"/>
            <w:szCs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9F7F22" w14:textId="77777777" w:rsidR="00C36790" w:rsidRDefault="00C36790" w:rsidP="00B40954">
      <w:r>
        <w:separator/>
      </w:r>
    </w:p>
  </w:footnote>
  <w:footnote w:type="continuationSeparator" w:id="0">
    <w:p w14:paraId="5AD626B9" w14:textId="77777777" w:rsidR="00C36790" w:rsidRDefault="00C36790" w:rsidP="00B40954">
      <w:r>
        <w:continuationSeparator/>
      </w:r>
    </w:p>
  </w:footnote>
  <w:footnote w:type="continuationNotice" w:id="1">
    <w:p w14:paraId="44150370" w14:textId="77777777" w:rsidR="00C36790" w:rsidRDefault="00C3679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A0808D" w14:textId="7BE24367" w:rsidR="003443CB" w:rsidRDefault="003443CB" w:rsidP="00EE7205">
    <w:pPr>
      <w:pStyle w:val="Cabealho"/>
      <w:tabs>
        <w:tab w:val="clear" w:pos="4252"/>
        <w:tab w:val="clear" w:pos="8504"/>
        <w:tab w:val="left" w:pos="5604"/>
      </w:tabs>
    </w:pPr>
    <w:r>
      <w:rPr>
        <w:noProof/>
      </w:rPr>
      <w:drawing>
        <wp:anchor distT="0" distB="0" distL="114300" distR="114300" simplePos="0" relativeHeight="251658240" behindDoc="1" locked="0" layoutInCell="1" allowOverlap="1" wp14:anchorId="7F02EBB2" wp14:editId="11E8C5F7">
          <wp:simplePos x="0" y="0"/>
          <wp:positionH relativeFrom="page">
            <wp:posOffset>-1270</wp:posOffset>
          </wp:positionH>
          <wp:positionV relativeFrom="paragraph">
            <wp:posOffset>-454660</wp:posOffset>
          </wp:positionV>
          <wp:extent cx="7558775" cy="10692000"/>
          <wp:effectExtent l="0" t="0" r="4445" b="0"/>
          <wp:wrapNone/>
          <wp:docPr id="662573007" name="Imagem 6625730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VLF Timbrado_2a página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8775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D8D29" w14:textId="2A090F7E" w:rsidR="003443CB" w:rsidRPr="009D7FCC" w:rsidRDefault="00350215" w:rsidP="00EE7205">
    <w:pPr>
      <w:pStyle w:val="Cabealho"/>
      <w:tabs>
        <w:tab w:val="clear" w:pos="4252"/>
        <w:tab w:val="clear" w:pos="8504"/>
        <w:tab w:val="center" w:pos="4395"/>
      </w:tabs>
    </w:pPr>
    <w:r>
      <w:rPr>
        <w:noProof/>
      </w:rPr>
      <w:drawing>
        <wp:anchor distT="0" distB="0" distL="114300" distR="114300" simplePos="0" relativeHeight="251659264" behindDoc="1" locked="0" layoutInCell="1" allowOverlap="1" wp14:anchorId="38A428FE" wp14:editId="424EB3A1">
          <wp:simplePos x="0" y="0"/>
          <wp:positionH relativeFrom="page">
            <wp:posOffset>1905</wp:posOffset>
          </wp:positionH>
          <wp:positionV relativeFrom="paragraph">
            <wp:posOffset>-458470</wp:posOffset>
          </wp:positionV>
          <wp:extent cx="7560000" cy="10695600"/>
          <wp:effectExtent l="0" t="0" r="3175" b="0"/>
          <wp:wrapNone/>
          <wp:docPr id="803623681" name="Imagem 1" descr="Desenho em preto e branco&#10;&#10;Descrição gerada automaticamente com confiança baix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3623681" name="Imagem 1" descr="Desenho em preto e branco&#10;&#10;Descrição gerada automaticamente com confiança baix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23.8pt;height:18.15pt;visibility:visible;mso-wrap-style:square" o:bullet="t">
        <v:imagedata r:id="rId1" o:title=""/>
      </v:shape>
    </w:pict>
  </w:numPicBullet>
  <w:abstractNum w:abstractNumId="0" w15:restartNumberingAfterBreak="0">
    <w:nsid w:val="05147CFE"/>
    <w:multiLevelType w:val="hybridMultilevel"/>
    <w:tmpl w:val="0FFA2B52"/>
    <w:lvl w:ilvl="0" w:tplc="0EEE385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FB5A79"/>
    <w:multiLevelType w:val="hybridMultilevel"/>
    <w:tmpl w:val="2B9444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F764C5"/>
    <w:multiLevelType w:val="hybridMultilevel"/>
    <w:tmpl w:val="3D66EDA0"/>
    <w:lvl w:ilvl="0" w:tplc="7F24030C">
      <w:start w:val="1"/>
      <w:numFmt w:val="lowerRoman"/>
      <w:lvlText w:val="(%1)"/>
      <w:lvlJc w:val="left"/>
      <w:pPr>
        <w:ind w:left="242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782" w:hanging="360"/>
      </w:pPr>
    </w:lvl>
    <w:lvl w:ilvl="2" w:tplc="0416001B" w:tentative="1">
      <w:start w:val="1"/>
      <w:numFmt w:val="lowerRoman"/>
      <w:lvlText w:val="%3."/>
      <w:lvlJc w:val="right"/>
      <w:pPr>
        <w:ind w:left="3502" w:hanging="180"/>
      </w:pPr>
    </w:lvl>
    <w:lvl w:ilvl="3" w:tplc="0416000F" w:tentative="1">
      <w:start w:val="1"/>
      <w:numFmt w:val="decimal"/>
      <w:lvlText w:val="%4."/>
      <w:lvlJc w:val="left"/>
      <w:pPr>
        <w:ind w:left="4222" w:hanging="360"/>
      </w:pPr>
    </w:lvl>
    <w:lvl w:ilvl="4" w:tplc="04160019" w:tentative="1">
      <w:start w:val="1"/>
      <w:numFmt w:val="lowerLetter"/>
      <w:lvlText w:val="%5."/>
      <w:lvlJc w:val="left"/>
      <w:pPr>
        <w:ind w:left="4942" w:hanging="360"/>
      </w:pPr>
    </w:lvl>
    <w:lvl w:ilvl="5" w:tplc="0416001B" w:tentative="1">
      <w:start w:val="1"/>
      <w:numFmt w:val="lowerRoman"/>
      <w:lvlText w:val="%6."/>
      <w:lvlJc w:val="right"/>
      <w:pPr>
        <w:ind w:left="5662" w:hanging="180"/>
      </w:pPr>
    </w:lvl>
    <w:lvl w:ilvl="6" w:tplc="0416000F" w:tentative="1">
      <w:start w:val="1"/>
      <w:numFmt w:val="decimal"/>
      <w:lvlText w:val="%7."/>
      <w:lvlJc w:val="left"/>
      <w:pPr>
        <w:ind w:left="6382" w:hanging="360"/>
      </w:pPr>
    </w:lvl>
    <w:lvl w:ilvl="7" w:tplc="04160019" w:tentative="1">
      <w:start w:val="1"/>
      <w:numFmt w:val="lowerLetter"/>
      <w:lvlText w:val="%8."/>
      <w:lvlJc w:val="left"/>
      <w:pPr>
        <w:ind w:left="7102" w:hanging="360"/>
      </w:pPr>
    </w:lvl>
    <w:lvl w:ilvl="8" w:tplc="0416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3" w15:restartNumberingAfterBreak="0">
    <w:nsid w:val="33655A13"/>
    <w:multiLevelType w:val="hybridMultilevel"/>
    <w:tmpl w:val="34B0924A"/>
    <w:lvl w:ilvl="0" w:tplc="A6966E1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DF6C70"/>
    <w:multiLevelType w:val="hybridMultilevel"/>
    <w:tmpl w:val="09E4DDAC"/>
    <w:lvl w:ilvl="0" w:tplc="01C428D0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1E22AA"/>
    <w:multiLevelType w:val="hybridMultilevel"/>
    <w:tmpl w:val="2182DD62"/>
    <w:lvl w:ilvl="0" w:tplc="7420861A">
      <w:numFmt w:val="bullet"/>
      <w:lvlText w:val="•"/>
      <w:lvlJc w:val="left"/>
      <w:pPr>
        <w:ind w:left="3689" w:hanging="88"/>
      </w:pPr>
      <w:rPr>
        <w:rFonts w:ascii="Arial" w:eastAsia="Arial" w:hAnsi="Arial" w:cs="Arial" w:hint="default"/>
        <w:color w:val="F15622"/>
        <w:w w:val="101"/>
        <w:sz w:val="16"/>
        <w:szCs w:val="16"/>
        <w:lang w:val="pt-BR" w:eastAsia="pt-BR" w:bidi="pt-BR"/>
      </w:rPr>
    </w:lvl>
    <w:lvl w:ilvl="1" w:tplc="297E4F70">
      <w:numFmt w:val="bullet"/>
      <w:lvlText w:val="•"/>
      <w:lvlJc w:val="left"/>
      <w:pPr>
        <w:ind w:left="4282" w:hanging="88"/>
      </w:pPr>
      <w:rPr>
        <w:rFonts w:hint="default"/>
        <w:lang w:val="pt-BR" w:eastAsia="pt-BR" w:bidi="pt-BR"/>
      </w:rPr>
    </w:lvl>
    <w:lvl w:ilvl="2" w:tplc="F94809C8">
      <w:numFmt w:val="bullet"/>
      <w:lvlText w:val="•"/>
      <w:lvlJc w:val="left"/>
      <w:pPr>
        <w:ind w:left="4885" w:hanging="88"/>
      </w:pPr>
      <w:rPr>
        <w:rFonts w:hint="default"/>
        <w:lang w:val="pt-BR" w:eastAsia="pt-BR" w:bidi="pt-BR"/>
      </w:rPr>
    </w:lvl>
    <w:lvl w:ilvl="3" w:tplc="9EFEE56A">
      <w:numFmt w:val="bullet"/>
      <w:lvlText w:val="•"/>
      <w:lvlJc w:val="left"/>
      <w:pPr>
        <w:ind w:left="5487" w:hanging="88"/>
      </w:pPr>
      <w:rPr>
        <w:rFonts w:hint="default"/>
        <w:lang w:val="pt-BR" w:eastAsia="pt-BR" w:bidi="pt-BR"/>
      </w:rPr>
    </w:lvl>
    <w:lvl w:ilvl="4" w:tplc="A37C6010">
      <w:numFmt w:val="bullet"/>
      <w:lvlText w:val="•"/>
      <w:lvlJc w:val="left"/>
      <w:pPr>
        <w:ind w:left="6090" w:hanging="88"/>
      </w:pPr>
      <w:rPr>
        <w:rFonts w:hint="default"/>
        <w:lang w:val="pt-BR" w:eastAsia="pt-BR" w:bidi="pt-BR"/>
      </w:rPr>
    </w:lvl>
    <w:lvl w:ilvl="5" w:tplc="C0FAE928">
      <w:numFmt w:val="bullet"/>
      <w:lvlText w:val="•"/>
      <w:lvlJc w:val="left"/>
      <w:pPr>
        <w:ind w:left="6692" w:hanging="88"/>
      </w:pPr>
      <w:rPr>
        <w:rFonts w:hint="default"/>
        <w:lang w:val="pt-BR" w:eastAsia="pt-BR" w:bidi="pt-BR"/>
      </w:rPr>
    </w:lvl>
    <w:lvl w:ilvl="6" w:tplc="449C9206">
      <w:numFmt w:val="bullet"/>
      <w:lvlText w:val="•"/>
      <w:lvlJc w:val="left"/>
      <w:pPr>
        <w:ind w:left="7295" w:hanging="88"/>
      </w:pPr>
      <w:rPr>
        <w:rFonts w:hint="default"/>
        <w:lang w:val="pt-BR" w:eastAsia="pt-BR" w:bidi="pt-BR"/>
      </w:rPr>
    </w:lvl>
    <w:lvl w:ilvl="7" w:tplc="79448F1C">
      <w:numFmt w:val="bullet"/>
      <w:lvlText w:val="•"/>
      <w:lvlJc w:val="left"/>
      <w:pPr>
        <w:ind w:left="7897" w:hanging="88"/>
      </w:pPr>
      <w:rPr>
        <w:rFonts w:hint="default"/>
        <w:lang w:val="pt-BR" w:eastAsia="pt-BR" w:bidi="pt-BR"/>
      </w:rPr>
    </w:lvl>
    <w:lvl w:ilvl="8" w:tplc="8658501C">
      <w:numFmt w:val="bullet"/>
      <w:lvlText w:val="•"/>
      <w:lvlJc w:val="left"/>
      <w:pPr>
        <w:ind w:left="8500" w:hanging="88"/>
      </w:pPr>
      <w:rPr>
        <w:rFonts w:hint="default"/>
        <w:lang w:val="pt-BR" w:eastAsia="pt-BR" w:bidi="pt-BR"/>
      </w:rPr>
    </w:lvl>
  </w:abstractNum>
  <w:abstractNum w:abstractNumId="6" w15:restartNumberingAfterBreak="0">
    <w:nsid w:val="5D0E36FA"/>
    <w:multiLevelType w:val="hybridMultilevel"/>
    <w:tmpl w:val="48CAE26A"/>
    <w:lvl w:ilvl="0" w:tplc="7DB86DDA">
      <w:start w:val="1"/>
      <w:numFmt w:val="upperLetter"/>
      <w:pStyle w:val="Ttulo2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1E7509"/>
    <w:multiLevelType w:val="hybridMultilevel"/>
    <w:tmpl w:val="2ED60C7A"/>
    <w:lvl w:ilvl="0" w:tplc="E5C2D524">
      <w:start w:val="1"/>
      <w:numFmt w:val="decimal"/>
      <w:lvlText w:val="%1."/>
      <w:lvlJc w:val="left"/>
      <w:pPr>
        <w:ind w:left="5948" w:hanging="1695"/>
      </w:pPr>
      <w:rPr>
        <w:rFonts w:ascii="Arial Nova" w:hAnsi="Arial Nova" w:hint="default"/>
        <w:b w:val="0"/>
        <w:sz w:val="22"/>
        <w:szCs w:val="22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CF5ABC"/>
    <w:multiLevelType w:val="hybridMultilevel"/>
    <w:tmpl w:val="B7E204FA"/>
    <w:lvl w:ilvl="0" w:tplc="51E07472">
      <w:start w:val="1"/>
      <w:numFmt w:val="decimal"/>
      <w:pStyle w:val="Commarcadores"/>
      <w:lvlText w:val="%1."/>
      <w:lvlJc w:val="left"/>
      <w:pPr>
        <w:ind w:left="7791" w:hanging="1695"/>
      </w:pPr>
      <w:rPr>
        <w:rFonts w:cs="Times New Roman"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64FA1099"/>
    <w:multiLevelType w:val="hybridMultilevel"/>
    <w:tmpl w:val="9F6EBB60"/>
    <w:lvl w:ilvl="0" w:tplc="E20EBFC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3C5F52"/>
    <w:multiLevelType w:val="hybridMultilevel"/>
    <w:tmpl w:val="D41E2052"/>
    <w:lvl w:ilvl="0" w:tplc="35845902">
      <w:start w:val="1"/>
      <w:numFmt w:val="decimal"/>
      <w:pStyle w:val="APargrafo"/>
      <w:lvlText w:val="%1."/>
      <w:lvlJc w:val="left"/>
      <w:pPr>
        <w:tabs>
          <w:tab w:val="num" w:pos="3905"/>
        </w:tabs>
        <w:ind w:left="3905" w:hanging="360"/>
      </w:pPr>
      <w:rPr>
        <w:rFonts w:ascii="Arial Nova" w:hAnsi="Arial Nova" w:hint="default"/>
        <w:b w:val="0"/>
        <w:sz w:val="22"/>
        <w:szCs w:val="22"/>
      </w:rPr>
    </w:lvl>
    <w:lvl w:ilvl="1" w:tplc="04160019">
      <w:start w:val="1"/>
      <w:numFmt w:val="lowerLetter"/>
      <w:lvlText w:val="%2."/>
      <w:lvlJc w:val="left"/>
      <w:pPr>
        <w:tabs>
          <w:tab w:val="num" w:pos="4625"/>
        </w:tabs>
        <w:ind w:left="4625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5345"/>
        </w:tabs>
        <w:ind w:left="5345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6065"/>
        </w:tabs>
        <w:ind w:left="6065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6785"/>
        </w:tabs>
        <w:ind w:left="6785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7505"/>
        </w:tabs>
        <w:ind w:left="7505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8225"/>
        </w:tabs>
        <w:ind w:left="8225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8945"/>
        </w:tabs>
        <w:ind w:left="8945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9665"/>
        </w:tabs>
        <w:ind w:left="9665" w:hanging="180"/>
      </w:pPr>
    </w:lvl>
  </w:abstractNum>
  <w:abstractNum w:abstractNumId="11" w15:restartNumberingAfterBreak="0">
    <w:nsid w:val="7FC32250"/>
    <w:multiLevelType w:val="hybridMultilevel"/>
    <w:tmpl w:val="947266AE"/>
    <w:lvl w:ilvl="0" w:tplc="A6CA3E1A">
      <w:start w:val="1"/>
      <w:numFmt w:val="decimal"/>
      <w:pStyle w:val="AVLF"/>
      <w:lvlText w:val="%1."/>
      <w:lvlJc w:val="left"/>
      <w:pPr>
        <w:ind w:left="360" w:hanging="360"/>
      </w:pPr>
      <w:rPr>
        <w:rFonts w:ascii="Arial Nova" w:hAnsi="Arial Nova" w:hint="default"/>
        <w:b w:val="0"/>
        <w:i w:val="0"/>
        <w:color w:val="auto"/>
        <w:sz w:val="22"/>
        <w:szCs w:val="21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>
      <w:start w:val="1"/>
      <w:numFmt w:val="decimal"/>
      <w:lvlText w:val="%4."/>
      <w:lvlJc w:val="left"/>
      <w:pPr>
        <w:ind w:left="2520" w:hanging="360"/>
      </w:pPr>
    </w:lvl>
    <w:lvl w:ilvl="4" w:tplc="04160019">
      <w:start w:val="1"/>
      <w:numFmt w:val="lowerLetter"/>
      <w:lvlText w:val="%5."/>
      <w:lvlJc w:val="left"/>
      <w:pPr>
        <w:ind w:left="3240" w:hanging="360"/>
      </w:pPr>
    </w:lvl>
    <w:lvl w:ilvl="5" w:tplc="0416001B">
      <w:start w:val="1"/>
      <w:numFmt w:val="lowerRoman"/>
      <w:lvlText w:val="%6."/>
      <w:lvlJc w:val="right"/>
      <w:pPr>
        <w:ind w:left="3960" w:hanging="180"/>
      </w:pPr>
    </w:lvl>
    <w:lvl w:ilvl="6" w:tplc="0416000F">
      <w:start w:val="1"/>
      <w:numFmt w:val="decimal"/>
      <w:lvlText w:val="%7."/>
      <w:lvlJc w:val="left"/>
      <w:pPr>
        <w:ind w:left="4680" w:hanging="360"/>
      </w:pPr>
    </w:lvl>
    <w:lvl w:ilvl="7" w:tplc="04160019">
      <w:start w:val="1"/>
      <w:numFmt w:val="lowerLetter"/>
      <w:lvlText w:val="%8."/>
      <w:lvlJc w:val="left"/>
      <w:pPr>
        <w:ind w:left="5400" w:hanging="360"/>
      </w:pPr>
    </w:lvl>
    <w:lvl w:ilvl="8" w:tplc="0416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1476947272">
    <w:abstractNumId w:val="5"/>
  </w:num>
  <w:num w:numId="2" w16cid:durableId="1206480184">
    <w:abstractNumId w:val="4"/>
  </w:num>
  <w:num w:numId="3" w16cid:durableId="714936783">
    <w:abstractNumId w:val="0"/>
  </w:num>
  <w:num w:numId="4" w16cid:durableId="877666403">
    <w:abstractNumId w:val="2"/>
  </w:num>
  <w:num w:numId="5" w16cid:durableId="1778211271">
    <w:abstractNumId w:val="1"/>
  </w:num>
  <w:num w:numId="6" w16cid:durableId="123836917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05546630">
    <w:abstractNumId w:val="8"/>
  </w:num>
  <w:num w:numId="8" w16cid:durableId="127745302">
    <w:abstractNumId w:val="7"/>
  </w:num>
  <w:num w:numId="9" w16cid:durableId="190190534">
    <w:abstractNumId w:val="9"/>
  </w:num>
  <w:num w:numId="10" w16cid:durableId="2125952561">
    <w:abstractNumId w:val="6"/>
  </w:num>
  <w:num w:numId="11" w16cid:durableId="452789119">
    <w:abstractNumId w:val="3"/>
  </w:num>
  <w:num w:numId="12" w16cid:durableId="257058985">
    <w:abstractNumId w:val="10"/>
  </w:num>
  <w:num w:numId="13" w16cid:durableId="342771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gutterAtTop/>
  <w:proofState w:spelling="clean" w:grammar="clean"/>
  <w:defaultTabStop w:val="720"/>
  <w:hyphenationZone w:val="425"/>
  <w:drawingGridHorizontalSpacing w:val="108"/>
  <w:drawingGridVerticalSpacing w:val="181"/>
  <w:displayHorizontalDrawingGridEvery w:val="14"/>
  <w:displayVerticalDrawingGridEvery w:val="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179"/>
    <w:rsid w:val="000127F0"/>
    <w:rsid w:val="00014159"/>
    <w:rsid w:val="00034081"/>
    <w:rsid w:val="000606C5"/>
    <w:rsid w:val="00093EAA"/>
    <w:rsid w:val="000B3A1A"/>
    <w:rsid w:val="000B4514"/>
    <w:rsid w:val="000C774F"/>
    <w:rsid w:val="000C7A83"/>
    <w:rsid w:val="001028AF"/>
    <w:rsid w:val="00107941"/>
    <w:rsid w:val="00131148"/>
    <w:rsid w:val="00152B83"/>
    <w:rsid w:val="00185AB5"/>
    <w:rsid w:val="001B64FE"/>
    <w:rsid w:val="001C196F"/>
    <w:rsid w:val="001D4CD3"/>
    <w:rsid w:val="001E12BC"/>
    <w:rsid w:val="001F5309"/>
    <w:rsid w:val="001F6179"/>
    <w:rsid w:val="00203D6E"/>
    <w:rsid w:val="00204208"/>
    <w:rsid w:val="00210AFF"/>
    <w:rsid w:val="00214656"/>
    <w:rsid w:val="00223025"/>
    <w:rsid w:val="00247020"/>
    <w:rsid w:val="00271800"/>
    <w:rsid w:val="00274AB0"/>
    <w:rsid w:val="00276BCE"/>
    <w:rsid w:val="002778DF"/>
    <w:rsid w:val="00284BD6"/>
    <w:rsid w:val="00284D8A"/>
    <w:rsid w:val="00291730"/>
    <w:rsid w:val="002A389C"/>
    <w:rsid w:val="002A7976"/>
    <w:rsid w:val="002B2243"/>
    <w:rsid w:val="002D610A"/>
    <w:rsid w:val="002D7A93"/>
    <w:rsid w:val="00311ED4"/>
    <w:rsid w:val="00315E7E"/>
    <w:rsid w:val="003213CC"/>
    <w:rsid w:val="00324D8F"/>
    <w:rsid w:val="003329D6"/>
    <w:rsid w:val="003443CB"/>
    <w:rsid w:val="00345F42"/>
    <w:rsid w:val="00350215"/>
    <w:rsid w:val="00360144"/>
    <w:rsid w:val="00374BC1"/>
    <w:rsid w:val="003926C3"/>
    <w:rsid w:val="003975F7"/>
    <w:rsid w:val="003A228C"/>
    <w:rsid w:val="003A6173"/>
    <w:rsid w:val="003B02F8"/>
    <w:rsid w:val="003B3030"/>
    <w:rsid w:val="003C1BDF"/>
    <w:rsid w:val="003C2AB9"/>
    <w:rsid w:val="003C5045"/>
    <w:rsid w:val="003C5E9B"/>
    <w:rsid w:val="003C73D7"/>
    <w:rsid w:val="003D32C9"/>
    <w:rsid w:val="003D788D"/>
    <w:rsid w:val="003E0ADB"/>
    <w:rsid w:val="0040121A"/>
    <w:rsid w:val="0040242A"/>
    <w:rsid w:val="00412A1E"/>
    <w:rsid w:val="00430B2A"/>
    <w:rsid w:val="00444176"/>
    <w:rsid w:val="00444211"/>
    <w:rsid w:val="00446FDC"/>
    <w:rsid w:val="00450AE3"/>
    <w:rsid w:val="004676AE"/>
    <w:rsid w:val="004679F9"/>
    <w:rsid w:val="00473656"/>
    <w:rsid w:val="004E0690"/>
    <w:rsid w:val="00501A0F"/>
    <w:rsid w:val="005147B3"/>
    <w:rsid w:val="00531137"/>
    <w:rsid w:val="00531DA3"/>
    <w:rsid w:val="005358A8"/>
    <w:rsid w:val="005471BC"/>
    <w:rsid w:val="00551FBA"/>
    <w:rsid w:val="00555E37"/>
    <w:rsid w:val="00577BB5"/>
    <w:rsid w:val="00597DFA"/>
    <w:rsid w:val="005A6DCA"/>
    <w:rsid w:val="005D1996"/>
    <w:rsid w:val="005E2238"/>
    <w:rsid w:val="00600B5D"/>
    <w:rsid w:val="0060441C"/>
    <w:rsid w:val="0061100C"/>
    <w:rsid w:val="00615BF1"/>
    <w:rsid w:val="00644384"/>
    <w:rsid w:val="00654226"/>
    <w:rsid w:val="00655475"/>
    <w:rsid w:val="00657165"/>
    <w:rsid w:val="00677A44"/>
    <w:rsid w:val="006A5F37"/>
    <w:rsid w:val="006E2156"/>
    <w:rsid w:val="006F135A"/>
    <w:rsid w:val="006F64C6"/>
    <w:rsid w:val="00702F18"/>
    <w:rsid w:val="00713A38"/>
    <w:rsid w:val="00740EB8"/>
    <w:rsid w:val="00742FA4"/>
    <w:rsid w:val="00744A6F"/>
    <w:rsid w:val="00747139"/>
    <w:rsid w:val="00753D99"/>
    <w:rsid w:val="00770666"/>
    <w:rsid w:val="00791755"/>
    <w:rsid w:val="00792015"/>
    <w:rsid w:val="007A379A"/>
    <w:rsid w:val="007B377B"/>
    <w:rsid w:val="007C050F"/>
    <w:rsid w:val="007C15D3"/>
    <w:rsid w:val="007C398F"/>
    <w:rsid w:val="007C7FA4"/>
    <w:rsid w:val="007D691C"/>
    <w:rsid w:val="007E0507"/>
    <w:rsid w:val="007E2FA8"/>
    <w:rsid w:val="00805892"/>
    <w:rsid w:val="008071E8"/>
    <w:rsid w:val="008136EC"/>
    <w:rsid w:val="00815997"/>
    <w:rsid w:val="008165E1"/>
    <w:rsid w:val="00823FDA"/>
    <w:rsid w:val="00830D31"/>
    <w:rsid w:val="00834B99"/>
    <w:rsid w:val="00843D92"/>
    <w:rsid w:val="00844B61"/>
    <w:rsid w:val="00845B7E"/>
    <w:rsid w:val="008539DD"/>
    <w:rsid w:val="008715B3"/>
    <w:rsid w:val="00873C39"/>
    <w:rsid w:val="008944B2"/>
    <w:rsid w:val="008B6786"/>
    <w:rsid w:val="008C3DD8"/>
    <w:rsid w:val="008C76DF"/>
    <w:rsid w:val="00911E24"/>
    <w:rsid w:val="00922D07"/>
    <w:rsid w:val="00931F24"/>
    <w:rsid w:val="0094517A"/>
    <w:rsid w:val="009641CC"/>
    <w:rsid w:val="00964CB8"/>
    <w:rsid w:val="00976D85"/>
    <w:rsid w:val="00977B11"/>
    <w:rsid w:val="00980E12"/>
    <w:rsid w:val="009A2E7B"/>
    <w:rsid w:val="009A7F4A"/>
    <w:rsid w:val="009B2A7C"/>
    <w:rsid w:val="009C35CA"/>
    <w:rsid w:val="009C55EE"/>
    <w:rsid w:val="009D7FCC"/>
    <w:rsid w:val="009E7B74"/>
    <w:rsid w:val="009F63EE"/>
    <w:rsid w:val="00A021D6"/>
    <w:rsid w:val="00A1460F"/>
    <w:rsid w:val="00A16EBA"/>
    <w:rsid w:val="00A16F81"/>
    <w:rsid w:val="00A33233"/>
    <w:rsid w:val="00A40C7A"/>
    <w:rsid w:val="00A42F5B"/>
    <w:rsid w:val="00A5795B"/>
    <w:rsid w:val="00A67FB0"/>
    <w:rsid w:val="00A722A8"/>
    <w:rsid w:val="00A729E6"/>
    <w:rsid w:val="00A823D2"/>
    <w:rsid w:val="00A84D94"/>
    <w:rsid w:val="00A86A62"/>
    <w:rsid w:val="00A94428"/>
    <w:rsid w:val="00AB020F"/>
    <w:rsid w:val="00AC4BDC"/>
    <w:rsid w:val="00AE2647"/>
    <w:rsid w:val="00AE7963"/>
    <w:rsid w:val="00AF1DF5"/>
    <w:rsid w:val="00B16A38"/>
    <w:rsid w:val="00B24949"/>
    <w:rsid w:val="00B36F7C"/>
    <w:rsid w:val="00B40954"/>
    <w:rsid w:val="00B4249F"/>
    <w:rsid w:val="00B50497"/>
    <w:rsid w:val="00B64D47"/>
    <w:rsid w:val="00B6600A"/>
    <w:rsid w:val="00B735A7"/>
    <w:rsid w:val="00B964ED"/>
    <w:rsid w:val="00BA288C"/>
    <w:rsid w:val="00BA44DD"/>
    <w:rsid w:val="00BB439D"/>
    <w:rsid w:val="00BB45AF"/>
    <w:rsid w:val="00BB45EB"/>
    <w:rsid w:val="00BC209B"/>
    <w:rsid w:val="00BC7C01"/>
    <w:rsid w:val="00BD3C40"/>
    <w:rsid w:val="00BD48F6"/>
    <w:rsid w:val="00BD5039"/>
    <w:rsid w:val="00BE1688"/>
    <w:rsid w:val="00BE3557"/>
    <w:rsid w:val="00BE4843"/>
    <w:rsid w:val="00BF3EE6"/>
    <w:rsid w:val="00C060D3"/>
    <w:rsid w:val="00C13E53"/>
    <w:rsid w:val="00C146D9"/>
    <w:rsid w:val="00C21BF9"/>
    <w:rsid w:val="00C23E59"/>
    <w:rsid w:val="00C36790"/>
    <w:rsid w:val="00C36FF9"/>
    <w:rsid w:val="00C55D60"/>
    <w:rsid w:val="00C56E90"/>
    <w:rsid w:val="00C660EF"/>
    <w:rsid w:val="00C661E7"/>
    <w:rsid w:val="00C703EE"/>
    <w:rsid w:val="00C748AF"/>
    <w:rsid w:val="00C80714"/>
    <w:rsid w:val="00C810DB"/>
    <w:rsid w:val="00C85615"/>
    <w:rsid w:val="00C86533"/>
    <w:rsid w:val="00C91FA9"/>
    <w:rsid w:val="00C95239"/>
    <w:rsid w:val="00CA3367"/>
    <w:rsid w:val="00CB3306"/>
    <w:rsid w:val="00CC07D5"/>
    <w:rsid w:val="00CC7F36"/>
    <w:rsid w:val="00CD0845"/>
    <w:rsid w:val="00CD2C2D"/>
    <w:rsid w:val="00CE4AA3"/>
    <w:rsid w:val="00CE5486"/>
    <w:rsid w:val="00CF3D3F"/>
    <w:rsid w:val="00D070E5"/>
    <w:rsid w:val="00D14BAE"/>
    <w:rsid w:val="00D23415"/>
    <w:rsid w:val="00D331DC"/>
    <w:rsid w:val="00D33C92"/>
    <w:rsid w:val="00D379F1"/>
    <w:rsid w:val="00D5129D"/>
    <w:rsid w:val="00D52122"/>
    <w:rsid w:val="00D61C41"/>
    <w:rsid w:val="00D81057"/>
    <w:rsid w:val="00D9195B"/>
    <w:rsid w:val="00D961B0"/>
    <w:rsid w:val="00DB3A74"/>
    <w:rsid w:val="00DB3C5F"/>
    <w:rsid w:val="00DC0CED"/>
    <w:rsid w:val="00DC16B4"/>
    <w:rsid w:val="00DC4487"/>
    <w:rsid w:val="00DF031A"/>
    <w:rsid w:val="00DF5177"/>
    <w:rsid w:val="00DF62E8"/>
    <w:rsid w:val="00E00465"/>
    <w:rsid w:val="00E160BE"/>
    <w:rsid w:val="00E41105"/>
    <w:rsid w:val="00E57F98"/>
    <w:rsid w:val="00E63C1F"/>
    <w:rsid w:val="00E673D8"/>
    <w:rsid w:val="00E819C6"/>
    <w:rsid w:val="00E9100E"/>
    <w:rsid w:val="00EB1D4D"/>
    <w:rsid w:val="00EB2192"/>
    <w:rsid w:val="00EB47A7"/>
    <w:rsid w:val="00ED00B6"/>
    <w:rsid w:val="00ED0285"/>
    <w:rsid w:val="00ED3B3B"/>
    <w:rsid w:val="00ED48C7"/>
    <w:rsid w:val="00EE7205"/>
    <w:rsid w:val="00F17E3A"/>
    <w:rsid w:val="00F2388A"/>
    <w:rsid w:val="00F30004"/>
    <w:rsid w:val="00F3768E"/>
    <w:rsid w:val="00F3772A"/>
    <w:rsid w:val="00F42680"/>
    <w:rsid w:val="00F45DE8"/>
    <w:rsid w:val="00F47B85"/>
    <w:rsid w:val="00F52AD6"/>
    <w:rsid w:val="00F60264"/>
    <w:rsid w:val="00F663F3"/>
    <w:rsid w:val="00F67F2D"/>
    <w:rsid w:val="00F71DB5"/>
    <w:rsid w:val="00F862AC"/>
    <w:rsid w:val="00F876EE"/>
    <w:rsid w:val="00F901D5"/>
    <w:rsid w:val="00F9107A"/>
    <w:rsid w:val="00FA4A88"/>
    <w:rsid w:val="00FB5EBA"/>
    <w:rsid w:val="00FC2E52"/>
    <w:rsid w:val="00FD6407"/>
    <w:rsid w:val="00FF284E"/>
    <w:rsid w:val="00FF35C3"/>
    <w:rsid w:val="64D41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007692"/>
  <w15:docId w15:val="{324AE2AD-B5D1-4F83-8E8C-573AA3AE9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/>
    <w:lsdException w:name="heading 4" w:semiHidden="1" w:uiPriority="9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EE6"/>
    <w:rPr>
      <w:rFonts w:ascii="Arial" w:eastAsia="Arial" w:hAnsi="Arial" w:cs="Arial"/>
      <w:lang w:val="pt-BR" w:eastAsia="pt-BR" w:bidi="pt-BR"/>
    </w:rPr>
  </w:style>
  <w:style w:type="paragraph" w:styleId="Ttulo1">
    <w:name w:val="heading 1"/>
    <w:basedOn w:val="PargrafodaLista"/>
    <w:next w:val="Normal"/>
    <w:link w:val="Ttulo1Char"/>
    <w:uiPriority w:val="9"/>
    <w:qFormat/>
    <w:rsid w:val="00BE1688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tabs>
        <w:tab w:val="left" w:pos="1701"/>
      </w:tabs>
      <w:ind w:left="0"/>
      <w:jc w:val="center"/>
      <w:outlineLvl w:val="0"/>
    </w:pPr>
    <w:rPr>
      <w:rFonts w:ascii="Arial Nova" w:hAnsi="Arial Nova"/>
      <w:b/>
      <w:sz w:val="22"/>
      <w:szCs w:val="22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BE1688"/>
    <w:pPr>
      <w:numPr>
        <w:numId w:val="10"/>
      </w:numPr>
      <w:jc w:val="center"/>
      <w:outlineLvl w:val="1"/>
    </w:pPr>
    <w:rPr>
      <w:rFonts w:ascii="Arial Nova" w:hAnsi="Arial Nova"/>
      <w:b/>
      <w:sz w:val="21"/>
      <w:szCs w:val="21"/>
    </w:rPr>
  </w:style>
  <w:style w:type="paragraph" w:styleId="Ttulo3">
    <w:name w:val="heading 3"/>
    <w:basedOn w:val="Normal"/>
    <w:next w:val="Normal"/>
    <w:link w:val="Ttulo3Char"/>
    <w:rsid w:val="0040121A"/>
    <w:pPr>
      <w:keepNext/>
      <w:widowControl/>
      <w:autoSpaceDE/>
      <w:autoSpaceDN/>
      <w:jc w:val="both"/>
      <w:outlineLvl w:val="2"/>
    </w:pPr>
    <w:rPr>
      <w:rFonts w:ascii="Garamond" w:eastAsia="Times New Roman" w:hAnsi="Garamond" w:cs="Times New Roman"/>
      <w:b/>
      <w:bCs/>
      <w:smallCaps/>
      <w:sz w:val="26"/>
      <w:szCs w:val="24"/>
      <w:u w:val="single"/>
      <w:lang w:bidi="ar-SA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rsid w:val="005358A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rsid w:val="0040121A"/>
    <w:pPr>
      <w:keepNext/>
      <w:widowControl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tabs>
        <w:tab w:val="left" w:pos="2160"/>
      </w:tabs>
      <w:autoSpaceDE/>
      <w:autoSpaceDN/>
      <w:jc w:val="center"/>
      <w:outlineLvl w:val="4"/>
    </w:pPr>
    <w:rPr>
      <w:rFonts w:ascii="Garamond" w:eastAsia="Times New Roman" w:hAnsi="Garamond" w:cs="Times New Roman"/>
      <w:b/>
      <w:bCs/>
      <w:sz w:val="28"/>
      <w:szCs w:val="24"/>
      <w:lang w:bidi="ar-SA"/>
    </w:rPr>
  </w:style>
  <w:style w:type="paragraph" w:styleId="Ttulo6">
    <w:name w:val="heading 6"/>
    <w:basedOn w:val="Normal"/>
    <w:next w:val="Normal"/>
    <w:link w:val="Ttulo6Char"/>
    <w:unhideWhenUsed/>
    <w:rsid w:val="0040121A"/>
    <w:pPr>
      <w:widowControl/>
      <w:autoSpaceDE/>
      <w:autoSpaceDN/>
      <w:spacing w:before="240" w:after="60"/>
      <w:outlineLvl w:val="5"/>
    </w:pPr>
    <w:rPr>
      <w:rFonts w:ascii="Calibri" w:eastAsia="Times New Roman" w:hAnsi="Calibri" w:cs="Times New Roman"/>
      <w:b/>
      <w:bCs/>
      <w:smallCaps/>
      <w:lang w:bidi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mbrado-VLF-Corpodetexto1pargrafo">
    <w:name w:val="Timbrado - VLF - Corpo de texto 1º parágrafo"/>
    <w:basedOn w:val="Normal"/>
    <w:rsid w:val="00DC16B4"/>
    <w:pPr>
      <w:spacing w:before="2000" w:after="200"/>
      <w:ind w:left="1644" w:right="1644"/>
      <w:jc w:val="both"/>
    </w:pPr>
    <w:rPr>
      <w:rFonts w:ascii="Arial Nova" w:hAnsi="Arial Nova"/>
      <w:szCs w:val="20"/>
    </w:rPr>
  </w:style>
  <w:style w:type="paragraph" w:customStyle="1" w:styleId="Timbrado-VLF-Corpodetexto">
    <w:name w:val="Timbrado - VLF - Corpo de texto"/>
    <w:basedOn w:val="Normal"/>
    <w:rsid w:val="00DC16B4"/>
    <w:pPr>
      <w:spacing w:after="200"/>
      <w:ind w:left="1644" w:right="1644"/>
      <w:jc w:val="both"/>
    </w:pPr>
    <w:rPr>
      <w:rFonts w:ascii="Arial Nova" w:hAnsi="Arial Nova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DC16B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C16B4"/>
    <w:rPr>
      <w:rFonts w:ascii="Arial" w:eastAsia="Arial" w:hAnsi="Arial" w:cs="Arial"/>
      <w:lang w:val="pt-BR" w:eastAsia="pt-BR" w:bidi="pt-BR"/>
    </w:rPr>
  </w:style>
  <w:style w:type="paragraph" w:styleId="Rodap">
    <w:name w:val="footer"/>
    <w:basedOn w:val="Normal"/>
    <w:link w:val="RodapChar"/>
    <w:uiPriority w:val="99"/>
    <w:unhideWhenUsed/>
    <w:rsid w:val="00DC16B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C16B4"/>
    <w:rPr>
      <w:rFonts w:ascii="Arial" w:eastAsia="Arial" w:hAnsi="Arial" w:cs="Arial"/>
      <w:lang w:val="pt-BR" w:eastAsia="pt-BR" w:bidi="pt-BR"/>
    </w:rPr>
  </w:style>
  <w:style w:type="character" w:customStyle="1" w:styleId="Ttulo3Char">
    <w:name w:val="Título 3 Char"/>
    <w:basedOn w:val="Fontepargpadro"/>
    <w:link w:val="Ttulo3"/>
    <w:rsid w:val="0040121A"/>
    <w:rPr>
      <w:rFonts w:ascii="Garamond" w:eastAsia="Times New Roman" w:hAnsi="Garamond" w:cs="Times New Roman"/>
      <w:b/>
      <w:bCs/>
      <w:smallCaps/>
      <w:sz w:val="26"/>
      <w:szCs w:val="24"/>
      <w:u w:val="single"/>
      <w:lang w:val="pt-BR" w:eastAsia="pt-BR"/>
    </w:rPr>
  </w:style>
  <w:style w:type="character" w:customStyle="1" w:styleId="Ttulo5Char">
    <w:name w:val="Título 5 Char"/>
    <w:basedOn w:val="Fontepargpadro"/>
    <w:link w:val="Ttulo5"/>
    <w:rsid w:val="0040121A"/>
    <w:rPr>
      <w:rFonts w:ascii="Garamond" w:eastAsia="Times New Roman" w:hAnsi="Garamond" w:cs="Times New Roman"/>
      <w:b/>
      <w:bCs/>
      <w:sz w:val="28"/>
      <w:szCs w:val="24"/>
      <w:shd w:val="clear" w:color="auto" w:fill="E0E0E0"/>
      <w:lang w:val="pt-BR" w:eastAsia="pt-BR"/>
    </w:rPr>
  </w:style>
  <w:style w:type="character" w:customStyle="1" w:styleId="Ttulo6Char">
    <w:name w:val="Título 6 Char"/>
    <w:basedOn w:val="Fontepargpadro"/>
    <w:link w:val="Ttulo6"/>
    <w:rsid w:val="0040121A"/>
    <w:rPr>
      <w:rFonts w:ascii="Calibri" w:eastAsia="Times New Roman" w:hAnsi="Calibri" w:cs="Times New Roman"/>
      <w:b/>
      <w:bCs/>
      <w:smallCaps/>
      <w:lang w:val="pt-BR" w:eastAsia="pt-BR"/>
    </w:rPr>
  </w:style>
  <w:style w:type="paragraph" w:styleId="PargrafodaLista">
    <w:name w:val="List Paragraph"/>
    <w:aliases w:val="Modif 2,Normal numerado,Parágrafo numerado,Texto,Rodapé MMSO"/>
    <w:basedOn w:val="Normal"/>
    <w:link w:val="PargrafodaListaChar"/>
    <w:uiPriority w:val="34"/>
    <w:qFormat/>
    <w:rsid w:val="0040121A"/>
    <w:pPr>
      <w:widowControl/>
      <w:autoSpaceDE/>
      <w:autoSpaceDN/>
      <w:ind w:left="708"/>
    </w:pPr>
    <w:rPr>
      <w:rFonts w:ascii="Garamond" w:eastAsia="Times New Roman" w:hAnsi="Garamond" w:cs="Times New Roman"/>
      <w:smallCaps/>
      <w:sz w:val="26"/>
      <w:szCs w:val="24"/>
      <w:lang w:bidi="ar-SA"/>
    </w:rPr>
  </w:style>
  <w:style w:type="paragraph" w:customStyle="1" w:styleId="Default">
    <w:name w:val="Default"/>
    <w:rsid w:val="0040121A"/>
    <w:pPr>
      <w:widowControl/>
      <w:adjustRightInd w:val="0"/>
    </w:pPr>
    <w:rPr>
      <w:rFonts w:ascii="Ecofont Vera Sans" w:eastAsia="Times New Roman" w:hAnsi="Ecofont Vera Sans" w:cs="Ecofont Vera Sans"/>
      <w:color w:val="000000"/>
      <w:sz w:val="24"/>
      <w:szCs w:val="24"/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B3A74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B3A74"/>
    <w:rPr>
      <w:rFonts w:ascii="Segoe UI" w:eastAsia="Arial" w:hAnsi="Segoe UI" w:cs="Segoe UI"/>
      <w:sz w:val="18"/>
      <w:szCs w:val="18"/>
      <w:lang w:val="pt-BR" w:eastAsia="pt-BR" w:bidi="pt-BR"/>
    </w:rPr>
  </w:style>
  <w:style w:type="character" w:customStyle="1" w:styleId="Ttulo1Char">
    <w:name w:val="Título 1 Char"/>
    <w:basedOn w:val="Fontepargpadro"/>
    <w:link w:val="Ttulo1"/>
    <w:uiPriority w:val="9"/>
    <w:rsid w:val="00BE1688"/>
    <w:rPr>
      <w:rFonts w:ascii="Arial Nova" w:eastAsia="Times New Roman" w:hAnsi="Arial Nova" w:cs="Times New Roman"/>
      <w:b/>
      <w:smallCaps/>
      <w:shd w:val="clear" w:color="auto" w:fill="E0E0E0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E160BE"/>
    <w:rPr>
      <w:color w:val="0000FF" w:themeColor="hyperlink"/>
      <w:u w:val="single"/>
    </w:rPr>
  </w:style>
  <w:style w:type="paragraph" w:styleId="Textodenotaderodap">
    <w:name w:val="footnote text"/>
    <w:basedOn w:val="Normal"/>
    <w:link w:val="TextodenotaderodapChar"/>
    <w:unhideWhenUsed/>
    <w:rsid w:val="00E160BE"/>
    <w:pPr>
      <w:widowControl/>
      <w:autoSpaceDE/>
      <w:autoSpaceDN/>
    </w:pPr>
    <w:rPr>
      <w:rFonts w:asciiTheme="minorHAnsi" w:eastAsiaTheme="minorHAnsi" w:hAnsiTheme="minorHAnsi" w:cstheme="minorBidi"/>
      <w:sz w:val="20"/>
      <w:szCs w:val="20"/>
      <w:lang w:eastAsia="en-US" w:bidi="ar-SA"/>
    </w:rPr>
  </w:style>
  <w:style w:type="character" w:customStyle="1" w:styleId="TextodenotaderodapChar">
    <w:name w:val="Texto de nota de rodapé Char"/>
    <w:basedOn w:val="Fontepargpadro"/>
    <w:link w:val="Textodenotaderodap"/>
    <w:rsid w:val="00E160BE"/>
    <w:rPr>
      <w:sz w:val="20"/>
      <w:szCs w:val="20"/>
      <w:lang w:val="pt-BR"/>
    </w:rPr>
  </w:style>
  <w:style w:type="character" w:styleId="Refdenotaderodap">
    <w:name w:val="footnote reference"/>
    <w:basedOn w:val="Fontepargpadro"/>
    <w:unhideWhenUsed/>
    <w:rsid w:val="00E160BE"/>
    <w:rPr>
      <w:vertAlign w:val="superscript"/>
    </w:rPr>
  </w:style>
  <w:style w:type="character" w:customStyle="1" w:styleId="PargrafodaListaChar">
    <w:name w:val="Parágrafo da Lista Char"/>
    <w:aliases w:val="Modif 2 Char,Normal numerado Char,Parágrafo numerado Char,Texto Char,Rodapé MMSO Char"/>
    <w:link w:val="PargrafodaLista"/>
    <w:uiPriority w:val="34"/>
    <w:rsid w:val="00E160BE"/>
    <w:rPr>
      <w:rFonts w:ascii="Garamond" w:eastAsia="Times New Roman" w:hAnsi="Garamond" w:cs="Times New Roman"/>
      <w:smallCaps/>
      <w:sz w:val="26"/>
      <w:szCs w:val="24"/>
      <w:lang w:val="pt-BR" w:eastAsia="pt-BR"/>
    </w:rPr>
  </w:style>
  <w:style w:type="paragraph" w:styleId="SemEspaamento">
    <w:name w:val="No Spacing"/>
    <w:uiPriority w:val="1"/>
    <w:rsid w:val="00CB3306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table" w:styleId="Tabelacomgrade">
    <w:name w:val="Table Grid"/>
    <w:basedOn w:val="Tabelanormal"/>
    <w:uiPriority w:val="59"/>
    <w:rsid w:val="00677A44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pt-BR"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VALDO">
    <w:name w:val="EVALDO"/>
    <w:rsid w:val="00677A44"/>
    <w:pPr>
      <w:widowControl/>
      <w:overflowPunct w:val="0"/>
      <w:adjustRightInd w:val="0"/>
      <w:spacing w:after="240" w:line="240" w:lineRule="exact"/>
      <w:ind w:firstLine="3402"/>
      <w:jc w:val="both"/>
    </w:pPr>
    <w:rPr>
      <w:rFonts w:ascii="Courier" w:eastAsia="Times New Roman" w:hAnsi="Courier" w:cs="Times New Roman"/>
      <w:sz w:val="24"/>
      <w:szCs w:val="20"/>
      <w:lang w:val="pt-PT" w:eastAsia="pt-BR"/>
    </w:rPr>
  </w:style>
  <w:style w:type="paragraph" w:styleId="Commarcadores">
    <w:name w:val="List Bullet"/>
    <w:basedOn w:val="Normal"/>
    <w:uiPriority w:val="99"/>
    <w:rsid w:val="00677A44"/>
    <w:pPr>
      <w:widowControl/>
      <w:numPr>
        <w:numId w:val="7"/>
      </w:numPr>
      <w:autoSpaceDE/>
      <w:autoSpaceDN/>
      <w:contextualSpacing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Ttulo2Char">
    <w:name w:val="Título 2 Char"/>
    <w:basedOn w:val="Fontepargpadro"/>
    <w:link w:val="Ttulo2"/>
    <w:uiPriority w:val="9"/>
    <w:rsid w:val="00BE1688"/>
    <w:rPr>
      <w:rFonts w:ascii="Arial Nova" w:eastAsia="Times New Roman" w:hAnsi="Arial Nova" w:cs="Times New Roman"/>
      <w:b/>
      <w:smallCaps/>
      <w:sz w:val="21"/>
      <w:szCs w:val="21"/>
      <w:lang w:val="pt-BR" w:eastAsia="pt-BR"/>
    </w:rPr>
  </w:style>
  <w:style w:type="paragraph" w:styleId="Lista">
    <w:name w:val="List"/>
    <w:basedOn w:val="Normal"/>
    <w:uiPriority w:val="99"/>
    <w:unhideWhenUsed/>
    <w:rsid w:val="00203D6E"/>
    <w:pPr>
      <w:ind w:left="283" w:hanging="283"/>
      <w:contextualSpacing/>
    </w:pPr>
  </w:style>
  <w:style w:type="paragraph" w:styleId="Listadecontinuao">
    <w:name w:val="List Continue"/>
    <w:basedOn w:val="Normal"/>
    <w:uiPriority w:val="99"/>
    <w:unhideWhenUsed/>
    <w:rsid w:val="00203D6E"/>
    <w:pPr>
      <w:spacing w:after="120"/>
      <w:ind w:left="283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BE1688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0E0E0"/>
      <w:tabs>
        <w:tab w:val="left" w:pos="1701"/>
      </w:tabs>
      <w:jc w:val="center"/>
    </w:pPr>
    <w:rPr>
      <w:rFonts w:ascii="Arial Nova" w:hAnsi="Arial Nova"/>
      <w:b/>
      <w:smallCaps/>
      <w:sz w:val="24"/>
      <w:szCs w:val="24"/>
    </w:rPr>
  </w:style>
  <w:style w:type="character" w:customStyle="1" w:styleId="TtuloChar">
    <w:name w:val="Título Char"/>
    <w:basedOn w:val="Fontepargpadro"/>
    <w:link w:val="Ttulo"/>
    <w:uiPriority w:val="10"/>
    <w:rsid w:val="00BE1688"/>
    <w:rPr>
      <w:rFonts w:ascii="Arial Nova" w:eastAsia="Arial" w:hAnsi="Arial Nova" w:cs="Arial"/>
      <w:b/>
      <w:smallCaps/>
      <w:sz w:val="24"/>
      <w:szCs w:val="24"/>
      <w:shd w:val="clear" w:color="auto" w:fill="E0E0E0"/>
      <w:lang w:val="pt-BR" w:eastAsia="pt-BR" w:bidi="pt-BR"/>
    </w:rPr>
  </w:style>
  <w:style w:type="paragraph" w:styleId="Corpodetexto">
    <w:name w:val="Body Text"/>
    <w:basedOn w:val="Normal"/>
    <w:link w:val="CorpodetextoChar"/>
    <w:uiPriority w:val="99"/>
    <w:unhideWhenUsed/>
    <w:rsid w:val="00203D6E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203D6E"/>
    <w:rPr>
      <w:rFonts w:ascii="Arial" w:eastAsia="Arial" w:hAnsi="Arial" w:cs="Arial"/>
      <w:lang w:val="pt-BR" w:eastAsia="pt-BR" w:bidi="pt-BR"/>
    </w:rPr>
  </w:style>
  <w:style w:type="paragraph" w:styleId="Primeirorecuodecorpodetexto">
    <w:name w:val="Body Text First Indent"/>
    <w:basedOn w:val="Corpodetexto"/>
    <w:link w:val="PrimeirorecuodecorpodetextoChar"/>
    <w:uiPriority w:val="99"/>
    <w:unhideWhenUsed/>
    <w:rsid w:val="00203D6E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rsid w:val="00203D6E"/>
    <w:rPr>
      <w:rFonts w:ascii="Arial" w:eastAsia="Arial" w:hAnsi="Arial" w:cs="Arial"/>
      <w:lang w:val="pt-BR" w:eastAsia="pt-BR" w:bidi="pt-BR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203D6E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203D6E"/>
    <w:rPr>
      <w:rFonts w:ascii="Arial" w:eastAsia="Arial" w:hAnsi="Arial" w:cs="Arial"/>
      <w:lang w:val="pt-BR" w:eastAsia="pt-BR" w:bidi="pt-BR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unhideWhenUsed/>
    <w:rsid w:val="00203D6E"/>
    <w:pPr>
      <w:spacing w:after="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rsid w:val="00203D6E"/>
    <w:rPr>
      <w:rFonts w:ascii="Arial" w:eastAsia="Arial" w:hAnsi="Arial" w:cs="Arial"/>
      <w:lang w:val="pt-BR" w:eastAsia="pt-BR" w:bidi="pt-BR"/>
    </w:rPr>
  </w:style>
  <w:style w:type="character" w:customStyle="1" w:styleId="apple-converted-space">
    <w:name w:val="apple-converted-space"/>
    <w:rsid w:val="002A389C"/>
  </w:style>
  <w:style w:type="paragraph" w:customStyle="1" w:styleId="textoescritrio">
    <w:name w:val="texto escritório"/>
    <w:basedOn w:val="Normal"/>
    <w:autoRedefine/>
    <w:rsid w:val="00131148"/>
    <w:pPr>
      <w:widowControl/>
      <w:suppressAutoHyphens/>
      <w:autoSpaceDE/>
      <w:autoSpaceDN/>
      <w:spacing w:line="320" w:lineRule="atLeast"/>
      <w:jc w:val="center"/>
    </w:pPr>
    <w:rPr>
      <w:rFonts w:ascii="Garamond" w:eastAsia="Times New Roman" w:hAnsi="Garamond" w:cs="Times New Roman"/>
      <w:spacing w:val="20"/>
      <w:sz w:val="28"/>
      <w:szCs w:val="28"/>
      <w:lang w:bidi="ar-SA"/>
    </w:rPr>
  </w:style>
  <w:style w:type="paragraph" w:styleId="Subttulo">
    <w:name w:val="Subtitle"/>
    <w:basedOn w:val="Ttulo"/>
    <w:next w:val="Normal"/>
    <w:link w:val="SubttuloChar"/>
    <w:uiPriority w:val="11"/>
    <w:rsid w:val="00BE1688"/>
  </w:style>
  <w:style w:type="character" w:customStyle="1" w:styleId="SubttuloChar">
    <w:name w:val="Subtítulo Char"/>
    <w:basedOn w:val="Fontepargpadro"/>
    <w:link w:val="Subttulo"/>
    <w:uiPriority w:val="11"/>
    <w:rsid w:val="00BE1688"/>
    <w:rPr>
      <w:rFonts w:ascii="Arial Nova" w:eastAsia="Arial" w:hAnsi="Arial Nova" w:cs="Arial"/>
      <w:b/>
      <w:smallCaps/>
      <w:sz w:val="24"/>
      <w:szCs w:val="24"/>
      <w:shd w:val="clear" w:color="auto" w:fill="E0E0E0"/>
      <w:lang w:val="pt-BR" w:eastAsia="pt-BR" w:bidi="pt-BR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358A8"/>
    <w:rPr>
      <w:rFonts w:asciiTheme="majorHAnsi" w:eastAsiaTheme="majorEastAsia" w:hAnsiTheme="majorHAnsi" w:cstheme="majorBidi"/>
      <w:i/>
      <w:iCs/>
      <w:color w:val="365F91" w:themeColor="accent1" w:themeShade="BF"/>
      <w:lang w:val="pt-BR" w:eastAsia="pt-BR" w:bidi="pt-BR"/>
    </w:rPr>
  </w:style>
  <w:style w:type="paragraph" w:customStyle="1" w:styleId="APargrafo">
    <w:name w:val="AParágrafo"/>
    <w:basedOn w:val="Normal"/>
    <w:qFormat/>
    <w:rsid w:val="005358A8"/>
    <w:pPr>
      <w:widowControl/>
      <w:numPr>
        <w:numId w:val="12"/>
      </w:numPr>
      <w:tabs>
        <w:tab w:val="left" w:pos="1701"/>
      </w:tabs>
      <w:autoSpaceDE/>
      <w:autoSpaceDN/>
      <w:spacing w:line="360" w:lineRule="auto"/>
      <w:ind w:left="0" w:firstLine="0"/>
      <w:jc w:val="both"/>
    </w:pPr>
    <w:rPr>
      <w:rFonts w:ascii="Arial Nova" w:eastAsia="Times New Roman" w:hAnsi="Arial Nova" w:cs="Times New Roman"/>
      <w:lang w:bidi="ar-SA"/>
    </w:rPr>
  </w:style>
  <w:style w:type="paragraph" w:customStyle="1" w:styleId="CitaoVLF">
    <w:name w:val="Citação VLF"/>
    <w:basedOn w:val="PargrafodaLista"/>
    <w:link w:val="CitaoVLFChar"/>
    <w:qFormat/>
    <w:rsid w:val="005358A8"/>
    <w:pPr>
      <w:ind w:left="1701"/>
      <w:jc w:val="both"/>
    </w:pPr>
    <w:rPr>
      <w:rFonts w:ascii="Arial Nova" w:hAnsi="Arial Nova"/>
      <w:smallCaps w:val="0"/>
      <w:sz w:val="20"/>
      <w:szCs w:val="20"/>
    </w:rPr>
  </w:style>
  <w:style w:type="character" w:customStyle="1" w:styleId="CitaoVLFChar">
    <w:name w:val="Citação VLF Char"/>
    <w:link w:val="CitaoVLF"/>
    <w:rsid w:val="005358A8"/>
    <w:rPr>
      <w:rFonts w:ascii="Arial Nova" w:eastAsia="Times New Roman" w:hAnsi="Arial Nova" w:cs="Times New Roman"/>
      <w:sz w:val="20"/>
      <w:szCs w:val="20"/>
      <w:lang w:val="pt-BR" w:eastAsia="pt-BR"/>
    </w:rPr>
  </w:style>
  <w:style w:type="paragraph" w:customStyle="1" w:styleId="m6582299275299223099gmail-msonormal">
    <w:name w:val="m_6582299275299223099gmail-msonormal"/>
    <w:basedOn w:val="Normal"/>
    <w:rsid w:val="005358A8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AVLF">
    <w:name w:val="A VLF"/>
    <w:basedOn w:val="Normal"/>
    <w:link w:val="AVLFChar"/>
    <w:autoRedefine/>
    <w:rsid w:val="005358A8"/>
    <w:pPr>
      <w:widowControl/>
      <w:numPr>
        <w:numId w:val="13"/>
      </w:numPr>
      <w:tabs>
        <w:tab w:val="left" w:pos="1701"/>
      </w:tabs>
      <w:autoSpaceDE/>
      <w:autoSpaceDN/>
      <w:spacing w:line="360" w:lineRule="auto"/>
      <w:ind w:left="0" w:firstLine="0"/>
      <w:jc w:val="both"/>
    </w:pPr>
    <w:rPr>
      <w:rFonts w:ascii="Arial Nova" w:hAnsi="Arial Nova"/>
      <w:lang w:eastAsia="en-US" w:bidi="ar-SA"/>
    </w:rPr>
  </w:style>
  <w:style w:type="character" w:customStyle="1" w:styleId="AVLFChar">
    <w:name w:val="A VLF Char"/>
    <w:basedOn w:val="Fontepargpadro"/>
    <w:link w:val="AVLF"/>
    <w:rsid w:val="005358A8"/>
    <w:rPr>
      <w:rFonts w:ascii="Arial Nova" w:eastAsia="Arial" w:hAnsi="Arial Nova" w:cs="Arial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8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magisteronline.com.br/mgstrnet/lpext.dll?f=FifLink&amp;t=document-frame.htm&amp;l=jump&amp;iid=c%3A%5CViews44%5CMagister%5CMgstrnet%5CMagNet_Legis.nfo&amp;d=LEI%209472,%20art.%2094&amp;sid=628d72b7.c489d92b.0.0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www.magisteronline.com.br/mgstrnet/lpext.dll?f=FifLink&amp;t=document-frame.htm&amp;l=jump&amp;iid=c%3A%5CViews44%5CMagister%5CMgstrnet%5CMagNet_Legis.nfo&amp;d=LEI%209472&amp;sid=628d72b7.c489d92b.0.0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magisteronline.com.br/mgstrnet/lpext.dll?f=FifLink&amp;t=document-frame.htm&amp;l=jump&amp;iid=c%3A%5CViews44%5CMagister%5CMgstrnet%5CMagNet_Legis.nfo&amp;d=NCPC,%20art.%20949&amp;sid=628d72b7.c489d92b.0.0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magisteronline.com.br/mgstrnet/lpext.dll?f=FifLink&amp;t=document-frame.htm&amp;l=jump&amp;iid=c%3A%5CViews44%5CMagister%5CMgstrnet%5CMagNet_Legis.nfo&amp;d=LEI%209472,%20art.%2094&amp;sid=628d72b7.c489d92b.0.0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www.magisteronline.com.br/mgstrnet/lpext.dll?f=FifLink&amp;t=document-frame.htm&amp;l=jump&amp;iid=c%3A%5CViews44%5CMagister%5CMgstrnet%5CMagNet_Legis.nfo&amp;d=CF,%20art.%2097&amp;sid=628d72b7.c489d92b.0.0" TargetMode="Externa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magisteronline.com.br/mgstrnet/lpext.dll?f=FifLink&amp;t=document-frame.htm&amp;l=jump&amp;iid=c%3A%5CViews44%5CMagister%5CMgstrnet%5CMagNet_Legis.nfo&amp;d=LEI%209472&amp;sid=628d72b7.c489d92b.0.0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7AE105C5D7D744C9423D06D6F919020" ma:contentTypeVersion="27" ma:contentTypeDescription="Crie um novo documento." ma:contentTypeScope="" ma:versionID="44f55fa74d426777d364eb431e0a91db">
  <xsd:schema xmlns:xsd="http://www.w3.org/2001/XMLSchema" xmlns:xs="http://www.w3.org/2001/XMLSchema" xmlns:p="http://schemas.microsoft.com/office/2006/metadata/properties" xmlns:ns2="3d1517fb-7399-431e-bfee-f339c4c1443b" xmlns:ns3="740d6832-c989-4a6d-887d-911ed9ee777a" targetNamespace="http://schemas.microsoft.com/office/2006/metadata/properties" ma:root="true" ma:fieldsID="489c5fab7a94f50d444f5ee3c133c0be" ns2:_="" ns3:_="">
    <xsd:import namespace="3d1517fb-7399-431e-bfee-f339c4c1443b"/>
    <xsd:import namespace="740d6832-c989-4a6d-887d-911ed9ee777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DatadoDocumento" minOccurs="0"/>
                <xsd:element ref="ns3:Status" minOccurs="0"/>
                <xsd:element ref="ns3:MediaLengthInSeconds" minOccurs="0"/>
                <xsd:element ref="ns3:_Flow_SignoffStatus" minOccurs="0"/>
                <xsd:element ref="ns3:lcf76f155ced4ddcb4097134ff3c332f" minOccurs="0"/>
                <xsd:element ref="ns2:TaxCatchAll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1517fb-7399-431e-bfee-f339c4c144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26" nillable="true" ma:displayName="Taxonomy Catch All Column" ma:hidden="true" ma:list="{eb1ed48a-0d21-4788-bbce-7f9aacbb924e}" ma:internalName="TaxCatchAll" ma:showField="CatchAllData" ma:web="3d1517fb-7399-431e-bfee-f339c4c144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0d6832-c989-4a6d-887d-911ed9ee77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DatadoDocumento" ma:index="20" nillable="true" ma:displayName="Data do Documento" ma:description="Destinado a inserção manual da efetiva data do documento. Ex.: data de recebimento do e-mail, data de assinatura, data de registro, etc." ma:format="DateOnly" ma:indexed="true" ma:internalName="DatadoDocumento">
      <xsd:simpleType>
        <xsd:restriction base="dms:DateTime"/>
      </xsd:simpleType>
    </xsd:element>
    <xsd:element name="Status" ma:index="21" nillable="true" ma:displayName="Status" ma:format="Dropdown" ma:internalName="Status">
      <xsd:simpleType>
        <xsd:restriction base="dms:Choice">
          <xsd:enumeration value="Aceita"/>
          <xsd:enumeration value="Recusada"/>
          <xsd:enumeration value="Enviada"/>
        </xsd:restriction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_Flow_SignoffStatus" ma:index="23" nillable="true" ma:displayName="Estado da aprovação" ma:internalName="Estado_x0020_da_x0020_aprova_x00e7__x00e3_o">
      <xsd:simpleType>
        <xsd:restriction base="dms:Text"/>
      </xsd:simpleType>
    </xsd:element>
    <xsd:element name="lcf76f155ced4ddcb4097134ff3c332f" ma:index="25" nillable="true" ma:taxonomy="true" ma:internalName="lcf76f155ced4ddcb4097134ff3c332f" ma:taxonomyFieldName="MediaServiceImageTags" ma:displayName="Marcações de imagem" ma:readOnly="false" ma:fieldId="{5cf76f15-5ced-4ddc-b409-7134ff3c332f}" ma:taxonomyMulti="true" ma:sspId="08230eed-4a43-4aae-8e11-ce09ddebf2f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7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40d6832-c989-4a6d-887d-911ed9ee777a" xsi:nil="true"/>
    <DatadoDocumento xmlns="740d6832-c989-4a6d-887d-911ed9ee777a" xsi:nil="true"/>
    <_Flow_SignoffStatus xmlns="740d6832-c989-4a6d-887d-911ed9ee777a" xsi:nil="true"/>
    <TaxCatchAll xmlns="3d1517fb-7399-431e-bfee-f339c4c1443b" xsi:nil="true"/>
    <lcf76f155ced4ddcb4097134ff3c332f xmlns="740d6832-c989-4a6d-887d-911ed9ee777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77CDDDA-8D8B-4EB5-AAA6-B301F630ED6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A08414F-9462-431F-9CF7-C5D22DD02A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EB29C3-85A6-41F0-81A0-0DC4BEB28A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1517fb-7399-431e-bfee-f339c4c1443b"/>
    <ds:schemaRef ds:uri="740d6832-c989-4a6d-887d-911ed9ee77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F7D0C96-4D78-4E02-9E0F-99CD1E53AE49}">
  <ds:schemaRefs>
    <ds:schemaRef ds:uri="http://schemas.microsoft.com/office/2006/metadata/properties"/>
    <ds:schemaRef ds:uri="http://schemas.microsoft.com/office/infopath/2007/PartnerControls"/>
    <ds:schemaRef ds:uri="740d6832-c989-4a6d-887d-911ed9ee777a"/>
    <ds:schemaRef ds:uri="3d1517fb-7399-431e-bfee-f339c4c1443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1480</Words>
  <Characters>7992</Characters>
  <Application>Microsoft Office Word</Application>
  <DocSecurity>0</DocSecurity>
  <Lines>66</Lines>
  <Paragraphs>18</Paragraphs>
  <ScaleCrop>false</ScaleCrop>
  <Company/>
  <LinksUpToDate>false</LinksUpToDate>
  <CharactersWithSpaces>9454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Christian Lopes</dc:creator>
  <cp:lastModifiedBy>Henrique Abrantes</cp:lastModifiedBy>
  <cp:revision>4</cp:revision>
  <cp:lastPrinted>2020-02-06T14:48:00Z</cp:lastPrinted>
  <dcterms:created xsi:type="dcterms:W3CDTF">2025-02-02T20:53:00Z</dcterms:created>
  <dcterms:modified xsi:type="dcterms:W3CDTF">2025-02-02T20:53:00Z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2019-09-24T00:00:00Z</vt:filetime>
  </property>
  <property fmtid="{D5CDD505-2E9C-101B-9397-08002B2CF9AE}" pid="3" name="Creator">
    <vt:lpwstr>Adobe InDesign CC 14.0 (Windows)</vt:lpwstr>
  </property>
  <property fmtid="{D5CDD505-2E9C-101B-9397-08002B2CF9AE}" pid="4" name="LastSaved">
    <vt:filetime>2019-09-24T00:00:00Z</vt:filetime>
  </property>
  <property fmtid="{D5CDD505-2E9C-101B-9397-08002B2CF9AE}" pid="5" name="ContentTypeId">
    <vt:lpwstr>0x01010087AE105C5D7D744C9423D06D6F919020</vt:lpwstr>
  </property>
  <property fmtid="{D5CDD505-2E9C-101B-9397-08002B2CF9AE}" pid="6" name="MediaServiceImageTags">
    <vt:lpwstr/>
  </property>
</Properties>
</file>