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7CA80" w14:textId="77777777" w:rsidR="00333233" w:rsidRDefault="00333233" w:rsidP="00333233">
      <w:pPr>
        <w:pStyle w:val="Ttulo2"/>
      </w:pPr>
      <w:r>
        <w:t>Horas Extras</w:t>
      </w:r>
    </w:p>
    <w:p w14:paraId="73604F83" w14:textId="77777777" w:rsidR="00333233" w:rsidRPr="00497551" w:rsidRDefault="00333233" w:rsidP="00333233">
      <w:pPr>
        <w:tabs>
          <w:tab w:val="left" w:pos="1701"/>
        </w:tabs>
        <w:jc w:val="center"/>
        <w:rPr>
          <w:rFonts w:ascii="Arial Nova" w:hAnsi="Arial Nova"/>
          <w:b/>
          <w:smallCaps/>
        </w:rPr>
      </w:pPr>
    </w:p>
    <w:p w14:paraId="50D74B93" w14:textId="77777777" w:rsidR="00333233" w:rsidRPr="00E974A2" w:rsidRDefault="00333233" w:rsidP="00333233">
      <w:pPr>
        <w:pStyle w:val="APargrafo"/>
      </w:pPr>
      <w:r>
        <w:t>A reclamante</w:t>
      </w:r>
      <w:r w:rsidRPr="00E974A2">
        <w:t xml:space="preserve"> alega fazer jus a diferenças de horas extras supostamente trabalhadas. Entretanto, o Banco Inter jamais foi empregador e não possui qualquer relação jurídica com </w:t>
      </w:r>
      <w:r>
        <w:t>a obreira</w:t>
      </w:r>
      <w:r w:rsidRPr="00E974A2">
        <w:t>, não havendo que se falar em sua responsabilidade pelo pagamento das supostas horas extras, seja a que título for.</w:t>
      </w:r>
    </w:p>
    <w:p w14:paraId="6E7B3153" w14:textId="77777777" w:rsidR="00333233" w:rsidRDefault="00333233" w:rsidP="00333233">
      <w:pPr>
        <w:pStyle w:val="AVLF"/>
        <w:numPr>
          <w:ilvl w:val="0"/>
          <w:numId w:val="0"/>
        </w:numPr>
        <w:rPr>
          <w:highlight w:val="yellow"/>
        </w:rPr>
      </w:pPr>
    </w:p>
    <w:p w14:paraId="07201EB6" w14:textId="77777777" w:rsidR="00333233" w:rsidRDefault="00333233" w:rsidP="00333233">
      <w:pPr>
        <w:pStyle w:val="APargrafo"/>
      </w:pPr>
      <w:r w:rsidRPr="00BE69FE">
        <w:t xml:space="preserve">Como esclarecido nos tópicos acima, </w:t>
      </w:r>
      <w:r>
        <w:t>a reclamante</w:t>
      </w:r>
      <w:r w:rsidRPr="00BE69FE">
        <w:t xml:space="preserve"> não desempenhava atividades de bancári</w:t>
      </w:r>
      <w:r>
        <w:t>o</w:t>
      </w:r>
      <w:r w:rsidRPr="00BE69FE">
        <w:t>, bem como sua empregadora não é de uma instituição financeira ou bancária, razão pela qual não pode ser enquadrad</w:t>
      </w:r>
      <w:r>
        <w:t>o</w:t>
      </w:r>
      <w:r w:rsidRPr="00BE69FE">
        <w:t xml:space="preserve"> </w:t>
      </w:r>
      <w:r>
        <w:t>na categoria dos bancários</w:t>
      </w:r>
      <w:r w:rsidRPr="00BE69FE">
        <w:t xml:space="preserve"> com jornada de 6 horas diárias e 30 horas semanais, tampouco com divisor de 1</w:t>
      </w:r>
      <w:r>
        <w:t>5</w:t>
      </w:r>
      <w:r w:rsidRPr="00BE69FE">
        <w:t>0.</w:t>
      </w:r>
      <w:r>
        <w:t xml:space="preserve"> Sendo inaplicável o art. 224, caput, da CLT.</w:t>
      </w:r>
    </w:p>
    <w:p w14:paraId="7646F2C6" w14:textId="77777777" w:rsidR="00333233" w:rsidRDefault="00333233" w:rsidP="00333233">
      <w:pPr>
        <w:pStyle w:val="PargrafodaLista"/>
      </w:pPr>
    </w:p>
    <w:p w14:paraId="1ADC7AC9" w14:textId="77777777" w:rsidR="00333233" w:rsidRDefault="00333233" w:rsidP="00333233">
      <w:pPr>
        <w:pStyle w:val="APargrafo"/>
      </w:pPr>
      <w:r w:rsidRPr="007D132D">
        <w:t>Embora o Banco Inter jamais tenha sido empregador d</w:t>
      </w:r>
      <w:r>
        <w:t>a reclamante</w:t>
      </w:r>
      <w:r w:rsidRPr="007D132D">
        <w:t xml:space="preserve">, não possuindo qualquer ingerência sobre o seu horário de trabalho, </w:t>
      </w:r>
      <w:r w:rsidRPr="00E974A2">
        <w:t xml:space="preserve">fica impugnada a alegação obreira de que laborava </w:t>
      </w:r>
      <w:r>
        <w:t>n</w:t>
      </w:r>
      <w:r w:rsidRPr="00E974A2">
        <w:t>o</w:t>
      </w:r>
      <w:r>
        <w:t xml:space="preserve"> horário</w:t>
      </w:r>
      <w:r w:rsidRPr="00E974A2">
        <w:t xml:space="preserve"> aduzido na inicial, cabendo </w:t>
      </w:r>
      <w:r>
        <w:t xml:space="preserve">a ela </w:t>
      </w:r>
      <w:r w:rsidRPr="00E974A2">
        <w:t>o ônus da prova, a teor do disposto no</w:t>
      </w:r>
      <w:r>
        <w:t>s</w:t>
      </w:r>
      <w:r w:rsidRPr="00E974A2">
        <w:t xml:space="preserve"> art</w:t>
      </w:r>
      <w:r>
        <w:t>s.</w:t>
      </w:r>
      <w:r w:rsidRPr="00E974A2">
        <w:t xml:space="preserve"> 818, I da CLT </w:t>
      </w:r>
      <w:r>
        <w:t>e</w:t>
      </w:r>
      <w:r w:rsidRPr="00E974A2">
        <w:t xml:space="preserve"> 373, I do CPC. </w:t>
      </w:r>
    </w:p>
    <w:p w14:paraId="175F3761" w14:textId="77777777" w:rsidR="00333233" w:rsidRDefault="00333233" w:rsidP="00333233">
      <w:pPr>
        <w:pStyle w:val="PargrafodaLista"/>
        <w:rPr>
          <w:rFonts w:ascii="Arial Nova" w:hAnsi="Arial Nova"/>
          <w:sz w:val="22"/>
          <w:szCs w:val="22"/>
        </w:rPr>
      </w:pPr>
    </w:p>
    <w:p w14:paraId="3ADC4D38" w14:textId="77777777" w:rsidR="00333233" w:rsidRDefault="00333233" w:rsidP="00333233">
      <w:pPr>
        <w:pStyle w:val="APargrafo"/>
      </w:pPr>
      <w:r>
        <w:t>O Banco Inter acredita que a reclamante cumpria corretamente o horário de sua jornada de trabalho, registrando o seu ponto regularmente, o que será comprovado pela empregadora, Almaviva.</w:t>
      </w:r>
    </w:p>
    <w:p w14:paraId="308B3409" w14:textId="77777777" w:rsidR="00333233" w:rsidRDefault="00333233" w:rsidP="00333233">
      <w:pPr>
        <w:pStyle w:val="PargrafodaLista"/>
        <w:rPr>
          <w:rFonts w:ascii="Arial Nova" w:hAnsi="Arial Nova"/>
          <w:sz w:val="22"/>
          <w:szCs w:val="22"/>
        </w:rPr>
      </w:pPr>
    </w:p>
    <w:p w14:paraId="67581D2D" w14:textId="77777777" w:rsidR="00333233" w:rsidRPr="00E974A2" w:rsidRDefault="00333233" w:rsidP="00333233">
      <w:pPr>
        <w:pStyle w:val="APargrafo"/>
      </w:pPr>
      <w:r w:rsidRPr="00E974A2">
        <w:t>Assim requer-se seja</w:t>
      </w:r>
      <w:r>
        <w:t xml:space="preserve"> </w:t>
      </w:r>
      <w:r w:rsidRPr="00E974A2">
        <w:t xml:space="preserve">julgado </w:t>
      </w:r>
      <w:r>
        <w:t>im</w:t>
      </w:r>
      <w:r w:rsidRPr="00E974A2">
        <w:t>procedente o pedido de horas extras excedentes à jornada bancária</w:t>
      </w:r>
      <w:r>
        <w:t>,</w:t>
      </w:r>
      <w:r w:rsidRPr="00E974A2">
        <w:t xml:space="preserve"> com os respectivos adicionais e reflexos</w:t>
      </w:r>
      <w:r>
        <w:t>.</w:t>
      </w:r>
    </w:p>
    <w:p w14:paraId="3A64345E" w14:textId="77777777" w:rsidR="00333233" w:rsidRPr="007D132D" w:rsidRDefault="00333233" w:rsidP="00333233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3139DF01" w14:textId="77777777" w:rsidR="00333233" w:rsidRPr="007D132D" w:rsidRDefault="00333233" w:rsidP="00333233">
      <w:pPr>
        <w:pStyle w:val="APargrafo"/>
      </w:pPr>
      <w:r>
        <w:t>P</w:t>
      </w:r>
      <w:r w:rsidRPr="007D132D">
        <w:t xml:space="preserve">or extrema cautela, caso sejam reconhecidas as horas extras a partir da 6ª como devidas, o que somente se admite por hipótese e em respeito ao princípio da eventualidade, cumpre ressaltar que a majoração do repouso semanal remunerado em razão da integração das horas extras habitualmente prestadas, não deve repercutir no cálculo das férias, da gratificação natalina, do aviso prévio e do FGTS + 40%, sob pena de caracterização de bis in idem, nos termos da Orientação Jurisprudencial nº 394 da </w:t>
      </w:r>
      <w:r>
        <w:t>SDI-1.</w:t>
      </w:r>
    </w:p>
    <w:p w14:paraId="142CEF93" w14:textId="77777777" w:rsidR="00333233" w:rsidRPr="007D132D" w:rsidRDefault="00333233" w:rsidP="00333233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1AEF9573" w14:textId="77777777" w:rsidR="00333233" w:rsidRPr="007D132D" w:rsidRDefault="00333233" w:rsidP="00333233">
      <w:pPr>
        <w:pStyle w:val="APargrafo"/>
      </w:pPr>
      <w:r w:rsidRPr="007D132D">
        <w:lastRenderedPageBreak/>
        <w:t>No caso de ser deferido o pagamento de horas extras a</w:t>
      </w:r>
      <w:r>
        <w:t>a obreira</w:t>
      </w:r>
      <w:r w:rsidRPr="007D132D">
        <w:t xml:space="preserve">, o que somente se admite </w:t>
      </w:r>
      <w:r w:rsidRPr="007D132D">
        <w:rPr>
          <w:i/>
          <w:iCs/>
        </w:rPr>
        <w:t>ad argumentandum tantum</w:t>
      </w:r>
      <w:r w:rsidRPr="007D132D">
        <w:t xml:space="preserve">, é certo que deverá incidir sobre as horas extras eventualmente deferidas o adicional legal de 50%, uma vez que não cuidou </w:t>
      </w:r>
      <w:r>
        <w:t>a reclamante</w:t>
      </w:r>
      <w:r w:rsidRPr="007D132D">
        <w:t xml:space="preserve"> de trazer aos autos as normas coletivas que supostamente preceituam a aplicação de adicional diverso, ônus que lhe competia.</w:t>
      </w:r>
    </w:p>
    <w:p w14:paraId="74451558" w14:textId="77777777" w:rsidR="00333233" w:rsidRPr="007D132D" w:rsidRDefault="00333233" w:rsidP="00333233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1950D67E" w14:textId="77777777" w:rsidR="00333233" w:rsidRPr="007D132D" w:rsidRDefault="00333233" w:rsidP="00333233">
      <w:pPr>
        <w:pStyle w:val="APargrafo"/>
      </w:pPr>
      <w:r w:rsidRPr="007D132D">
        <w:t xml:space="preserve">Por fim, devem ser compensadas as horas extras que </w:t>
      </w:r>
      <w:r>
        <w:t>a primeira reclamada</w:t>
      </w:r>
      <w:r w:rsidRPr="007D132D">
        <w:t xml:space="preserve"> eventualmente comprovar já ter efetuado o pagamento, nos termos da OJ 415 do C. TST.</w:t>
      </w:r>
    </w:p>
    <w:p w14:paraId="4D416DA0" w14:textId="77777777" w:rsidR="00333233" w:rsidRPr="007D132D" w:rsidRDefault="00333233" w:rsidP="00333233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62176266" w14:textId="77777777" w:rsidR="00333233" w:rsidRPr="007D132D" w:rsidRDefault="00333233" w:rsidP="00333233">
      <w:pPr>
        <w:pStyle w:val="APargrafo"/>
      </w:pPr>
      <w:r w:rsidRPr="007D132D">
        <w:t xml:space="preserve">Deve, ainda, ser considerado o disposto na Súmula 366 do C. TST, que dispõe que não são considerados como extras os minutos residuais não excedentes a 10 diários. </w:t>
      </w:r>
    </w:p>
    <w:p w14:paraId="3626C3A3" w14:textId="77777777" w:rsidR="00333233" w:rsidRPr="007D132D" w:rsidRDefault="00333233" w:rsidP="00333233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082C233A" w14:textId="77777777" w:rsidR="00333233" w:rsidRPr="007D132D" w:rsidRDefault="00333233" w:rsidP="00333233">
      <w:pPr>
        <w:pStyle w:val="APargrafo"/>
      </w:pPr>
      <w:r w:rsidRPr="007D132D">
        <w:t xml:space="preserve">Por fim, se, por absurdo, </w:t>
      </w:r>
      <w:r>
        <w:t>houver condenação</w:t>
      </w:r>
      <w:r w:rsidRPr="007D132D">
        <w:t xml:space="preserve"> em horas extras além da 6ª, deverá</w:t>
      </w:r>
      <w:r>
        <w:t xml:space="preserve"> </w:t>
      </w:r>
      <w:r w:rsidRPr="007D132D">
        <w:t>haver uma limitação da repercussão das mesmas aos sábados, já que o sábado é dia útil não trabalhado para o bancário, na forma do Enunciado 113 do TST, que desautoriza os reflexos das horas extras sobre o RSR, inclusive nos sábados, domingos e feriados, bem como diferenças de férias, 13º salários e depósitos fundiários com a respectiva indenização.</w:t>
      </w:r>
    </w:p>
    <w:p w14:paraId="3ACB46E0" w14:textId="4437453E" w:rsidR="00702F18" w:rsidRDefault="00702F18" w:rsidP="00702F18"/>
    <w:p w14:paraId="1A2C0EC3" w14:textId="77777777" w:rsidR="003213CC" w:rsidRPr="00702F18" w:rsidRDefault="003213CC" w:rsidP="00702F18"/>
    <w:sectPr w:rsidR="003213CC" w:rsidRPr="00702F18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6AC883" w14:textId="77777777" w:rsidR="006840C8" w:rsidRDefault="006840C8" w:rsidP="00B40954">
      <w:r>
        <w:separator/>
      </w:r>
    </w:p>
  </w:endnote>
  <w:endnote w:type="continuationSeparator" w:id="0">
    <w:p w14:paraId="2DC1ACA8" w14:textId="77777777" w:rsidR="006840C8" w:rsidRDefault="006840C8" w:rsidP="00B40954">
      <w:r>
        <w:continuationSeparator/>
      </w:r>
    </w:p>
  </w:endnote>
  <w:endnote w:type="continuationNotice" w:id="1">
    <w:p w14:paraId="55458C5A" w14:textId="77777777" w:rsidR="006840C8" w:rsidRDefault="006840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83844" w14:textId="77777777" w:rsidR="006840C8" w:rsidRDefault="006840C8" w:rsidP="00B40954">
      <w:r>
        <w:separator/>
      </w:r>
    </w:p>
  </w:footnote>
  <w:footnote w:type="continuationSeparator" w:id="0">
    <w:p w14:paraId="30688AF6" w14:textId="77777777" w:rsidR="006840C8" w:rsidRDefault="006840C8" w:rsidP="00B40954">
      <w:r>
        <w:continuationSeparator/>
      </w:r>
    </w:p>
  </w:footnote>
  <w:footnote w:type="continuationNotice" w:id="1">
    <w:p w14:paraId="02C33DC0" w14:textId="77777777" w:rsidR="006840C8" w:rsidRDefault="006840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23.8pt;height:18.15pt;visibility:visible;mso-wrap-style:square" o:bullet="t">
        <v:imagedata r:id="rId1" o:title=""/>
      </v:shape>
    </w:pic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6" w15:restartNumberingAfterBreak="0">
    <w:nsid w:val="5D0E36FA"/>
    <w:multiLevelType w:val="hybridMultilevel"/>
    <w:tmpl w:val="48CAE26A"/>
    <w:lvl w:ilvl="0" w:tplc="7DB86DDA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abstractNum w:abstractNumId="11" w15:restartNumberingAfterBreak="0">
    <w:nsid w:val="7FC32250"/>
    <w:multiLevelType w:val="hybridMultilevel"/>
    <w:tmpl w:val="947266AE"/>
    <w:lvl w:ilvl="0" w:tplc="A6CA3E1A">
      <w:start w:val="1"/>
      <w:numFmt w:val="decimal"/>
      <w:pStyle w:val="AVLF"/>
      <w:lvlText w:val="%1."/>
      <w:lvlJc w:val="left"/>
      <w:pPr>
        <w:ind w:left="360" w:hanging="360"/>
      </w:pPr>
      <w:rPr>
        <w:rFonts w:ascii="Arial Nova" w:hAnsi="Arial Nova" w:hint="default"/>
        <w:b w:val="0"/>
        <w:i w:val="0"/>
        <w:color w:val="auto"/>
        <w:sz w:val="22"/>
        <w:szCs w:val="21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476947272">
    <w:abstractNumId w:val="5"/>
  </w:num>
  <w:num w:numId="2" w16cid:durableId="1206480184">
    <w:abstractNumId w:val="4"/>
  </w:num>
  <w:num w:numId="3" w16cid:durableId="714936783">
    <w:abstractNumId w:val="0"/>
  </w:num>
  <w:num w:numId="4" w16cid:durableId="877666403">
    <w:abstractNumId w:val="2"/>
  </w:num>
  <w:num w:numId="5" w16cid:durableId="1778211271">
    <w:abstractNumId w:val="1"/>
  </w:num>
  <w:num w:numId="6" w16cid:durableId="12383691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8"/>
  </w:num>
  <w:num w:numId="8" w16cid:durableId="127745302">
    <w:abstractNumId w:val="7"/>
  </w:num>
  <w:num w:numId="9" w16cid:durableId="190190534">
    <w:abstractNumId w:val="9"/>
  </w:num>
  <w:num w:numId="10" w16cid:durableId="2125952561">
    <w:abstractNumId w:val="6"/>
  </w:num>
  <w:num w:numId="11" w16cid:durableId="452789119">
    <w:abstractNumId w:val="3"/>
  </w:num>
  <w:num w:numId="12" w16cid:durableId="257058985">
    <w:abstractNumId w:val="10"/>
  </w:num>
  <w:num w:numId="13" w16cid:durableId="342771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gutterAtTop/>
  <w:proofState w:spelling="clean" w:grammar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93EAA"/>
    <w:rsid w:val="000B3A1A"/>
    <w:rsid w:val="000B4514"/>
    <w:rsid w:val="000C774F"/>
    <w:rsid w:val="001028AF"/>
    <w:rsid w:val="00107941"/>
    <w:rsid w:val="00131148"/>
    <w:rsid w:val="00152B83"/>
    <w:rsid w:val="00185AB5"/>
    <w:rsid w:val="001B64FE"/>
    <w:rsid w:val="001C196F"/>
    <w:rsid w:val="001D4CD3"/>
    <w:rsid w:val="001E12BC"/>
    <w:rsid w:val="001F5309"/>
    <w:rsid w:val="001F6179"/>
    <w:rsid w:val="00203D6E"/>
    <w:rsid w:val="00204208"/>
    <w:rsid w:val="00210AFF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311ED4"/>
    <w:rsid w:val="00315E7E"/>
    <w:rsid w:val="003213CC"/>
    <w:rsid w:val="00324D8F"/>
    <w:rsid w:val="003329D6"/>
    <w:rsid w:val="00333233"/>
    <w:rsid w:val="003443CB"/>
    <w:rsid w:val="00345F42"/>
    <w:rsid w:val="00350215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E0690"/>
    <w:rsid w:val="00501A0F"/>
    <w:rsid w:val="005147B3"/>
    <w:rsid w:val="00531137"/>
    <w:rsid w:val="00531DA3"/>
    <w:rsid w:val="005471BC"/>
    <w:rsid w:val="00551FBA"/>
    <w:rsid w:val="00555E37"/>
    <w:rsid w:val="00577BB5"/>
    <w:rsid w:val="00597DFA"/>
    <w:rsid w:val="005A6DCA"/>
    <w:rsid w:val="005D1996"/>
    <w:rsid w:val="005E2238"/>
    <w:rsid w:val="00600B5D"/>
    <w:rsid w:val="0060441C"/>
    <w:rsid w:val="0061100C"/>
    <w:rsid w:val="00615BF1"/>
    <w:rsid w:val="00644384"/>
    <w:rsid w:val="00654226"/>
    <w:rsid w:val="00655475"/>
    <w:rsid w:val="00657165"/>
    <w:rsid w:val="00677A44"/>
    <w:rsid w:val="006840C8"/>
    <w:rsid w:val="006A5F37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3D99"/>
    <w:rsid w:val="00770666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805892"/>
    <w:rsid w:val="008071E8"/>
    <w:rsid w:val="008136EC"/>
    <w:rsid w:val="00815997"/>
    <w:rsid w:val="008165E1"/>
    <w:rsid w:val="00823FDA"/>
    <w:rsid w:val="00830D31"/>
    <w:rsid w:val="00834B99"/>
    <w:rsid w:val="00843D92"/>
    <w:rsid w:val="00844B61"/>
    <w:rsid w:val="00845B7E"/>
    <w:rsid w:val="008539DD"/>
    <w:rsid w:val="008715B3"/>
    <w:rsid w:val="00873C39"/>
    <w:rsid w:val="008944B2"/>
    <w:rsid w:val="008B6786"/>
    <w:rsid w:val="008C3DD8"/>
    <w:rsid w:val="008C76DF"/>
    <w:rsid w:val="00911E24"/>
    <w:rsid w:val="00922D07"/>
    <w:rsid w:val="00931F24"/>
    <w:rsid w:val="00932ACC"/>
    <w:rsid w:val="0094517A"/>
    <w:rsid w:val="009641CC"/>
    <w:rsid w:val="00964CB8"/>
    <w:rsid w:val="00976D85"/>
    <w:rsid w:val="00977B11"/>
    <w:rsid w:val="00980E12"/>
    <w:rsid w:val="009A2E7B"/>
    <w:rsid w:val="009A7F4A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B16A38"/>
    <w:rsid w:val="00B24949"/>
    <w:rsid w:val="00B36F7C"/>
    <w:rsid w:val="00B40954"/>
    <w:rsid w:val="00B4249F"/>
    <w:rsid w:val="00B50497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1395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60D3"/>
    <w:rsid w:val="00C13E53"/>
    <w:rsid w:val="00C146D9"/>
    <w:rsid w:val="00C21BF9"/>
    <w:rsid w:val="00C23E59"/>
    <w:rsid w:val="00C36FF9"/>
    <w:rsid w:val="00C55D60"/>
    <w:rsid w:val="00C56E90"/>
    <w:rsid w:val="00C660EF"/>
    <w:rsid w:val="00C661E7"/>
    <w:rsid w:val="00C703EE"/>
    <w:rsid w:val="00C748AF"/>
    <w:rsid w:val="00C80714"/>
    <w:rsid w:val="00C810DB"/>
    <w:rsid w:val="00C85615"/>
    <w:rsid w:val="00C86533"/>
    <w:rsid w:val="00C91FA9"/>
    <w:rsid w:val="00C95239"/>
    <w:rsid w:val="00CA3367"/>
    <w:rsid w:val="00CB3306"/>
    <w:rsid w:val="00CC07D5"/>
    <w:rsid w:val="00CC7F36"/>
    <w:rsid w:val="00CD2C2D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B3A74"/>
    <w:rsid w:val="00DB3C5F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57F98"/>
    <w:rsid w:val="00E63C1F"/>
    <w:rsid w:val="00E673D8"/>
    <w:rsid w:val="00E819C6"/>
    <w:rsid w:val="00E9100E"/>
    <w:rsid w:val="00EB1D4D"/>
    <w:rsid w:val="00EB2192"/>
    <w:rsid w:val="00EB47A7"/>
    <w:rsid w:val="00ED00B6"/>
    <w:rsid w:val="00ED0285"/>
    <w:rsid w:val="00ED3B3B"/>
    <w:rsid w:val="00ED48C7"/>
    <w:rsid w:val="00EE7205"/>
    <w:rsid w:val="00F17E3A"/>
    <w:rsid w:val="00F2388A"/>
    <w:rsid w:val="00F30004"/>
    <w:rsid w:val="00F3768E"/>
    <w:rsid w:val="00F3772A"/>
    <w:rsid w:val="00F42680"/>
    <w:rsid w:val="00F45DE8"/>
    <w:rsid w:val="00F47B85"/>
    <w:rsid w:val="00F52AD6"/>
    <w:rsid w:val="00F60264"/>
    <w:rsid w:val="00F663F3"/>
    <w:rsid w:val="00F67F2D"/>
    <w:rsid w:val="00F71DB5"/>
    <w:rsid w:val="00F862AC"/>
    <w:rsid w:val="00F876EE"/>
    <w:rsid w:val="00F901D5"/>
    <w:rsid w:val="00F9107A"/>
    <w:rsid w:val="00FA4A88"/>
    <w:rsid w:val="00FB5EBA"/>
    <w:rsid w:val="00FC2E52"/>
    <w:rsid w:val="00FD6407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ind w:left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BE1688"/>
    <w:pPr>
      <w:numPr>
        <w:numId w:val="10"/>
      </w:numPr>
      <w:jc w:val="center"/>
      <w:outlineLvl w:val="1"/>
    </w:pPr>
    <w:rPr>
      <w:rFonts w:ascii="Arial Nova" w:hAnsi="Arial Nova"/>
      <w:b/>
      <w:sz w:val="21"/>
      <w:szCs w:val="21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3332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BE1688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uiPriority w:val="9"/>
    <w:rsid w:val="00BE1688"/>
    <w:rPr>
      <w:rFonts w:ascii="Arial Nova" w:eastAsia="Times New Roman" w:hAnsi="Arial Nova" w:cs="Times New Roman"/>
      <w:b/>
      <w:smallCaps/>
      <w:sz w:val="21"/>
      <w:szCs w:val="21"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3233"/>
    <w:rPr>
      <w:rFonts w:asciiTheme="majorHAnsi" w:eastAsiaTheme="majorEastAsia" w:hAnsiTheme="majorHAnsi" w:cstheme="majorBidi"/>
      <w:i/>
      <w:iCs/>
      <w:color w:val="365F91" w:themeColor="accent1" w:themeShade="BF"/>
      <w:lang w:val="pt-BR" w:eastAsia="pt-BR" w:bidi="pt-BR"/>
    </w:rPr>
  </w:style>
  <w:style w:type="paragraph" w:customStyle="1" w:styleId="BodyText21">
    <w:name w:val="Body Text 21"/>
    <w:basedOn w:val="Normal"/>
    <w:rsid w:val="00333233"/>
    <w:pPr>
      <w:widowControl/>
      <w:autoSpaceDE/>
      <w:autoSpaceDN/>
      <w:spacing w:line="360" w:lineRule="auto"/>
      <w:jc w:val="both"/>
    </w:pPr>
    <w:rPr>
      <w:rFonts w:ascii="Times New Roman" w:eastAsia="Times New Roman" w:hAnsi="Times New Roman" w:cs="Times New Roman"/>
      <w:sz w:val="26"/>
      <w:szCs w:val="20"/>
      <w:lang w:bidi="ar-SA"/>
    </w:rPr>
  </w:style>
  <w:style w:type="paragraph" w:customStyle="1" w:styleId="APargrafo">
    <w:name w:val="AParágrafo"/>
    <w:basedOn w:val="BodyText21"/>
    <w:qFormat/>
    <w:rsid w:val="00333233"/>
    <w:pPr>
      <w:numPr>
        <w:numId w:val="12"/>
      </w:numPr>
      <w:tabs>
        <w:tab w:val="left" w:pos="1701"/>
      </w:tabs>
      <w:ind w:left="0" w:firstLine="0"/>
    </w:pPr>
    <w:rPr>
      <w:rFonts w:ascii="Arial Nova" w:hAnsi="Arial Nova"/>
      <w:sz w:val="22"/>
      <w:szCs w:val="22"/>
    </w:rPr>
  </w:style>
  <w:style w:type="paragraph" w:customStyle="1" w:styleId="AVLF">
    <w:name w:val="A VLF"/>
    <w:basedOn w:val="Normal"/>
    <w:link w:val="AVLFChar"/>
    <w:autoRedefine/>
    <w:rsid w:val="00333233"/>
    <w:pPr>
      <w:widowControl/>
      <w:numPr>
        <w:numId w:val="13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hAnsi="Arial Nova"/>
      <w:lang w:eastAsia="en-US" w:bidi="ar-SA"/>
    </w:rPr>
  </w:style>
  <w:style w:type="character" w:customStyle="1" w:styleId="AVLFChar">
    <w:name w:val="A VLF Char"/>
    <w:basedOn w:val="Fontepargpadro"/>
    <w:link w:val="AVLF"/>
    <w:rsid w:val="00333233"/>
    <w:rPr>
      <w:rFonts w:ascii="Arial Nova" w:eastAsia="Arial" w:hAnsi="Arial Nova" w:cs="Arial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7D0C96-4D78-4E02-9E0F-99CD1E53AE49}">
  <ds:schemaRefs>
    <ds:schemaRef ds:uri="http://schemas.microsoft.com/office/2006/metadata/properties"/>
    <ds:schemaRef ds:uri="http://schemas.microsoft.com/office/infopath/2007/PartnerControls"/>
    <ds:schemaRef ds:uri="740d6832-c989-4a6d-887d-911ed9ee777a"/>
    <ds:schemaRef ds:uri="3d1517fb-7399-431e-bfee-f339c4c1443b"/>
  </ds:schemaRefs>
</ds:datastoreItem>
</file>

<file path=customXml/itemProps2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459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Abrantes</cp:lastModifiedBy>
  <cp:revision>3</cp:revision>
  <cp:lastPrinted>2020-02-06T14:48:00Z</cp:lastPrinted>
  <dcterms:created xsi:type="dcterms:W3CDTF">2025-02-02T20:58:00Z</dcterms:created>
  <dcterms:modified xsi:type="dcterms:W3CDTF">2025-02-02T20:58:00Z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