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ACB9FC" w14:textId="77777777" w:rsidR="00AF610D" w:rsidRPr="00CB56C7" w:rsidRDefault="00AF610D" w:rsidP="00AF610D">
      <w:pPr>
        <w:pStyle w:val="Ttulo2"/>
      </w:pPr>
      <w:r w:rsidRPr="00CB56C7">
        <w:t>Inexistência de Vínculo de Emprego com o Banco Inter – Terceirização Lícita – Tema 725 do STF – Inaplicabilidade da Teoria do joint employment</w:t>
      </w:r>
    </w:p>
    <w:p w14:paraId="59679E4F" w14:textId="77777777" w:rsidR="00AF610D" w:rsidRPr="00CC1F0F" w:rsidRDefault="00AF610D" w:rsidP="00AF610D">
      <w:pPr>
        <w:tabs>
          <w:tab w:val="left" w:pos="1701"/>
        </w:tabs>
        <w:spacing w:line="360" w:lineRule="auto"/>
        <w:jc w:val="center"/>
        <w:rPr>
          <w:rFonts w:ascii="Arial Nova" w:hAnsi="Arial Nova"/>
          <w:b/>
          <w:smallCaps/>
        </w:rPr>
      </w:pPr>
    </w:p>
    <w:p w14:paraId="77312B84" w14:textId="77777777" w:rsidR="00AF610D" w:rsidRDefault="00AF610D" w:rsidP="00AF610D">
      <w:pPr>
        <w:pStyle w:val="APargrafo"/>
      </w:pPr>
      <w:r>
        <w:t>A reclamante</w:t>
      </w:r>
      <w:r w:rsidRPr="00182060">
        <w:t xml:space="preserve"> pretende o reconhecimento do vínculo empregatício com o Banco Inter, sob o fundamento que, embora tenha sido contratado em </w:t>
      </w:r>
      <w:r>
        <w:t>01/10/2022</w:t>
      </w:r>
      <w:r w:rsidRPr="00182060">
        <w:t xml:space="preserve"> pela </w:t>
      </w:r>
      <w:r>
        <w:t>primeira r</w:t>
      </w:r>
      <w:r w:rsidRPr="00182060">
        <w:t xml:space="preserve">eclamada, </w:t>
      </w:r>
      <w:r>
        <w:t>fazia atendimentos a clientes da segunda reclamada, atendendo produtos e serviços</w:t>
      </w:r>
      <w:r w:rsidRPr="00182060">
        <w:t>. Contudo, sem qualquer razão.</w:t>
      </w:r>
    </w:p>
    <w:p w14:paraId="345F5998" w14:textId="77777777" w:rsidR="00AF610D" w:rsidRDefault="00AF610D" w:rsidP="00AF610D">
      <w:pPr>
        <w:pStyle w:val="BodyText21"/>
        <w:tabs>
          <w:tab w:val="left" w:pos="1620"/>
          <w:tab w:val="left" w:pos="1701"/>
          <w:tab w:val="left" w:pos="1843"/>
        </w:tabs>
        <w:rPr>
          <w:rFonts w:ascii="Arial Nova" w:hAnsi="Arial Nova"/>
          <w:sz w:val="22"/>
          <w:szCs w:val="22"/>
        </w:rPr>
      </w:pPr>
    </w:p>
    <w:p w14:paraId="48FCF2C3" w14:textId="77777777" w:rsidR="00AF610D" w:rsidRPr="00A65FDC" w:rsidRDefault="00AF610D" w:rsidP="00AF610D">
      <w:pPr>
        <w:pStyle w:val="APargrafo"/>
      </w:pPr>
      <w:r w:rsidRPr="00A65FDC">
        <w:t>Cumpre reiterar que o Banco Inter teve contrato de prestação de serviços com a primeira reclamada, Almaviva Experience S.A., no período de 18/01/2022 a 08/06/2024,</w:t>
      </w:r>
      <w:r w:rsidRPr="001924C8">
        <w:t xml:space="preserve"> </w:t>
      </w:r>
      <w:r w:rsidRPr="00A65FDC">
        <w:t>para a execução dos serviços de “Call Center”, voltados ao atendimento de clientes.</w:t>
      </w:r>
    </w:p>
    <w:p w14:paraId="2AF9F4D0" w14:textId="77777777" w:rsidR="00AF610D" w:rsidRPr="00182060" w:rsidRDefault="00AF610D" w:rsidP="00AF610D">
      <w:pPr>
        <w:pStyle w:val="BodyText21"/>
        <w:tabs>
          <w:tab w:val="left" w:pos="1620"/>
          <w:tab w:val="left" w:pos="1701"/>
          <w:tab w:val="left" w:pos="1843"/>
        </w:tabs>
        <w:rPr>
          <w:rFonts w:ascii="Arial Nova" w:hAnsi="Arial Nova"/>
          <w:sz w:val="22"/>
          <w:szCs w:val="22"/>
        </w:rPr>
      </w:pPr>
    </w:p>
    <w:p w14:paraId="52319E76" w14:textId="77777777" w:rsidR="00AF610D" w:rsidRPr="00182060" w:rsidRDefault="00AF610D" w:rsidP="00AF610D">
      <w:pPr>
        <w:pStyle w:val="APargrafo"/>
      </w:pPr>
      <w:r>
        <w:t>A reclamante</w:t>
      </w:r>
      <w:r w:rsidRPr="00182060">
        <w:t xml:space="preserve"> foi contratad</w:t>
      </w:r>
      <w:r>
        <w:t>a</w:t>
      </w:r>
      <w:r w:rsidRPr="00182060">
        <w:t xml:space="preserve"> pel</w:t>
      </w:r>
      <w:r>
        <w:t>a</w:t>
      </w:r>
      <w:r w:rsidRPr="00182060">
        <w:t xml:space="preserve"> </w:t>
      </w:r>
      <w:r>
        <w:t>primeira r</w:t>
      </w:r>
      <w:r w:rsidRPr="00182060">
        <w:t>eclamad</w:t>
      </w:r>
      <w:r>
        <w:t>a</w:t>
      </w:r>
      <w:r w:rsidRPr="00182060">
        <w:t>, de quem recebeu ordens e salário, na forma dos art</w:t>
      </w:r>
      <w:r>
        <w:t>s.</w:t>
      </w:r>
      <w:r w:rsidRPr="00182060">
        <w:t xml:space="preserve"> 2º e 3º, ambos da CLT. </w:t>
      </w:r>
    </w:p>
    <w:p w14:paraId="5498F8F8" w14:textId="77777777" w:rsidR="00AF610D" w:rsidRPr="00182060" w:rsidRDefault="00AF610D" w:rsidP="00AF610D">
      <w:pPr>
        <w:pStyle w:val="BodyText21"/>
        <w:tabs>
          <w:tab w:val="left" w:pos="1620"/>
          <w:tab w:val="left" w:pos="1701"/>
          <w:tab w:val="left" w:pos="1843"/>
        </w:tabs>
        <w:rPr>
          <w:rFonts w:ascii="Arial Nova" w:hAnsi="Arial Nova"/>
          <w:sz w:val="22"/>
          <w:szCs w:val="22"/>
        </w:rPr>
      </w:pPr>
    </w:p>
    <w:p w14:paraId="0B9435B6" w14:textId="77777777" w:rsidR="00AF610D" w:rsidRPr="00182060" w:rsidRDefault="00AF610D" w:rsidP="00AF610D">
      <w:pPr>
        <w:pStyle w:val="APargrafo"/>
      </w:pPr>
      <w:r w:rsidRPr="00182060">
        <w:t xml:space="preserve">Logo, inexistem os requisitos caracterizadores de uma relação de emprego entre </w:t>
      </w:r>
      <w:r>
        <w:t>a reclamante</w:t>
      </w:r>
      <w:r w:rsidRPr="00182060">
        <w:t xml:space="preserve"> e o Banco Inter, senão vejamos:</w:t>
      </w:r>
    </w:p>
    <w:p w14:paraId="4FDD4502" w14:textId="77777777" w:rsidR="00AF610D" w:rsidRDefault="00AF610D" w:rsidP="00AF610D">
      <w:pPr>
        <w:pStyle w:val="PargrafodaLista"/>
      </w:pPr>
    </w:p>
    <w:p w14:paraId="76AD38E9" w14:textId="77777777" w:rsidR="00AF610D" w:rsidRDefault="00AF610D" w:rsidP="00AF610D">
      <w:pPr>
        <w:pStyle w:val="AVLF"/>
        <w:numPr>
          <w:ilvl w:val="0"/>
          <w:numId w:val="14"/>
        </w:numPr>
        <w:tabs>
          <w:tab w:val="left" w:pos="1843"/>
        </w:tabs>
        <w:ind w:left="1701"/>
      </w:pPr>
      <w:r>
        <w:t>A reclamante jamais esteve subordinado ao poder de comando do Banco Inter, deste não tendo jamais recebido ordens. A sua subordinação se deu exclusivamente à primeira reclamada;</w:t>
      </w:r>
    </w:p>
    <w:p w14:paraId="6E6D4504" w14:textId="77777777" w:rsidR="00AF610D" w:rsidRDefault="00AF610D" w:rsidP="00AF610D">
      <w:pPr>
        <w:pStyle w:val="AVLF"/>
        <w:numPr>
          <w:ilvl w:val="0"/>
          <w:numId w:val="14"/>
        </w:numPr>
        <w:tabs>
          <w:tab w:val="left" w:pos="1843"/>
        </w:tabs>
        <w:ind w:left="1701"/>
      </w:pPr>
      <w:r>
        <w:t>Também nunca esteve presente o elemento pessoalidade na medida em que a reclamante sempre prestou serviços para a empresa Almaviva Experience S.A.)</w:t>
      </w:r>
    </w:p>
    <w:p w14:paraId="70FDACC0" w14:textId="77777777" w:rsidR="00AF610D" w:rsidRDefault="00AF610D" w:rsidP="00AF610D">
      <w:pPr>
        <w:pStyle w:val="AVLF"/>
        <w:numPr>
          <w:ilvl w:val="0"/>
          <w:numId w:val="14"/>
        </w:numPr>
        <w:tabs>
          <w:tab w:val="left" w:pos="1843"/>
        </w:tabs>
        <w:ind w:left="1701"/>
      </w:pPr>
      <w:r>
        <w:t>Igualmente inexistiu a habitualidade na pretensão de serviços e tampouco periodicidade em benefício do Banco Inter;</w:t>
      </w:r>
    </w:p>
    <w:p w14:paraId="4ED93D28" w14:textId="77777777" w:rsidR="00AF610D" w:rsidRDefault="00AF610D" w:rsidP="00AF610D">
      <w:pPr>
        <w:pStyle w:val="AVLF"/>
        <w:numPr>
          <w:ilvl w:val="0"/>
          <w:numId w:val="14"/>
        </w:numPr>
        <w:tabs>
          <w:tab w:val="left" w:pos="1843"/>
        </w:tabs>
        <w:ind w:left="1701"/>
      </w:pPr>
      <w:r>
        <w:t>A remuneração recebida pela reclamante foi paga por sua empregadora Almaviva Experience S.A e não pelo Banco Inter S.A;</w:t>
      </w:r>
    </w:p>
    <w:p w14:paraId="7F0C07A9" w14:textId="77777777" w:rsidR="00AF610D" w:rsidRDefault="00AF610D" w:rsidP="00AF610D">
      <w:pPr>
        <w:pStyle w:val="AVLF"/>
        <w:numPr>
          <w:ilvl w:val="0"/>
          <w:numId w:val="14"/>
        </w:numPr>
        <w:tabs>
          <w:tab w:val="left" w:pos="1843"/>
        </w:tabs>
        <w:ind w:left="1701"/>
      </w:pPr>
      <w:r>
        <w:t xml:space="preserve">E, finalmente, inexistiu a intencionalidade de qualquer das partes, hodiernamente entendido como mais um dos requisitos inerentes ao pacto laboral, pelo que não há que se falar no requisito </w:t>
      </w:r>
      <w:r w:rsidRPr="001924C8">
        <w:rPr>
          <w:i/>
          <w:iCs/>
        </w:rPr>
        <w:t>intuitu personae</w:t>
      </w:r>
      <w:r>
        <w:t>.</w:t>
      </w:r>
    </w:p>
    <w:p w14:paraId="0B8EE053" w14:textId="77777777" w:rsidR="00AF610D" w:rsidRDefault="00AF610D" w:rsidP="00AF610D">
      <w:pPr>
        <w:pStyle w:val="AVLF"/>
        <w:numPr>
          <w:ilvl w:val="0"/>
          <w:numId w:val="0"/>
        </w:numPr>
      </w:pPr>
    </w:p>
    <w:p w14:paraId="0340826F" w14:textId="77777777" w:rsidR="00AF610D" w:rsidRDefault="00AF610D" w:rsidP="00AF610D">
      <w:pPr>
        <w:pStyle w:val="APargrafo"/>
      </w:pPr>
      <w:r w:rsidRPr="00E25497">
        <w:t>Ainda que se entenda que alguns dos requisitos da relação de emprego foi preenchido, o que não se admite, para configurar vínculo empregatício todos os requisitos previstos nos art</w:t>
      </w:r>
      <w:r>
        <w:t>s.</w:t>
      </w:r>
      <w:r w:rsidRPr="00E25497">
        <w:t xml:space="preserve"> 2º e 3º da CLT devem estar presentes de forma concomitante, sendo que a ausência de um deles já não é possível configurar </w:t>
      </w:r>
      <w:r>
        <w:t xml:space="preserve">o </w:t>
      </w:r>
      <w:r w:rsidRPr="00E25497">
        <w:t>vínculo de emprego.</w:t>
      </w:r>
    </w:p>
    <w:p w14:paraId="5CD88B3A" w14:textId="77777777" w:rsidR="00AF610D" w:rsidRPr="00E25497" w:rsidRDefault="00AF610D" w:rsidP="00AF610D">
      <w:pPr>
        <w:pStyle w:val="BodyText21"/>
        <w:tabs>
          <w:tab w:val="left" w:pos="1620"/>
          <w:tab w:val="left" w:pos="1701"/>
          <w:tab w:val="left" w:pos="1843"/>
        </w:tabs>
        <w:rPr>
          <w:rFonts w:ascii="Arial Nova" w:hAnsi="Arial Nova"/>
          <w:sz w:val="22"/>
          <w:szCs w:val="22"/>
        </w:rPr>
      </w:pPr>
    </w:p>
    <w:p w14:paraId="7A622508" w14:textId="77777777" w:rsidR="00AF610D" w:rsidRPr="00E25497" w:rsidRDefault="00AF610D" w:rsidP="00AF610D">
      <w:pPr>
        <w:pStyle w:val="APargrafo"/>
      </w:pPr>
      <w:r w:rsidRPr="00E25497">
        <w:t xml:space="preserve">Importante destacar que a terceirização empresarial, hipótese do contrato objeto da presente demanda, possui natureza cível-empresarial, em que houve a contratação de uma empresa especializada para fornecimento de serviços de tecnologia, com o seu próprio </w:t>
      </w:r>
      <w:r w:rsidRPr="006773A7">
        <w:rPr>
          <w:i/>
          <w:iCs/>
        </w:rPr>
        <w:t>know how</w:t>
      </w:r>
      <w:r w:rsidRPr="00E25497">
        <w:t xml:space="preserve">, sem qualquer ingerência do Banco Inter.  </w:t>
      </w:r>
    </w:p>
    <w:p w14:paraId="2233A981" w14:textId="77777777" w:rsidR="00AF610D" w:rsidRPr="00E25497" w:rsidRDefault="00AF610D" w:rsidP="00AF610D">
      <w:pPr>
        <w:pStyle w:val="BodyText21"/>
        <w:tabs>
          <w:tab w:val="left" w:pos="1620"/>
          <w:tab w:val="left" w:pos="1701"/>
          <w:tab w:val="left" w:pos="1843"/>
        </w:tabs>
        <w:rPr>
          <w:rFonts w:ascii="Arial Nova" w:hAnsi="Arial Nova"/>
          <w:sz w:val="22"/>
          <w:szCs w:val="22"/>
        </w:rPr>
      </w:pPr>
    </w:p>
    <w:p w14:paraId="32FA8E9C" w14:textId="77777777" w:rsidR="00AF610D" w:rsidRPr="00E25497" w:rsidRDefault="00AF610D" w:rsidP="00AF610D">
      <w:pPr>
        <w:pStyle w:val="APargrafo"/>
      </w:pPr>
      <w:r w:rsidRPr="00E25497">
        <w:t xml:space="preserve">O trabalho acima descrito </w:t>
      </w:r>
      <w:r>
        <w:t xml:space="preserve">no contrato de prestação de serviços acima colacionado </w:t>
      </w:r>
      <w:r w:rsidRPr="00E25497">
        <w:t xml:space="preserve">era realizado por uma equipe de empregados </w:t>
      </w:r>
      <w:r>
        <w:t>da primeira reclamada</w:t>
      </w:r>
      <w:r w:rsidRPr="00E25497">
        <w:t xml:space="preserve">, subordinados e supervisionados também por empregados </w:t>
      </w:r>
      <w:r>
        <w:t>da Almaviva</w:t>
      </w:r>
      <w:r w:rsidRPr="00E25497">
        <w:t>, não existindo regras, determinações ou orientações fixadas pelo Banco Inter, ficando impugnadas expressamente todas as afirmações em contrário.</w:t>
      </w:r>
    </w:p>
    <w:p w14:paraId="513DBADB" w14:textId="77777777" w:rsidR="00AF610D" w:rsidRPr="00E25497" w:rsidRDefault="00AF610D" w:rsidP="00AF610D">
      <w:pPr>
        <w:pStyle w:val="BodyText21"/>
        <w:tabs>
          <w:tab w:val="left" w:pos="1620"/>
          <w:tab w:val="left" w:pos="1701"/>
          <w:tab w:val="left" w:pos="1843"/>
        </w:tabs>
        <w:rPr>
          <w:rFonts w:ascii="Arial Nova" w:hAnsi="Arial Nova"/>
          <w:sz w:val="22"/>
          <w:szCs w:val="22"/>
        </w:rPr>
      </w:pPr>
    </w:p>
    <w:p w14:paraId="483648A3" w14:textId="77777777" w:rsidR="00AF610D" w:rsidRPr="00E25497" w:rsidRDefault="00AF610D" w:rsidP="00AF610D">
      <w:pPr>
        <w:pStyle w:val="APargrafo"/>
      </w:pPr>
      <w:r w:rsidRPr="00E25497">
        <w:t xml:space="preserve">Dessa forma, ficava a critério exclusivo </w:t>
      </w:r>
      <w:r>
        <w:t>da primeira reclamada</w:t>
      </w:r>
      <w:r w:rsidRPr="00E25497">
        <w:t xml:space="preserve"> a gestão de seus empregados, bem como a escolha das técnicas pertinentes à execução dos serviços.</w:t>
      </w:r>
    </w:p>
    <w:p w14:paraId="658D7053" w14:textId="77777777" w:rsidR="00AF610D" w:rsidRPr="00E25497" w:rsidRDefault="00AF610D" w:rsidP="00AF610D">
      <w:pPr>
        <w:pStyle w:val="BodyText21"/>
        <w:tabs>
          <w:tab w:val="left" w:pos="1620"/>
          <w:tab w:val="left" w:pos="1701"/>
          <w:tab w:val="left" w:pos="1843"/>
        </w:tabs>
        <w:rPr>
          <w:rFonts w:ascii="Arial Nova" w:hAnsi="Arial Nova"/>
          <w:sz w:val="22"/>
          <w:szCs w:val="22"/>
        </w:rPr>
      </w:pPr>
    </w:p>
    <w:p w14:paraId="7E1B1B8E" w14:textId="77777777" w:rsidR="00AF610D" w:rsidRPr="00E25497" w:rsidRDefault="00AF610D" w:rsidP="00AF610D">
      <w:pPr>
        <w:pStyle w:val="APargrafo"/>
      </w:pPr>
      <w:r w:rsidRPr="00E25497">
        <w:t xml:space="preserve">Além disso, ressalta-se que </w:t>
      </w:r>
      <w:r>
        <w:t>a reclamante</w:t>
      </w:r>
      <w:r w:rsidRPr="00E25497">
        <w:t xml:space="preserve"> se vale tão somente das alegações de ter prestado serviços a favor do Banco Inter, o que não é suficiente para anular o contrato de trabalho celebrado com </w:t>
      </w:r>
      <w:r>
        <w:t>a primeira r</w:t>
      </w:r>
      <w:r w:rsidRPr="00E25497">
        <w:t xml:space="preserve">eclamada e declarar o vínculo de emprego com </w:t>
      </w:r>
      <w:r>
        <w:t>o segundo reclamado.</w:t>
      </w:r>
    </w:p>
    <w:p w14:paraId="70FD1D01" w14:textId="77777777" w:rsidR="00AF610D" w:rsidRPr="00A009DC" w:rsidRDefault="00AF610D" w:rsidP="00AF610D">
      <w:pPr>
        <w:pStyle w:val="BodyText21"/>
        <w:tabs>
          <w:tab w:val="left" w:pos="1620"/>
          <w:tab w:val="left" w:pos="1701"/>
          <w:tab w:val="left" w:pos="1843"/>
        </w:tabs>
        <w:rPr>
          <w:rFonts w:ascii="Arial Nova" w:hAnsi="Arial Nova"/>
          <w:sz w:val="22"/>
          <w:szCs w:val="22"/>
        </w:rPr>
      </w:pPr>
    </w:p>
    <w:p w14:paraId="394EAA79" w14:textId="77777777" w:rsidR="00AF610D" w:rsidRDefault="00AF610D" w:rsidP="00AF610D">
      <w:pPr>
        <w:pStyle w:val="APargrafo"/>
      </w:pPr>
      <w:r w:rsidRPr="00E25497">
        <w:t>Não há qualquer prova nos autos que permita concluir a existência de subordinação d</w:t>
      </w:r>
      <w:r>
        <w:t>a reclamante a</w:t>
      </w:r>
      <w:r w:rsidRPr="00E25497">
        <w:t xml:space="preserve"> algum empregado do Banco Inter, não houve sequer uma breve exposição de quem o supervisionava, quais as atividades efetivamente exercidas e quais eram as ordenas supostamente repassadas a el</w:t>
      </w:r>
      <w:r>
        <w:t>a</w:t>
      </w:r>
      <w:r w:rsidRPr="00E25497">
        <w:t xml:space="preserve"> por prepostos do </w:t>
      </w:r>
      <w:r>
        <w:t>t</w:t>
      </w:r>
      <w:r w:rsidRPr="00E25497">
        <w:t xml:space="preserve">omador, ônus </w:t>
      </w:r>
      <w:r w:rsidRPr="00E25497">
        <w:lastRenderedPageBreak/>
        <w:t>que lhe competia e não se desincumbiu, conforme determinam os art</w:t>
      </w:r>
      <w:r>
        <w:t>s.</w:t>
      </w:r>
      <w:r w:rsidRPr="00E25497">
        <w:t xml:space="preserve"> 373, I, do CPC e 818, I, da CLT.</w:t>
      </w:r>
    </w:p>
    <w:p w14:paraId="19EEA838" w14:textId="77777777" w:rsidR="00AF610D" w:rsidRDefault="00AF610D" w:rsidP="00AF610D">
      <w:pPr>
        <w:pStyle w:val="PargrafodaLista"/>
        <w:rPr>
          <w:rFonts w:ascii="Arial Nova" w:hAnsi="Arial Nova"/>
          <w:sz w:val="22"/>
          <w:szCs w:val="22"/>
        </w:rPr>
      </w:pPr>
    </w:p>
    <w:p w14:paraId="73B83206" w14:textId="77777777" w:rsidR="00AF610D" w:rsidRDefault="00AF610D" w:rsidP="00AF610D">
      <w:pPr>
        <w:pStyle w:val="APargrafo"/>
      </w:pPr>
      <w:r>
        <w:t>Também não há que se falar em subordinação estrutural, visto que inexiste previsão legal conceituação a referida modalidade, tratando-se de definição jurídica realizada por meio da doutrina e jurisprudência.</w:t>
      </w:r>
    </w:p>
    <w:p w14:paraId="7C640D88" w14:textId="77777777" w:rsidR="00AF610D" w:rsidRDefault="00AF610D" w:rsidP="00AF610D">
      <w:pPr>
        <w:pStyle w:val="PargrafodaLista"/>
        <w:rPr>
          <w:rFonts w:ascii="Arial Nova" w:hAnsi="Arial Nova"/>
          <w:sz w:val="22"/>
          <w:szCs w:val="22"/>
        </w:rPr>
      </w:pPr>
    </w:p>
    <w:p w14:paraId="25681644" w14:textId="77777777" w:rsidR="00AF610D" w:rsidRDefault="00AF610D" w:rsidP="00AF610D">
      <w:pPr>
        <w:pStyle w:val="APargrafo"/>
      </w:pPr>
      <w:r w:rsidRPr="00C97549">
        <w:t>A jurisprudência majoritária conceitua subordinação estrutural como sendo a inserção do empregado na dinâmica da atividade econômica do tomador dos serviços, não sendo relevantes os requisitos constantes do art</w:t>
      </w:r>
      <w:r>
        <w:t>.</w:t>
      </w:r>
      <w:r w:rsidRPr="00C97549">
        <w:t xml:space="preserve"> 3º da CLT. </w:t>
      </w:r>
    </w:p>
    <w:p w14:paraId="252AEBEC" w14:textId="77777777" w:rsidR="00AF610D" w:rsidRDefault="00AF610D" w:rsidP="00AF610D">
      <w:pPr>
        <w:pStyle w:val="PargrafodaLista"/>
      </w:pPr>
    </w:p>
    <w:p w14:paraId="7AA97F91" w14:textId="77777777" w:rsidR="00AF610D" w:rsidRDefault="00AF610D" w:rsidP="00AF610D">
      <w:pPr>
        <w:pStyle w:val="APargrafo"/>
      </w:pPr>
      <w:r w:rsidRPr="00C97549">
        <w:t>Ainda, a possibilidade de vínculo decorrente da terceirização está prevista no artigo 4.º-A</w:t>
      </w:r>
      <w:r>
        <w:t xml:space="preserve">, </w:t>
      </w:r>
      <w:r>
        <w:rPr>
          <w:i/>
          <w:iCs/>
        </w:rPr>
        <w:t xml:space="preserve">caput </w:t>
      </w:r>
      <w:r>
        <w:t xml:space="preserve">e § 2º, </w:t>
      </w:r>
      <w:r w:rsidRPr="00C97549">
        <w:t>da Lei 6.019/74</w:t>
      </w:r>
      <w:r>
        <w:t>. Nessa linha, inexiste lei que regulamente a subordinação estrutural como requisito para o reconhecimento do vínculo de emprego, os quais são taxativos, sendo que o fazendo, acabaria por ser violado o art. 5º, II, da CF.</w:t>
      </w:r>
    </w:p>
    <w:p w14:paraId="538FDEC7" w14:textId="77777777" w:rsidR="00AF610D" w:rsidRDefault="00AF610D" w:rsidP="00AF610D">
      <w:pPr>
        <w:pStyle w:val="AVLF"/>
        <w:numPr>
          <w:ilvl w:val="0"/>
          <w:numId w:val="0"/>
        </w:numPr>
      </w:pPr>
    </w:p>
    <w:p w14:paraId="516250EF" w14:textId="77777777" w:rsidR="00AF610D" w:rsidRDefault="00AF610D" w:rsidP="00AF610D">
      <w:pPr>
        <w:pStyle w:val="APargrafo"/>
      </w:pPr>
      <w:r>
        <w:t>Ocorre que com o advento da decisão proferida pelo STF na ADPF 324, em que pese a subordinação estrutural esteja inserida na terceirização da atividade-fim, a sua mera existência não é justificativa para o reconhecimento do vínculo direto com o tomador dos serviços.</w:t>
      </w:r>
    </w:p>
    <w:p w14:paraId="43C7B618" w14:textId="77777777" w:rsidR="00AF610D" w:rsidRDefault="00AF610D" w:rsidP="00AF610D">
      <w:pPr>
        <w:pStyle w:val="PargrafodaLista"/>
        <w:suppressAutoHyphens/>
        <w:autoSpaceDN w:val="0"/>
        <w:ind w:left="567"/>
        <w:contextualSpacing/>
        <w:jc w:val="both"/>
        <w:textAlignment w:val="baseline"/>
        <w:rPr>
          <w:rFonts w:ascii="AndrewAndreas" w:hAnsi="AndrewAndreas" w:cs="Arial"/>
          <w:sz w:val="24"/>
        </w:rPr>
      </w:pPr>
    </w:p>
    <w:p w14:paraId="5FA18551" w14:textId="77777777" w:rsidR="00AF610D" w:rsidRPr="00AB1985" w:rsidRDefault="00AF610D" w:rsidP="00AF610D">
      <w:pPr>
        <w:pStyle w:val="APargrafo"/>
      </w:pPr>
      <w:r>
        <w:t xml:space="preserve">Embora entenda-se que no caso não há subordinação estrutural, esta é inerente à terceirização da atividade fim, não se tratando de ilicitude. </w:t>
      </w:r>
      <w:r w:rsidRPr="00AB1985">
        <w:t xml:space="preserve">Isso porque, eventuais atos praticados pelo tomador dos serviços em relação aos empregados da prestadora decorrem da sua obrigação </w:t>
      </w:r>
      <w:r w:rsidRPr="00AB1985">
        <w:rPr>
          <w:i/>
          <w:iCs/>
        </w:rPr>
        <w:t>in vigilando</w:t>
      </w:r>
      <w:r>
        <w:rPr>
          <w:i/>
          <w:iCs/>
        </w:rPr>
        <w:t>.</w:t>
      </w:r>
    </w:p>
    <w:p w14:paraId="52846305" w14:textId="77777777" w:rsidR="00AF610D" w:rsidRPr="00AB1985" w:rsidRDefault="00AF610D" w:rsidP="00AF610D">
      <w:pPr>
        <w:pStyle w:val="PargrafodaLista"/>
        <w:suppressAutoHyphens/>
        <w:autoSpaceDN w:val="0"/>
        <w:ind w:left="567"/>
        <w:contextualSpacing/>
        <w:jc w:val="both"/>
        <w:textAlignment w:val="baseline"/>
        <w:rPr>
          <w:rFonts w:ascii="AndrewAndreas" w:hAnsi="AndrewAndreas" w:cs="Palatino Linotype"/>
          <w:bCs/>
          <w:kern w:val="3"/>
          <w:sz w:val="24"/>
          <w:lang w:eastAsia="zh-CN"/>
        </w:rPr>
      </w:pPr>
    </w:p>
    <w:p w14:paraId="3BD7948D" w14:textId="77777777" w:rsidR="00AF610D" w:rsidRPr="002638A1" w:rsidRDefault="00AF610D" w:rsidP="00AF610D">
      <w:pPr>
        <w:pStyle w:val="APargrafo"/>
        <w:rPr>
          <w:rFonts w:cs="Palatino Linotype"/>
          <w:bCs/>
          <w:kern w:val="3"/>
          <w:lang w:eastAsia="zh-CN"/>
        </w:rPr>
      </w:pPr>
      <w:r>
        <w:t>Logo, c</w:t>
      </w:r>
      <w:r w:rsidRPr="00437297">
        <w:t>omo em qualquer terceirização, é razoável que o tomador fiscalize o cumprimento do contrato de prestação de serviços por parte do prestador, apresentando procedimentos básicos na operacionalização da atividade terceirizada</w:t>
      </w:r>
      <w:r>
        <w:t>.</w:t>
      </w:r>
      <w:r w:rsidRPr="00D54441">
        <w:t xml:space="preserve"> Até porque a tomadora tem conhecimento das peculiaridades do objeto contratado e tem interesse em repassar essas informações à prestador</w:t>
      </w:r>
      <w:r>
        <w:t>a.</w:t>
      </w:r>
    </w:p>
    <w:p w14:paraId="586AC7FA" w14:textId="77777777" w:rsidR="00AF610D" w:rsidRDefault="00AF610D" w:rsidP="00AF610D">
      <w:pPr>
        <w:pStyle w:val="PargrafodaLista"/>
        <w:rPr>
          <w:rFonts w:cs="Palatino Linotype"/>
          <w:bCs/>
          <w:kern w:val="3"/>
          <w:lang w:eastAsia="zh-CN"/>
        </w:rPr>
      </w:pPr>
    </w:p>
    <w:p w14:paraId="1386AB19" w14:textId="77777777" w:rsidR="00AF610D" w:rsidRPr="00437297" w:rsidRDefault="00AF610D" w:rsidP="00AF610D">
      <w:pPr>
        <w:pStyle w:val="APargrafo"/>
      </w:pPr>
      <w:r>
        <w:lastRenderedPageBreak/>
        <w:t xml:space="preserve">Com base na decisão da Quinta Turma do C. </w:t>
      </w:r>
      <w:r w:rsidRPr="00437297">
        <w:t>Tribunal Superior do Trabalho</w:t>
      </w:r>
      <w:r>
        <w:t xml:space="preserve">, a </w:t>
      </w:r>
      <w:r w:rsidRPr="00437297">
        <w:t xml:space="preserve">subordinação estrutural não é suficiente para declarar o vínculo empregatício entre </w:t>
      </w:r>
      <w:r>
        <w:t>prestador de serviços e tomador, sendo necessário, para tanto, o preenchimento dos requisitos do art. 3º da CLT</w:t>
      </w:r>
      <w:r w:rsidRPr="00437297">
        <w:t>:</w:t>
      </w:r>
    </w:p>
    <w:p w14:paraId="305E996D" w14:textId="77777777" w:rsidR="00AF610D" w:rsidRDefault="00AF610D" w:rsidP="00AF610D">
      <w:pPr>
        <w:pStyle w:val="CitaoVLF"/>
      </w:pPr>
    </w:p>
    <w:p w14:paraId="3830BF0B" w14:textId="77777777" w:rsidR="00AF610D" w:rsidRPr="002638A1" w:rsidRDefault="00AF610D" w:rsidP="00AF610D">
      <w:pPr>
        <w:pStyle w:val="CitaoVLF"/>
        <w:rPr>
          <w:sz w:val="22"/>
          <w:szCs w:val="22"/>
        </w:rPr>
      </w:pPr>
      <w:r w:rsidRPr="002638A1">
        <w:t xml:space="preserve">"AGRAVO INTERNO EM RECURSO DE REVISTA. TERCEIRIZAÇÃO DE SERVIÇOS. ATIVIDADES BANCÁRIAS. LICITUDE. TEMA 725 DE REPERCUSSÃO GERAL E ADPF 324. Mantém-se a decisão agravada, pois não foi demonstrado o desacerto do decisum. O Recurso de Revista foi conhecido e provido, em razão do reconhecimento da licitude da terceirização, por aplicação do entendimento firmado pelo STF, de efeito vinculante, no julgamento do RE-958.252. </w:t>
      </w:r>
      <w:r w:rsidRPr="002638A1">
        <w:rPr>
          <w:b/>
          <w:bCs/>
        </w:rPr>
        <w:t>No caso, ao contrário do que alega o agravante, o Regional, analisando os elementos fáticos apresentados nos autos, não reconheceu a existência dos requisitos do vínculo de emprego, mas apenas constatou a haver uma subordinação estrutural, o que se mostra insuficiente para caracterizar fraude na contratação.</w:t>
      </w:r>
      <w:r w:rsidRPr="002638A1">
        <w:t xml:space="preserve"> Agravo conhecido e não provido" (Ag-RR-251-40.2015.5.06.0021, 1ª Turma, Relator Ministro Luiz Jose Dezena da Silva, DEJT 30/11/2020).</w:t>
      </w:r>
    </w:p>
    <w:p w14:paraId="411DD7AC" w14:textId="77777777" w:rsidR="00AF610D" w:rsidRDefault="00AF610D" w:rsidP="00AF610D">
      <w:pPr>
        <w:pStyle w:val="PargrafodaLista"/>
        <w:rPr>
          <w:rFonts w:ascii="Arial Nova" w:hAnsi="Arial Nova"/>
          <w:sz w:val="22"/>
          <w:szCs w:val="22"/>
        </w:rPr>
      </w:pPr>
    </w:p>
    <w:p w14:paraId="30E7B0AF" w14:textId="77777777" w:rsidR="00AF610D" w:rsidRDefault="00AF610D" w:rsidP="00AF610D">
      <w:pPr>
        <w:pStyle w:val="APargrafo"/>
      </w:pPr>
      <w:r w:rsidRPr="00C060C6">
        <w:t xml:space="preserve">A própria inicial reconhece que o Supremo Tribunal Federal, por meio da </w:t>
      </w:r>
      <w:r w:rsidRPr="002638A1">
        <w:rPr>
          <w:b/>
          <w:bCs/>
        </w:rPr>
        <w:t>ADPF 324 e do RE 958252</w:t>
      </w:r>
      <w:r w:rsidRPr="00C060C6">
        <w:t>, já declarou a licitude da terceirização, afastando qualquer discussão sobre a ilicitude dessa prática. Dessa forma, a contratação de serviços pela Almaviva Experience S.A</w:t>
      </w:r>
      <w:r w:rsidRPr="00C060C6">
        <w:rPr>
          <w:b/>
          <w:bCs/>
        </w:rPr>
        <w:t>.</w:t>
      </w:r>
      <w:r w:rsidRPr="00C060C6">
        <w:t xml:space="preserve"> para atender as demandas do Banco Inter é plenamente lícita, não havendo qualquer irregularidade a ser discutida quanto à forma de contratação d</w:t>
      </w:r>
      <w:r>
        <w:t>a reclamante</w:t>
      </w:r>
      <w:r w:rsidRPr="00C060C6">
        <w:t>.</w:t>
      </w:r>
    </w:p>
    <w:p w14:paraId="43720330" w14:textId="77777777" w:rsidR="00AF610D" w:rsidRDefault="00AF610D" w:rsidP="00AF610D">
      <w:pPr>
        <w:pStyle w:val="PargrafodaLista"/>
      </w:pPr>
    </w:p>
    <w:p w14:paraId="07F12B92" w14:textId="77777777" w:rsidR="00AF610D" w:rsidRPr="00C060C6" w:rsidRDefault="00AF610D" w:rsidP="00AF610D">
      <w:pPr>
        <w:pStyle w:val="APargrafo"/>
      </w:pPr>
      <w:r w:rsidRPr="00C060C6">
        <w:t xml:space="preserve">Além disso, a terceirização de serviços de telemarketing é uma prática comum, permitida pela legislação brasileira, sem que isso gere vínculo direto entre o empregado da prestadora de serviços e a empresa tomadora. </w:t>
      </w:r>
      <w:r>
        <w:t>A reclamante</w:t>
      </w:r>
      <w:r w:rsidRPr="00C060C6">
        <w:t xml:space="preserve"> era formalmente empregado da Almaviva, que detinha a responsabilidade por todos os aspectos trabalhistas, incluindo remuneração, controle de jornada e gestão de atividades.</w:t>
      </w:r>
    </w:p>
    <w:p w14:paraId="4A213F6E" w14:textId="77777777" w:rsidR="00AF610D" w:rsidRDefault="00AF610D" w:rsidP="00AF610D">
      <w:pPr>
        <w:pStyle w:val="PargrafodaLista"/>
        <w:rPr>
          <w:rFonts w:ascii="Arial Nova" w:hAnsi="Arial Nova"/>
          <w:sz w:val="22"/>
          <w:szCs w:val="22"/>
        </w:rPr>
      </w:pPr>
    </w:p>
    <w:p w14:paraId="788B2C0F" w14:textId="77777777" w:rsidR="00AF610D" w:rsidRDefault="00AF610D" w:rsidP="00AF610D">
      <w:pPr>
        <w:pStyle w:val="APargrafo"/>
      </w:pPr>
      <w:r>
        <w:t>A</w:t>
      </w:r>
      <w:r w:rsidRPr="00F11ABB">
        <w:t xml:space="preserve"> teoria do </w:t>
      </w:r>
      <w:r w:rsidRPr="00F11ABB">
        <w:rPr>
          <w:i/>
          <w:iCs/>
        </w:rPr>
        <w:t>joint employment</w:t>
      </w:r>
      <w:r w:rsidRPr="00F11ABB">
        <w:t xml:space="preserve">, oriunda do direito norte-americano, não possui plena aplicação no Brasil, especialmente após a Reforma Trabalhista (Lei </w:t>
      </w:r>
      <w:r>
        <w:t xml:space="preserve">n. </w:t>
      </w:r>
      <w:r w:rsidRPr="00F11ABB">
        <w:t>13.467/2017), que consolidou a licitude da terceirização sem implicar a formação de vínculo direto com a tomadora de serviços, não fazendo distinção entre atividade-fim e atividade-meio.</w:t>
      </w:r>
    </w:p>
    <w:p w14:paraId="0E263822" w14:textId="77777777" w:rsidR="00AF610D" w:rsidRDefault="00AF610D" w:rsidP="00AF610D">
      <w:pPr>
        <w:pStyle w:val="PargrafodaLista"/>
        <w:rPr>
          <w:rFonts w:ascii="Arial Nova" w:hAnsi="Arial Nova"/>
          <w:sz w:val="22"/>
          <w:szCs w:val="22"/>
        </w:rPr>
      </w:pPr>
    </w:p>
    <w:p w14:paraId="6B442D6A" w14:textId="77777777" w:rsidR="00AF610D" w:rsidRPr="00F11ABB" w:rsidRDefault="00AF610D" w:rsidP="00AF610D">
      <w:pPr>
        <w:pStyle w:val="APargrafo"/>
      </w:pPr>
      <w:r w:rsidRPr="00F11ABB">
        <w:lastRenderedPageBreak/>
        <w:t xml:space="preserve">O ordenamento jurídico brasileiro possui estruturas normativas próprias para lidar com a terceirização de serviços e as responsabilidades das empresas envolvidas. </w:t>
      </w:r>
      <w:r>
        <w:t>Por eventualidade, cabe pontuar que a</w:t>
      </w:r>
      <w:r w:rsidRPr="00F11ABB">
        <w:t xml:space="preserve"> Súmula 331 do Tribunal Superior do Trabalho estabelece que a responsabilidade da empresa tomadora dos serviços é subsidiária, e não solidária ou compartilhada, limitando-se ao inadimplemento de obrigações por parte da empresa prestadora de serviços.</w:t>
      </w:r>
    </w:p>
    <w:p w14:paraId="318F3D23" w14:textId="77777777" w:rsidR="00AF610D" w:rsidRPr="00E25497" w:rsidRDefault="00AF610D" w:rsidP="00AF610D">
      <w:pPr>
        <w:pStyle w:val="BodyText21"/>
        <w:tabs>
          <w:tab w:val="left" w:pos="1620"/>
          <w:tab w:val="left" w:pos="1701"/>
          <w:tab w:val="left" w:pos="1843"/>
        </w:tabs>
        <w:rPr>
          <w:rFonts w:ascii="Arial Nova" w:hAnsi="Arial Nova"/>
          <w:sz w:val="22"/>
          <w:szCs w:val="22"/>
        </w:rPr>
      </w:pPr>
    </w:p>
    <w:p w14:paraId="5F29247B" w14:textId="77777777" w:rsidR="00AF610D" w:rsidRPr="00E25497" w:rsidRDefault="00AF610D" w:rsidP="00AF610D">
      <w:pPr>
        <w:pStyle w:val="APargrafo"/>
      </w:pPr>
      <w:r w:rsidRPr="00E25497">
        <w:t>O simples labor em atividade-fim do tomador não possui o condão de ilegalizar a suposta prestação dos serviços, nos termos da Arguição de Descumprimento de Preceito Fundamental (ADPF) 324 e o Recurso Extraordinário (RE) 958</w:t>
      </w:r>
      <w:r>
        <w:t>.</w:t>
      </w:r>
      <w:r w:rsidRPr="00E25497">
        <w:t>252, que reputou lícita a terceirização em todas as etapas do processo produtivo, meio ou fim, sem falar em relação de emprego com nenhuma das tomadoras e nem tampouco em isonomia.</w:t>
      </w:r>
    </w:p>
    <w:p w14:paraId="48696870" w14:textId="77777777" w:rsidR="00AF610D" w:rsidRDefault="00AF610D" w:rsidP="00AF610D">
      <w:pPr>
        <w:pStyle w:val="PargrafodaLista"/>
      </w:pPr>
    </w:p>
    <w:p w14:paraId="0ED85DCB" w14:textId="77777777" w:rsidR="00AF610D" w:rsidRPr="000B2020" w:rsidRDefault="00AF610D" w:rsidP="00AF610D">
      <w:pPr>
        <w:pStyle w:val="APargrafo"/>
      </w:pPr>
      <w:r w:rsidRPr="000B2020">
        <w:t xml:space="preserve">A propósito, o entendimento </w:t>
      </w:r>
      <w:r>
        <w:t xml:space="preserve">pacificado </w:t>
      </w:r>
      <w:r w:rsidRPr="000B2020">
        <w:t>deste Egrégio Tribunal Regional do Trabalho também vai ao encontro das teses suscitadas por essa Defendente. In verbis:</w:t>
      </w:r>
    </w:p>
    <w:p w14:paraId="1D92E4B4" w14:textId="77777777" w:rsidR="00AF610D" w:rsidRPr="00497551" w:rsidRDefault="00AF610D" w:rsidP="00AF610D">
      <w:pPr>
        <w:pStyle w:val="m6582299275299223099gmail-msonormal"/>
        <w:shd w:val="clear" w:color="auto" w:fill="FFFFFF"/>
        <w:tabs>
          <w:tab w:val="left" w:pos="1701"/>
        </w:tabs>
        <w:spacing w:before="0" w:beforeAutospacing="0" w:after="0" w:afterAutospacing="0" w:line="360" w:lineRule="auto"/>
        <w:jc w:val="both"/>
        <w:rPr>
          <w:rFonts w:ascii="Arial Nova" w:hAnsi="Arial Nova"/>
          <w:sz w:val="22"/>
          <w:szCs w:val="22"/>
        </w:rPr>
      </w:pP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91"/>
      </w:tblGrid>
      <w:tr w:rsidR="00AF610D" w:rsidRPr="00276B47" w14:paraId="25DE852C" w14:textId="77777777" w:rsidTr="0004437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0" w:type="auto"/>
              <w:tblCellSpacing w:w="15" w:type="dxa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701"/>
            </w:tblGrid>
            <w:tr w:rsidR="00AF610D" w:rsidRPr="00276B47" w14:paraId="243885C5" w14:textId="77777777" w:rsidTr="0004437B">
              <w:trPr>
                <w:tblCellSpacing w:w="15" w:type="dxa"/>
              </w:trPr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14:paraId="275C8A76" w14:textId="77777777" w:rsidR="00AF610D" w:rsidRPr="00276B47" w:rsidRDefault="00AF610D" w:rsidP="0004437B">
                  <w:pPr>
                    <w:pStyle w:val="CitaoVLF"/>
                  </w:pPr>
                  <w:r w:rsidRPr="00276B47">
                    <w:t xml:space="preserve">TERCEIRIZAÇÃO DE ATIVIDADE-FIM. LICITUDE. AUSÊNCIA DE VÍNCULO COM O TOMADOR DOS SERVIÇOS. Diante do decidido pelo E. STF, no julgamento da ADPF 324 e do RE 958.252, ao qual se deu repercussão geral, autorizando terceirização de atividade-fim, cumpre, por considerações de disciplina judiciária e segurança jurídica, julgar improcedentes os pedidos amparados na tese de ilicitude de terceirização, afastando-se o reconhecimento do vínculo de emprego da reclamante com o tomador dos serviços e excluir da condenação a determinação de anotação da CTPS pelo banco réu e o pagamento dos benefícios previstos nos instrumentos coletivos da categoria bancária. (TRT da 3.ª Região; PJe: 0010967-94.2016.5.03.0112 (ROT); Disponibilização: 13/02/2023; Órgão Julgador: Terceira Turma; Relator(a)/Redator(a): Danilo Siqueira de </w:t>
                  </w:r>
                  <w:proofErr w:type="spellStart"/>
                  <w:proofErr w:type="gramStart"/>
                  <w:r w:rsidRPr="00276B47">
                    <w:t>C.Faria</w:t>
                  </w:r>
                  <w:proofErr w:type="spellEnd"/>
                  <w:proofErr w:type="gramEnd"/>
                  <w:r w:rsidRPr="00276B47">
                    <w:t>)</w:t>
                  </w:r>
                </w:p>
              </w:tc>
            </w:tr>
          </w:tbl>
          <w:p w14:paraId="2770932F" w14:textId="77777777" w:rsidR="00AF610D" w:rsidRDefault="00AF610D" w:rsidP="0004437B">
            <w:pPr>
              <w:pStyle w:val="CitaoVLF"/>
            </w:pPr>
          </w:p>
          <w:p w14:paraId="24CB49E4" w14:textId="77777777" w:rsidR="00AF610D" w:rsidRPr="00276B47" w:rsidRDefault="00AF610D" w:rsidP="0004437B">
            <w:pPr>
              <w:pStyle w:val="CitaoVLF"/>
            </w:pPr>
            <w:r w:rsidRPr="00276B47">
              <w:t>TERCEIRIZAÇÃO. LICITUDE. ISONOMIA. DIREITOS DA CATEGORIA DOS BANCÁRIOS/FINANCIÁRIOS. Em face do julgamento da Arguição de Descumprimento de Preceito Fundamental (ADPF) 324 e do Recurso Extraordinário (RE) 958.252, o Supremo Tribunal Federal decidiu, com repercussão geral reconhecida, que é lícita a terceirização em todas as etapas do processo produtivo. Além disso, não é possível a equiparação d</w:t>
            </w:r>
            <w:r>
              <w:t>a reclamante</w:t>
            </w:r>
            <w:r w:rsidRPr="00276B47">
              <w:t xml:space="preserve"> com os bancários/financiários em razão do princípio da isonomia salarial, eis que o enquadramento nessa categoria pressupõe o vínculo direto com banco ou entidade financeira, o que não ocorreu na hipótese dos autos. Recurso d</w:t>
            </w:r>
            <w:r>
              <w:t>a autora</w:t>
            </w:r>
            <w:r w:rsidRPr="00276B47">
              <w:t xml:space="preserve"> desprovido no aspecto.</w:t>
            </w:r>
            <w:r>
              <w:t xml:space="preserve"> </w:t>
            </w:r>
            <w:r w:rsidRPr="00276B47">
              <w:t>(TRT da 3.ª Região; PJe: 0010085-53.2023.5.03.0059 (ROT); Disponibilização: 07/06/2023; Órgão Julgador: Nona Turma; Relator(a)/Redator(a): Rodrigo Ribeiro Bueno)</w:t>
            </w:r>
          </w:p>
        </w:tc>
      </w:tr>
    </w:tbl>
    <w:p w14:paraId="64A7BE8D" w14:textId="77777777" w:rsidR="00AF610D" w:rsidRPr="00215700" w:rsidRDefault="00AF610D" w:rsidP="00AF610D">
      <w:pPr>
        <w:pStyle w:val="PargrafodaLista"/>
        <w:tabs>
          <w:tab w:val="left" w:pos="1701"/>
        </w:tabs>
        <w:spacing w:line="360" w:lineRule="auto"/>
        <w:ind w:left="0"/>
        <w:contextualSpacing/>
        <w:jc w:val="both"/>
        <w:rPr>
          <w:rFonts w:ascii="Arial Nova" w:hAnsi="Arial Nova"/>
          <w:smallCaps w:val="0"/>
          <w:sz w:val="22"/>
          <w:szCs w:val="22"/>
        </w:rPr>
      </w:pPr>
    </w:p>
    <w:p w14:paraId="124611B3" w14:textId="77777777" w:rsidR="00AF610D" w:rsidRDefault="00AF610D" w:rsidP="00AF610D">
      <w:pPr>
        <w:pStyle w:val="APargrafo"/>
      </w:pPr>
      <w:r>
        <w:t xml:space="preserve">Ademais, o acórdão transcrito pela reclamante para embasar a aplicação da teoria do </w:t>
      </w:r>
      <w:r w:rsidRPr="00F11ABB">
        <w:rPr>
          <w:i/>
          <w:iCs/>
        </w:rPr>
        <w:t>joint employment</w:t>
      </w:r>
      <w:r>
        <w:t xml:space="preserve"> não merece prosperar, </w:t>
      </w:r>
      <w:r w:rsidRPr="007572AA">
        <w:t xml:space="preserve">visto que a decisão proferida pela </w:t>
      </w:r>
      <w:r>
        <w:t>Primeira</w:t>
      </w:r>
      <w:r w:rsidRPr="007572AA">
        <w:t xml:space="preserve"> Turma do TRT </w:t>
      </w:r>
      <w:r>
        <w:t>da 3ª Região</w:t>
      </w:r>
      <w:r w:rsidRPr="007572AA">
        <w:t xml:space="preserve"> foi posteriormente reformada pela própria Turma em juízo de retratação, conforme segue:</w:t>
      </w:r>
    </w:p>
    <w:p w14:paraId="2521B7C7" w14:textId="77777777" w:rsidR="00AF610D" w:rsidRDefault="00AF610D" w:rsidP="00AF610D">
      <w:pPr>
        <w:pStyle w:val="BodyText21"/>
        <w:tabs>
          <w:tab w:val="left" w:pos="1620"/>
          <w:tab w:val="left" w:pos="1701"/>
          <w:tab w:val="left" w:pos="1843"/>
        </w:tabs>
        <w:rPr>
          <w:rFonts w:ascii="Arial Nova" w:hAnsi="Arial Nova"/>
          <w:sz w:val="22"/>
          <w:szCs w:val="22"/>
          <w:lang w:bidi="pt-BR"/>
        </w:rPr>
      </w:pPr>
    </w:p>
    <w:p w14:paraId="1994062B" w14:textId="77777777" w:rsidR="00AF610D" w:rsidRPr="007572AA" w:rsidRDefault="00AF610D" w:rsidP="00AF610D">
      <w:pPr>
        <w:pStyle w:val="CitaoVLF"/>
      </w:pPr>
      <w:r w:rsidRPr="007572AA">
        <w:t xml:space="preserve">TERCEIRIZAÇÃO LÍCITA. O Supremo Tribunal Federal, no dia 30/08/2018, ao julgar a Arguição de Descumprimento de Preceito Fundamental (ADPF 324) e o Recurso Extraordinário (RE) 958.252, fixou a seguinte tese de repercussão geral, a qual me curvo por disciplina judiciária: "É </w:t>
      </w:r>
      <w:proofErr w:type="gramStart"/>
      <w:r w:rsidRPr="007572AA">
        <w:t>licita</w:t>
      </w:r>
      <w:proofErr w:type="gramEnd"/>
      <w:r w:rsidRPr="007572AA">
        <w:t xml:space="preserve"> a terceirização ou qualquer outra forma de divisão do trabalho entre pessoas jurídicas distintas, independentemente do objeto social das empresas envolvidas, mantida a responsabilidade subsidiária da empresa contratante".</w:t>
      </w:r>
      <w:r>
        <w:t xml:space="preserve"> </w:t>
      </w:r>
      <w:r w:rsidRPr="007572AA">
        <w:t>(TRT da 3.ª Região; PJe: 0011236-45.2016.5.03.0109 (ROT); Disponibilização: 18/09/2019; Órgão Julgador: Primeira Turma; Relator(a)/Redator(a) Jose Eduardo Resende Chaves Jr.)</w:t>
      </w:r>
    </w:p>
    <w:p w14:paraId="5EBD4DED" w14:textId="77777777" w:rsidR="00AF610D" w:rsidRDefault="00AF610D" w:rsidP="00AF610D">
      <w:pPr>
        <w:pStyle w:val="PargrafodaLista"/>
        <w:rPr>
          <w:rFonts w:ascii="Arial Nova" w:hAnsi="Arial Nova"/>
          <w:sz w:val="22"/>
          <w:szCs w:val="22"/>
        </w:rPr>
      </w:pPr>
    </w:p>
    <w:p w14:paraId="1F6360AE" w14:textId="77777777" w:rsidR="00AF610D" w:rsidRDefault="00AF610D" w:rsidP="00AF610D">
      <w:pPr>
        <w:pStyle w:val="APargrafo"/>
      </w:pPr>
      <w:r w:rsidRPr="00F11ABB">
        <w:t>A inicial também invoca o princípio constitucional da isonomia e a Declaração Universal dos Direitos Humanos para justificar a extensão dos direitos dos bancários a</w:t>
      </w:r>
      <w:r>
        <w:t>a reclamante</w:t>
      </w:r>
      <w:r w:rsidRPr="00F11ABB">
        <w:t>. No entanto, não há qualquer comprovação de discriminação ou tratamento desigual neste caso.</w:t>
      </w:r>
    </w:p>
    <w:p w14:paraId="4280B60C" w14:textId="77777777" w:rsidR="00AF610D" w:rsidRPr="00F11ABB" w:rsidRDefault="00AF610D" w:rsidP="00AF610D">
      <w:pPr>
        <w:pStyle w:val="AVLF"/>
        <w:numPr>
          <w:ilvl w:val="0"/>
          <w:numId w:val="0"/>
        </w:numPr>
      </w:pPr>
    </w:p>
    <w:p w14:paraId="5ED4C519" w14:textId="77777777" w:rsidR="00AF610D" w:rsidRDefault="00AF610D" w:rsidP="00AF610D">
      <w:pPr>
        <w:pStyle w:val="APargrafo"/>
      </w:pPr>
      <w:r>
        <w:t>A reclamante</w:t>
      </w:r>
      <w:r w:rsidRPr="00F11ABB">
        <w:t xml:space="preserve"> foi contratad</w:t>
      </w:r>
      <w:r>
        <w:t>a</w:t>
      </w:r>
      <w:r w:rsidRPr="00F11ABB">
        <w:t xml:space="preserve"> por uma empresa de telemarketing (Almaviva), e seus direitos e benefícios eram regidos pelos acordos coletivos próprios da sua categoria. A extensão dos direitos da categoria bancária, prevista para empregados diretamente vinculados aos bancos, não pode ser aplicada de forma automática a trabalhadores de prestadoras de serviços, que possuem atividades e condições de trabalho distintas.</w:t>
      </w:r>
    </w:p>
    <w:p w14:paraId="239A28A6" w14:textId="77777777" w:rsidR="00AF610D" w:rsidRDefault="00AF610D" w:rsidP="00AF610D">
      <w:pPr>
        <w:pStyle w:val="PargrafodaLista"/>
      </w:pPr>
    </w:p>
    <w:p w14:paraId="6C16369A" w14:textId="77777777" w:rsidR="00AF610D" w:rsidRPr="00F11ABB" w:rsidRDefault="00AF610D" w:rsidP="00AF610D">
      <w:pPr>
        <w:pStyle w:val="APargrafo"/>
      </w:pPr>
      <w:r w:rsidRPr="00F11ABB">
        <w:t>Ademais, o princípio da isonomia não pode ser interpretado de forma a violar a liberdade de contratação e a estrutura normativa vigente, que reconhece a licitude da terceirização e as diferenças entre categorias profissionais.</w:t>
      </w:r>
    </w:p>
    <w:p w14:paraId="2B39AB08" w14:textId="77777777" w:rsidR="00AF610D" w:rsidRPr="000B2020" w:rsidRDefault="00AF610D" w:rsidP="00AF610D">
      <w:pPr>
        <w:pStyle w:val="BodyText21"/>
        <w:tabs>
          <w:tab w:val="left" w:pos="1620"/>
          <w:tab w:val="left" w:pos="1701"/>
          <w:tab w:val="left" w:pos="1843"/>
        </w:tabs>
        <w:rPr>
          <w:rFonts w:ascii="Arial Nova" w:hAnsi="Arial Nova"/>
          <w:sz w:val="22"/>
          <w:szCs w:val="22"/>
        </w:rPr>
      </w:pPr>
    </w:p>
    <w:p w14:paraId="5E6319C3" w14:textId="77777777" w:rsidR="00AF610D" w:rsidRPr="000B2020" w:rsidRDefault="00AF610D" w:rsidP="00AF610D">
      <w:pPr>
        <w:pStyle w:val="APargrafo"/>
      </w:pPr>
      <w:r w:rsidRPr="000B2020">
        <w:t xml:space="preserve">O enquadramento sindical da categoria profissional segue o da categoria patronal, que é definido pela atividade </w:t>
      </w:r>
      <w:r>
        <w:t>da empregadora</w:t>
      </w:r>
      <w:r w:rsidRPr="000B2020">
        <w:t xml:space="preserve">, observando-se, ainda, o quadro a </w:t>
      </w:r>
      <w:r w:rsidRPr="000B2020">
        <w:lastRenderedPageBreak/>
        <w:t>que se refere o art. 577 da CLT. A exceção se faz em relação à categoria profissional diferenciada, e aquelas regidas por lei especial, o que não é o caso dos autos.</w:t>
      </w:r>
    </w:p>
    <w:p w14:paraId="1AE02F19" w14:textId="77777777" w:rsidR="00AF610D" w:rsidRPr="000B2020" w:rsidRDefault="00AF610D" w:rsidP="00AF610D">
      <w:pPr>
        <w:pStyle w:val="BodyText21"/>
        <w:tabs>
          <w:tab w:val="left" w:pos="1620"/>
          <w:tab w:val="left" w:pos="1701"/>
          <w:tab w:val="left" w:pos="1843"/>
        </w:tabs>
        <w:rPr>
          <w:rFonts w:ascii="Arial Nova" w:hAnsi="Arial Nova"/>
          <w:sz w:val="22"/>
          <w:szCs w:val="22"/>
        </w:rPr>
      </w:pPr>
    </w:p>
    <w:p w14:paraId="257BA315" w14:textId="77777777" w:rsidR="00AF610D" w:rsidRDefault="00AF610D" w:rsidP="00AF610D">
      <w:pPr>
        <w:pStyle w:val="APargrafo"/>
      </w:pPr>
      <w:r w:rsidRPr="000B2020">
        <w:t>Assim, mesmo que a prestação de serviços tenha se desenvolvido em benefício do Banco Inter</w:t>
      </w:r>
      <w:r>
        <w:t>, o que se admite pelo argumento</w:t>
      </w:r>
      <w:r w:rsidRPr="000B2020">
        <w:t xml:space="preserve">, não há como se deferir isonomia com os bancários, uma vez que declarada lícita a terceirização pelo C. TST, e inexiste alegação na exordial que o </w:t>
      </w:r>
      <w:r>
        <w:t>primeiro réu</w:t>
      </w:r>
      <w:r w:rsidRPr="000B2020">
        <w:t xml:space="preserve"> se enquadra no conceito de instituição </w:t>
      </w:r>
      <w:r>
        <w:t>bancária</w:t>
      </w:r>
      <w:r w:rsidRPr="000B2020">
        <w:t>.</w:t>
      </w:r>
    </w:p>
    <w:p w14:paraId="132C1DAB" w14:textId="77777777" w:rsidR="00AF610D" w:rsidRDefault="00AF610D" w:rsidP="00AF610D">
      <w:pPr>
        <w:pStyle w:val="PargrafodaLista"/>
        <w:rPr>
          <w:rFonts w:ascii="Arial Nova" w:hAnsi="Arial Nova"/>
          <w:sz w:val="22"/>
          <w:szCs w:val="22"/>
        </w:rPr>
      </w:pPr>
    </w:p>
    <w:p w14:paraId="1E7AF613" w14:textId="77777777" w:rsidR="00AF610D" w:rsidRDefault="00AF610D" w:rsidP="00AF610D">
      <w:pPr>
        <w:pStyle w:val="APargrafo"/>
      </w:pPr>
      <w:r>
        <w:t>A reclamante</w:t>
      </w:r>
      <w:r w:rsidRPr="007572AA">
        <w:t xml:space="preserve"> também baseia sua pretensão no </w:t>
      </w:r>
      <w:r>
        <w:t>E</w:t>
      </w:r>
      <w:r w:rsidRPr="007572AA">
        <w:t xml:space="preserve">nunciado nº 76 da ANAMATRA, que defende a equiparação salarial entre empregados de empresas terceirizadas e tomadoras de serviços. Contudo, é importante ressaltar que tal enunciado não possui caráter vinculante, </w:t>
      </w:r>
      <w:r>
        <w:t>não tendo</w:t>
      </w:r>
      <w:r w:rsidRPr="007572AA">
        <w:t xml:space="preserve"> força normativa para sobrepor-se à legislação trabalhista vigente</w:t>
      </w:r>
      <w:r>
        <w:t>, principalmente após a elaboração da Tese 725 da repercussão geral pelo STF.</w:t>
      </w:r>
    </w:p>
    <w:p w14:paraId="6E3EFF48" w14:textId="77777777" w:rsidR="00AF610D" w:rsidRDefault="00AF610D" w:rsidP="00AF610D">
      <w:pPr>
        <w:pStyle w:val="PargrafodaLista"/>
      </w:pPr>
    </w:p>
    <w:p w14:paraId="01D458D5" w14:textId="77777777" w:rsidR="00AF610D" w:rsidRDefault="00AF610D" w:rsidP="00AF610D">
      <w:pPr>
        <w:pStyle w:val="APargrafo"/>
      </w:pPr>
      <w:r w:rsidRPr="007572AA">
        <w:t>O Supremo Tribunal Federal, ao julgar a licitude da terceirização, não impôs qualquer obrigação de equiparação entre terceirizados e empregados da tomadora de serviços, mantendo intacta a distinção entre as categorias</w:t>
      </w:r>
      <w:r>
        <w:t>, conforme será mais bem abordado em tópico próprio.</w:t>
      </w:r>
    </w:p>
    <w:p w14:paraId="4A60979B" w14:textId="77777777" w:rsidR="00AF610D" w:rsidRDefault="00AF610D" w:rsidP="00AF610D">
      <w:pPr>
        <w:pStyle w:val="PargrafodaLista"/>
      </w:pPr>
    </w:p>
    <w:p w14:paraId="76A4DFF0" w14:textId="77777777" w:rsidR="00AF610D" w:rsidRDefault="00AF610D" w:rsidP="00AF610D">
      <w:pPr>
        <w:pStyle w:val="APargrafo"/>
      </w:pPr>
      <w:r w:rsidRPr="002638A1">
        <w:t xml:space="preserve">Por todo o exposto, resta claro que a tentativa de aplicação da teoria do </w:t>
      </w:r>
      <w:r w:rsidRPr="002638A1">
        <w:rPr>
          <w:i/>
          <w:iCs/>
        </w:rPr>
        <w:t>joint employment</w:t>
      </w:r>
      <w:r w:rsidRPr="002638A1">
        <w:t xml:space="preserve"> no caso em tela é inadequada e carece de fundamentação jurídica no ordenamento brasileiro. A terceirização foi realizada de forma lícita, a relação de subordinação se deu exclusivamente com a Almaviva, e a extensão dos direitos da categoria bancária a</w:t>
      </w:r>
      <w:r>
        <w:t>a reclamante</w:t>
      </w:r>
      <w:r w:rsidRPr="002638A1">
        <w:t xml:space="preserve"> não encontra respaldo legal.</w:t>
      </w:r>
    </w:p>
    <w:p w14:paraId="2E2FE7BC" w14:textId="77777777" w:rsidR="00AF610D" w:rsidRDefault="00AF610D" w:rsidP="00AF610D">
      <w:pPr>
        <w:pStyle w:val="PargrafodaLista"/>
      </w:pPr>
    </w:p>
    <w:p w14:paraId="7ED9E059" w14:textId="77777777" w:rsidR="00AF610D" w:rsidRDefault="00AF610D" w:rsidP="00AF610D">
      <w:pPr>
        <w:pStyle w:val="APargrafo"/>
      </w:pPr>
      <w:r w:rsidRPr="002638A1">
        <w:t>Dessa forma, requer-se seja julgada totalmente improcedente a pretensão d</w:t>
      </w:r>
      <w:r>
        <w:t>a reclamante</w:t>
      </w:r>
      <w:r w:rsidRPr="002638A1">
        <w:t xml:space="preserve"> quanto à extensão dos direitos da categoria bancária e a aplicação da teoria do </w:t>
      </w:r>
      <w:r w:rsidRPr="002638A1">
        <w:rPr>
          <w:i/>
          <w:iCs/>
        </w:rPr>
        <w:t>joint employment</w:t>
      </w:r>
      <w:r w:rsidRPr="002638A1">
        <w:t>, mantendo-se o reconhecimento da terceirização lícita e das obrigações limitadas ao contrato de trabalho firmado com a Almaviva Experience S.A</w:t>
      </w:r>
      <w:r>
        <w:t>.</w:t>
      </w:r>
    </w:p>
    <w:p w14:paraId="3ACB46E0" w14:textId="374BD196" w:rsidR="00702F18" w:rsidRDefault="00702F18" w:rsidP="00702F18"/>
    <w:p w14:paraId="1A2C0EC3" w14:textId="77777777" w:rsidR="003213CC" w:rsidRPr="00702F18" w:rsidRDefault="003213CC" w:rsidP="00702F18"/>
    <w:sectPr w:rsidR="003213CC" w:rsidRPr="00702F18" w:rsidSect="00B4249F">
      <w:headerReference w:type="default" r:id="rId11"/>
      <w:footerReference w:type="default" r:id="rId12"/>
      <w:headerReference w:type="first" r:id="rId13"/>
      <w:type w:val="continuous"/>
      <w:pgSz w:w="11910" w:h="16840" w:code="9"/>
      <w:pgMar w:top="2268" w:right="1418" w:bottom="1985" w:left="1701" w:header="720" w:footer="386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A1F676" w14:textId="77777777" w:rsidR="004E0690" w:rsidRDefault="004E0690" w:rsidP="00B40954">
      <w:r>
        <w:separator/>
      </w:r>
    </w:p>
  </w:endnote>
  <w:endnote w:type="continuationSeparator" w:id="0">
    <w:p w14:paraId="58A4BA83" w14:textId="77777777" w:rsidR="004E0690" w:rsidRDefault="004E0690" w:rsidP="00B40954">
      <w:r>
        <w:continuationSeparator/>
      </w:r>
    </w:p>
  </w:endnote>
  <w:endnote w:type="continuationNotice" w:id="1">
    <w:p w14:paraId="444A0CD7" w14:textId="77777777" w:rsidR="004E0690" w:rsidRDefault="004E069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Ecofont Vera Sans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AndrewAndreas">
    <w:altName w:val="Calibri"/>
    <w:charset w:val="00"/>
    <w:family w:val="auto"/>
    <w:pitch w:val="variable"/>
    <w:sig w:usb0="00000083" w:usb1="00000000" w:usb2="00000000" w:usb3="00000000" w:csb0="00000009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Theme="majorHAnsi" w:eastAsiaTheme="majorEastAsia" w:hAnsiTheme="majorHAnsi" w:cstheme="majorBidi"/>
        <w:sz w:val="28"/>
        <w:szCs w:val="28"/>
      </w:rPr>
      <w:id w:val="257038087"/>
      <w:docPartObj>
        <w:docPartGallery w:val="Page Numbers (Bottom of Page)"/>
        <w:docPartUnique/>
      </w:docPartObj>
    </w:sdtPr>
    <w:sdtEndPr>
      <w:rPr>
        <w:rFonts w:ascii="Arial Nova" w:hAnsi="Arial Nova"/>
      </w:rPr>
    </w:sdtEndPr>
    <w:sdtContent>
      <w:p w14:paraId="3CC929AB" w14:textId="32FDA2AC" w:rsidR="003443CB" w:rsidRPr="00F30004" w:rsidRDefault="003443CB" w:rsidP="00F30004">
        <w:pPr>
          <w:pStyle w:val="Rodap"/>
          <w:numPr>
            <w:ilvl w:val="0"/>
            <w:numId w:val="9"/>
          </w:numPr>
          <w:tabs>
            <w:tab w:val="clear" w:pos="8504"/>
            <w:tab w:val="left" w:pos="284"/>
          </w:tabs>
          <w:ind w:left="0" w:firstLine="0"/>
          <w:jc w:val="right"/>
          <w:rPr>
            <w:rFonts w:ascii="Arial Nova" w:hAnsi="Arial Nova"/>
          </w:rPr>
        </w:pPr>
        <w:r w:rsidRPr="00F30004">
          <w:rPr>
            <w:rFonts w:ascii="Arial Nova" w:eastAsiaTheme="majorEastAsia" w:hAnsi="Arial Nova" w:cstheme="majorBidi"/>
            <w:sz w:val="16"/>
            <w:szCs w:val="16"/>
          </w:rPr>
          <w:t xml:space="preserve">p. </w:t>
        </w:r>
        <w:r w:rsidRPr="00F30004">
          <w:rPr>
            <w:rFonts w:ascii="Arial Nova" w:eastAsiaTheme="minorEastAsia" w:hAnsi="Arial Nova" w:cs="Times New Roman"/>
            <w:sz w:val="16"/>
            <w:szCs w:val="16"/>
          </w:rPr>
          <w:fldChar w:fldCharType="begin"/>
        </w:r>
        <w:r w:rsidRPr="00F30004">
          <w:rPr>
            <w:rFonts w:ascii="Arial Nova" w:hAnsi="Arial Nova"/>
            <w:sz w:val="16"/>
            <w:szCs w:val="16"/>
          </w:rPr>
          <w:instrText>PAGE    \* MERGEFORMAT</w:instrText>
        </w:r>
        <w:r w:rsidRPr="00F30004">
          <w:rPr>
            <w:rFonts w:ascii="Arial Nova" w:eastAsiaTheme="minorEastAsia" w:hAnsi="Arial Nova" w:cs="Times New Roman"/>
            <w:sz w:val="16"/>
            <w:szCs w:val="16"/>
          </w:rPr>
          <w:fldChar w:fldCharType="separate"/>
        </w:r>
        <w:r w:rsidRPr="00F30004">
          <w:rPr>
            <w:rFonts w:ascii="Arial Nova" w:eastAsiaTheme="majorEastAsia" w:hAnsi="Arial Nova" w:cstheme="majorBidi"/>
            <w:sz w:val="16"/>
            <w:szCs w:val="16"/>
          </w:rPr>
          <w:t>2</w:t>
        </w:r>
        <w:r w:rsidRPr="00F30004">
          <w:rPr>
            <w:rFonts w:ascii="Arial Nova" w:eastAsiaTheme="majorEastAsia" w:hAnsi="Arial Nova" w:cstheme="majorBidi"/>
            <w:sz w:val="16"/>
            <w:szCs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24DCFF" w14:textId="77777777" w:rsidR="004E0690" w:rsidRDefault="004E0690" w:rsidP="00B40954">
      <w:r>
        <w:separator/>
      </w:r>
    </w:p>
  </w:footnote>
  <w:footnote w:type="continuationSeparator" w:id="0">
    <w:p w14:paraId="562BC12F" w14:textId="77777777" w:rsidR="004E0690" w:rsidRDefault="004E0690" w:rsidP="00B40954">
      <w:r>
        <w:continuationSeparator/>
      </w:r>
    </w:p>
  </w:footnote>
  <w:footnote w:type="continuationNotice" w:id="1">
    <w:p w14:paraId="5DB6D609" w14:textId="77777777" w:rsidR="004E0690" w:rsidRDefault="004E069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A0808D" w14:textId="7BE24367" w:rsidR="003443CB" w:rsidRDefault="003443CB" w:rsidP="00EE7205">
    <w:pPr>
      <w:pStyle w:val="Cabealho"/>
      <w:tabs>
        <w:tab w:val="clear" w:pos="4252"/>
        <w:tab w:val="clear" w:pos="8504"/>
        <w:tab w:val="left" w:pos="5604"/>
      </w:tabs>
    </w:pPr>
    <w:r>
      <w:rPr>
        <w:noProof/>
      </w:rPr>
      <w:drawing>
        <wp:anchor distT="0" distB="0" distL="114300" distR="114300" simplePos="0" relativeHeight="251658240" behindDoc="1" locked="0" layoutInCell="1" allowOverlap="1" wp14:anchorId="7F02EBB2" wp14:editId="11E8C5F7">
          <wp:simplePos x="0" y="0"/>
          <wp:positionH relativeFrom="page">
            <wp:posOffset>-1270</wp:posOffset>
          </wp:positionH>
          <wp:positionV relativeFrom="paragraph">
            <wp:posOffset>-454660</wp:posOffset>
          </wp:positionV>
          <wp:extent cx="7558775" cy="10692000"/>
          <wp:effectExtent l="0" t="0" r="4445" b="0"/>
          <wp:wrapNone/>
          <wp:docPr id="662573007" name="Imagem 6625730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VLF Timbrado_2a página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8775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D8D29" w14:textId="2A090F7E" w:rsidR="003443CB" w:rsidRPr="009D7FCC" w:rsidRDefault="00350215" w:rsidP="00EE7205">
    <w:pPr>
      <w:pStyle w:val="Cabealho"/>
      <w:tabs>
        <w:tab w:val="clear" w:pos="4252"/>
        <w:tab w:val="clear" w:pos="8504"/>
        <w:tab w:val="center" w:pos="4395"/>
      </w:tabs>
    </w:pPr>
    <w:r>
      <w:rPr>
        <w:noProof/>
      </w:rPr>
      <w:drawing>
        <wp:anchor distT="0" distB="0" distL="114300" distR="114300" simplePos="0" relativeHeight="251659264" behindDoc="1" locked="0" layoutInCell="1" allowOverlap="1" wp14:anchorId="38A428FE" wp14:editId="424EB3A1">
          <wp:simplePos x="0" y="0"/>
          <wp:positionH relativeFrom="page">
            <wp:posOffset>1905</wp:posOffset>
          </wp:positionH>
          <wp:positionV relativeFrom="paragraph">
            <wp:posOffset>-458470</wp:posOffset>
          </wp:positionV>
          <wp:extent cx="7560000" cy="10695600"/>
          <wp:effectExtent l="0" t="0" r="3175" b="0"/>
          <wp:wrapNone/>
          <wp:docPr id="803623681" name="Imagem 1" descr="Desenho em preto e branco&#10;&#10;Descrição gerada automaticamente com confiança baix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03623681" name="Imagem 1" descr="Desenho em preto e branco&#10;&#10;Descrição gerada automaticamente com confiança baix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23.8pt;height:18.15pt;visibility:visible;mso-wrap-style:square" o:bullet="t">
        <v:imagedata r:id="rId1" o:title=""/>
      </v:shape>
    </w:pict>
  </w:numPicBullet>
  <w:abstractNum w:abstractNumId="0" w15:restartNumberingAfterBreak="0">
    <w:nsid w:val="05147CFE"/>
    <w:multiLevelType w:val="hybridMultilevel"/>
    <w:tmpl w:val="0FFA2B52"/>
    <w:lvl w:ilvl="0" w:tplc="0EEE385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FB5A79"/>
    <w:multiLevelType w:val="hybridMultilevel"/>
    <w:tmpl w:val="2B9444A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F764C5"/>
    <w:multiLevelType w:val="hybridMultilevel"/>
    <w:tmpl w:val="3D66EDA0"/>
    <w:lvl w:ilvl="0" w:tplc="7F24030C">
      <w:start w:val="1"/>
      <w:numFmt w:val="lowerRoman"/>
      <w:lvlText w:val="(%1)"/>
      <w:lvlJc w:val="left"/>
      <w:pPr>
        <w:ind w:left="2422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782" w:hanging="360"/>
      </w:pPr>
    </w:lvl>
    <w:lvl w:ilvl="2" w:tplc="0416001B" w:tentative="1">
      <w:start w:val="1"/>
      <w:numFmt w:val="lowerRoman"/>
      <w:lvlText w:val="%3."/>
      <w:lvlJc w:val="right"/>
      <w:pPr>
        <w:ind w:left="3502" w:hanging="180"/>
      </w:pPr>
    </w:lvl>
    <w:lvl w:ilvl="3" w:tplc="0416000F" w:tentative="1">
      <w:start w:val="1"/>
      <w:numFmt w:val="decimal"/>
      <w:lvlText w:val="%4."/>
      <w:lvlJc w:val="left"/>
      <w:pPr>
        <w:ind w:left="4222" w:hanging="360"/>
      </w:pPr>
    </w:lvl>
    <w:lvl w:ilvl="4" w:tplc="04160019" w:tentative="1">
      <w:start w:val="1"/>
      <w:numFmt w:val="lowerLetter"/>
      <w:lvlText w:val="%5."/>
      <w:lvlJc w:val="left"/>
      <w:pPr>
        <w:ind w:left="4942" w:hanging="360"/>
      </w:pPr>
    </w:lvl>
    <w:lvl w:ilvl="5" w:tplc="0416001B" w:tentative="1">
      <w:start w:val="1"/>
      <w:numFmt w:val="lowerRoman"/>
      <w:lvlText w:val="%6."/>
      <w:lvlJc w:val="right"/>
      <w:pPr>
        <w:ind w:left="5662" w:hanging="180"/>
      </w:pPr>
    </w:lvl>
    <w:lvl w:ilvl="6" w:tplc="0416000F" w:tentative="1">
      <w:start w:val="1"/>
      <w:numFmt w:val="decimal"/>
      <w:lvlText w:val="%7."/>
      <w:lvlJc w:val="left"/>
      <w:pPr>
        <w:ind w:left="6382" w:hanging="360"/>
      </w:pPr>
    </w:lvl>
    <w:lvl w:ilvl="7" w:tplc="04160019" w:tentative="1">
      <w:start w:val="1"/>
      <w:numFmt w:val="lowerLetter"/>
      <w:lvlText w:val="%8."/>
      <w:lvlJc w:val="left"/>
      <w:pPr>
        <w:ind w:left="7102" w:hanging="360"/>
      </w:pPr>
    </w:lvl>
    <w:lvl w:ilvl="8" w:tplc="0416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3" w15:restartNumberingAfterBreak="0">
    <w:nsid w:val="33655A13"/>
    <w:multiLevelType w:val="hybridMultilevel"/>
    <w:tmpl w:val="34B0924A"/>
    <w:lvl w:ilvl="0" w:tplc="A6966E1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DF6C70"/>
    <w:multiLevelType w:val="hybridMultilevel"/>
    <w:tmpl w:val="09E4DDAC"/>
    <w:lvl w:ilvl="0" w:tplc="01C428D0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1E22AA"/>
    <w:multiLevelType w:val="hybridMultilevel"/>
    <w:tmpl w:val="2182DD62"/>
    <w:lvl w:ilvl="0" w:tplc="7420861A">
      <w:numFmt w:val="bullet"/>
      <w:lvlText w:val="•"/>
      <w:lvlJc w:val="left"/>
      <w:pPr>
        <w:ind w:left="3689" w:hanging="88"/>
      </w:pPr>
      <w:rPr>
        <w:rFonts w:ascii="Arial" w:eastAsia="Arial" w:hAnsi="Arial" w:cs="Arial" w:hint="default"/>
        <w:color w:val="F15622"/>
        <w:w w:val="101"/>
        <w:sz w:val="16"/>
        <w:szCs w:val="16"/>
        <w:lang w:val="pt-BR" w:eastAsia="pt-BR" w:bidi="pt-BR"/>
      </w:rPr>
    </w:lvl>
    <w:lvl w:ilvl="1" w:tplc="297E4F70">
      <w:numFmt w:val="bullet"/>
      <w:lvlText w:val="•"/>
      <w:lvlJc w:val="left"/>
      <w:pPr>
        <w:ind w:left="4282" w:hanging="88"/>
      </w:pPr>
      <w:rPr>
        <w:rFonts w:hint="default"/>
        <w:lang w:val="pt-BR" w:eastAsia="pt-BR" w:bidi="pt-BR"/>
      </w:rPr>
    </w:lvl>
    <w:lvl w:ilvl="2" w:tplc="F94809C8">
      <w:numFmt w:val="bullet"/>
      <w:lvlText w:val="•"/>
      <w:lvlJc w:val="left"/>
      <w:pPr>
        <w:ind w:left="4885" w:hanging="88"/>
      </w:pPr>
      <w:rPr>
        <w:rFonts w:hint="default"/>
        <w:lang w:val="pt-BR" w:eastAsia="pt-BR" w:bidi="pt-BR"/>
      </w:rPr>
    </w:lvl>
    <w:lvl w:ilvl="3" w:tplc="9EFEE56A">
      <w:numFmt w:val="bullet"/>
      <w:lvlText w:val="•"/>
      <w:lvlJc w:val="left"/>
      <w:pPr>
        <w:ind w:left="5487" w:hanging="88"/>
      </w:pPr>
      <w:rPr>
        <w:rFonts w:hint="default"/>
        <w:lang w:val="pt-BR" w:eastAsia="pt-BR" w:bidi="pt-BR"/>
      </w:rPr>
    </w:lvl>
    <w:lvl w:ilvl="4" w:tplc="A37C6010">
      <w:numFmt w:val="bullet"/>
      <w:lvlText w:val="•"/>
      <w:lvlJc w:val="left"/>
      <w:pPr>
        <w:ind w:left="6090" w:hanging="88"/>
      </w:pPr>
      <w:rPr>
        <w:rFonts w:hint="default"/>
        <w:lang w:val="pt-BR" w:eastAsia="pt-BR" w:bidi="pt-BR"/>
      </w:rPr>
    </w:lvl>
    <w:lvl w:ilvl="5" w:tplc="C0FAE928">
      <w:numFmt w:val="bullet"/>
      <w:lvlText w:val="•"/>
      <w:lvlJc w:val="left"/>
      <w:pPr>
        <w:ind w:left="6692" w:hanging="88"/>
      </w:pPr>
      <w:rPr>
        <w:rFonts w:hint="default"/>
        <w:lang w:val="pt-BR" w:eastAsia="pt-BR" w:bidi="pt-BR"/>
      </w:rPr>
    </w:lvl>
    <w:lvl w:ilvl="6" w:tplc="449C9206">
      <w:numFmt w:val="bullet"/>
      <w:lvlText w:val="•"/>
      <w:lvlJc w:val="left"/>
      <w:pPr>
        <w:ind w:left="7295" w:hanging="88"/>
      </w:pPr>
      <w:rPr>
        <w:rFonts w:hint="default"/>
        <w:lang w:val="pt-BR" w:eastAsia="pt-BR" w:bidi="pt-BR"/>
      </w:rPr>
    </w:lvl>
    <w:lvl w:ilvl="7" w:tplc="79448F1C">
      <w:numFmt w:val="bullet"/>
      <w:lvlText w:val="•"/>
      <w:lvlJc w:val="left"/>
      <w:pPr>
        <w:ind w:left="7897" w:hanging="88"/>
      </w:pPr>
      <w:rPr>
        <w:rFonts w:hint="default"/>
        <w:lang w:val="pt-BR" w:eastAsia="pt-BR" w:bidi="pt-BR"/>
      </w:rPr>
    </w:lvl>
    <w:lvl w:ilvl="8" w:tplc="8658501C">
      <w:numFmt w:val="bullet"/>
      <w:lvlText w:val="•"/>
      <w:lvlJc w:val="left"/>
      <w:pPr>
        <w:ind w:left="8500" w:hanging="88"/>
      </w:pPr>
      <w:rPr>
        <w:rFonts w:hint="default"/>
        <w:lang w:val="pt-BR" w:eastAsia="pt-BR" w:bidi="pt-BR"/>
      </w:rPr>
    </w:lvl>
  </w:abstractNum>
  <w:abstractNum w:abstractNumId="6" w15:restartNumberingAfterBreak="0">
    <w:nsid w:val="5D0E36FA"/>
    <w:multiLevelType w:val="hybridMultilevel"/>
    <w:tmpl w:val="48CAE26A"/>
    <w:lvl w:ilvl="0" w:tplc="7DB86DDA">
      <w:start w:val="1"/>
      <w:numFmt w:val="upperLetter"/>
      <w:pStyle w:val="Ttulo2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8D7CF8"/>
    <w:multiLevelType w:val="hybridMultilevel"/>
    <w:tmpl w:val="1E9A5BE0"/>
    <w:lvl w:ilvl="0" w:tplc="3A8433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1E7509"/>
    <w:multiLevelType w:val="hybridMultilevel"/>
    <w:tmpl w:val="2ED60C7A"/>
    <w:lvl w:ilvl="0" w:tplc="E5C2D524">
      <w:start w:val="1"/>
      <w:numFmt w:val="decimal"/>
      <w:lvlText w:val="%1."/>
      <w:lvlJc w:val="left"/>
      <w:pPr>
        <w:ind w:left="5948" w:hanging="1695"/>
      </w:pPr>
      <w:rPr>
        <w:rFonts w:ascii="Arial Nova" w:hAnsi="Arial Nova" w:hint="default"/>
        <w:b w:val="0"/>
        <w:sz w:val="22"/>
        <w:szCs w:val="22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CF5ABC"/>
    <w:multiLevelType w:val="hybridMultilevel"/>
    <w:tmpl w:val="B7E204FA"/>
    <w:lvl w:ilvl="0" w:tplc="51E07472">
      <w:start w:val="1"/>
      <w:numFmt w:val="decimal"/>
      <w:pStyle w:val="Commarcadores"/>
      <w:lvlText w:val="%1."/>
      <w:lvlJc w:val="left"/>
      <w:pPr>
        <w:ind w:left="7791" w:hanging="1695"/>
      </w:pPr>
      <w:rPr>
        <w:rFonts w:cs="Times New Roman" w:hint="default"/>
        <w:b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 w15:restartNumberingAfterBreak="0">
    <w:nsid w:val="64FA1099"/>
    <w:multiLevelType w:val="hybridMultilevel"/>
    <w:tmpl w:val="9F6EBB60"/>
    <w:lvl w:ilvl="0" w:tplc="E20EBFC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3C5F52"/>
    <w:multiLevelType w:val="hybridMultilevel"/>
    <w:tmpl w:val="D41E2052"/>
    <w:lvl w:ilvl="0" w:tplc="35845902">
      <w:start w:val="1"/>
      <w:numFmt w:val="decimal"/>
      <w:pStyle w:val="APargrafo"/>
      <w:lvlText w:val="%1."/>
      <w:lvlJc w:val="left"/>
      <w:pPr>
        <w:tabs>
          <w:tab w:val="num" w:pos="3905"/>
        </w:tabs>
        <w:ind w:left="3905" w:hanging="360"/>
      </w:pPr>
      <w:rPr>
        <w:rFonts w:ascii="Arial Nova" w:hAnsi="Arial Nova" w:hint="default"/>
        <w:b w:val="0"/>
        <w:sz w:val="22"/>
        <w:szCs w:val="22"/>
      </w:rPr>
    </w:lvl>
    <w:lvl w:ilvl="1" w:tplc="04160019">
      <w:start w:val="1"/>
      <w:numFmt w:val="lowerLetter"/>
      <w:lvlText w:val="%2."/>
      <w:lvlJc w:val="left"/>
      <w:pPr>
        <w:tabs>
          <w:tab w:val="num" w:pos="4625"/>
        </w:tabs>
        <w:ind w:left="4625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5345"/>
        </w:tabs>
        <w:ind w:left="5345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6065"/>
        </w:tabs>
        <w:ind w:left="6065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6785"/>
        </w:tabs>
        <w:ind w:left="6785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7505"/>
        </w:tabs>
        <w:ind w:left="7505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8225"/>
        </w:tabs>
        <w:ind w:left="8225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8945"/>
        </w:tabs>
        <w:ind w:left="8945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9665"/>
        </w:tabs>
        <w:ind w:left="9665" w:hanging="180"/>
      </w:pPr>
    </w:lvl>
  </w:abstractNum>
  <w:abstractNum w:abstractNumId="12" w15:restartNumberingAfterBreak="0">
    <w:nsid w:val="7FC32250"/>
    <w:multiLevelType w:val="hybridMultilevel"/>
    <w:tmpl w:val="947266AE"/>
    <w:lvl w:ilvl="0" w:tplc="A6CA3E1A">
      <w:start w:val="1"/>
      <w:numFmt w:val="decimal"/>
      <w:pStyle w:val="AVLF"/>
      <w:lvlText w:val="%1."/>
      <w:lvlJc w:val="left"/>
      <w:pPr>
        <w:ind w:left="360" w:hanging="360"/>
      </w:pPr>
      <w:rPr>
        <w:rFonts w:ascii="Arial Nova" w:hAnsi="Arial Nova" w:hint="default"/>
        <w:b w:val="0"/>
        <w:i w:val="0"/>
        <w:color w:val="auto"/>
        <w:sz w:val="22"/>
        <w:szCs w:val="21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>
      <w:start w:val="1"/>
      <w:numFmt w:val="lowerRoman"/>
      <w:lvlText w:val="%3."/>
      <w:lvlJc w:val="right"/>
      <w:pPr>
        <w:ind w:left="1800" w:hanging="180"/>
      </w:pPr>
    </w:lvl>
    <w:lvl w:ilvl="3" w:tplc="0416000F">
      <w:start w:val="1"/>
      <w:numFmt w:val="decimal"/>
      <w:lvlText w:val="%4."/>
      <w:lvlJc w:val="left"/>
      <w:pPr>
        <w:ind w:left="2520" w:hanging="360"/>
      </w:pPr>
    </w:lvl>
    <w:lvl w:ilvl="4" w:tplc="04160019">
      <w:start w:val="1"/>
      <w:numFmt w:val="lowerLetter"/>
      <w:lvlText w:val="%5."/>
      <w:lvlJc w:val="left"/>
      <w:pPr>
        <w:ind w:left="3240" w:hanging="360"/>
      </w:pPr>
    </w:lvl>
    <w:lvl w:ilvl="5" w:tplc="0416001B">
      <w:start w:val="1"/>
      <w:numFmt w:val="lowerRoman"/>
      <w:lvlText w:val="%6."/>
      <w:lvlJc w:val="right"/>
      <w:pPr>
        <w:ind w:left="3960" w:hanging="180"/>
      </w:pPr>
    </w:lvl>
    <w:lvl w:ilvl="6" w:tplc="0416000F">
      <w:start w:val="1"/>
      <w:numFmt w:val="decimal"/>
      <w:lvlText w:val="%7."/>
      <w:lvlJc w:val="left"/>
      <w:pPr>
        <w:ind w:left="4680" w:hanging="360"/>
      </w:pPr>
    </w:lvl>
    <w:lvl w:ilvl="7" w:tplc="04160019">
      <w:start w:val="1"/>
      <w:numFmt w:val="lowerLetter"/>
      <w:lvlText w:val="%8."/>
      <w:lvlJc w:val="left"/>
      <w:pPr>
        <w:ind w:left="5400" w:hanging="360"/>
      </w:pPr>
    </w:lvl>
    <w:lvl w:ilvl="8" w:tplc="0416001B">
      <w:start w:val="1"/>
      <w:numFmt w:val="lowerRoman"/>
      <w:lvlText w:val="%9."/>
      <w:lvlJc w:val="right"/>
      <w:pPr>
        <w:ind w:left="6120" w:hanging="180"/>
      </w:pPr>
    </w:lvl>
  </w:abstractNum>
  <w:num w:numId="1" w16cid:durableId="1476947272">
    <w:abstractNumId w:val="5"/>
  </w:num>
  <w:num w:numId="2" w16cid:durableId="1206480184">
    <w:abstractNumId w:val="4"/>
  </w:num>
  <w:num w:numId="3" w16cid:durableId="714936783">
    <w:abstractNumId w:val="0"/>
  </w:num>
  <w:num w:numId="4" w16cid:durableId="877666403">
    <w:abstractNumId w:val="2"/>
  </w:num>
  <w:num w:numId="5" w16cid:durableId="1778211271">
    <w:abstractNumId w:val="1"/>
  </w:num>
  <w:num w:numId="6" w16cid:durableId="123836917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305546630">
    <w:abstractNumId w:val="9"/>
  </w:num>
  <w:num w:numId="8" w16cid:durableId="127745302">
    <w:abstractNumId w:val="8"/>
  </w:num>
  <w:num w:numId="9" w16cid:durableId="190190534">
    <w:abstractNumId w:val="10"/>
  </w:num>
  <w:num w:numId="10" w16cid:durableId="2125952561">
    <w:abstractNumId w:val="6"/>
  </w:num>
  <w:num w:numId="11" w16cid:durableId="452789119">
    <w:abstractNumId w:val="3"/>
  </w:num>
  <w:num w:numId="12" w16cid:durableId="257058985">
    <w:abstractNumId w:val="11"/>
  </w:num>
  <w:num w:numId="13" w16cid:durableId="34277141">
    <w:abstractNumId w:val="12"/>
  </w:num>
  <w:num w:numId="14" w16cid:durableId="181791865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gutterAtTop/>
  <w:proofState w:spelling="clean" w:grammar="clean"/>
  <w:defaultTabStop w:val="720"/>
  <w:hyphenationZone w:val="425"/>
  <w:drawingGridHorizontalSpacing w:val="108"/>
  <w:drawingGridVerticalSpacing w:val="181"/>
  <w:displayHorizontalDrawingGridEvery w:val="14"/>
  <w:displayVerticalDrawingGridEvery w:val="0"/>
  <w:characterSpacingControl w:val="doNotCompress"/>
  <w:hdrShapeDefaults>
    <o:shapedefaults v:ext="edit" spidmax="3073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179"/>
    <w:rsid w:val="000127F0"/>
    <w:rsid w:val="00014159"/>
    <w:rsid w:val="00034081"/>
    <w:rsid w:val="000606C5"/>
    <w:rsid w:val="00093EAA"/>
    <w:rsid w:val="000B3A1A"/>
    <w:rsid w:val="000B4514"/>
    <w:rsid w:val="000C774F"/>
    <w:rsid w:val="001028AF"/>
    <w:rsid w:val="00107941"/>
    <w:rsid w:val="00131148"/>
    <w:rsid w:val="00152B83"/>
    <w:rsid w:val="00185AB5"/>
    <w:rsid w:val="001B64FE"/>
    <w:rsid w:val="001C196F"/>
    <w:rsid w:val="001D4CD3"/>
    <w:rsid w:val="001E12BC"/>
    <w:rsid w:val="001F5309"/>
    <w:rsid w:val="001F6179"/>
    <w:rsid w:val="00203D6E"/>
    <w:rsid w:val="00204208"/>
    <w:rsid w:val="00210AFF"/>
    <w:rsid w:val="00223025"/>
    <w:rsid w:val="00247020"/>
    <w:rsid w:val="00271800"/>
    <w:rsid w:val="00274AB0"/>
    <w:rsid w:val="00276BCE"/>
    <w:rsid w:val="002778DF"/>
    <w:rsid w:val="00284BD6"/>
    <w:rsid w:val="00284D8A"/>
    <w:rsid w:val="00291730"/>
    <w:rsid w:val="002A389C"/>
    <w:rsid w:val="002A7976"/>
    <w:rsid w:val="002B2243"/>
    <w:rsid w:val="002D610A"/>
    <w:rsid w:val="002D7A93"/>
    <w:rsid w:val="00311ED4"/>
    <w:rsid w:val="00315E7E"/>
    <w:rsid w:val="003213CC"/>
    <w:rsid w:val="00324D8F"/>
    <w:rsid w:val="003329D6"/>
    <w:rsid w:val="003443CB"/>
    <w:rsid w:val="00345F42"/>
    <w:rsid w:val="00350215"/>
    <w:rsid w:val="00360144"/>
    <w:rsid w:val="00374BC1"/>
    <w:rsid w:val="003926C3"/>
    <w:rsid w:val="003975F7"/>
    <w:rsid w:val="003A228C"/>
    <w:rsid w:val="003A6173"/>
    <w:rsid w:val="003B02F8"/>
    <w:rsid w:val="003B3030"/>
    <w:rsid w:val="003C1BDF"/>
    <w:rsid w:val="003C2AB9"/>
    <w:rsid w:val="003C5045"/>
    <w:rsid w:val="003C5E9B"/>
    <w:rsid w:val="003C73D7"/>
    <w:rsid w:val="003D32C9"/>
    <w:rsid w:val="003D788D"/>
    <w:rsid w:val="003E0ADB"/>
    <w:rsid w:val="0040121A"/>
    <w:rsid w:val="0040242A"/>
    <w:rsid w:val="00412A1E"/>
    <w:rsid w:val="00430B2A"/>
    <w:rsid w:val="00444176"/>
    <w:rsid w:val="00444211"/>
    <w:rsid w:val="00446FDC"/>
    <w:rsid w:val="00450AE3"/>
    <w:rsid w:val="004676AE"/>
    <w:rsid w:val="004679F9"/>
    <w:rsid w:val="00473656"/>
    <w:rsid w:val="004E0690"/>
    <w:rsid w:val="00501A0F"/>
    <w:rsid w:val="005147B3"/>
    <w:rsid w:val="00531137"/>
    <w:rsid w:val="00531DA3"/>
    <w:rsid w:val="005471BC"/>
    <w:rsid w:val="00551FBA"/>
    <w:rsid w:val="00555E37"/>
    <w:rsid w:val="00577BB5"/>
    <w:rsid w:val="00597DFA"/>
    <w:rsid w:val="005A6DCA"/>
    <w:rsid w:val="005D1996"/>
    <w:rsid w:val="005E2238"/>
    <w:rsid w:val="00600B5D"/>
    <w:rsid w:val="0060441C"/>
    <w:rsid w:val="0061100C"/>
    <w:rsid w:val="00615BF1"/>
    <w:rsid w:val="00644384"/>
    <w:rsid w:val="0064453F"/>
    <w:rsid w:val="00654226"/>
    <w:rsid w:val="00655475"/>
    <w:rsid w:val="00657165"/>
    <w:rsid w:val="00677A44"/>
    <w:rsid w:val="006A5F37"/>
    <w:rsid w:val="006E2156"/>
    <w:rsid w:val="006F135A"/>
    <w:rsid w:val="006F64C6"/>
    <w:rsid w:val="00702F18"/>
    <w:rsid w:val="00713A38"/>
    <w:rsid w:val="00740EB8"/>
    <w:rsid w:val="00742FA4"/>
    <w:rsid w:val="00744A6F"/>
    <w:rsid w:val="00747139"/>
    <w:rsid w:val="00753D99"/>
    <w:rsid w:val="00770666"/>
    <w:rsid w:val="00791755"/>
    <w:rsid w:val="00792015"/>
    <w:rsid w:val="007A379A"/>
    <w:rsid w:val="007B377B"/>
    <w:rsid w:val="007C050F"/>
    <w:rsid w:val="007C15D3"/>
    <w:rsid w:val="007C398F"/>
    <w:rsid w:val="007C7FA4"/>
    <w:rsid w:val="007D691C"/>
    <w:rsid w:val="007E0507"/>
    <w:rsid w:val="007E2FA8"/>
    <w:rsid w:val="00805892"/>
    <w:rsid w:val="008071E8"/>
    <w:rsid w:val="008136EC"/>
    <w:rsid w:val="00815997"/>
    <w:rsid w:val="008165E1"/>
    <w:rsid w:val="00823FDA"/>
    <w:rsid w:val="00830D31"/>
    <w:rsid w:val="00834B99"/>
    <w:rsid w:val="00843D92"/>
    <w:rsid w:val="00844B61"/>
    <w:rsid w:val="00845B7E"/>
    <w:rsid w:val="008539DD"/>
    <w:rsid w:val="008715B3"/>
    <w:rsid w:val="00873C39"/>
    <w:rsid w:val="008944B2"/>
    <w:rsid w:val="008B6786"/>
    <w:rsid w:val="008C3DD8"/>
    <w:rsid w:val="008C76DF"/>
    <w:rsid w:val="00911E24"/>
    <w:rsid w:val="00922D07"/>
    <w:rsid w:val="00931F24"/>
    <w:rsid w:val="0094517A"/>
    <w:rsid w:val="009641CC"/>
    <w:rsid w:val="00964CB8"/>
    <w:rsid w:val="00976D85"/>
    <w:rsid w:val="00977B11"/>
    <w:rsid w:val="00980E12"/>
    <w:rsid w:val="009A2E7B"/>
    <w:rsid w:val="009A7F4A"/>
    <w:rsid w:val="009B2A7C"/>
    <w:rsid w:val="009C35CA"/>
    <w:rsid w:val="009C55EE"/>
    <w:rsid w:val="009D7FCC"/>
    <w:rsid w:val="009E7B74"/>
    <w:rsid w:val="009F63EE"/>
    <w:rsid w:val="00A021D6"/>
    <w:rsid w:val="00A1460F"/>
    <w:rsid w:val="00A16EBA"/>
    <w:rsid w:val="00A16F81"/>
    <w:rsid w:val="00A33233"/>
    <w:rsid w:val="00A40C7A"/>
    <w:rsid w:val="00A42F5B"/>
    <w:rsid w:val="00A5795B"/>
    <w:rsid w:val="00A67FB0"/>
    <w:rsid w:val="00A722A8"/>
    <w:rsid w:val="00A729E6"/>
    <w:rsid w:val="00A823D2"/>
    <w:rsid w:val="00A84D94"/>
    <w:rsid w:val="00A86A62"/>
    <w:rsid w:val="00A94428"/>
    <w:rsid w:val="00AB020F"/>
    <w:rsid w:val="00AC4BDC"/>
    <w:rsid w:val="00AE2647"/>
    <w:rsid w:val="00AE7963"/>
    <w:rsid w:val="00AF1DF5"/>
    <w:rsid w:val="00AF610D"/>
    <w:rsid w:val="00B16A38"/>
    <w:rsid w:val="00B24949"/>
    <w:rsid w:val="00B36F7C"/>
    <w:rsid w:val="00B40954"/>
    <w:rsid w:val="00B4249F"/>
    <w:rsid w:val="00B50497"/>
    <w:rsid w:val="00B60F43"/>
    <w:rsid w:val="00B64D47"/>
    <w:rsid w:val="00B6600A"/>
    <w:rsid w:val="00B735A7"/>
    <w:rsid w:val="00B964ED"/>
    <w:rsid w:val="00BA288C"/>
    <w:rsid w:val="00BA44DD"/>
    <w:rsid w:val="00BB439D"/>
    <w:rsid w:val="00BB45AF"/>
    <w:rsid w:val="00BB45EB"/>
    <w:rsid w:val="00BC209B"/>
    <w:rsid w:val="00BC7C01"/>
    <w:rsid w:val="00BD3C40"/>
    <w:rsid w:val="00BD48F6"/>
    <w:rsid w:val="00BD5039"/>
    <w:rsid w:val="00BE1688"/>
    <w:rsid w:val="00BE3557"/>
    <w:rsid w:val="00BE4843"/>
    <w:rsid w:val="00BF3EE6"/>
    <w:rsid w:val="00C060D3"/>
    <w:rsid w:val="00C13E53"/>
    <w:rsid w:val="00C146D9"/>
    <w:rsid w:val="00C21BF9"/>
    <w:rsid w:val="00C23E59"/>
    <w:rsid w:val="00C36FF9"/>
    <w:rsid w:val="00C55D60"/>
    <w:rsid w:val="00C56E90"/>
    <w:rsid w:val="00C660EF"/>
    <w:rsid w:val="00C661E7"/>
    <w:rsid w:val="00C703EE"/>
    <w:rsid w:val="00C748AF"/>
    <w:rsid w:val="00C80714"/>
    <w:rsid w:val="00C810DB"/>
    <w:rsid w:val="00C85615"/>
    <w:rsid w:val="00C86533"/>
    <w:rsid w:val="00C91FA9"/>
    <w:rsid w:val="00C95239"/>
    <w:rsid w:val="00CA3367"/>
    <w:rsid w:val="00CB3306"/>
    <w:rsid w:val="00CC07D5"/>
    <w:rsid w:val="00CC7F36"/>
    <w:rsid w:val="00CD2C2D"/>
    <w:rsid w:val="00CE4AA3"/>
    <w:rsid w:val="00CE5486"/>
    <w:rsid w:val="00CF3D3F"/>
    <w:rsid w:val="00D070E5"/>
    <w:rsid w:val="00D14BAE"/>
    <w:rsid w:val="00D23415"/>
    <w:rsid w:val="00D331DC"/>
    <w:rsid w:val="00D33C92"/>
    <w:rsid w:val="00D379F1"/>
    <w:rsid w:val="00D5129D"/>
    <w:rsid w:val="00D52122"/>
    <w:rsid w:val="00D61C41"/>
    <w:rsid w:val="00D81057"/>
    <w:rsid w:val="00D9195B"/>
    <w:rsid w:val="00D961B0"/>
    <w:rsid w:val="00DB3A74"/>
    <w:rsid w:val="00DB3C5F"/>
    <w:rsid w:val="00DC0CED"/>
    <w:rsid w:val="00DC16B4"/>
    <w:rsid w:val="00DC4487"/>
    <w:rsid w:val="00DF031A"/>
    <w:rsid w:val="00DF5177"/>
    <w:rsid w:val="00DF62E8"/>
    <w:rsid w:val="00E00465"/>
    <w:rsid w:val="00E160BE"/>
    <w:rsid w:val="00E41105"/>
    <w:rsid w:val="00E57F98"/>
    <w:rsid w:val="00E63C1F"/>
    <w:rsid w:val="00E673D8"/>
    <w:rsid w:val="00E819C6"/>
    <w:rsid w:val="00E9100E"/>
    <w:rsid w:val="00EB1D4D"/>
    <w:rsid w:val="00EB2192"/>
    <w:rsid w:val="00EB47A7"/>
    <w:rsid w:val="00ED00B6"/>
    <w:rsid w:val="00ED0285"/>
    <w:rsid w:val="00ED3B3B"/>
    <w:rsid w:val="00ED48C7"/>
    <w:rsid w:val="00EE7205"/>
    <w:rsid w:val="00F17E3A"/>
    <w:rsid w:val="00F2388A"/>
    <w:rsid w:val="00F30004"/>
    <w:rsid w:val="00F3768E"/>
    <w:rsid w:val="00F3772A"/>
    <w:rsid w:val="00F42680"/>
    <w:rsid w:val="00F45DE8"/>
    <w:rsid w:val="00F47B85"/>
    <w:rsid w:val="00F52AD6"/>
    <w:rsid w:val="00F60264"/>
    <w:rsid w:val="00F663F3"/>
    <w:rsid w:val="00F67F2D"/>
    <w:rsid w:val="00F71DB5"/>
    <w:rsid w:val="00F862AC"/>
    <w:rsid w:val="00F876EE"/>
    <w:rsid w:val="00F901D5"/>
    <w:rsid w:val="00F9107A"/>
    <w:rsid w:val="00FA4A88"/>
    <w:rsid w:val="00FB5EBA"/>
    <w:rsid w:val="00FC2E52"/>
    <w:rsid w:val="00FD6407"/>
    <w:rsid w:val="00FF284E"/>
    <w:rsid w:val="00FF35C3"/>
    <w:rsid w:val="64D41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3"/>
    <o:shapelayout v:ext="edit">
      <o:idmap v:ext="edit" data="2"/>
    </o:shapelayout>
  </w:shapeDefaults>
  <w:decimalSymbol w:val=","/>
  <w:listSeparator w:val=";"/>
  <w14:docId w14:val="5E007692"/>
  <w15:docId w15:val="{324AE2AD-B5D1-4F83-8E8C-573AA3AE9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/>
    <w:lsdException w:name="heading 4" w:semiHidden="1" w:uiPriority="9" w:unhideWhenUsed="1"/>
    <w:lsdException w:name="heading 5" w:semiHidden="1" w:uiPriority="0" w:unhideWhenUsed="1"/>
    <w:lsdException w:name="heading 6" w:semiHidden="1" w:uiPriority="0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3EE6"/>
    <w:rPr>
      <w:rFonts w:ascii="Arial" w:eastAsia="Arial" w:hAnsi="Arial" w:cs="Arial"/>
      <w:lang w:val="pt-BR" w:eastAsia="pt-BR" w:bidi="pt-BR"/>
    </w:rPr>
  </w:style>
  <w:style w:type="paragraph" w:styleId="Ttulo1">
    <w:name w:val="heading 1"/>
    <w:basedOn w:val="PargrafodaLista"/>
    <w:next w:val="Normal"/>
    <w:link w:val="Ttulo1Char"/>
    <w:uiPriority w:val="9"/>
    <w:qFormat/>
    <w:rsid w:val="00BE1688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0E0E0"/>
      <w:tabs>
        <w:tab w:val="left" w:pos="1701"/>
      </w:tabs>
      <w:ind w:left="0"/>
      <w:jc w:val="center"/>
      <w:outlineLvl w:val="0"/>
    </w:pPr>
    <w:rPr>
      <w:rFonts w:ascii="Arial Nova" w:hAnsi="Arial Nova"/>
      <w:b/>
      <w:sz w:val="22"/>
      <w:szCs w:val="22"/>
    </w:rPr>
  </w:style>
  <w:style w:type="paragraph" w:styleId="Ttulo2">
    <w:name w:val="heading 2"/>
    <w:aliases w:val="ATítulo 2;Título VLF"/>
    <w:basedOn w:val="PargrafodaLista"/>
    <w:next w:val="Normal"/>
    <w:link w:val="Ttulo2Char"/>
    <w:uiPriority w:val="9"/>
    <w:unhideWhenUsed/>
    <w:qFormat/>
    <w:rsid w:val="00BE1688"/>
    <w:pPr>
      <w:numPr>
        <w:numId w:val="10"/>
      </w:numPr>
      <w:jc w:val="center"/>
      <w:outlineLvl w:val="1"/>
    </w:pPr>
    <w:rPr>
      <w:rFonts w:ascii="Arial Nova" w:hAnsi="Arial Nova"/>
      <w:b/>
      <w:sz w:val="21"/>
      <w:szCs w:val="21"/>
    </w:rPr>
  </w:style>
  <w:style w:type="paragraph" w:styleId="Ttulo3">
    <w:name w:val="heading 3"/>
    <w:basedOn w:val="Normal"/>
    <w:next w:val="Normal"/>
    <w:link w:val="Ttulo3Char"/>
    <w:rsid w:val="0040121A"/>
    <w:pPr>
      <w:keepNext/>
      <w:widowControl/>
      <w:autoSpaceDE/>
      <w:autoSpaceDN/>
      <w:jc w:val="both"/>
      <w:outlineLvl w:val="2"/>
    </w:pPr>
    <w:rPr>
      <w:rFonts w:ascii="Garamond" w:eastAsia="Times New Roman" w:hAnsi="Garamond" w:cs="Times New Roman"/>
      <w:b/>
      <w:bCs/>
      <w:smallCaps/>
      <w:sz w:val="26"/>
      <w:szCs w:val="24"/>
      <w:u w:val="single"/>
      <w:lang w:bidi="ar-SA"/>
    </w:rPr>
  </w:style>
  <w:style w:type="paragraph" w:styleId="Ttulo5">
    <w:name w:val="heading 5"/>
    <w:basedOn w:val="Normal"/>
    <w:next w:val="Normal"/>
    <w:link w:val="Ttulo5Char"/>
    <w:rsid w:val="0040121A"/>
    <w:pPr>
      <w:keepNext/>
      <w:widowControl/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0E0E0"/>
      <w:tabs>
        <w:tab w:val="left" w:pos="2160"/>
      </w:tabs>
      <w:autoSpaceDE/>
      <w:autoSpaceDN/>
      <w:jc w:val="center"/>
      <w:outlineLvl w:val="4"/>
    </w:pPr>
    <w:rPr>
      <w:rFonts w:ascii="Garamond" w:eastAsia="Times New Roman" w:hAnsi="Garamond" w:cs="Times New Roman"/>
      <w:b/>
      <w:bCs/>
      <w:sz w:val="28"/>
      <w:szCs w:val="24"/>
      <w:lang w:bidi="ar-SA"/>
    </w:rPr>
  </w:style>
  <w:style w:type="paragraph" w:styleId="Ttulo6">
    <w:name w:val="heading 6"/>
    <w:basedOn w:val="Normal"/>
    <w:next w:val="Normal"/>
    <w:link w:val="Ttulo6Char"/>
    <w:unhideWhenUsed/>
    <w:rsid w:val="0040121A"/>
    <w:pPr>
      <w:widowControl/>
      <w:autoSpaceDE/>
      <w:autoSpaceDN/>
      <w:spacing w:before="240" w:after="60"/>
      <w:outlineLvl w:val="5"/>
    </w:pPr>
    <w:rPr>
      <w:rFonts w:ascii="Calibri" w:eastAsia="Times New Roman" w:hAnsi="Calibri" w:cs="Times New Roman"/>
      <w:b/>
      <w:bCs/>
      <w:smallCaps/>
      <w:lang w:bidi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mbrado-VLF-Corpodetexto1pargrafo">
    <w:name w:val="Timbrado - VLF - Corpo de texto 1º parágrafo"/>
    <w:basedOn w:val="Normal"/>
    <w:rsid w:val="00DC16B4"/>
    <w:pPr>
      <w:spacing w:before="2000" w:after="200"/>
      <w:ind w:left="1644" w:right="1644"/>
      <w:jc w:val="both"/>
    </w:pPr>
    <w:rPr>
      <w:rFonts w:ascii="Arial Nova" w:hAnsi="Arial Nova"/>
      <w:szCs w:val="20"/>
    </w:rPr>
  </w:style>
  <w:style w:type="paragraph" w:customStyle="1" w:styleId="Timbrado-VLF-Corpodetexto">
    <w:name w:val="Timbrado - VLF - Corpo de texto"/>
    <w:basedOn w:val="Normal"/>
    <w:rsid w:val="00DC16B4"/>
    <w:pPr>
      <w:spacing w:after="200"/>
      <w:ind w:left="1644" w:right="1644"/>
      <w:jc w:val="both"/>
    </w:pPr>
    <w:rPr>
      <w:rFonts w:ascii="Arial Nova" w:hAnsi="Arial Nova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DC16B4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C16B4"/>
    <w:rPr>
      <w:rFonts w:ascii="Arial" w:eastAsia="Arial" w:hAnsi="Arial" w:cs="Arial"/>
      <w:lang w:val="pt-BR" w:eastAsia="pt-BR" w:bidi="pt-BR"/>
    </w:rPr>
  </w:style>
  <w:style w:type="paragraph" w:styleId="Rodap">
    <w:name w:val="footer"/>
    <w:basedOn w:val="Normal"/>
    <w:link w:val="RodapChar"/>
    <w:uiPriority w:val="99"/>
    <w:unhideWhenUsed/>
    <w:rsid w:val="00DC16B4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C16B4"/>
    <w:rPr>
      <w:rFonts w:ascii="Arial" w:eastAsia="Arial" w:hAnsi="Arial" w:cs="Arial"/>
      <w:lang w:val="pt-BR" w:eastAsia="pt-BR" w:bidi="pt-BR"/>
    </w:rPr>
  </w:style>
  <w:style w:type="character" w:customStyle="1" w:styleId="Ttulo3Char">
    <w:name w:val="Título 3 Char"/>
    <w:basedOn w:val="Fontepargpadro"/>
    <w:link w:val="Ttulo3"/>
    <w:rsid w:val="0040121A"/>
    <w:rPr>
      <w:rFonts w:ascii="Garamond" w:eastAsia="Times New Roman" w:hAnsi="Garamond" w:cs="Times New Roman"/>
      <w:b/>
      <w:bCs/>
      <w:smallCaps/>
      <w:sz w:val="26"/>
      <w:szCs w:val="24"/>
      <w:u w:val="single"/>
      <w:lang w:val="pt-BR" w:eastAsia="pt-BR"/>
    </w:rPr>
  </w:style>
  <w:style w:type="character" w:customStyle="1" w:styleId="Ttulo5Char">
    <w:name w:val="Título 5 Char"/>
    <w:basedOn w:val="Fontepargpadro"/>
    <w:link w:val="Ttulo5"/>
    <w:rsid w:val="0040121A"/>
    <w:rPr>
      <w:rFonts w:ascii="Garamond" w:eastAsia="Times New Roman" w:hAnsi="Garamond" w:cs="Times New Roman"/>
      <w:b/>
      <w:bCs/>
      <w:sz w:val="28"/>
      <w:szCs w:val="24"/>
      <w:shd w:val="clear" w:color="auto" w:fill="E0E0E0"/>
      <w:lang w:val="pt-BR" w:eastAsia="pt-BR"/>
    </w:rPr>
  </w:style>
  <w:style w:type="character" w:customStyle="1" w:styleId="Ttulo6Char">
    <w:name w:val="Título 6 Char"/>
    <w:basedOn w:val="Fontepargpadro"/>
    <w:link w:val="Ttulo6"/>
    <w:rsid w:val="0040121A"/>
    <w:rPr>
      <w:rFonts w:ascii="Calibri" w:eastAsia="Times New Roman" w:hAnsi="Calibri" w:cs="Times New Roman"/>
      <w:b/>
      <w:bCs/>
      <w:smallCaps/>
      <w:lang w:val="pt-BR" w:eastAsia="pt-BR"/>
    </w:rPr>
  </w:style>
  <w:style w:type="paragraph" w:styleId="PargrafodaLista">
    <w:name w:val="List Paragraph"/>
    <w:aliases w:val="Modif 2,Normal numerado,Parágrafo numerado,Texto,Rodapé MMSO"/>
    <w:basedOn w:val="Normal"/>
    <w:link w:val="PargrafodaListaChar"/>
    <w:uiPriority w:val="34"/>
    <w:qFormat/>
    <w:rsid w:val="0040121A"/>
    <w:pPr>
      <w:widowControl/>
      <w:autoSpaceDE/>
      <w:autoSpaceDN/>
      <w:ind w:left="708"/>
    </w:pPr>
    <w:rPr>
      <w:rFonts w:ascii="Garamond" w:eastAsia="Times New Roman" w:hAnsi="Garamond" w:cs="Times New Roman"/>
      <w:smallCaps/>
      <w:sz w:val="26"/>
      <w:szCs w:val="24"/>
      <w:lang w:bidi="ar-SA"/>
    </w:rPr>
  </w:style>
  <w:style w:type="paragraph" w:customStyle="1" w:styleId="Default">
    <w:name w:val="Default"/>
    <w:rsid w:val="0040121A"/>
    <w:pPr>
      <w:widowControl/>
      <w:adjustRightInd w:val="0"/>
    </w:pPr>
    <w:rPr>
      <w:rFonts w:ascii="Ecofont Vera Sans" w:eastAsia="Times New Roman" w:hAnsi="Ecofont Vera Sans" w:cs="Ecofont Vera Sans"/>
      <w:color w:val="000000"/>
      <w:sz w:val="24"/>
      <w:szCs w:val="24"/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B3A74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B3A74"/>
    <w:rPr>
      <w:rFonts w:ascii="Segoe UI" w:eastAsia="Arial" w:hAnsi="Segoe UI" w:cs="Segoe UI"/>
      <w:sz w:val="18"/>
      <w:szCs w:val="18"/>
      <w:lang w:val="pt-BR" w:eastAsia="pt-BR" w:bidi="pt-BR"/>
    </w:rPr>
  </w:style>
  <w:style w:type="character" w:customStyle="1" w:styleId="Ttulo1Char">
    <w:name w:val="Título 1 Char"/>
    <w:basedOn w:val="Fontepargpadro"/>
    <w:link w:val="Ttulo1"/>
    <w:uiPriority w:val="9"/>
    <w:rsid w:val="00BE1688"/>
    <w:rPr>
      <w:rFonts w:ascii="Arial Nova" w:eastAsia="Times New Roman" w:hAnsi="Arial Nova" w:cs="Times New Roman"/>
      <w:b/>
      <w:smallCaps/>
      <w:shd w:val="clear" w:color="auto" w:fill="E0E0E0"/>
      <w:lang w:val="pt-BR" w:eastAsia="pt-BR"/>
    </w:rPr>
  </w:style>
  <w:style w:type="character" w:styleId="Hyperlink">
    <w:name w:val="Hyperlink"/>
    <w:basedOn w:val="Fontepargpadro"/>
    <w:uiPriority w:val="99"/>
    <w:unhideWhenUsed/>
    <w:rsid w:val="00E160BE"/>
    <w:rPr>
      <w:color w:val="0000FF" w:themeColor="hyperlink"/>
      <w:u w:val="single"/>
    </w:rPr>
  </w:style>
  <w:style w:type="paragraph" w:styleId="Textodenotaderodap">
    <w:name w:val="footnote text"/>
    <w:basedOn w:val="Normal"/>
    <w:link w:val="TextodenotaderodapChar"/>
    <w:unhideWhenUsed/>
    <w:rsid w:val="00E160BE"/>
    <w:pPr>
      <w:widowControl/>
      <w:autoSpaceDE/>
      <w:autoSpaceDN/>
    </w:pPr>
    <w:rPr>
      <w:rFonts w:asciiTheme="minorHAnsi" w:eastAsiaTheme="minorHAnsi" w:hAnsiTheme="minorHAnsi" w:cstheme="minorBidi"/>
      <w:sz w:val="20"/>
      <w:szCs w:val="20"/>
      <w:lang w:eastAsia="en-US" w:bidi="ar-SA"/>
    </w:rPr>
  </w:style>
  <w:style w:type="character" w:customStyle="1" w:styleId="TextodenotaderodapChar">
    <w:name w:val="Texto de nota de rodapé Char"/>
    <w:basedOn w:val="Fontepargpadro"/>
    <w:link w:val="Textodenotaderodap"/>
    <w:rsid w:val="00E160BE"/>
    <w:rPr>
      <w:sz w:val="20"/>
      <w:szCs w:val="20"/>
      <w:lang w:val="pt-BR"/>
    </w:rPr>
  </w:style>
  <w:style w:type="character" w:styleId="Refdenotaderodap">
    <w:name w:val="footnote reference"/>
    <w:basedOn w:val="Fontepargpadro"/>
    <w:unhideWhenUsed/>
    <w:rsid w:val="00E160BE"/>
    <w:rPr>
      <w:vertAlign w:val="superscript"/>
    </w:rPr>
  </w:style>
  <w:style w:type="character" w:customStyle="1" w:styleId="PargrafodaListaChar">
    <w:name w:val="Parágrafo da Lista Char"/>
    <w:aliases w:val="Modif 2 Char,Normal numerado Char,Parágrafo numerado Char,Texto Char,Rodapé MMSO Char"/>
    <w:link w:val="PargrafodaLista"/>
    <w:uiPriority w:val="34"/>
    <w:rsid w:val="00E160BE"/>
    <w:rPr>
      <w:rFonts w:ascii="Garamond" w:eastAsia="Times New Roman" w:hAnsi="Garamond" w:cs="Times New Roman"/>
      <w:smallCaps/>
      <w:sz w:val="26"/>
      <w:szCs w:val="24"/>
      <w:lang w:val="pt-BR" w:eastAsia="pt-BR"/>
    </w:rPr>
  </w:style>
  <w:style w:type="paragraph" w:styleId="SemEspaamento">
    <w:name w:val="No Spacing"/>
    <w:uiPriority w:val="1"/>
    <w:rsid w:val="00CB3306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table" w:styleId="Tabelacomgrade">
    <w:name w:val="Table Grid"/>
    <w:basedOn w:val="Tabelanormal"/>
    <w:uiPriority w:val="59"/>
    <w:rsid w:val="00677A44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pt-BR"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VALDO">
    <w:name w:val="EVALDO"/>
    <w:rsid w:val="00677A44"/>
    <w:pPr>
      <w:widowControl/>
      <w:overflowPunct w:val="0"/>
      <w:adjustRightInd w:val="0"/>
      <w:spacing w:after="240" w:line="240" w:lineRule="exact"/>
      <w:ind w:firstLine="3402"/>
      <w:jc w:val="both"/>
    </w:pPr>
    <w:rPr>
      <w:rFonts w:ascii="Courier" w:eastAsia="Times New Roman" w:hAnsi="Courier" w:cs="Times New Roman"/>
      <w:sz w:val="24"/>
      <w:szCs w:val="20"/>
      <w:lang w:val="pt-PT" w:eastAsia="pt-BR"/>
    </w:rPr>
  </w:style>
  <w:style w:type="paragraph" w:styleId="Commarcadores">
    <w:name w:val="List Bullet"/>
    <w:basedOn w:val="Normal"/>
    <w:uiPriority w:val="99"/>
    <w:rsid w:val="00677A44"/>
    <w:pPr>
      <w:widowControl/>
      <w:numPr>
        <w:numId w:val="7"/>
      </w:numPr>
      <w:autoSpaceDE/>
      <w:autoSpaceDN/>
      <w:contextualSpacing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Ttulo2Char">
    <w:name w:val="Título 2 Char"/>
    <w:basedOn w:val="Fontepargpadro"/>
    <w:link w:val="Ttulo2"/>
    <w:uiPriority w:val="9"/>
    <w:rsid w:val="00BE1688"/>
    <w:rPr>
      <w:rFonts w:ascii="Arial Nova" w:eastAsia="Times New Roman" w:hAnsi="Arial Nova" w:cs="Times New Roman"/>
      <w:b/>
      <w:smallCaps/>
      <w:sz w:val="21"/>
      <w:szCs w:val="21"/>
      <w:lang w:val="pt-BR" w:eastAsia="pt-BR"/>
    </w:rPr>
  </w:style>
  <w:style w:type="paragraph" w:styleId="Lista">
    <w:name w:val="List"/>
    <w:basedOn w:val="Normal"/>
    <w:uiPriority w:val="99"/>
    <w:unhideWhenUsed/>
    <w:rsid w:val="00203D6E"/>
    <w:pPr>
      <w:ind w:left="283" w:hanging="283"/>
      <w:contextualSpacing/>
    </w:pPr>
  </w:style>
  <w:style w:type="paragraph" w:styleId="Listadecontinuao">
    <w:name w:val="List Continue"/>
    <w:basedOn w:val="Normal"/>
    <w:uiPriority w:val="99"/>
    <w:unhideWhenUsed/>
    <w:rsid w:val="00203D6E"/>
    <w:pPr>
      <w:spacing w:after="120"/>
      <w:ind w:left="283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BE1688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0E0E0"/>
      <w:tabs>
        <w:tab w:val="left" w:pos="1701"/>
      </w:tabs>
      <w:jc w:val="center"/>
    </w:pPr>
    <w:rPr>
      <w:rFonts w:ascii="Arial Nova" w:hAnsi="Arial Nova"/>
      <w:b/>
      <w:smallCaps/>
      <w:sz w:val="24"/>
      <w:szCs w:val="24"/>
    </w:rPr>
  </w:style>
  <w:style w:type="character" w:customStyle="1" w:styleId="TtuloChar">
    <w:name w:val="Título Char"/>
    <w:basedOn w:val="Fontepargpadro"/>
    <w:link w:val="Ttulo"/>
    <w:uiPriority w:val="10"/>
    <w:rsid w:val="00BE1688"/>
    <w:rPr>
      <w:rFonts w:ascii="Arial Nova" w:eastAsia="Arial" w:hAnsi="Arial Nova" w:cs="Arial"/>
      <w:b/>
      <w:smallCaps/>
      <w:sz w:val="24"/>
      <w:szCs w:val="24"/>
      <w:shd w:val="clear" w:color="auto" w:fill="E0E0E0"/>
      <w:lang w:val="pt-BR" w:eastAsia="pt-BR" w:bidi="pt-BR"/>
    </w:rPr>
  </w:style>
  <w:style w:type="paragraph" w:styleId="Corpodetexto">
    <w:name w:val="Body Text"/>
    <w:basedOn w:val="Normal"/>
    <w:link w:val="CorpodetextoChar"/>
    <w:uiPriority w:val="99"/>
    <w:unhideWhenUsed/>
    <w:rsid w:val="00203D6E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203D6E"/>
    <w:rPr>
      <w:rFonts w:ascii="Arial" w:eastAsia="Arial" w:hAnsi="Arial" w:cs="Arial"/>
      <w:lang w:val="pt-BR" w:eastAsia="pt-BR" w:bidi="pt-BR"/>
    </w:rPr>
  </w:style>
  <w:style w:type="paragraph" w:styleId="Primeirorecuodecorpodetexto">
    <w:name w:val="Body Text First Indent"/>
    <w:basedOn w:val="Corpodetexto"/>
    <w:link w:val="PrimeirorecuodecorpodetextoChar"/>
    <w:uiPriority w:val="99"/>
    <w:unhideWhenUsed/>
    <w:rsid w:val="00203D6E"/>
    <w:pPr>
      <w:spacing w:after="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rsid w:val="00203D6E"/>
    <w:rPr>
      <w:rFonts w:ascii="Arial" w:eastAsia="Arial" w:hAnsi="Arial" w:cs="Arial"/>
      <w:lang w:val="pt-BR" w:eastAsia="pt-BR" w:bidi="pt-BR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203D6E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203D6E"/>
    <w:rPr>
      <w:rFonts w:ascii="Arial" w:eastAsia="Arial" w:hAnsi="Arial" w:cs="Arial"/>
      <w:lang w:val="pt-BR" w:eastAsia="pt-BR" w:bidi="pt-BR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unhideWhenUsed/>
    <w:rsid w:val="00203D6E"/>
    <w:pPr>
      <w:spacing w:after="0"/>
      <w:ind w:left="360"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rsid w:val="00203D6E"/>
    <w:rPr>
      <w:rFonts w:ascii="Arial" w:eastAsia="Arial" w:hAnsi="Arial" w:cs="Arial"/>
      <w:lang w:val="pt-BR" w:eastAsia="pt-BR" w:bidi="pt-BR"/>
    </w:rPr>
  </w:style>
  <w:style w:type="character" w:customStyle="1" w:styleId="apple-converted-space">
    <w:name w:val="apple-converted-space"/>
    <w:rsid w:val="002A389C"/>
  </w:style>
  <w:style w:type="paragraph" w:customStyle="1" w:styleId="textoescritrio">
    <w:name w:val="texto escritório"/>
    <w:basedOn w:val="Normal"/>
    <w:autoRedefine/>
    <w:rsid w:val="00131148"/>
    <w:pPr>
      <w:widowControl/>
      <w:suppressAutoHyphens/>
      <w:autoSpaceDE/>
      <w:autoSpaceDN/>
      <w:spacing w:line="320" w:lineRule="atLeast"/>
      <w:jc w:val="center"/>
    </w:pPr>
    <w:rPr>
      <w:rFonts w:ascii="Garamond" w:eastAsia="Times New Roman" w:hAnsi="Garamond" w:cs="Times New Roman"/>
      <w:spacing w:val="20"/>
      <w:sz w:val="28"/>
      <w:szCs w:val="28"/>
      <w:lang w:bidi="ar-SA"/>
    </w:rPr>
  </w:style>
  <w:style w:type="paragraph" w:styleId="Subttulo">
    <w:name w:val="Subtitle"/>
    <w:basedOn w:val="Ttulo"/>
    <w:next w:val="Normal"/>
    <w:link w:val="SubttuloChar"/>
    <w:uiPriority w:val="11"/>
    <w:rsid w:val="00BE1688"/>
  </w:style>
  <w:style w:type="character" w:customStyle="1" w:styleId="SubttuloChar">
    <w:name w:val="Subtítulo Char"/>
    <w:basedOn w:val="Fontepargpadro"/>
    <w:link w:val="Subttulo"/>
    <w:uiPriority w:val="11"/>
    <w:rsid w:val="00BE1688"/>
    <w:rPr>
      <w:rFonts w:ascii="Arial Nova" w:eastAsia="Arial" w:hAnsi="Arial Nova" w:cs="Arial"/>
      <w:b/>
      <w:smallCaps/>
      <w:sz w:val="24"/>
      <w:szCs w:val="24"/>
      <w:shd w:val="clear" w:color="auto" w:fill="E0E0E0"/>
      <w:lang w:val="pt-BR" w:eastAsia="pt-BR" w:bidi="pt-BR"/>
    </w:rPr>
  </w:style>
  <w:style w:type="paragraph" w:customStyle="1" w:styleId="BodyText21">
    <w:name w:val="Body Text 21"/>
    <w:basedOn w:val="Normal"/>
    <w:rsid w:val="00AF610D"/>
    <w:pPr>
      <w:widowControl/>
      <w:autoSpaceDE/>
      <w:autoSpaceDN/>
      <w:spacing w:line="360" w:lineRule="auto"/>
      <w:jc w:val="both"/>
    </w:pPr>
    <w:rPr>
      <w:rFonts w:ascii="Times New Roman" w:eastAsia="Times New Roman" w:hAnsi="Times New Roman" w:cs="Times New Roman"/>
      <w:sz w:val="26"/>
      <w:szCs w:val="20"/>
      <w:lang w:bidi="ar-SA"/>
    </w:rPr>
  </w:style>
  <w:style w:type="paragraph" w:customStyle="1" w:styleId="APargrafo">
    <w:name w:val="AParágrafo"/>
    <w:basedOn w:val="BodyText21"/>
    <w:qFormat/>
    <w:rsid w:val="00AF610D"/>
    <w:pPr>
      <w:numPr>
        <w:numId w:val="12"/>
      </w:numPr>
      <w:tabs>
        <w:tab w:val="left" w:pos="1701"/>
      </w:tabs>
      <w:ind w:left="0" w:firstLine="0"/>
    </w:pPr>
    <w:rPr>
      <w:rFonts w:ascii="Arial Nova" w:hAnsi="Arial Nova"/>
      <w:sz w:val="22"/>
      <w:szCs w:val="22"/>
    </w:rPr>
  </w:style>
  <w:style w:type="paragraph" w:customStyle="1" w:styleId="CitaoVLF">
    <w:name w:val="Citação VLF"/>
    <w:basedOn w:val="PargrafodaLista"/>
    <w:link w:val="CitaoVLFChar"/>
    <w:qFormat/>
    <w:rsid w:val="00AF610D"/>
    <w:pPr>
      <w:ind w:left="1701"/>
      <w:jc w:val="both"/>
    </w:pPr>
    <w:rPr>
      <w:rFonts w:ascii="Arial Nova" w:hAnsi="Arial Nova"/>
      <w:smallCaps w:val="0"/>
      <w:sz w:val="20"/>
      <w:szCs w:val="20"/>
    </w:rPr>
  </w:style>
  <w:style w:type="character" w:customStyle="1" w:styleId="CitaoVLFChar">
    <w:name w:val="Citação VLF Char"/>
    <w:link w:val="CitaoVLF"/>
    <w:rsid w:val="00AF610D"/>
    <w:rPr>
      <w:rFonts w:ascii="Arial Nova" w:eastAsia="Times New Roman" w:hAnsi="Arial Nova" w:cs="Times New Roman"/>
      <w:sz w:val="20"/>
      <w:szCs w:val="20"/>
      <w:lang w:val="pt-BR" w:eastAsia="pt-BR"/>
    </w:rPr>
  </w:style>
  <w:style w:type="paragraph" w:customStyle="1" w:styleId="m6582299275299223099gmail-msonormal">
    <w:name w:val="m_6582299275299223099gmail-msonormal"/>
    <w:basedOn w:val="Normal"/>
    <w:rsid w:val="00AF610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AVLF">
    <w:name w:val="A VLF"/>
    <w:basedOn w:val="Normal"/>
    <w:link w:val="AVLFChar"/>
    <w:autoRedefine/>
    <w:rsid w:val="00AF610D"/>
    <w:pPr>
      <w:widowControl/>
      <w:numPr>
        <w:numId w:val="13"/>
      </w:numPr>
      <w:tabs>
        <w:tab w:val="left" w:pos="1701"/>
      </w:tabs>
      <w:autoSpaceDE/>
      <w:autoSpaceDN/>
      <w:spacing w:line="360" w:lineRule="auto"/>
      <w:ind w:left="0" w:firstLine="0"/>
      <w:jc w:val="both"/>
    </w:pPr>
    <w:rPr>
      <w:rFonts w:ascii="Arial Nova" w:hAnsi="Arial Nova"/>
      <w:lang w:eastAsia="en-US" w:bidi="ar-SA"/>
    </w:rPr>
  </w:style>
  <w:style w:type="character" w:customStyle="1" w:styleId="AVLFChar">
    <w:name w:val="A VLF Char"/>
    <w:basedOn w:val="Fontepargpadro"/>
    <w:link w:val="AVLF"/>
    <w:rsid w:val="00AF610D"/>
    <w:rPr>
      <w:rFonts w:ascii="Arial Nova" w:eastAsia="Arial" w:hAnsi="Arial Nova" w:cs="Arial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289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3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40d6832-c989-4a6d-887d-911ed9ee777a" xsi:nil="true"/>
    <DatadoDocumento xmlns="740d6832-c989-4a6d-887d-911ed9ee777a" xsi:nil="true"/>
    <_Flow_SignoffStatus xmlns="740d6832-c989-4a6d-887d-911ed9ee777a" xsi:nil="true"/>
    <TaxCatchAll xmlns="3d1517fb-7399-431e-bfee-f339c4c1443b" xsi:nil="true"/>
    <lcf76f155ced4ddcb4097134ff3c332f xmlns="740d6832-c989-4a6d-887d-911ed9ee777a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7AE105C5D7D744C9423D06D6F919020" ma:contentTypeVersion="27" ma:contentTypeDescription="Crie um novo documento." ma:contentTypeScope="" ma:versionID="44f55fa74d426777d364eb431e0a91db">
  <xsd:schema xmlns:xsd="http://www.w3.org/2001/XMLSchema" xmlns:xs="http://www.w3.org/2001/XMLSchema" xmlns:p="http://schemas.microsoft.com/office/2006/metadata/properties" xmlns:ns2="3d1517fb-7399-431e-bfee-f339c4c1443b" xmlns:ns3="740d6832-c989-4a6d-887d-911ed9ee777a" targetNamespace="http://schemas.microsoft.com/office/2006/metadata/properties" ma:root="true" ma:fieldsID="489c5fab7a94f50d444f5ee3c133c0be" ns2:_="" ns3:_="">
    <xsd:import namespace="3d1517fb-7399-431e-bfee-f339c4c1443b"/>
    <xsd:import namespace="740d6832-c989-4a6d-887d-911ed9ee777a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DatadoDocumento" minOccurs="0"/>
                <xsd:element ref="ns3:Status" minOccurs="0"/>
                <xsd:element ref="ns3:MediaLengthInSeconds" minOccurs="0"/>
                <xsd:element ref="ns3:_Flow_SignoffStatus" minOccurs="0"/>
                <xsd:element ref="ns3:lcf76f155ced4ddcb4097134ff3c332f" minOccurs="0"/>
                <xsd:element ref="ns2:TaxCatchAll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1517fb-7399-431e-bfee-f339c4c144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26" nillable="true" ma:displayName="Taxonomy Catch All Column" ma:hidden="true" ma:list="{eb1ed48a-0d21-4788-bbce-7f9aacbb924e}" ma:internalName="TaxCatchAll" ma:showField="CatchAllData" ma:web="3d1517fb-7399-431e-bfee-f339c4c144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0d6832-c989-4a6d-887d-911ed9ee77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DatadoDocumento" ma:index="20" nillable="true" ma:displayName="Data do Documento" ma:description="Destinado a inserção manual da efetiva data do documento. Ex.: data de recebimento do e-mail, data de assinatura, data de registro, etc." ma:format="DateOnly" ma:indexed="true" ma:internalName="DatadoDocumento">
      <xsd:simpleType>
        <xsd:restriction base="dms:DateTime"/>
      </xsd:simpleType>
    </xsd:element>
    <xsd:element name="Status" ma:index="21" nillable="true" ma:displayName="Status" ma:format="Dropdown" ma:internalName="Status">
      <xsd:simpleType>
        <xsd:restriction base="dms:Choice">
          <xsd:enumeration value="Aceita"/>
          <xsd:enumeration value="Recusada"/>
          <xsd:enumeration value="Enviada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_Flow_SignoffStatus" ma:index="23" nillable="true" ma:displayName="Estado da aprovação" ma:internalName="Estado_x0020_da_x0020_aprova_x00e7__x00e3_o">
      <xsd:simpleType>
        <xsd:restriction base="dms:Text"/>
      </xsd:simpleType>
    </xsd:element>
    <xsd:element name="lcf76f155ced4ddcb4097134ff3c332f" ma:index="25" nillable="true" ma:taxonomy="true" ma:internalName="lcf76f155ced4ddcb4097134ff3c332f" ma:taxonomyFieldName="MediaServiceImageTags" ma:displayName="Marcações de imagem" ma:readOnly="false" ma:fieldId="{5cf76f15-5ced-4ddc-b409-7134ff3c332f}" ma:taxonomyMulti="true" ma:sspId="08230eed-4a43-4aae-8e11-ce09ddebf2f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7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F7D0C96-4D78-4E02-9E0F-99CD1E53AE49}">
  <ds:schemaRefs>
    <ds:schemaRef ds:uri="http://www.w3.org/XML/1998/namespace"/>
    <ds:schemaRef ds:uri="http://schemas.microsoft.com/office/2006/metadata/properties"/>
    <ds:schemaRef ds:uri="http://purl.org/dc/elements/1.1/"/>
    <ds:schemaRef ds:uri="http://purl.org/dc/terms/"/>
    <ds:schemaRef ds:uri="740d6832-c989-4a6d-887d-911ed9ee777a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3d1517fb-7399-431e-bfee-f339c4c1443b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477CDDDA-8D8B-4EB5-AAA6-B301F630ED6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A08414F-9462-431F-9CF7-C5D22DD02A0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5EB29C3-85A6-41F0-81A0-0DC4BEB28A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1517fb-7399-431e-bfee-f339c4c1443b"/>
    <ds:schemaRef ds:uri="740d6832-c989-4a6d-887d-911ed9ee77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2216</Words>
  <Characters>11971</Characters>
  <Application>Microsoft Office Word</Application>
  <DocSecurity>0</DocSecurity>
  <Lines>99</Lines>
  <Paragraphs>28</Paragraphs>
  <ScaleCrop>false</ScaleCrop>
  <Company/>
  <LinksUpToDate>false</LinksUpToDate>
  <CharactersWithSpaces>14159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Christian Lopes</dc:creator>
  <cp:lastModifiedBy>Henrique Abrantes</cp:lastModifiedBy>
  <cp:revision>3</cp:revision>
  <cp:lastPrinted>2020-02-06T14:48:00Z</cp:lastPrinted>
  <dcterms:created xsi:type="dcterms:W3CDTF">2025-02-02T20:52:00Z</dcterms:created>
  <dcterms:modified xsi:type="dcterms:W3CDTF">2025-02-02T20:52:00Z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2019-09-24T00:00:00Z</vt:filetime>
  </property>
  <property fmtid="{D5CDD505-2E9C-101B-9397-08002B2CF9AE}" pid="3" name="Creator">
    <vt:lpwstr>Adobe InDesign CC 14.0 (Windows)</vt:lpwstr>
  </property>
  <property fmtid="{D5CDD505-2E9C-101B-9397-08002B2CF9AE}" pid="4" name="LastSaved">
    <vt:filetime>2019-09-24T00:00:00Z</vt:filetime>
  </property>
  <property fmtid="{D5CDD505-2E9C-101B-9397-08002B2CF9AE}" pid="5" name="ContentTypeId">
    <vt:lpwstr>0x01010087AE105C5D7D744C9423D06D6F919020</vt:lpwstr>
  </property>
  <property fmtid="{D5CDD505-2E9C-101B-9397-08002B2CF9AE}" pid="6" name="MediaServiceImageTags">
    <vt:lpwstr/>
  </property>
</Properties>
</file>