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700"/>
              <w:left w:type="dxa" w:w="600"/>
              <w:bottom w:type="dxa" w:w="7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80"/>
                <w:szCs w:val="80"/>
              </w:rPr>
              <w:t xml:space="preserve">IV7</w:t>
            </w:r>
          </w:p>
          <w:p>
            <w:pPr>
              <w:spacing w:after="8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GESTÃO DE CRISE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Protocolo de resposta, prevenção e comunicação — Versão 1.0 — 2025</w:t>
            </w:r>
          </w:p>
        </w:tc>
      </w:tr>
    </w:tbl>
    <w:p>
      <w:pPr>
        <w:spacing w:after="120" w:before="3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"Nunca deixar um cliente descobrir o problema antes de você. Se algo falhou, você comunica primeiro — com solução em mãos ou prazo definido para tê-la."</w:t>
      </w:r>
    </w:p>
    <w:p>
      <w:pP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94560"/>
          <w:sz w:val="38"/>
          <w:szCs w:val="38"/>
        </w:rPr>
        <w:t xml:space="preserve">1. Filosofia de Crise da IV7</w:t>
      </w:r>
    </w:p>
    <w:p>
      <w:pPr>
        <w:pBdr>
          <w:bottom w:val="single" w:color="E94560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 maioria das empresas morre mais pelos problemas que ignora do que pelos que enfrenta. A IV7 opera com uma premissa diferente: crise previsível é crise evitável. Quando não é evitável, é crise gerenciada.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Crise não é sinal de fraqueza — é parte natural de qualquer operação real. O que nos diferencia não é nunca ter problemas, mas ter clareza absoluta sobre o que fazer quando eles aparecem. Três pilares regem nossa resposta: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Velocidade — cada minuto sem resposta aumenta o dano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Transparência — o cliente precisa saber antes de reclamar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Responsabilidade — quem detecta assume até a solução ser entregue</w:t>
      </w:r>
    </w:p>
    <w:p>
      <w:pPr>
        <w:spacing w:after="100" w:before="1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94560"/>
          <w:sz w:val="38"/>
          <w:szCs w:val="38"/>
        </w:rPr>
        <w:t xml:space="preserve">2. Níveis de Crise</w:t>
      </w:r>
    </w:p>
    <w:p>
      <w:pPr>
        <w:pBdr>
          <w:bottom w:val="single" w:color="E94560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Nem todo problema é uma crise. A IV7 classifica os incidentes em 3 níveis para acionar a resposta proporcional e não tratar lentidão como catástrofe nem ignorar o que é urgente.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2560"/>
        <w:gridCol w:w="33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 esperada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🟡  NÍVEL 1
Incidente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Problema pontual sem impacto crítico ao cliente.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Sistema com lentidão, erro no relatório semanal.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Resolução em até 4h. Comunicação interna. Cliente informado se perceber.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🟠  NÍVEL 2
Crise Controlável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Impacto direto em entrega ou operação do cliente. Risco de insatisfação.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Site fora do ar, CRM com dados incorretos, automação parada.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Resolução em até 24h. Cliente comunicado imediatamente com prazo claro.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🔴  NÍVEL 3
Crise Crítica</w:t>
            </w:r>
          </w:p>
        </w:tc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Falha grave com risco à reputação ou perda de cliente.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Perda de dados, falha de segurança, entrega atrasada +3 dias.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Resposta em até 1h. Escalada imediata. Plano de compensação ao cliente.</w:t>
            </w:r>
          </w:p>
        </w:tc>
      </w:tr>
    </w:tbl>
    <w:p>
      <w:pPr>
        <w:spacing w:after="10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94560"/>
          <w:sz w:val="38"/>
          <w:szCs w:val="38"/>
        </w:rPr>
        <w:t xml:space="preserve">3. Protocolo de Resposta</w:t>
      </w:r>
    </w:p>
    <w:p>
      <w:pPr>
        <w:pBdr>
          <w:bottom w:val="single" w:color="E94560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Quando um incidente é identificado, o protocolo abaixo deve ser seguido sem exceção, independente do nível. Improvisar em crise é o caminho mais rápido para perder o cliente.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060"/>
        <w:gridCol w:w="3300"/>
      </w:tblGrid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1. Identificar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Detectar o problema e classificar o nível (1, 2 ou 3).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Quem detectou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Imediato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2. Conter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Agir para impedir que o problema se agrave. Isolar a falha.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Responsável técnico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N1: 1h / N2: 30min / N3: 15min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3. Comunicar internamente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Informar o fundador e time relevante. Nada de resolver em silêncio.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Quem conteve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Antes do cliente ser informado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4. Comunicar o cliente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Informar com clareza: o que aconteceu, o que está sendo feito e quando resolve.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Fundador / responsável de conta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N2: até 2h / N3: até 1h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5. Resolver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Executar a correção com foco total. Documentar a causa raiz.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Responsável técnico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Conforme SLA do nível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6. Validar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Confirmar com o cliente que o problema foi resolvido do ponto de vista dele.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Responsável de conta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Logo após a resolução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7. Pós-crise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Registrar incidente, causa raiz e o que muda para não repetir.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Fundador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Em até 48h após resolução</w:t>
            </w:r>
          </w:p>
        </w:tc>
      </w:tr>
    </w:tbl>
    <w:p>
      <w:pPr>
        <w:spacing w:after="10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94560"/>
          <w:sz w:val="38"/>
          <w:szCs w:val="38"/>
        </w:rPr>
        <w:t xml:space="preserve">4. Comunicação com o Cliente</w:t>
      </w:r>
    </w:p>
    <w:p>
      <w:pPr>
        <w:pBdr>
          <w:bottom w:val="single" w:color="E94560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 comunicação durante a crise define se o cliente sai mais confiante ou menos. A forma de comunicar importa tanto quanto a solução em si.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B954" w:sz="1"/>
              <w:left w:val="single" w:color="1DB954" w:sz="1"/>
              <w:bottom w:val="single" w:color="1DB954" w:sz="1"/>
              <w:right w:val="single" w:color="1DB954" w:sz="1"/>
            </w:tcBorders>
            <w:shd w:fill="F0FF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B954"/>
                <w:sz w:val="22"/>
                <w:szCs w:val="22"/>
              </w:rPr>
              <w:t xml:space="preserve">✅  O que fazer</w:t>
            </w:r>
          </w:p>
          <w:p>
            <w:r>
              <w:rPr>
                <w:rFonts w:ascii="Arial" w:cs="Arial" w:eastAsia="Arial" w:hAnsi="Arial"/>
                <w:color w:val="0D0D0D"/>
                <w:sz w:val="21"/>
                <w:szCs w:val="21"/>
              </w:rPr>
              <w:t xml:space="preserve">Comunicar antes de ser perguntado. Ser direto sobre o que aconteceu. Apresentar prazo realista — nunca prometa o que não pode cumprir. Mostrar exatamente o que está sendo feito. Após resolver, perguntar se o cliente está satisfeito.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FF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❌  O que nunca fazer</w:t>
            </w:r>
          </w:p>
          <w:p>
            <w:r>
              <w:rPr>
                <w:rFonts w:ascii="Arial" w:cs="Arial" w:eastAsia="Arial" w:hAnsi="Arial"/>
                <w:color w:val="0D0D0D"/>
                <w:sz w:val="21"/>
                <w:szCs w:val="21"/>
              </w:rPr>
              <w:t xml:space="preserve">Esperar que o cliente perceba. Minimizar o problema. Usar linguagem técnica que confunde. Dar prazo otimista e atrasar de novo. Encerrar o caso sem confirmação do cliente.</w:t>
            </w:r>
          </w:p>
        </w:tc>
      </w:tr>
    </w:tbl>
    <w:p>
      <w:pPr>
        <w:spacing w:after="10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Modelo de mensagem — Nível 2 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FFF5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Olá [Nome], tudo bem?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Identificamos um problema com [sistema/entrega] que pode estar afetando a operação de vocês. Já estamos trabalhando na solução e o prazo para normalização é [data/hora].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Vou te atualizar assim que estiver resolvido. Qualquer dúvida, pode me chamar diretamente.</w:t>
            </w:r>
          </w:p>
        </w:tc>
      </w:tr>
    </w:tbl>
    <w:p>
      <w:pPr>
        <w:spacing w:after="10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94560"/>
          <w:sz w:val="38"/>
          <w:szCs w:val="38"/>
        </w:rPr>
        <w:t xml:space="preserve">5. Prevenção de Crises</w:t>
      </w:r>
    </w:p>
    <w:p>
      <w:pPr>
        <w:pBdr>
          <w:bottom w:val="single" w:color="E94560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 melhor crise é a que não acontece. A IV7 adota práticas preventivas como parte da rotina operacional — não como exceção.</w:t>
      </w:r>
    </w:p>
    <w:p>
      <w:pPr>
        <w:spacing w:after="10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Checklist de entrega antes de qualquer go-live com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Monitoramento ativo dos sistemas entregues — não espera o cliente reclamar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Backup dos dados e configurações de todos os clientes ativos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Revisão mensal do status de cada conta no acompanhamento recorrente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Documentação completa de cada sistema entregue para facilitar diagnóstico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Registro de incidentes anteriores como base de aprendizado contínuo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Teste de funcionamento dos sistemas nos primeiros 3 dias após entrega</w:t>
      </w:r>
    </w:p>
    <w:p>
      <w:pPr>
        <w:spacing w:after="1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E94560"/>
          <w:sz w:val="38"/>
          <w:szCs w:val="38"/>
        </w:rPr>
        <w:t xml:space="preserve">6. Registro de Incidentes</w:t>
      </w:r>
    </w:p>
    <w:p>
      <w:pPr>
        <w:pBdr>
          <w:bottom w:val="single" w:color="E94560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Todo incidente Nível 2 ou 3 deve ser registrado com os campos abaixo. O registro não é burocracia — é o que nos impede de repetir os mesmos erros.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registrar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Data e hora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Quando o problema foi detectado e quando foi resolvido.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Nível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1, 2 ou 3 — conforme classificação no momento da detecção.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O que falhou, em qual sistema, com qual impacto visível ao cliente.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Causa raiz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Por que aconteceu — não o sintoma, mas a origem real.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Resolução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O que foi feito para corrigir, com quem atuou e em quanto tempo.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Ação preventiva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O que mudou nos processos para esse problema não se repetir.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Feedback do cliente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19"/>
                <w:szCs w:val="19"/>
              </w:rPr>
              <w:t xml:space="preserve">Como o cliente avaliou o atendimento durante e após a crise.</w:t>
            </w:r>
          </w:p>
        </w:tc>
      </w:tr>
    </w:tbl>
    <w:p>
      <w:pPr>
        <w:spacing w:after="100" w:before="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IV7 — Gestão de Crise — Versão 1.0 — 2025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6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IV7 — Ecossistema de IA para negócios reais  |  Documento interno —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6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IV7  |  Gestão de Crise  —  v1.0  —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0D0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E94560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2026-04-14T02:06:26.628Z</dcterms:created>
  <dcterms:modified xsi:type="dcterms:W3CDTF">2026-04-14T02:06:26.629Z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