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10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400"/>
      </w:tblPr>
      <w:tblGrid>
        <w:gridCol w:w="1570"/>
        <w:gridCol w:w="8530"/>
        <w:tblGridChange w:id="0">
          <w:tblGrid>
            <w:gridCol w:w="1570"/>
            <w:gridCol w:w="85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2">
            <w:pPr>
              <w:pageBreakBefore w:val="0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236220</wp:posOffset>
                  </wp:positionH>
                  <wp:positionV relativeFrom="paragraph">
                    <wp:posOffset>43180</wp:posOffset>
                  </wp:positionV>
                  <wp:extent cx="684530" cy="1016635"/>
                  <wp:effectExtent b="0" l="0" r="0" t="0"/>
                  <wp:wrapSquare wrapText="bothSides" distB="0" distT="0" distL="114300" distR="11430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4530" cy="101663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3">
            <w:pPr>
              <w:pageBreakBefore w:val="0"/>
              <w:jc w:val="center"/>
              <w:rPr>
                <w:b w:val="1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ageBreakBefore w:val="0"/>
              <w:jc w:val="center"/>
              <w:rPr>
                <w:b w:val="1"/>
                <w:smallCaps w:val="1"/>
              </w:rPr>
            </w:pPr>
            <w:r w:rsidDel="00000000" w:rsidR="00000000" w:rsidRPr="00000000">
              <w:rPr>
                <w:b w:val="1"/>
                <w:smallCaps w:val="1"/>
                <w:rtl w:val="0"/>
              </w:rPr>
              <w:t xml:space="preserve">COLEGIADO DO CURSO DE ENGENHARIA DE COMPUTAÇÃO</w:t>
            </w:r>
          </w:p>
          <w:p w:rsidR="00000000" w:rsidDel="00000000" w:rsidP="00000000" w:rsidRDefault="00000000" w:rsidRPr="00000000" w14:paraId="00000005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ageBreakBefore w:val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FORMULÁRIO PARA PRÉ-PROJETO DO TRABALHO DE CONCLUSÃO DE CURSO</w:t>
            </w:r>
          </w:p>
          <w:p w:rsidR="00000000" w:rsidDel="00000000" w:rsidP="00000000" w:rsidRDefault="00000000" w:rsidRPr="00000000" w14:paraId="00000007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pageBreakBefore w:val="0"/>
        <w:spacing w:after="120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994.0" w:type="dxa"/>
        <w:jc w:val="center"/>
        <w:tblLayout w:type="fixed"/>
        <w:tblLook w:val="0000"/>
      </w:tblPr>
      <w:tblGrid>
        <w:gridCol w:w="5961"/>
        <w:gridCol w:w="4033"/>
        <w:tblGridChange w:id="0">
          <w:tblGrid>
            <w:gridCol w:w="5961"/>
            <w:gridCol w:w="4033"/>
          </w:tblGrid>
        </w:tblGridChange>
      </w:tblGrid>
      <w:tr>
        <w:trPr>
          <w:cantSplit w:val="0"/>
          <w:trHeight w:val="341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0000" w:val="clear"/>
          </w:tcPr>
          <w:p w:rsidR="00000000" w:rsidDel="00000000" w:rsidP="00000000" w:rsidRDefault="00000000" w:rsidRPr="00000000" w14:paraId="00000009">
            <w:pPr>
              <w:pageBreakBefore w:val="0"/>
              <w:jc w:val="center"/>
              <w:rPr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ffffff"/>
                <w:sz w:val="22"/>
                <w:szCs w:val="22"/>
                <w:rtl w:val="0"/>
              </w:rPr>
              <w:t xml:space="preserve">IDENTIFICAÇÃO</w:t>
            </w:r>
          </w:p>
        </w:tc>
      </w:tr>
      <w:tr>
        <w:trPr>
          <w:cantSplit w:val="0"/>
          <w:trHeight w:val="341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B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ALUNO</w:t>
            </w:r>
          </w:p>
          <w:p w:rsidR="00000000" w:rsidDel="00000000" w:rsidP="00000000" w:rsidRDefault="00000000" w:rsidRPr="00000000" w14:paraId="0000000C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Henderson Souza Chalegre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MATRÍCULA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12111176</w:t>
            </w:r>
          </w:p>
        </w:tc>
      </w:tr>
      <w:tr>
        <w:trPr>
          <w:cantSplit w:val="0"/>
          <w:trHeight w:val="341" w:hRule="atLeast"/>
          <w:tblHeader w:val="0"/>
        </w:trPr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F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TÍTULO DO PROJETO</w:t>
            </w:r>
          </w:p>
          <w:p w:rsidR="00000000" w:rsidDel="00000000" w:rsidP="00000000" w:rsidRDefault="00000000" w:rsidRPr="00000000" w14:paraId="00000010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HABILIDADES DO SÉCULO XXI E O PENSAMENTO COMPUTACIONAL EM UMA ABORDAGEM COM COMPUTAÇÃO COM MÍDIAS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1" w:hRule="atLeast"/>
          <w:tblHeader w:val="0"/>
        </w:trPr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3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ORIENTADOR</w:t>
            </w:r>
          </w:p>
          <w:p w:rsidR="00000000" w:rsidDel="00000000" w:rsidP="00000000" w:rsidRDefault="00000000" w:rsidRPr="00000000" w14:paraId="00000014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Roberto Almeida Bittencourt</w:t>
            </w:r>
          </w:p>
        </w:tc>
      </w:tr>
      <w:tr>
        <w:trPr>
          <w:cantSplit w:val="0"/>
          <w:trHeight w:val="341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PALAVRAS-CHAVE (no máximo 6)</w:t>
            </w:r>
          </w:p>
          <w:p w:rsidR="00000000" w:rsidDel="00000000" w:rsidP="00000000" w:rsidRDefault="00000000" w:rsidRPr="00000000" w14:paraId="00000017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Ensino-aprendizagem, Computação com Mídias, Habilidades do Século XXI, Pensamento Computacional.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pageBreakBefore w:val="0"/>
        <w:spacing w:after="120" w:before="120" w:lineRule="auto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left"/>
        <w:tblInd w:w="13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923"/>
        <w:tblGridChange w:id="0">
          <w:tblGrid>
            <w:gridCol w:w="9923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</w:tcPr>
          <w:p w:rsidR="00000000" w:rsidDel="00000000" w:rsidP="00000000" w:rsidRDefault="00000000" w:rsidRPr="00000000" w14:paraId="0000001B">
            <w:pPr>
              <w:pageBreakBefore w:val="0"/>
              <w:spacing w:after="120" w:before="120" w:lineRule="auto"/>
              <w:jc w:val="center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INTRODUÇÃO E JUSTIFICATIVA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C">
            <w:pPr>
              <w:pageBreakBefore w:val="0"/>
              <w:spacing w:line="338" w:lineRule="auto"/>
              <w:ind w:left="-15" w:firstLine="709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Saber interpretar, buscar, comunicar e compartilhar novas informações são habilidades-chave para um cidadão bem-sucedido na atual sociedade do conhecimento, e costumam ser chamadas de habilidades do Século XXI (MIOTO </w:t>
            </w: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et al.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, 2019). O ensino de computação visa o desenvolvimento de habilidades como pensamento computacional, colaboração e comunicação e seus impactos globais e éticos (CSTA, 2017).</w:t>
            </w:r>
          </w:p>
          <w:p w:rsidR="00000000" w:rsidDel="00000000" w:rsidP="00000000" w:rsidRDefault="00000000" w:rsidRPr="00000000" w14:paraId="0000001D">
            <w:pPr>
              <w:pageBreakBefore w:val="0"/>
              <w:spacing w:line="330" w:lineRule="auto"/>
              <w:ind w:left="-15" w:firstLine="709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pensamento computacional é comumente considerado uma habilidade fundamental de pensamento analítico para todos, não apenas para profissionais de computação (VOOGT </w:t>
            </w: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et al.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, 2015). Esta habilidade é considerada universal e deve ser adicionada à capacidade analítica na aprendizagem escolar (JEANNETTE, 2006). Este termo é comum na comunidade de educação em computação, mas entre professores do ensino fundamental e médio, administradores e formadores de professores, há confusão sobre o termo (ORVALHO, 2017).</w:t>
            </w:r>
          </w:p>
          <w:p w:rsidR="00000000" w:rsidDel="00000000" w:rsidP="00000000" w:rsidRDefault="00000000" w:rsidRPr="00000000" w14:paraId="0000001E">
            <w:pPr>
              <w:pageBreakBefore w:val="0"/>
              <w:spacing w:line="325" w:lineRule="auto"/>
              <w:ind w:left="-15" w:firstLine="709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 computação é uma área que fornece suporte para todas as áreas do conhecimento. Muitos países como França, Argentina e Portugal já incorporaram ao ensino regular aulas ou conteúdo da área (SCHULZ; MARQUES; CRUZ, 2019). Apesar de países com altos índices de escolarização reconhecerem a importância da computação no ensino das crianças e jovens do século XXI, o ensino de computação, no Brasil, ainda se restringe basicamente à graduação e à pós-graduação (SCHULZ </w:t>
            </w: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et al.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, 2017).</w:t>
            </w:r>
          </w:p>
          <w:p w:rsidR="00000000" w:rsidDel="00000000" w:rsidP="00000000" w:rsidRDefault="00000000" w:rsidRPr="00000000" w14:paraId="0000001F">
            <w:pPr>
              <w:pageBreakBefore w:val="0"/>
              <w:spacing w:line="335" w:lineRule="auto"/>
              <w:ind w:left="-15" w:firstLine="709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As habilidades do Século XXI e a forma de ensinar conceitos computacionais na educação básica vem sendo objeto de estudos em diversas pesquisas. A </w:t>
            </w: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Computer Science Teachers Association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(CSTA) desenvolveu um currículo para a educação básica baseado em cinco eixos: pensamento computacional; colaboração; práticas de computação e programação; computadores e dispositivos de comunicação; impactos comunitários, globais e éticos (SEEHORN </w:t>
            </w: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et al.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, 2011). No Brasil, a Sociedade Brasileira de Computação (SBC) propôs diretrizes curriculares baseado em três eixos: pensamento computacional, mundo digital e a cultura digital (ZORZO </w:t>
            </w: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et al.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, 2017).</w:t>
            </w:r>
          </w:p>
          <w:p w:rsidR="00000000" w:rsidDel="00000000" w:rsidP="00000000" w:rsidRDefault="00000000" w:rsidRPr="00000000" w14:paraId="00000020">
            <w:pPr>
              <w:pageBreakBefore w:val="0"/>
              <w:spacing w:after="75" w:line="321" w:lineRule="auto"/>
              <w:ind w:left="-15" w:firstLine="709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Apesar da criação das diretrizes da CSTA e da SBC e de diversos relatos de experiência, descrevendo abordagens para o ensino de computação na educação básica, há poucos materiais didáticos para o Ensino Fundamental II. Além disso, a escassez é ainda maior quando analisamos materiais didáticos avaliados. No Brasil, a carência de materiais didáticos desenvolvidos com base teórica apropriada é uma das principais problemáticas do ensino de computação na educação básica (SCHULZ; SCHMACHTENBERG, 2017).</w:t>
            </w:r>
          </w:p>
          <w:p w:rsidR="00000000" w:rsidDel="00000000" w:rsidP="00000000" w:rsidRDefault="00000000" w:rsidRPr="00000000" w14:paraId="00000021">
            <w:pPr>
              <w:pageBreakBefore w:val="0"/>
              <w:spacing w:line="337" w:lineRule="auto"/>
              <w:ind w:left="-15" w:firstLine="709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Alguns materiais didáticos para a computação na educação básica no Brasil já foram desenvolvidos tais como: </w:t>
            </w: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Produção de Materiais Didáticos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(SCHULZ; SCHMACHTENBERG, 2017), </w:t>
            </w: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Programa.Aê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(Fundação Telefonica, 2020), </w:t>
            </w: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Algoritmos Desplugados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(SANTOS </w:t>
            </w: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et al.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, 2015) e </w:t>
            </w: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Computacional.com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(BRACKMANN, 2020). Porém, estes materiais, com exceção de </w:t>
            </w: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Computacional.com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, não costumam aderir explicitamente a referenciais curriculares e não apresentam um currículo completo em português. Já o </w:t>
            </w: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Computacional.com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possui uma série de materiais voltados para a educação infantil e o ensino fundamental, porém não apresenta a forma de um livro didático, e as atividades propostas são apenas de computação desplugada.</w:t>
            </w:r>
          </w:p>
          <w:p w:rsidR="00000000" w:rsidDel="00000000" w:rsidP="00000000" w:rsidRDefault="00000000" w:rsidRPr="00000000" w14:paraId="00000022">
            <w:pPr>
              <w:pageBreakBefore w:val="0"/>
              <w:spacing w:line="329" w:lineRule="auto"/>
              <w:ind w:left="-15" w:firstLine="709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Devido à falta de materiais para o ensino de computação, surgiu a necessidade de um projeto para construir e validar um conjunto de livros didáticos que integrem os conceitos fundamentais da ciência da computação, o domínio de tecnologias e as habilidades de pensamento computacional para o Ensino Fundamental II brasileiro. Este projeto, chamado de </w:t>
            </w: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Computação Fundamental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, desenvolveu quatro livros didáticos para o Ensino Fundamental II (SANTANA; ARAUJO; BITTENCOURT, 2019; ARAUJO; SANTANA; BITTENCOURT, 2019; SANTANA; ARAUJO; BITTENCOURT, 2020; ARAUJO; SANTANA; BITTENCOURT, 2020). Relatos preliminares de uso destes livros já foram publicados por seus autores (SANTANA; ARAÚJO; BITTENCOURT, 2019; ARAÚJO; SANTANA; BITTENCOURT, 2019; SANTANA; ARAÚJO; BITTENCOURT, 2020; ARAÚJO; SANTANA; BITTENCOURT, 2020).</w:t>
            </w:r>
          </w:p>
          <w:p w:rsidR="00000000" w:rsidDel="00000000" w:rsidP="00000000" w:rsidRDefault="00000000" w:rsidRPr="00000000" w14:paraId="00000023">
            <w:pPr>
              <w:pageBreakBefore w:val="0"/>
              <w:spacing w:line="329" w:lineRule="auto"/>
              <w:ind w:left="-15" w:firstLine="709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Entretanto, os materiais do projeto </w:t>
            </w: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Computação Fundamental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ainda não foram avaliados em experiências formais de mais longa duração. Também não foram avaliados em relação a critérios específicos tais como percepções dos aprendizes de seu domínio de habilidades do Século XXI ou de suas percepções em relação à área de computação.</w:t>
            </w:r>
          </w:p>
          <w:p w:rsidR="00000000" w:rsidDel="00000000" w:rsidP="00000000" w:rsidRDefault="00000000" w:rsidRPr="00000000" w14:paraId="00000024">
            <w:pPr>
              <w:pageBreakBefore w:val="0"/>
              <w:spacing w:line="334" w:lineRule="auto"/>
              <w:ind w:left="-15" w:firstLine="709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Este trabalho realiza uma avaliação dos materiais didáticos de computação com mídias de um dos livros do projeto </w:t>
            </w: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Computação Fundamental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, o livro intitulado </w:t>
            </w: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Computação e Sociedade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(SANTANA; ARAUJO; BITTENCOURT, 2020), em uma intervenção em uma escola pública com estudantes do oitavo ano do ensino fundamental. Foram avaliadas as percepções dos estudantes em relação a seu domínio de habilidades do século XXI e às suas atitudes sobre computação antes e após a intervenção.</w:t>
            </w:r>
          </w:p>
          <w:p w:rsidR="00000000" w:rsidDel="00000000" w:rsidP="00000000" w:rsidRDefault="00000000" w:rsidRPr="00000000" w14:paraId="00000025">
            <w:pPr>
              <w:pageBreakBefore w:val="0"/>
              <w:spacing w:line="334" w:lineRule="auto"/>
              <w:ind w:left="-15" w:firstLine="709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0030.0" w:type="dxa"/>
        <w:jc w:val="center"/>
        <w:tblLayout w:type="fixed"/>
        <w:tblLook w:val="0000"/>
      </w:tblPr>
      <w:tblGrid>
        <w:gridCol w:w="10030"/>
        <w:tblGridChange w:id="0">
          <w:tblGrid>
            <w:gridCol w:w="10030"/>
          </w:tblGrid>
        </w:tblGridChange>
      </w:tblGrid>
      <w:tr>
        <w:trPr>
          <w:cantSplit w:val="0"/>
          <w:trHeight w:val="341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27">
            <w:pPr>
              <w:pageBreakBefore w:val="0"/>
              <w:jc w:val="center"/>
              <w:rPr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ffffff"/>
                <w:sz w:val="22"/>
                <w:szCs w:val="22"/>
                <w:rtl w:val="0"/>
              </w:rPr>
              <w:t xml:space="preserve">OBJETIVOS DO TRABALHO</w:t>
            </w:r>
          </w:p>
        </w:tc>
      </w:tr>
      <w:tr>
        <w:trPr>
          <w:cantSplit w:val="0"/>
          <w:trHeight w:val="341" w:hRule="atLeast"/>
          <w:tblHeader w:val="0"/>
        </w:trPr>
        <w:tc>
          <w:tcPr>
            <w:tcBorders>
              <w:left w:color="000000" w:space="0" w:sz="8" w:val="single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8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Objetivo Geral</w:t>
            </w:r>
          </w:p>
          <w:p w:rsidR="00000000" w:rsidDel="00000000" w:rsidP="00000000" w:rsidRDefault="00000000" w:rsidRPr="00000000" w14:paraId="00000029">
            <w:pPr>
              <w:pageBreakBefore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objetivo deste trabalho é avaliar materiais didáticos do livro Computação e Sociedade utilizados em uma intervenção de computação com mídias com estudantes do oitavo ano do ensino fundamental em relação a habilidades do Século XXI e suas percepções em relação à computação.</w:t>
            </w:r>
          </w:p>
          <w:p w:rsidR="00000000" w:rsidDel="00000000" w:rsidP="00000000" w:rsidRDefault="00000000" w:rsidRPr="00000000" w14:paraId="0000002A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Objetivos Específicos</w:t>
            </w:r>
          </w:p>
          <w:p w:rsidR="00000000" w:rsidDel="00000000" w:rsidP="00000000" w:rsidRDefault="00000000" w:rsidRPr="00000000" w14:paraId="0000002C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pageBreakBefore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Planejar uma intervenção para ensino de pensamento computacional utilizando computação com mídias através da ferramenta GPBlocks e da linguagem Python;</w:t>
            </w:r>
          </w:p>
          <w:p w:rsidR="00000000" w:rsidDel="00000000" w:rsidP="00000000" w:rsidRDefault="00000000" w:rsidRPr="00000000" w14:paraId="0000002E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pageBreakBefore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Executar a intervenção em uma escola pública com estudantes de oitavo ano do ensino fundamental;</w:t>
            </w:r>
          </w:p>
          <w:p w:rsidR="00000000" w:rsidDel="00000000" w:rsidP="00000000" w:rsidRDefault="00000000" w:rsidRPr="00000000" w14:paraId="00000030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pageBreakBefore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Avaliar   a   intervenção   em   relação   à   percepção   dos   aprendizes   sobre   o desenvolvimento de habilidades do século XXI e suas percepções sobre a computação.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0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311.0" w:type="dxa"/>
        <w:jc w:val="center"/>
        <w:tblLayout w:type="fixed"/>
        <w:tblLook w:val="0000"/>
      </w:tblPr>
      <w:tblGrid>
        <w:gridCol w:w="10311"/>
        <w:tblGridChange w:id="0">
          <w:tblGrid>
            <w:gridCol w:w="10311"/>
          </w:tblGrid>
        </w:tblGridChange>
      </w:tblGrid>
      <w:tr>
        <w:trPr>
          <w:cantSplit w:val="0"/>
          <w:trHeight w:val="338" w:hRule="atLeast"/>
          <w:tblHeader w:val="0"/>
        </w:trPr>
        <w:tc>
          <w:tcPr>
            <w:tcBorders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000000" w:val="clear"/>
            <w:vAlign w:val="center"/>
          </w:tcPr>
          <w:p w:rsidR="00000000" w:rsidDel="00000000" w:rsidP="00000000" w:rsidRDefault="00000000" w:rsidRPr="00000000" w14:paraId="00000036">
            <w:pPr>
              <w:pageBreakBefore w:val="0"/>
              <w:jc w:val="center"/>
              <w:rPr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ffffff"/>
                <w:sz w:val="22"/>
                <w:szCs w:val="22"/>
                <w:rtl w:val="0"/>
              </w:rPr>
              <w:t xml:space="preserve">METODOLOGIA</w:t>
            </w:r>
          </w:p>
        </w:tc>
      </w:tr>
      <w:tr>
        <w:trPr>
          <w:cantSplit w:val="0"/>
          <w:trHeight w:val="338" w:hRule="atLeast"/>
          <w:tblHeader w:val="0"/>
        </w:trPr>
        <w:tc>
          <w:tcPr>
            <w:tcBorders>
              <w:left w:color="000000" w:space="0" w:sz="8" w:val="single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7">
            <w:pPr>
              <w:pageBreakBefore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Esta pesquisa usa uma abordagem de estudo de caso qualiquantativo em um cenário de oficinas extracurriculares que utilizam materiais didáticos de computação desenvolvidos para o ambiente escolar. </w:t>
            </w:r>
          </w:p>
          <w:p w:rsidR="00000000" w:rsidDel="00000000" w:rsidP="00000000" w:rsidRDefault="00000000" w:rsidRPr="00000000" w14:paraId="00000038">
            <w:pPr>
              <w:pageBreakBefore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pageBreakBefore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Os participantes serão convidados através de visitas de nosso grupo de pesquisa e extensão às salas de aula de escola estadual.  </w:t>
            </w:r>
          </w:p>
          <w:p w:rsidR="00000000" w:rsidDel="00000000" w:rsidP="00000000" w:rsidRDefault="00000000" w:rsidRPr="00000000" w14:paraId="0000003A">
            <w:pPr>
              <w:pageBreakBefore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pageBreakBefore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As oficinas vão ser mediadas por dois tutores, ambos graduandos de Engenharia de Computação da Universidade Estadual de Feira de Santana (UEFS), cursando o último período do curso, que também se revezarão como monitores.</w:t>
            </w:r>
          </w:p>
          <w:p w:rsidR="00000000" w:rsidDel="00000000" w:rsidP="00000000" w:rsidRDefault="00000000" w:rsidRPr="00000000" w14:paraId="0000003C">
            <w:pPr>
              <w:pageBreakBefore w:val="0"/>
              <w:jc w:val="both"/>
              <w:rPr>
                <w:sz w:val="22"/>
                <w:szCs w:val="22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sz w:val="22"/>
                <w:szCs w:val="22"/>
                <w:rtl w:val="0"/>
              </w:rPr>
              <w:t xml:space="preserve">A intervenção será dividida em dois momentos.</w:t>
            </w:r>
          </w:p>
          <w:p w:rsidR="00000000" w:rsidDel="00000000" w:rsidP="00000000" w:rsidRDefault="00000000" w:rsidRPr="00000000" w14:paraId="0000003D">
            <w:pPr>
              <w:pageBreakBefore w:val="0"/>
              <w:jc w:val="both"/>
              <w:rPr>
                <w:sz w:val="22"/>
                <w:szCs w:val="22"/>
              </w:rPr>
            </w:pPr>
            <w:bookmarkStart w:colFirst="0" w:colLast="0" w:name="_6q0kkk8f9h30" w:id="1"/>
            <w:bookmarkEnd w:id="1"/>
            <w:r w:rsidDel="00000000" w:rsidR="00000000" w:rsidRPr="00000000">
              <w:rPr>
                <w:sz w:val="22"/>
                <w:szCs w:val="22"/>
                <w:rtl w:val="0"/>
              </w:rPr>
              <w:t xml:space="preserve">O  primeiro será em uma oficina de nivelamento, baseada no Capítulo 1 do livro do Computação &amp; Comunidade, 7° ano (ARAUJO; SANTANA; BITTENCOURT, 2019), e planejada com a carga horária de doze horas, divididas em três sessões de quatro horas. Este nivelamento servirá apenas para oferecer as bases mínimas necessárias para utilização dos materiais seguintes a serem  avaliados e não farão parte da análise a ser realizada. </w:t>
            </w:r>
          </w:p>
          <w:p w:rsidR="00000000" w:rsidDel="00000000" w:rsidP="00000000" w:rsidRDefault="00000000" w:rsidRPr="00000000" w14:paraId="0000003E">
            <w:pPr>
              <w:pageBreakBefore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segundo momento será outra oficina para avaliar os materiais dos Capítulos 3 e 4 do livro do Computação &amp;</w:t>
            </w:r>
          </w:p>
          <w:p w:rsidR="00000000" w:rsidDel="00000000" w:rsidP="00000000" w:rsidRDefault="00000000" w:rsidRPr="00000000" w14:paraId="0000003F">
            <w:pPr>
              <w:pageBreakBefore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Sociedade, 8° ano (SANTANA; ARAUJO; BITTENCOURT, 2020), planejada com a carga horária de vinte e oito horas, divididas em sete sessões de quatro horas.  </w:t>
            </w:r>
          </w:p>
          <w:p w:rsidR="00000000" w:rsidDel="00000000" w:rsidP="00000000" w:rsidRDefault="00000000" w:rsidRPr="00000000" w14:paraId="00000040">
            <w:pPr>
              <w:pageBreakBefore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Capítulo 3 aborda habilidades de programação dos estudantes e aspectos essenciais da manipulação de imagens. Através do uso da ferramenta GPBlocks, são explicados conceitos computacionais e matemáticos, onde são exploradas o desenvolvimento de filtros de imagens, como preto e branco e chroma key. </w:t>
            </w:r>
          </w:p>
          <w:p w:rsidR="00000000" w:rsidDel="00000000" w:rsidP="00000000" w:rsidRDefault="00000000" w:rsidRPr="00000000" w14:paraId="00000041">
            <w:pPr>
              <w:pageBreakBefore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O Capítulo 4 busca aprofundar as habilidades de programação através da linguagem Python. A introdução a uma linguagem textual ocorre através da exploração 19 de desenhos de figuras geométricas com a biblioteca Turtle, correlacionando os conceitos de programação aprendidos na oficina de nivelamento através do Scratch.</w:t>
            </w:r>
          </w:p>
          <w:p w:rsidR="00000000" w:rsidDel="00000000" w:rsidP="00000000" w:rsidRDefault="00000000" w:rsidRPr="00000000" w14:paraId="00000042">
            <w:pPr>
              <w:pageBreakBefore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Os responsáveis legais pelos estudantes que desejaram participar da pesquisa assinarão um Termo de Consentimento Livre e Esclarecido (TCLE), para atender a questões éticas e preservar o anonimato dos participantes. O TCLE é um documento que fornece proteção moral e legal aos participantes e aos pesquisadores.</w:t>
            </w:r>
          </w:p>
          <w:p w:rsidR="00000000" w:rsidDel="00000000" w:rsidP="00000000" w:rsidRDefault="00000000" w:rsidRPr="00000000" w14:paraId="00000043">
            <w:pPr>
              <w:pageBreakBefore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Os dados desta pesquisa vão ser obtidos através da aplicação de dois questionários: um questionário pré-intervenção e outro, pós-intervenção. O primeiro questionário aplicado terá o intuito de obter dados demográficos dos estudantes e conhecer suas percepções sobre o domínio de habilidades do século XXI para escolares e sobre a área de computação. Esta seção do questionário sobre habilidades do século XXI é adaptado dos trabalhos de (MIOTO et al., 2019) e (HOEGH; MOSKAL, 2009). O questionário pós-intervenção será aplicado para verificar as mudanças nas percepções dos estudantes sobre seu domínio de habilidades do século XXI para escolares e sobre a área de computação, além de também obter seu feedback em relação à intervenção realizada.</w:t>
            </w:r>
          </w:p>
          <w:p w:rsidR="00000000" w:rsidDel="00000000" w:rsidP="00000000" w:rsidRDefault="00000000" w:rsidRPr="00000000" w14:paraId="00000044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 análise dos dados quantitativos será feita a partir das respostas dos questionários. Inicialmente, os dados serão tabulados e serão geradas estatísticas descritivas, incluindo medidas de centralidade e dispersão, tabelas de frequência, boxplots e gráficos de barras empilhadas. Também serão geradas estatísticas inferenciais através de testes de hipóteses, sobre as mudanças de percepções dos estudantes sobre as habilidades do Século XXI e sobre a área de computação, e correlações, para mensurar a relação entre as categorias destas habilidades.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345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345"/>
        <w:gridCol w:w="2268"/>
        <w:gridCol w:w="1732"/>
        <w:tblGridChange w:id="0">
          <w:tblGrid>
            <w:gridCol w:w="6345"/>
            <w:gridCol w:w="2268"/>
            <w:gridCol w:w="1732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000000" w:val="clear"/>
          </w:tcPr>
          <w:p w:rsidR="00000000" w:rsidDel="00000000" w:rsidP="00000000" w:rsidRDefault="00000000" w:rsidRPr="00000000" w14:paraId="00000046">
            <w:pPr>
              <w:pageBreakBefore w:val="0"/>
              <w:jc w:val="center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sz w:val="22"/>
                <w:szCs w:val="22"/>
                <w:rtl w:val="0"/>
              </w:rPr>
              <w:t xml:space="preserve">CRONOGRAMA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shd w:fill="auto" w:val="clear"/>
          </w:tcPr>
          <w:p w:rsidR="00000000" w:rsidDel="00000000" w:rsidP="00000000" w:rsidRDefault="00000000" w:rsidRPr="00000000" w14:paraId="00000049">
            <w:pPr>
              <w:pageBreakBefore w:val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Indicar as atividades a serem desenvolvidas e seu tempo de duração: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C">
            <w:pPr>
              <w:pageBreakBefore w:val="0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Atividade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D">
            <w:pPr>
              <w:pageBreakBefore w:val="0"/>
              <w:jc w:val="center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Início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E">
            <w:pPr>
              <w:pageBreakBefore w:val="0"/>
              <w:jc w:val="center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Término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F">
            <w:pPr>
              <w:pageBreakBefore w:val="0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Revisão Bibliográfica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0">
            <w:pPr>
              <w:pageBreakBefore w:val="0"/>
              <w:jc w:val="center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11/05/2020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1">
            <w:pPr>
              <w:pageBreakBefore w:val="0"/>
              <w:jc w:val="center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25/05/2020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2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Escrita da Introdução, Fundamentação Teórica e Metodologia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3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26/05/2020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4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28/09/2020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5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Planejamento das Oficinas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6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29/09/2020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7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21/02/2021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8">
            <w:pPr>
              <w:pageBreakBefore w:val="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Oficinas e coletas de dados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9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22/02/2021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A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30/04/2021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B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Análise e Tabulação dos resultados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C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01/05/2021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D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10/05/2021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E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Escrita dos resultados e conclusão e revisão do TCC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F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11/05/2021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0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04/06/2021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1">
            <w:pPr>
              <w:pageBreakBefore w:val="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Apresentação do TCC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2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18/05/2021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3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18/05/2021</w:t>
            </w:r>
          </w:p>
        </w:tc>
      </w:tr>
    </w:tbl>
    <w:p w:rsidR="00000000" w:rsidDel="00000000" w:rsidP="00000000" w:rsidRDefault="00000000" w:rsidRPr="00000000" w14:paraId="00000064">
      <w:pPr>
        <w:pageBreakBefore w:val="0"/>
        <w:spacing w:after="120" w:before="120" w:lineRule="auto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0345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345"/>
        <w:tblGridChange w:id="0">
          <w:tblGrid>
            <w:gridCol w:w="10345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</w:tcPr>
          <w:p w:rsidR="00000000" w:rsidDel="00000000" w:rsidP="00000000" w:rsidRDefault="00000000" w:rsidRPr="00000000" w14:paraId="00000065">
            <w:pPr>
              <w:pageBreakBefore w:val="0"/>
              <w:spacing w:after="120" w:before="120" w:lineRule="auto"/>
              <w:jc w:val="center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REFERÊNCIAS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6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ARAÚJO, L. G.; SANTANA, B.; BITTENCOURT, R. Computação e comunidade: Uma proposta de educação em computação para o sétimo ano do ensino fundamental ii. In: Anais do Workshop de Informática na Escola. [S.l.:  s.n.], 2019. v. 25, n. 1,p. 325.</w:t>
            </w:r>
          </w:p>
          <w:p w:rsidR="00000000" w:rsidDel="00000000" w:rsidP="00000000" w:rsidRDefault="00000000" w:rsidRPr="00000000" w14:paraId="00000067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ARAÚJO, L. G.; SANTANA, B.; BITTENCOURT, R. Computação e o mundo:  Uma proposta de educação em computação para o nono ano do ensino fundamental ii. In: Anais do Workshop de Informática na Escola. [S.l.: s.n.], 2020.</w:t>
            </w:r>
          </w:p>
          <w:p w:rsidR="00000000" w:rsidDel="00000000" w:rsidP="00000000" w:rsidRDefault="00000000" w:rsidRPr="00000000" w14:paraId="00000069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ARAUJO, L. G. J.;  BITTENCOURT, R. A.;  SANTOS, D. M. An analysis of amedia-based approach to teach programming to middle school students. In:Proceedings of the 49th ACM Technical Symposium on Computer ScienceEducation. [S.l.: s.n.], 2018. p. 1005–1010.</w:t>
            </w:r>
          </w:p>
          <w:p w:rsidR="00000000" w:rsidDel="00000000" w:rsidP="00000000" w:rsidRDefault="00000000" w:rsidRPr="00000000" w14:paraId="0000006B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ARAUJO, L. G. J.;  SANTANA, B. L.;  BITTENCOURT, R. A.Computação eComunidade :  Livro do Professor. 1. ed. Feira de Santana:  Edição do Autor,2019. Https://sites.google.com/view/computacaofundamental/setimoano. ISBN9786590132147.</w:t>
            </w:r>
          </w:p>
          <w:p w:rsidR="00000000" w:rsidDel="00000000" w:rsidP="00000000" w:rsidRDefault="00000000" w:rsidRPr="00000000" w14:paraId="0000006D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ARAUJO, L. G. J.;  SANTANA, B. L.;  BITTENCOURT, R. A. Computação e o Mundo :  Livro do Professor. 1. ed. Feira de Santana:  Edição do Autor, 2020.</w:t>
            </w:r>
          </w:p>
          <w:p w:rsidR="00000000" w:rsidDel="00000000" w:rsidP="00000000" w:rsidRDefault="00000000" w:rsidRPr="00000000" w14:paraId="0000006F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pageBreakBefore w:val="0"/>
              <w:rPr>
                <w:color w:val="000000"/>
                <w:sz w:val="22"/>
                <w:szCs w:val="22"/>
              </w:rPr>
            </w:pPr>
            <w:hyperlink r:id="rId7">
              <w:r w:rsidDel="00000000" w:rsidR="00000000" w:rsidRPr="00000000">
                <w:rPr>
                  <w:color w:val="000000"/>
                  <w:sz w:val="22"/>
                  <w:szCs w:val="22"/>
                  <w:u w:val="none"/>
                  <w:rtl w:val="0"/>
                </w:rPr>
                <w:t xml:space="preserve">https://sites.google.com/view/computacaofundamental/setimoano</w:t>
              </w:r>
            </w:hyperlink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. </w:t>
            </w:r>
          </w:p>
          <w:p w:rsidR="00000000" w:rsidDel="00000000" w:rsidP="00000000" w:rsidRDefault="00000000" w:rsidRPr="00000000" w14:paraId="00000071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BRACKMANN, C. Pensamento Computacional.  2020.  Disponível em:&lt;http://www.computacional.com.br/&gt;.</w:t>
            </w:r>
          </w:p>
          <w:p w:rsidR="00000000" w:rsidDel="00000000" w:rsidP="00000000" w:rsidRDefault="00000000" w:rsidRPr="00000000" w14:paraId="00000072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COSTA, A. C.et al.Python:  Será que é possível numa escola pública de ensinomédio? In:Anais do Workshop de Informática na Escola. [S.l.: s.n.], 2017. v. 23,n. 1, p. 255.</w:t>
            </w:r>
          </w:p>
          <w:p w:rsidR="00000000" w:rsidDel="00000000" w:rsidP="00000000" w:rsidRDefault="00000000" w:rsidRPr="00000000" w14:paraId="00000073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CSTA. CSTA K–12 Computer Science Standards - Revised 2017. n. July, p. 1–28,2017. Disponível em:&lt;https://www.csteachers.org/page/standards&gt;.</w:t>
            </w:r>
          </w:p>
          <w:p w:rsidR="00000000" w:rsidDel="00000000" w:rsidP="00000000" w:rsidRDefault="00000000" w:rsidRPr="00000000" w14:paraId="00000075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DEMO, P. Habilidades do século xxi.Boletim Técnico do SENAC, v. 34, n. 2, p.4–15, 2008.</w:t>
            </w:r>
          </w:p>
          <w:p w:rsidR="00000000" w:rsidDel="00000000" w:rsidP="00000000" w:rsidRDefault="00000000" w:rsidRPr="00000000" w14:paraId="00000077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FANGOHR, H. A comparison of c, matlab, and python as teaching languages inengineering. In: SPRINGER.International Conference on Computational Science.[S.l.], 2004. p. 1210–1217.</w:t>
            </w:r>
          </w:p>
          <w:p w:rsidR="00000000" w:rsidDel="00000000" w:rsidP="00000000" w:rsidRDefault="00000000" w:rsidRPr="00000000" w14:paraId="00000078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Fundação Telefonica.Programaê!2020. Disponível em:&lt;http://programae.org.br/&gt;.</w:t>
            </w:r>
          </w:p>
          <w:p w:rsidR="00000000" w:rsidDel="00000000" w:rsidP="00000000" w:rsidRDefault="00000000" w:rsidRPr="00000000" w14:paraId="00000079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GOLDMAN, R.;  SCHAEFER, S.;  JU, T. Turtle geometry in computer graphicsand computer-aided design.Computer-Aided Design, Elsevier, v. 36, n. 14, p.1471–1482, 2004.</w:t>
            </w:r>
          </w:p>
          <w:p w:rsidR="00000000" w:rsidDel="00000000" w:rsidP="00000000" w:rsidRDefault="00000000" w:rsidRPr="00000000" w14:paraId="0000007B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GP.GP   DOCS.   2017.   Disponível   em:&lt;https://gpblocks.org/wiki/doku.php?id=starting:about&gt;.</w:t>
            </w:r>
          </w:p>
          <w:p w:rsidR="00000000" w:rsidDel="00000000" w:rsidP="00000000" w:rsidRDefault="00000000" w:rsidRPr="00000000" w14:paraId="0000007D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GRETTER, S.; YADAV, A. Computational thinking and media &amp; information literacy:An integrated approach to teaching twenty-first century skills.TechTrends, Springer,v. 60, n. 5, p. 510–516, 2016.</w:t>
            </w:r>
          </w:p>
          <w:p w:rsidR="00000000" w:rsidDel="00000000" w:rsidP="00000000" w:rsidRDefault="00000000" w:rsidRPr="00000000" w14:paraId="0000007F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GUZDIAL, M. A media computation course for non-majors. In:Proceedings of the8th annual conference on Innovation and technology in computer scienceeducation. [S.l.: s.n.], 2003. p. 104–108.</w:t>
            </w:r>
          </w:p>
          <w:p w:rsidR="00000000" w:rsidDel="00000000" w:rsidP="00000000" w:rsidRDefault="00000000" w:rsidRPr="00000000" w14:paraId="00000081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HOEGH, A.; MOSKAL, B. M. Examining science and engineering students’ attitudestoward computer science. In:  IEEE.2009 39th IEEE Frontiers in EducationConference. [S.l.], 2009. p. 1–6.</w:t>
            </w:r>
          </w:p>
          <w:p w:rsidR="00000000" w:rsidDel="00000000" w:rsidP="00000000" w:rsidRDefault="00000000" w:rsidRPr="00000000" w14:paraId="00000083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JEANNETTE, M. W. Computational thinking"communications of the acm.March,v. 49, n. 3, p. 33–35, 2006.</w:t>
            </w:r>
          </w:p>
          <w:p w:rsidR="00000000" w:rsidDel="00000000" w:rsidP="00000000" w:rsidRDefault="00000000" w:rsidRPr="00000000" w14:paraId="00000085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pageBreakBefore w:val="0"/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MALONEY, J. Gp:  A new blocks language for cs education (abstract only).In:Proceedings  of the  49th ACM  Technical Symposium  on ComputerScience  Education.  New  York,  NY,  USA:  Association  for  ComputingMachinery,  2018. (SIGCSE ’18),  p. 1110. ISBN 9781450351034. Disponível em:&lt;https://doi.org/10.1145/3159450.3162205&gt;.</w:t>
            </w:r>
          </w:p>
          <w:p w:rsidR="00000000" w:rsidDel="00000000" w:rsidP="00000000" w:rsidRDefault="00000000" w:rsidRPr="00000000" w14:paraId="00000087">
            <w:pPr>
              <w:pageBreakBefore w:val="0"/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pageBreakBefore w:val="0"/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MALONEY, J.et al.The scratch programming language and environment.ACMTransactions on Computing Education (TOCE), ACM New York, NY, USA, v. 10,n. 4, p. 1–15, 2010.</w:t>
            </w:r>
          </w:p>
          <w:p w:rsidR="00000000" w:rsidDel="00000000" w:rsidP="00000000" w:rsidRDefault="00000000" w:rsidRPr="00000000" w14:paraId="00000089">
            <w:pPr>
              <w:pageBreakBefore w:val="0"/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pageBreakBefore w:val="0"/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MCNERNEY, T. S. From Turtles to Tangible Programming Bricks:  Explorations inPhysical Language Design. Springer, v. 8, n. 5, p. 326–337, 2004.</w:t>
            </w:r>
          </w:p>
          <w:p w:rsidR="00000000" w:rsidDel="00000000" w:rsidP="00000000" w:rsidRDefault="00000000" w:rsidRPr="00000000" w14:paraId="0000008B">
            <w:pPr>
              <w:pageBreakBefore w:val="0"/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pageBreakBefore w:val="0"/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MIOTO, F.et al.bases21-um modelo para a autoavaliação de habilidades do séculoxxi no contexto do ensino de computação na educação básica.Revista Brasileira deInformática na Educação, v. 27, n. 01, p. 26, 2019.</w:t>
            </w:r>
          </w:p>
          <w:p w:rsidR="00000000" w:rsidDel="00000000" w:rsidP="00000000" w:rsidRDefault="00000000" w:rsidRPr="00000000" w14:paraId="0000008D">
            <w:pPr>
              <w:pageBreakBefore w:val="0"/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pageBreakBefore w:val="0"/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MISHRA, P.; HENRIKSEN, D. Of art and algorithms. In:Creativity, Technology &amp;Education: Exploring their Convergence. [S.l.]: Springer, 2018. p. 73–81.</w:t>
            </w:r>
          </w:p>
          <w:p w:rsidR="00000000" w:rsidDel="00000000" w:rsidP="00000000" w:rsidRDefault="00000000" w:rsidRPr="00000000" w14:paraId="0000008F">
            <w:pPr>
              <w:pageBreakBefore w:val="0"/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pageBreakBefore w:val="0"/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MONIG, J.; OHSHIMA, Y.; MALONEY, J. Blocks at your fingertips:  Blurring the linebetween blocks and text in gp. In: IEEE.2015 IEEE Blocks and Beyond Workshop(Blocks and Beyond). [S.l.], 2015. p. 51–53.</w:t>
            </w:r>
          </w:p>
          <w:p w:rsidR="00000000" w:rsidDel="00000000" w:rsidP="00000000" w:rsidRDefault="00000000" w:rsidRPr="00000000" w14:paraId="00000091">
            <w:pPr>
              <w:pageBreakBefore w:val="0"/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pageBreakBefore w:val="0"/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ORVALHO, J. Computational thinking for teacher education. In:Scratch2017BDX:Opening, inspiring, connecting. [S.l.: s.n.], 2017. p. 6.</w:t>
            </w:r>
          </w:p>
          <w:p w:rsidR="00000000" w:rsidDel="00000000" w:rsidP="00000000" w:rsidRDefault="00000000" w:rsidRPr="00000000" w14:paraId="00000093">
            <w:pPr>
              <w:pageBreakBefore w:val="0"/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pageBreakBefore w:val="0"/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PAPERT, S.Constructionism:  A New Opportunity for Elementary ScienceEducation. [S.l.]: MIT Media Lab, 1986.</w:t>
            </w:r>
          </w:p>
          <w:p w:rsidR="00000000" w:rsidDel="00000000" w:rsidP="00000000" w:rsidRDefault="00000000" w:rsidRPr="00000000" w14:paraId="00000095">
            <w:pPr>
              <w:pageBreakBefore w:val="0"/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pageBreakBefore w:val="0"/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PYTHON.ORG.Turtle — Turtle Graphics — Python 3.7.8 Documentation. 2017.Disponível em:&lt;https://docs.python.org/3.7/library/turtle.html&gt;.</w:t>
            </w:r>
          </w:p>
          <w:p w:rsidR="00000000" w:rsidDel="00000000" w:rsidP="00000000" w:rsidRDefault="00000000" w:rsidRPr="00000000" w14:paraId="00000097">
            <w:pPr>
              <w:pageBreakBefore w:val="0"/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pageBreakBefore w:val="0"/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RESNICK, M.et al.Scratch:  programming for all.Communications of the ACM,ACM New York, NY, USA, v. 52, n. 11, p. 60–67, 2009.</w:t>
            </w:r>
          </w:p>
          <w:p w:rsidR="00000000" w:rsidDel="00000000" w:rsidP="00000000" w:rsidRDefault="00000000" w:rsidRPr="00000000" w14:paraId="00000099">
            <w:pPr>
              <w:pageBreakBefore w:val="0"/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pageBreakBefore w:val="0"/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SANTANA, B.; ARAÚJO, L.; BITTENCOURT, R. Computaçao e eu: Uma proposta deeducaçao em computaçao para o sexto ano do ensino fundamental ii. In: SBC.Anaisdo XXVII Workshop sobre Educação em Computação. [S.l.], 2019. p. 21–30.</w:t>
            </w:r>
          </w:p>
          <w:p w:rsidR="00000000" w:rsidDel="00000000" w:rsidP="00000000" w:rsidRDefault="00000000" w:rsidRPr="00000000" w14:paraId="0000009B">
            <w:pPr>
              <w:pageBreakBefore w:val="0"/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pageBreakBefore w:val="0"/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SANTANA, B.; ARAÚJO, L.; BITTENCOURT, R. Computação e sociedade:  Umaproposta de educação em computação para o oitavo ano do ensino fundamental ii. In:Anais do Workshop de Informática na Escola. [S.l.: s.n.], 2020.</w:t>
            </w:r>
          </w:p>
          <w:p w:rsidR="00000000" w:rsidDel="00000000" w:rsidP="00000000" w:rsidRDefault="00000000" w:rsidRPr="00000000" w14:paraId="0000009D">
            <w:pPr>
              <w:pageBreakBefore w:val="0"/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pageBreakBefore w:val="0"/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SANTANA, B. L.;  ARAUJO, L. G. J.;  BITTENCOURT, R. A.Computação eEu :  Livro do Professor. 1. ed. Feira de Santana:  Edição do Autor,  2019.Https://sites.google.com/view/computacaofundamental/sextoano.</w:t>
            </w:r>
          </w:p>
          <w:p w:rsidR="00000000" w:rsidDel="00000000" w:rsidP="00000000" w:rsidRDefault="00000000" w:rsidRPr="00000000" w14:paraId="0000009F">
            <w:pPr>
              <w:pageBreakBefore w:val="0"/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pageBreakBefore w:val="0"/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SANTANA, B. L.;  ARAUJO, L. G. J.;  BITTENCOURT, R. A.Computação eSociedade :  Livro do Professor. 1. ed. Feira de Santana:  Edição do Autor,2020. Https://sites.google.com/view/computacaofundamental/oitavoano. ISBN9786590132161.</w:t>
            </w:r>
          </w:p>
          <w:p w:rsidR="00000000" w:rsidDel="00000000" w:rsidP="00000000" w:rsidRDefault="00000000" w:rsidRPr="00000000" w14:paraId="000000A1">
            <w:pPr>
              <w:pageBreakBefore w:val="0"/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pageBreakBefore w:val="0"/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SANTANA, B. L.; BITTENCOURT, R. A. Increasing motivation of cs1 non-majorsthrough an approach contextualized by games and media. In:  IEEE.2018 IEEEFrontiers in Education Conference (FIE). [S.l.], 2018. p. 1–9.</w:t>
            </w:r>
          </w:p>
          <w:p w:rsidR="00000000" w:rsidDel="00000000" w:rsidP="00000000" w:rsidRDefault="00000000" w:rsidRPr="00000000" w14:paraId="000000A3">
            <w:pPr>
              <w:pageBreakBefore w:val="0"/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pageBreakBefore w:val="0"/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SANTOS, G.et al.Proposta de atividade para o quinto ano do ensino fundamental:Algoritmos desplugados. In:Anais do Workshop de Informática na Escola. [S.l.:s.n.], 2015. v. 21, n. 1, p. 246.</w:t>
            </w:r>
          </w:p>
          <w:p w:rsidR="00000000" w:rsidDel="00000000" w:rsidP="00000000" w:rsidRDefault="00000000" w:rsidRPr="00000000" w14:paraId="000000A5">
            <w:pPr>
              <w:pageBreakBefore w:val="0"/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pageBreakBefore w:val="0"/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SCHULZ, F. H.; MARQUES, S. G.; CRUZ, M. E. J. K. d. Desenvolvimento de materialdidático de computação desplugada.Anais do Salão de Ensino e de Extensão,p. 222, 2019.</w:t>
            </w:r>
          </w:p>
          <w:p w:rsidR="00000000" w:rsidDel="00000000" w:rsidP="00000000" w:rsidRDefault="00000000" w:rsidRPr="00000000" w14:paraId="000000A7">
            <w:pPr>
              <w:pageBreakBefore w:val="0"/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pageBreakBefore w:val="0"/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SCHULZ,  J.  M.;  SCHMACHTENBERG,  R.  F.  Construindo o pensamento computacional: experiência com o desenvolvimento e aplicação de materiais didáticos desplugados. Seminário Institucional do PIBID UNISC, v. 1, 2017.</w:t>
            </w:r>
          </w:p>
          <w:p w:rsidR="00000000" w:rsidDel="00000000" w:rsidP="00000000" w:rsidRDefault="00000000" w:rsidRPr="00000000" w14:paraId="000000A9">
            <w:pPr>
              <w:pageBreakBefore w:val="0"/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pageBreakBefore w:val="0"/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SCHULZ, J. M.et al.Material didático para o ensino de fundamentos de computação sem o uso de computadores. Universidade do Vale do Rio dos Sinos, 2017.</w:t>
            </w:r>
          </w:p>
          <w:p w:rsidR="00000000" w:rsidDel="00000000" w:rsidP="00000000" w:rsidRDefault="00000000" w:rsidRPr="00000000" w14:paraId="000000AB">
            <w:pPr>
              <w:pageBreakBefore w:val="0"/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pageBreakBefore w:val="0"/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SEEHORN, D.et al.CSTA K–12 Computer Science Standards:  Revised 2011.CSTA/ACM, New York, NY, USA. 104111, 2011.</w:t>
            </w:r>
          </w:p>
          <w:p w:rsidR="00000000" w:rsidDel="00000000" w:rsidP="00000000" w:rsidRDefault="00000000" w:rsidRPr="00000000" w14:paraId="000000AD">
            <w:pPr>
              <w:pageBreakBefore w:val="0"/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pageBreakBefore w:val="0"/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SIMON, B.et al.Experience report:  Cs1 for majors with media computation. In:Proceedings of the fifteenth annual conference on Innovation and technology incomputer science education. [S.l.: s.n.], 2010. p. 214–218.</w:t>
            </w:r>
          </w:p>
          <w:p w:rsidR="00000000" w:rsidDel="00000000" w:rsidP="00000000" w:rsidRDefault="00000000" w:rsidRPr="00000000" w14:paraId="000000AF">
            <w:pPr>
              <w:pageBreakBefore w:val="0"/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pageBreakBefore w:val="0"/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TEW, A. E.; FOWLER, C.; GUZDIAL, M. Tracking an innovation in introductory cseducation from a research university to a two-year college.ACM SIGCSE Bulletin,ACM New York, NY, USA, v. 37, n. 1, p. 416–420, 2005.</w:t>
            </w:r>
          </w:p>
          <w:p w:rsidR="00000000" w:rsidDel="00000000" w:rsidP="00000000" w:rsidRDefault="00000000" w:rsidRPr="00000000" w14:paraId="000000B1">
            <w:pPr>
              <w:pageBreakBefore w:val="0"/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pageBreakBefore w:val="0"/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TRILLING, B.; FADEL, C.21st century skills: Learning for life in our times. [S.l.]:John Wiley &amp; Sons, 2009.</w:t>
            </w:r>
          </w:p>
          <w:p w:rsidR="00000000" w:rsidDel="00000000" w:rsidP="00000000" w:rsidRDefault="00000000" w:rsidRPr="00000000" w14:paraId="000000B3">
            <w:pPr>
              <w:pageBreakBefore w:val="0"/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pageBreakBefore w:val="0"/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VOOGT, J.et al.Computational thinking in compulsory education: Towards an agendafor research and practice.Education and Information Technologies, Springer, v. 20,n. 4, p. 715–728, 2015.</w:t>
            </w:r>
          </w:p>
          <w:p w:rsidR="00000000" w:rsidDel="00000000" w:rsidP="00000000" w:rsidRDefault="00000000" w:rsidRPr="00000000" w14:paraId="000000B5">
            <w:pPr>
              <w:pageBreakBefore w:val="0"/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pageBreakBefore w:val="0"/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YADAV, A.; HONG, H.; STEPHENSON, C. Computational thinking for all: pedagogicalapproaches to embedding 21st century problem solving in k-12 classrooms.TechTrends, Springer, v. 60, n. 6, p. 565–568, 2016.</w:t>
            </w:r>
          </w:p>
          <w:p w:rsidR="00000000" w:rsidDel="00000000" w:rsidP="00000000" w:rsidRDefault="00000000" w:rsidRPr="00000000" w14:paraId="000000B7">
            <w:pPr>
              <w:pageBreakBefore w:val="0"/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pageBreakBefore w:val="0"/>
              <w:spacing w:after="120" w:before="120" w:lineRule="auto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ZORZO, A. F.et al. Referenciais de Formação em Computação: Educação Básica. 051, p. 1–9, 2017.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9">
      <w:pPr>
        <w:pageBreakBefore w:val="0"/>
        <w:spacing w:after="120" w:before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ageBreakBefore w:val="0"/>
        <w:spacing w:after="120" w:before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ageBreakBefore w:val="0"/>
        <w:spacing w:after="120" w:before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ageBreakBefore w:val="0"/>
        <w:spacing w:after="120" w:before="120" w:lineRule="auto"/>
        <w:jc w:val="center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Feira de Santana, _____ de março de 2021.</w:t>
      </w:r>
    </w:p>
    <w:p w:rsidR="00000000" w:rsidDel="00000000" w:rsidP="00000000" w:rsidRDefault="00000000" w:rsidRPr="00000000" w14:paraId="000000BD">
      <w:pPr>
        <w:pageBreakBefore w:val="0"/>
        <w:spacing w:after="120" w:before="120" w:lineRule="auto"/>
        <w:jc w:val="center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ageBreakBefore w:val="0"/>
        <w:spacing w:after="120" w:before="120" w:lineRule="auto"/>
        <w:jc w:val="center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ageBreakBefore w:val="0"/>
        <w:spacing w:after="120" w:before="120" w:lineRule="auto"/>
        <w:jc w:val="center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_______________________________________________</w:t>
      </w:r>
    </w:p>
    <w:p w:rsidR="00000000" w:rsidDel="00000000" w:rsidP="00000000" w:rsidRDefault="00000000" w:rsidRPr="00000000" w14:paraId="000000C0">
      <w:pPr>
        <w:pageBreakBefore w:val="0"/>
        <w:spacing w:after="120" w:before="120" w:lineRule="auto"/>
        <w:jc w:val="center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Assinatura do Coordenador de TCC</w:t>
      </w:r>
    </w:p>
    <w:p w:rsidR="00000000" w:rsidDel="00000000" w:rsidP="00000000" w:rsidRDefault="00000000" w:rsidRPr="00000000" w14:paraId="000000C1">
      <w:pPr>
        <w:pageBreakBefore w:val="0"/>
        <w:spacing w:after="120" w:before="120" w:lineRule="auto"/>
        <w:jc w:val="center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ageBreakBefore w:val="0"/>
        <w:spacing w:after="120" w:before="120" w:lineRule="auto"/>
        <w:jc w:val="center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ageBreakBefore w:val="0"/>
        <w:spacing w:after="120" w:before="120" w:lineRule="auto"/>
        <w:jc w:val="center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_______________________________________________</w:t>
      </w:r>
    </w:p>
    <w:p w:rsidR="00000000" w:rsidDel="00000000" w:rsidP="00000000" w:rsidRDefault="00000000" w:rsidRPr="00000000" w14:paraId="000000C4">
      <w:pPr>
        <w:pageBreakBefore w:val="0"/>
        <w:spacing w:after="120" w:before="120" w:lineRule="auto"/>
        <w:jc w:val="center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Assinatura do Orientador</w:t>
      </w:r>
    </w:p>
    <w:p w:rsidR="00000000" w:rsidDel="00000000" w:rsidP="00000000" w:rsidRDefault="00000000" w:rsidRPr="00000000" w14:paraId="000000C5">
      <w:pPr>
        <w:pageBreakBefore w:val="0"/>
        <w:spacing w:after="120" w:before="120" w:lineRule="auto"/>
        <w:jc w:val="center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ageBreakBefore w:val="0"/>
        <w:spacing w:after="120" w:before="120" w:lineRule="auto"/>
        <w:jc w:val="center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ageBreakBefore w:val="0"/>
        <w:spacing w:after="120" w:before="120" w:lineRule="auto"/>
        <w:jc w:val="center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_______________________________________________</w:t>
      </w:r>
    </w:p>
    <w:p w:rsidR="00000000" w:rsidDel="00000000" w:rsidP="00000000" w:rsidRDefault="00000000" w:rsidRPr="00000000" w14:paraId="000000C8">
      <w:pPr>
        <w:pageBreakBefore w:val="0"/>
        <w:spacing w:after="120" w:before="120" w:lineRule="auto"/>
        <w:jc w:val="center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Assinatura do Aluno</w:t>
      </w:r>
    </w:p>
    <w:p w:rsidR="00000000" w:rsidDel="00000000" w:rsidP="00000000" w:rsidRDefault="00000000" w:rsidRPr="00000000" w14:paraId="000000C9">
      <w:pPr>
        <w:pageBreakBefore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6840" w:w="11907" w:orient="portrait"/>
      <w:pgMar w:bottom="567" w:top="851" w:left="851" w:right="851" w:header="709" w:footer="41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sites.google.com/view/computacaofundamental/setimoano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