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('colours', 'lliwiau', 'adjective', 'm'),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('bed', 'gwely',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('chair', 'cadeirydd',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('clothes', 'dillad',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('coat', 'cot',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('cup', 'cup',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('desk', 'desg',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('floor', 'llawr',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('hat', 'het',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('ink', 'inc',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('map', 'map',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('letter', 'llythyr',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('lamp', 'lamp',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('pharmacy', 'fferyllfa',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('picture', 'gllun',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('plate', 'plat',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('roof', 'to',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('room', 'ystafell',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('rug', 'mat',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('shirt', 'crys',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('socks', 'sanau', 'noun', 'f'),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('son', 'mab', 'noun', 'm'),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('dancer', 'dawnsiwr', 'noun', 'm');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133.8582677165355" w:left="1802.8346456692916" w:right="1802.83464566929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