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C1FE37D" w14:textId="77777777" w:rsidR="00906B75" w:rsidRDefault="00906B75" w:rsidP="00906B75">
      <w:pPr>
        <w:numPr>
          <w:ilvl w:val="0"/>
          <w:numId w:val="9"/>
        </w:numPr>
        <w:spacing w:before="240" w:after="240" w:line="276" w:lineRule="auto"/>
        <w:jc w:val="both"/>
      </w:pPr>
      <w:r>
        <w:t xml:space="preserve">AES encryption, firewalls and SSL certificates will be installed to protect the data and key sharing.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lastRenderedPageBreak/>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77777777" w:rsidR="00906B75" w:rsidRDefault="00906B75" w:rsidP="00906B75">
      <w:pPr>
        <w:numPr>
          <w:ilvl w:val="0"/>
          <w:numId w:val="11"/>
        </w:numPr>
        <w:spacing w:before="240" w:after="0" w:line="276" w:lineRule="auto"/>
        <w:jc w:val="both"/>
      </w:pPr>
      <w:r>
        <w:t>Training will be provided for administrator and vendor, including user side.</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2008FDCF" w14:textId="77777777" w:rsidR="0003246D" w:rsidRDefault="00D84A38">
      <w:pPr>
        <w:pStyle w:val="Heading1"/>
        <w:numPr>
          <w:ilvl w:val="0"/>
          <w:numId w:val="7"/>
        </w:numPr>
        <w:rPr>
          <w:sz w:val="32"/>
          <w:szCs w:val="32"/>
        </w:rPr>
      </w:pPr>
      <w:bookmarkStart w:id="11" w:name="_Toc173233669"/>
      <w:r>
        <w:rPr>
          <w:sz w:val="32"/>
          <w:szCs w:val="32"/>
        </w:rPr>
        <w:t>Project Milestones:</w:t>
      </w:r>
      <w:bookmarkEnd w:id="11"/>
    </w:p>
    <w:p w14:paraId="1969A86D" w14:textId="54221B5B" w:rsidR="0003246D" w:rsidRDefault="00D84A38" w:rsidP="003E471C">
      <w:pPr>
        <w:spacing w:after="0"/>
        <w:ind w:firstLine="360"/>
        <w:jc w:val="both"/>
        <w:rPr>
          <w:sz w:val="24"/>
          <w:szCs w:val="24"/>
        </w:rPr>
      </w:pPr>
      <w:bookmarkStart w:id="12" w:name="_Toc173233670"/>
      <w:r>
        <w:rPr>
          <w:sz w:val="24"/>
          <w:szCs w:val="24"/>
        </w:rPr>
        <w:t>4.1 Setting milestones</w:t>
      </w:r>
      <w:bookmarkEnd w:id="12"/>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265FE57A" w14:textId="5B98D22E" w:rsidR="00D91A4D" w:rsidRPr="00D91A4D" w:rsidRDefault="00D91A4D" w:rsidP="00D91A4D">
      <w:r>
        <w:tab/>
        <w:t xml:space="preserve">Based on research and analysis of similar project, the timeline is estimated to be realistically achievable within a 6-to-9-month period. Which comprised of distinct phases such as planning and requirement gathering, design and development, testing, and staff training. Implementation of agile </w:t>
      </w:r>
      <w:r>
        <w:lastRenderedPageBreak/>
        <w:t>methodology, continuous stakeholder engagement, and iterative sprints reduce potential risk and keep project on track.</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77777777" w:rsidR="0003246D" w:rsidRDefault="0003246D"/>
    <w:sectPr w:rsidR="000324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94F05"/>
    <w:rsid w:val="000C4736"/>
    <w:rsid w:val="003E471C"/>
    <w:rsid w:val="00906B75"/>
    <w:rsid w:val="00D84A38"/>
    <w:rsid w:val="00D91A4D"/>
    <w:rsid w:val="00F007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6</cp:revision>
  <dcterms:created xsi:type="dcterms:W3CDTF">2024-07-15T23:00:00Z</dcterms:created>
  <dcterms:modified xsi:type="dcterms:W3CDTF">2025-03-18T04:25:00Z</dcterms:modified>
</cp:coreProperties>
</file>