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menjamin tidak ada klaim tanpa bukti faktual yang sampai ke pengguna. Evaluasi empiris 4-lapisan terhadap 40 skenario percakapan terstandarisasi menunjukkan capaian Akurasi Ekstraksi CSIR Eksak Niat Murni sebesar</w:t>
      </w:r>
      <w:r>
        <w:t xml:space="preserve"> </w:t>
      </w:r>
      <w:r>
        <w:rPr>
          <w:bCs/>
          <w:b/>
        </w:rPr>
        <w:t xml:space="preserve">92,50% (37/40)</w:t>
      </w:r>
      <w:r>
        <w:t xml:space="preserve"> </w:t>
      </w:r>
      <w:r>
        <w:t xml:space="preserve">dengan keselarasan amplob eksekusi pasca-kebijakan</w:t>
      </w:r>
      <w:r>
        <w:t xml:space="preserve"> </w:t>
      </w:r>
      <w:r>
        <w:rPr>
          <w:bCs/>
          <w:b/>
        </w:rPr>
        <w:t xml:space="preserve">90,00% (36/40)</w:t>
      </w:r>
      <w:r>
        <w:t xml:space="preserve">, rata-rata akurasi tingkat atribut (</w:t>
      </w:r>
      <w:r>
        <w:rPr>
          <w:iCs/>
          <w:i/>
        </w:rPr>
        <w:t xml:space="preserve">field-level accuracy</w:t>
      </w:r>
      <w:r>
        <w:t xml:space="preserve">)</w:t>
      </w:r>
      <w:r>
        <w:t xml:space="preserve"> </w:t>
      </w:r>
      <w:r>
        <w:rPr>
          <w:bCs/>
          <w:b/>
        </w:rPr>
        <w:t xml:space="preserve">99,25% (398/401)</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304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147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dense-vector Retrieval-Augmented Generation (RAG) fundamentally fails to enforce deterministic mathematical and spatial constraints (such as great-circle spherical distance calculations, budget boundaries, and current-time operational status evaluation against stored operating schedules).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to prevent ungrounded claims from reaching the final response.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supported by an automated test suite of</w:t>
      </w:r>
      <w:r>
        <w:t xml:space="preserve"> </w:t>
      </w:r>
      <w:r>
        <w:rPr>
          <w:bCs/>
          <w:b/>
        </w:rPr>
        <w:t xml:space="preserve">56 automated unit, integration, and adversarial tests (210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OK (45 tests, 172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45 Kasus Uji Unit &amp; Integrasi Lengkap</w:t>
            </w:r>
          </w:p>
        </w:tc>
        <w:tc>
          <w:tcPr/>
          <w:p>
            <w:pPr>
              <w:pStyle w:val="Compact"/>
              <w:jc w:val="left"/>
            </w:pPr>
            <w:r>
              <w:rPr>
                <w:bCs/>
                <w:b/>
              </w:rPr>
              <w:t xml:space="preserve">172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(304/304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(147/147 POI)</w:t>
      </w:r>
      <w:r>
        <w:t xml:space="preserve"> </w:t>
      </w:r>
      <w:r>
        <w:t xml:space="preserve">yang dicapai pada 40 skenario pengujian memerlukan pembatasan klaim ilmiah yang presisi secara epistemologis. Angka 100% ini membuktikan bahwa</w:t>
      </w:r>
      <w:r>
        <w:t xml:space="preserve"> </w:t>
      </w:r>
      <w:r>
        <w:rPr>
          <w:bCs/>
          <w:b/>
        </w:rPr>
        <w:t xml:space="preserve">seluruh klaim terverifikasi yang berhasil diekstraksi oleh aturan validator deterministik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konsisten 100% dengan fakta basis data SQL</w:t>
      </w:r>
      <w:r>
        <w:t xml:space="preserve">. Hal ini tidak dimaksudkan untuk mengklaim secara mutlak bahwa validator berbasis aturan mampu mendeteksi setiap variasi semantik kalimat bahasa alami bebas tanpa batas (</w:t>
      </w:r>
      <w:r>
        <w:rPr>
          <w:iCs/>
          <w:i/>
        </w:rPr>
        <w:t xml:space="preserve">unconstrained open-world natural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19b5887ddac616acc0db652e6bdf361bbbb9c43"/>
    <w:p>
      <w:pPr>
        <w:pStyle w:val="Heading4"/>
      </w:pPr>
      <w:r>
        <w:t xml:space="preserve">4.6.2.3 Jejak Sumber Data dan Batasan Ilmiah Dataset 22 Objek Wisata (Data Provenance)</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48 POI resmi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48 destinasi resmi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1"/>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1"/>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1"/>
        </w:numPr>
      </w:pPr>
      <w:r>
        <w:rPr>
          <w:bCs/>
          <w:b/>
        </w:rPr>
        <w:t xml:space="preserve">Berapa besar perubahan performa ketika tiap komponen dinonaktifkan?</w:t>
      </w:r>
      <w:r>
        <w:br/>
      </w:r>
      <w:r>
        <w:t xml:space="preserve">Penonaktifan masing-masing komponen memicu degradasi terukur:</w:t>
      </w:r>
    </w:p>
    <w:p>
      <w:pPr>
        <w:numPr>
          <w:ilvl w:val="1"/>
          <w:numId w:val="1032"/>
        </w:numPr>
        <w:pStyle w:val="Compact"/>
      </w:pPr>
      <w:r>
        <w:t xml:space="preserve">Penonaktifan invarian sintaks/skema (A1) menurunkan akurasi ekstraksi menjadi 95,00% dan memicu 2 insiden galat sintaks basis data.</w:t>
      </w:r>
    </w:p>
    <w:p>
      <w:pPr>
        <w:numPr>
          <w:ilvl w:val="1"/>
          <w:numId w:val="1032"/>
        </w:numPr>
        <w:pStyle w:val="Compact"/>
      </w:pPr>
      <w:r>
        <w:t xml:space="preserve">Penonaktifan batas wilayah yurisdiksi (A2) menurunkan akurasi menjadi 92,50% dan memicu kueri luar batas tanpa penanganan kontekstual.</w:t>
      </w:r>
    </w:p>
    <w:p>
      <w:pPr>
        <w:numPr>
          <w:ilvl w:val="1"/>
          <w:numId w:val="1032"/>
        </w:numPr>
        <w:pStyle w:val="Compact"/>
      </w:pPr>
      <w:r>
        <w:t xml:space="preserve">Penonaktifan batasan operator dan jarak (A3) merupakan komponen paling rapuh, menurunkan akurasi hingga 90,00% dan memicu 4 kegagalan fatal eksekusi SQL.</w:t>
      </w:r>
    </w:p>
    <w:p>
      <w:pPr>
        <w:numPr>
          <w:ilvl w:val="1"/>
          <w:numId w:val="1032"/>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2"/>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1"/>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48 destinasi resmi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3"/>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(210 assertions, 100% PASS)</w:t>
      </w:r>
      <w:r>
        <w:t xml:space="preserve"> </w:t>
      </w:r>
      <w:r>
        <w:t xml:space="preserve">yang terdiri atas 45 pengujian PHPUnit standar (172 assertions) dan 11 pengujian adversarial serta dialek Minang (38 assertions).</w:t>
      </w:r>
    </w:p>
    <w:p>
      <w:pPr>
        <w:numPr>
          <w:ilvl w:val="0"/>
          <w:numId w:val="1033"/>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3"/>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-0.9556, 100.3606</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4"/>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4"/>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35"/>
        </w:numPr>
        <w:pStyle w:val="Compact"/>
      </w:pPr>
      <w:r>
        <w:rPr>
          <w:bCs/>
          <w:b/>
        </w:rPr>
        <w:t xml:space="preserve">Jumlah Partisipan (</w:t>
      </w:r>
      <m:oMath>
        <m:r>
          <m:t>N</m:t>
        </m:r>
      </m:oMath>
      <w:r>
        <w:rPr>
          <w:bCs/>
          <w:b/>
        </w:rPr>
        <w:t xml:space="preserve">):</w:t>
      </w:r>
      <w:r>
        <w:t xml:space="preserve"> </w:t>
      </w:r>
      <w:r>
        <w:t xml:space="preserve">30</w:t>
      </w:r>
    </w:p>
    <w:p>
      <w:pPr>
        <w:numPr>
          <w:ilvl w:val="0"/>
          <w:numId w:val="1035"/>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35"/>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35"/>
        </w:numPr>
        <w:pStyle w:val="Compact"/>
      </w:pPr>
      <w:r>
        <w:rPr>
          <w:bCs/>
          <w:b/>
        </w:rPr>
        <w:t xml:space="preserve">Median SUS:</w:t>
      </w:r>
      <w:r>
        <w:t xml:space="preserve"> </w:t>
      </w:r>
      <w:r>
        <w:rPr>
          <w:bCs/>
          <w:b/>
        </w:rPr>
        <w:t xml:space="preserve">85,00</w:t>
      </w:r>
    </w:p>
    <w:p>
      <w:pPr>
        <w:numPr>
          <w:ilvl w:val="0"/>
          <w:numId w:val="1035"/>
        </w:numPr>
        <w:pStyle w:val="Compact"/>
      </w:pPr>
      <w:r>
        <w:rPr>
          <w:bCs/>
          <w:b/>
        </w:rPr>
        <w:t xml:space="preserve">Skor Minimum:</w:t>
      </w:r>
      <w:r>
        <w:t xml:space="preserve"> </w:t>
      </w:r>
      <w:r>
        <w:t xml:space="preserve">72,50</w:t>
      </w:r>
    </w:p>
    <w:p>
      <w:pPr>
        <w:numPr>
          <w:ilvl w:val="0"/>
          <w:numId w:val="1035"/>
        </w:numPr>
        <w:pStyle w:val="Compact"/>
      </w:pPr>
      <w:r>
        <w:rPr>
          <w:bCs/>
          <w:b/>
        </w:rPr>
        <w:t xml:space="preserve">Skor Maksimum:</w:t>
      </w:r>
      <w:r>
        <w:t xml:space="preserve"> </w:t>
      </w:r>
      <w:r>
        <w:t xml:space="preserve">97,50</w:t>
      </w:r>
    </w:p>
    <w:p>
      <w:pPr>
        <w:numPr>
          <w:ilvl w:val="0"/>
          <w:numId w:val="1035"/>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36"/>
        </w:numPr>
        <w:pStyle w:val="Compact"/>
      </w:pPr>
      <w:r>
        <w:rPr>
          <w:bCs/>
          <w:b/>
        </w:rPr>
        <w:t xml:space="preserve">Uji Normalitas Data Selisih TCT (</w:t>
      </w:r>
      <w:r>
        <w:rPr>
          <w:iCs/>
          <w:i/>
          <w:bCs/>
          <w:b/>
        </w:rPr>
        <w:t xml:space="preserve">Shapiro-Wilk Test</w:t>
      </w:r>
      <w:r>
        <w:rPr>
          <w:bCs/>
          <w:b/>
        </w:rPr>
        <w:t xml:space="preserve">):</w:t>
      </w:r>
    </w:p>
    <w:p>
      <w:pPr>
        <w:numPr>
          <w:ilvl w:val="1"/>
          <w:numId w:val="1037"/>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37"/>
        </w:numPr>
        <w:pStyle w:val="Compact"/>
      </w:pPr>
      <w:r>
        <w:t xml:space="preserve">Kesimpulan: Data berdistribusi normal, memenuhi asumsi pengujian parametrik.</w:t>
      </w:r>
    </w:p>
    <w:p>
      <w:pPr>
        <w:numPr>
          <w:ilvl w:val="0"/>
          <w:numId w:val="1036"/>
        </w:numPr>
        <w:pStyle w:val="Compact"/>
      </w:pPr>
      <w:r>
        <w:rPr>
          <w:bCs/>
          <w:b/>
        </w:rPr>
        <w:t xml:space="preserve">Uji Beda Parametrik (</w:t>
      </w:r>
      <w:r>
        <w:rPr>
          <w:iCs/>
          <w:i/>
          <w:bCs/>
          <w:b/>
        </w:rPr>
        <w:t xml:space="preserve">Paired-Samples t-test</w:t>
      </w:r>
      <w:r>
        <w:rPr>
          <w:bCs/>
          <w:b/>
        </w:rPr>
        <w:t xml:space="preserve">):</w:t>
      </w:r>
    </w:p>
    <w:p>
      <w:pPr>
        <w:numPr>
          <w:ilvl w:val="1"/>
          <w:numId w:val="1038"/>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38"/>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38"/>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36"/>
        </w:numPr>
        <w:pStyle w:val="Compact"/>
      </w:pPr>
      <w:r>
        <w:rPr>
          <w:bCs/>
          <w:b/>
        </w:rPr>
        <w:t xml:space="preserve">Ukuran Efek (</w:t>
      </w:r>
      <w:r>
        <w:rPr>
          <w:iCs/>
          <w:i/>
          <w:bCs/>
          <w:b/>
        </w:rPr>
        <w:t xml:space="preserve">Effect Size - Cohen’s d</w:t>
      </w:r>
      <w:r>
        <w:rPr>
          <w:bCs/>
          <w:b/>
        </w:rPr>
        <w:t xml:space="preserve">):</w:t>
      </w:r>
    </w:p>
    <w:p>
      <w:pPr>
        <w:numPr>
          <w:ilvl w:val="1"/>
          <w:numId w:val="1039"/>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36"/>
        </w:numPr>
        <w:pStyle w:val="Compact"/>
      </w:pPr>
      <w:r>
        <w:rPr>
          <w:bCs/>
          <w:b/>
        </w:rPr>
        <w:t xml:space="preserve">Uji Ketahanan Non-Parametrik (</w:t>
      </w:r>
      <w:r>
        <w:rPr>
          <w:iCs/>
          <w:i/>
          <w:bCs/>
          <w:b/>
        </w:rPr>
        <w:t xml:space="preserve">Wilcoxon Signed-Rank Test</w:t>
      </w:r>
      <w:r>
        <w:rPr>
          <w:bCs/>
          <w:b/>
        </w:rPr>
        <w:t xml:space="preserve">):</w:t>
      </w:r>
    </w:p>
    <w:p>
      <w:pPr>
        <w:numPr>
          <w:ilvl w:val="1"/>
          <w:numId w:val="1040"/>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0"/>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2026-10-13T12:05:29Z</dcterms:created>
  <dcterms:modified xsi:type="dcterms:W3CDTF">2026-10-13T12:05:29Z</dcterms:modified>
</cp:coreProperties>
</file>

<file path=docProps/custom.xml><?xml version="1.0" encoding="utf-8"?>
<Properties xmlns="http://schemas.openxmlformats.org/officeDocument/2006/custom-properties" xmlns:vt="http://schemas.openxmlformats.org/officeDocument/2006/docPropsVTypes"/>
</file>