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5.png" ContentType="image/png"/>
  <Override PartName="/word/media/rId63.png" ContentType="image/png"/>
  <Override PartName="/word/media/rId69.png" ContentType="image/png"/>
  <Override PartName="/word/media/rId72.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and safety invariants (</w:t>
      </w:r>
      <w:r>
        <w:rPr>
          <w:rStyle w:val="VerbatimChar"/>
        </w:rPr>
        <w:t xml:space="preserve">!isValid || isOutOfScope</w:t>
      </w:r>
      <w:r>
        <w:t xml:space="preserve"> </w:t>
      </w:r>
      <w:r>
        <w:t xml:space="preserve">aborts SQL compilation), preventing invalid, out-of-scope, or mutated semantic intent from reaching spatial execution; and (2) an</w:t>
      </w:r>
      <w:r>
        <w:t xml:space="preserve"> </w:t>
      </w:r>
      <w:r>
        <w:rPr>
          <w:bCs/>
          <w:b/>
        </w:rPr>
        <w:t xml:space="preserve">Evidence Control Boundary</w:t>
      </w:r>
      <w:r>
        <w:t xml:space="preserve"> </w:t>
      </w:r>
      <w:r>
        <w:t xml:space="preserve">(</w:t>
      </w:r>
      <m:oMath>
        <m:r>
          <m:rPr>
            <m:nor/>
            <m:sty m:val="p"/>
          </m:rPr>
          <m:t>SQL database facts </m:t>
        </m:r>
        <m:d>
          <m:dPr>
            <m:begChr m:val="("/>
            <m:endChr m:val=")"/>
            <m:sepChr m:val=""/>
            <m:grow/>
          </m:dPr>
          <m:e>
            <m:r>
              <m:t>F</m:t>
            </m:r>
          </m:e>
        </m:d>
        <m:r>
          <m:rPr>
            <m:sty m:val="p"/>
          </m:rPr>
          <m:t>→</m:t>
        </m:r>
        <m:r>
          <m:rPr>
            <m:nor/>
            <m:sty m:val="p"/>
          </m:rPr>
          <m:t>grounded NLG</m:t>
        </m:r>
        <m:r>
          <m:rPr>
            <m:sty m:val="p"/>
          </m:rPr>
          <m:t>→</m:t>
        </m:r>
        <m:r>
          <m:rPr>
            <m:nor/>
            <m:sty m:val="p"/>
          </m:rPr>
          <m:t>claim-level grounding validator</m:t>
        </m:r>
      </m:oMath>
      <w:r>
        <w:t xml:space="preserve">) 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 45 unit and integration tests (172 assertions, 100% pass), demonstrated a Pure Intent Pre-Fallback Exact CSIR semantic extraction accuracy of</w:t>
      </w:r>
      <w:r>
        <w:t xml:space="preserve"> </w:t>
      </w:r>
      <w:r>
        <w:rPr>
          <w:bCs/>
          <w:b/>
        </w:rPr>
        <w:t xml:space="preserve">92.50%</w:t>
      </w:r>
      <w:r>
        <w:t xml:space="preserve"> </w:t>
      </w:r>
      <w:r>
        <w:t xml:space="preserve">(37/40) (</w:t>
      </w:r>
      <w:r>
        <w:rPr>
          <w:bCs/>
          <w:b/>
        </w:rPr>
        <w:t xml:space="preserve">90.00% / 36/40</w:t>
      </w:r>
      <w:r>
        <w:t xml:space="preserve"> </w:t>
      </w:r>
      <w:r>
        <w:t xml:space="preserve">on post-policy execution envelope alignment) with an average field-level accuracy of</w:t>
      </w:r>
      <w:r>
        <w:t xml:space="preserve"> </w:t>
      </w:r>
      <w:r>
        <w:rPr>
          <w:bCs/>
          <w:b/>
        </w:rPr>
        <w:t xml:space="preserve">99.25% (398/401)</w:t>
      </w:r>
      <w:r>
        <w:t xml:space="preserve">, a validation decision accuracy of</w:t>
      </w:r>
      <w:r>
        <w:t xml:space="preserve"> </w:t>
      </w:r>
      <w:r>
        <w:rPr>
          <w:bCs/>
          <w:b/>
        </w:rPr>
        <w:t xml:space="preserve">100.00%</w:t>
      </w:r>
      <w:r>
        <w:t xml:space="preserve"> </w:t>
      </w:r>
      <w:r>
        <w:t xml:space="preserve">(40/40), a pure spatial predicate correctness of</w:t>
      </w:r>
      <w:r>
        <w:t xml:space="preserve"> </w:t>
      </w:r>
      <w:r>
        <w:rPr>
          <w:bCs/>
          <w:b/>
        </w:rPr>
        <w:t xml:space="preserve">100.00%</w:t>
      </w:r>
      <w:r>
        <w:t xml:space="preserve"> </w:t>
      </w:r>
      <w:r>
        <w:t xml:space="preserve">(36/36 spatial scenarios) alongside an overall scenario execution compliance rate of</w:t>
      </w:r>
      <w:r>
        <w:t xml:space="preserve"> </w:t>
      </w:r>
      <w:r>
        <w:rPr>
          <w:bCs/>
          <w:b/>
        </w:rPr>
        <w:t xml:space="preserve">100.00%</w:t>
      </w:r>
      <w:r>
        <w:t xml:space="preserve"> </w:t>
      </w:r>
      <w:r>
        <w:t xml:space="preserve">(40/40), an Entity Fabrication Rate of</w:t>
      </w:r>
      <w:r>
        <w:t xml:space="preserve"> </w:t>
      </w:r>
      <w:r>
        <w:rPr>
          <w:bCs/>
          <w:b/>
        </w:rPr>
        <w:t xml:space="preserve">0.00%</w:t>
      </w:r>
      <w:r>
        <w:t xml:space="preserve"> </w:t>
      </w:r>
      <w:r>
        <w:t xml:space="preserve">(no fabricated POIs were observed across the evaluated benchmark scenarios), a Claim-Level Grounding Fidelity of</w:t>
      </w:r>
      <w:r>
        <w:t xml:space="preserve"> </w:t>
      </w:r>
      <w:r>
        <w:rPr>
          <w:bCs/>
          <w:b/>
        </w:rPr>
        <w:t xml:space="preserve">100.00%</w:t>
      </w:r>
      <w:r>
        <w:t xml:space="preserve"> </w:t>
      </w:r>
      <w:r>
        <w:t xml:space="preserve">across 304 audited factual claims recognized by GroundingValidator, an Entity Grounding Fidelity of</w:t>
      </w:r>
      <w:r>
        <w:t xml:space="preserve"> </w:t>
      </w:r>
      <w:r>
        <w:rPr>
          <w:bCs/>
          <w:b/>
        </w:rPr>
        <w:t xml:space="preserve">100.00%</w:t>
      </w:r>
      <w:r>
        <w:t xml:space="preserve"> </w:t>
      </w:r>
      <w:r>
        <w:t xml:space="preserve">across 147 POI mentions, and an Honest Rejection Rate of</w:t>
      </w:r>
      <w:r>
        <w:t xml:space="preserve"> </w:t>
      </w:r>
      <w:r>
        <w:rPr>
          <w:bCs/>
          <w:b/>
        </w:rPr>
        <w:t xml:space="preserve">100.00% (2/2)</w:t>
      </w:r>
      <w:r>
        <w:t xml:space="preserve"> </w:t>
      </w:r>
      <w:r>
        <w:t xml:space="preserve">on tested out-of-scope requests. Average server-side conversational pipeline latency was</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These findings demonstrate that constraining LLM authority through dual control boundaries achieves natural conversational flexibility while guaranteeing verifiable factual integrity and eliminating fabricated-entity hallucinations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Canonical Spatial Intent Representation (CSIR), SIR Validator, ST_Distance_Sphere,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(Reliability-Controlled Conversational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Reliability-Controlled Dual Boundaries</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establishing a</w:t>
      </w:r>
      <w:r>
        <w:t xml:space="preserve"> </w:t>
      </w:r>
      <w:r>
        <w:rPr>
          <w:bCs/>
          <w:b/>
        </w:rPr>
        <w:t xml:space="preserve">Reliability-Controlled Conversational Spatial Information System</w:t>
      </w:r>
      <w:r>
        <w:t xml:space="preserve"> </w:t>
      </w:r>
      <w:r>
        <w:t xml:space="preserve">governed by two explicit architectural control mechanisms:</w:t>
      </w:r>
      <w:r>
        <w:t xml:space="preserve"> </w:t>
      </w:r>
      <w:r>
        <w:t xml:space="preserve">-</w:t>
      </w:r>
      <w:r>
        <w:t xml:space="preserve"> </w:t>
      </w:r>
      <w:r>
        <w:rPr>
          <w:bCs/>
          <w:b/>
        </w:rPr>
        <w:t xml:space="preserve">Semantic Control Boundary:</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Its objective is to prevent invalid, out-of-scope, or silently mutated semantic intent from ever reaching the spatial database execution engine, enforcing the</w:t>
      </w:r>
      <w:r>
        <w:t xml:space="preserve"> </w:t>
      </w:r>
      <w:r>
        <w:rPr>
          <w:iCs/>
          <w:i/>
        </w:rPr>
        <w:t xml:space="preserve">No Intent Alteration</w:t>
      </w:r>
      <w:r>
        <w:t xml:space="preserve"> </w:t>
      </w:r>
      <w:r>
        <w:t xml:space="preserve">principle and safety invariants.</w:t>
      </w:r>
      <w:r>
        <w:t xml:space="preserve"> </w:t>
      </w:r>
      <w:r>
        <w:t xml:space="preserve">-</w:t>
      </w:r>
      <w:r>
        <w:t xml:space="preserve"> </w:t>
      </w:r>
      <w:r>
        <w:rPr>
          <w:bCs/>
          <w:b/>
        </w:rPr>
        <w:t xml:space="preserve">Evidence Control Boundary:</w:t>
      </w:r>
      <w:r>
        <w:t xml:space="preserve"> </w:t>
      </w:r>
      <m:oMath>
        <m:r>
          <m:rPr>
            <m:nor/>
            <m:sty m:val="p"/>
          </m:rPr>
          <m:t>SQL Facts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Its objective is to prevent ungrounded or fabricated factual claims from reaching the final user response, verifying every factual claim against the underlying database result set.</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spherical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conversational spatial information system be architected under dual control boundaries—a semantic control boundary and an evidence control boundary—to mediate natural-language requests into deterministic spatial SQL execution, ensuring that the probabilistic LLM acts as an intuitive cognitive interface while mathematically and algorithmically guaranteeing zero fabricated entities and strict factual grounding?</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Conceptual Dual Control Boundaries Framework:</w:t>
      </w:r>
      <w:r>
        <w:t xml:space="preserve"> </w:t>
      </w:r>
      <w:r>
        <w:t xml:space="preserve">Formalizing the decoupling of probabilistic LLM inference from deterministic relational spatial execution through two explicit control boundaries (Semantic Control Boundary and Evidence Control Boundary).</w:t>
      </w:r>
      <w:r>
        <w:t xml:space="preserve"> </w:t>
      </w:r>
      <w:r>
        <w:t xml:space="preserve">2.</w:t>
      </w:r>
      <w:r>
        <w:t xml:space="preserve"> </w:t>
      </w:r>
      <w:r>
        <w:rPr>
          <w:bCs/>
          <w:b/>
        </w:rPr>
        <w:t xml:space="preserve">Canonical Spatial Intent Representation (CSIR) &amp; Spatial Operator Ontology:</w:t>
      </w:r>
      <w:r>
        <w:t xml:space="preserve"> </w:t>
      </w:r>
      <w:r>
        <w:t xml:space="preserve">A typed, 4-partition intermediate semantic representation schema and ontological mapping decoupling natural-language interpretation from database query construction.</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Claim-Level Grounding Validator &amp; Empirical Evaluation Framework:</w:t>
      </w:r>
      <w:r>
        <w:t xml:space="preserve"> </w:t>
      </w:r>
      <w:r>
        <w:t xml:space="preserve">A formal post-generation verification firewall verifying all factual claims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demonstrating 100.00% Grounding Fidelity with zero fabricated POIs observed across 40 evaluated benchmark scenarios, supported by an automated test suite of 45 unit and integration tests (172 assertions, 100% pass) and multi-baseline ablation studies.</w:t>
      </w:r>
    </w:p>
    <w:p>
      <w:r>
        <w:pict>
          <v:rect style="width:0;height:1.5pt" o:hralign="center" o:hrstd="t" o:hr="t"/>
        </w:pict>
      </w:r>
    </w:p>
    <w:bookmarkEnd w:id="25"/>
    <w:bookmarkEnd w:id="26"/>
    <w:bookmarkStart w:id="36" w:name="Xd2b311958c9f1cedeea6d64dcf3c79b994b9f75"/>
    <w:p>
      <w:pPr>
        <w:pStyle w:val="Heading2"/>
      </w:pPr>
      <w:r>
        <w:t xml:space="preserve">2. THEORETICAL FOUNDATION AND CONCEPTUAL FORMALIZATION</w:t>
      </w:r>
    </w:p>
    <w:bookmarkStart w:id="27" w:name="Xdf875a766e7a9cd8fd51da7257e8cd1ac3b2858"/>
    <w:p>
      <w:pPr>
        <w:pStyle w:val="Heading3"/>
      </w:pPr>
      <w:r>
        <w:t xml:space="preserve">2.0 The Dual Control Boundaries Framework for Conversational Spatial Systems</w:t>
      </w:r>
    </w:p>
    <w:p>
      <w:pPr>
        <w:pStyle w:val="FirstParagraph"/>
      </w:pPr>
      <w:r>
        <w:t xml:space="preserve">To resolve the fundamental tension between the open-ended conversational adaptability of probabilistic generative language models and the deterministic precision required for spatial query execution, this research conceptualizes conversational GIS as a</w:t>
      </w:r>
      <w:r>
        <w:t xml:space="preserve"> </w:t>
      </w:r>
      <w:r>
        <w:rPr>
          <w:bCs/>
          <w:b/>
        </w:rPr>
        <w:t xml:space="preserve">Reliability-Controlled Conversational Spatial Information System</w:t>
      </w:r>
      <w:r>
        <w:t xml:space="preserve"> </w:t>
      </w:r>
      <w:r>
        <w:t xml:space="preserve">governed by</w:t>
      </w:r>
      <w:r>
        <w:t xml:space="preserve"> </w:t>
      </w:r>
      <w:r>
        <w:rPr>
          <w:bCs/>
          <w:b/>
        </w:rPr>
        <w:t xml:space="preserve">Dual Control Boundaries</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The system operates across two discrete, mathematically and algorithmically formalized control boundaries:</w:t>
      </w:r>
      <w:r>
        <w:t xml:space="preserve"> </w:t>
      </w:r>
      <w:r>
        <w:t xml:space="preserve">1.</w:t>
      </w:r>
      <w:r>
        <w:t xml:space="preserve"> </w:t>
      </w:r>
      <w:r>
        <w:rPr>
          <w:bCs/>
          <w:b/>
        </w:rPr>
        <w:t xml:space="preserve">The Semantic Control Boundary (</w:t>
      </w:r>
      <m:oMath>
        <m:sSub>
          <m:e>
            <m:r>
              <m:rPr>
                <m:sty m:val="p"/>
                <m:scr m:val="script"/>
              </m:rPr>
              <m:t>B</m:t>
            </m:r>
          </m:e>
          <m:sub>
            <m:r>
              <m:rPr>
                <m:nor/>
                <m:sty m:val="p"/>
              </m:rPr>
              <m:t>semantic</m:t>
            </m:r>
          </m:sub>
        </m:sSub>
      </m:oMath>
      <w:r>
        <w:rPr>
          <w:bCs/>
          <w:b/>
        </w:rPr>
        <w:t xml:space="preserve">):</w:t>
      </w:r>
    </w:p>
    <w:p>
      <w:pPr>
        <w:pStyle w:val="BodyText"/>
      </w:pPr>
      <m:oMathPara>
        <m:oMathParaPr>
          <m:jc m:val="center"/>
        </m:oMathParaPr>
        <m:oMath>
          <m:sSub>
            <m:e>
              <m:r>
                <m:rPr>
                  <m:sty m:val="p"/>
                  <m:scr m:val="script"/>
                </m:rPr>
                <m:t>B</m:t>
              </m:r>
            </m:e>
            <m:sub>
              <m:r>
                <m:rPr>
                  <m:nor/>
                  <m:sty m:val="p"/>
                </m:rPr>
                <m:t>semantic</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pStyle w:val="FirstParagraph"/>
      </w:pPr>
      <w:r>
        <w:t xml:space="preserve">This boundary isolates the non-deterministic, probabilistic language model from relational database operations. User utterances are parsed into an intermediate, typed Spatial Intent Representation (SIR). The deterministic six-dimensional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along with schema, type, domain, operator, entity, and constraint invariants. If an illegal or anomalous parameter is detected (such as negative radius or uncurated operators), the validator refuses silent mutation, returning a structured clarification demand. Invariant violations (</w:t>
      </w:r>
      <w:r>
        <w:rPr>
          <w:rStyle w:val="VerbatimChar"/>
        </w:rPr>
        <w:t xml:space="preserve">!isValid || isOutOfScope</w:t>
      </w:r>
      <w:r>
        <w:t xml:space="preserve">) halt query compilation, guaranteeing that unverified or mutated intent never penetrates the database engine.</w:t>
      </w:r>
      <w:r>
        <w:t xml:space="preserve"> </w:t>
      </w:r>
      <w:r>
        <w:t xml:space="preserve">2.</w:t>
      </w:r>
      <w:r>
        <w:t xml:space="preserve"> </w:t>
      </w:r>
      <w:r>
        <w:rPr>
          <w:bCs/>
          <w:b/>
        </w:rPr>
        <w:t xml:space="preserve">The Evidence Control Boundary (</w:t>
      </w:r>
      <m:oMath>
        <m:sSub>
          <m:e>
            <m:r>
              <m:rPr>
                <m:sty m:val="p"/>
                <m:scr m:val="script"/>
              </m:rPr>
              <m:t>B</m:t>
            </m:r>
          </m:e>
          <m:sub>
            <m:r>
              <m:rPr>
                <m:nor/>
                <m:sty m:val="p"/>
              </m:rPr>
              <m:t>evidence</m:t>
            </m:r>
          </m:sub>
        </m:sSub>
      </m:oMath>
      <w:r>
        <w:rPr>
          <w:bCs/>
          <w:b/>
        </w:rPr>
        <w:t xml:space="preserve">):</w:t>
      </w:r>
    </w:p>
    <w:p>
      <w:pPr>
        <w:pStyle w:val="BodyText"/>
      </w:pPr>
      <m:oMathPara>
        <m:oMathParaPr>
          <m:jc m:val="center"/>
        </m:oMathParaPr>
        <m:oMath>
          <m:sSub>
            <m:e>
              <m:r>
                <m:rPr>
                  <m:sty m:val="p"/>
                  <m:scr m:val="script"/>
                </m:rPr>
                <m:t>B</m:t>
              </m:r>
            </m:e>
            <m:sub>
              <m:r>
                <m:rPr>
                  <m:nor/>
                  <m:sty m:val="p"/>
                </m:rPr>
                <m:t>evidence</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Response</m:t>
              </m:r>
            </m:e>
            <m:sub>
              <m:r>
                <m:rPr>
                  <m:nor/>
                  <m:sty m:val="p"/>
                </m:rPr>
                <m:t>verified</m:t>
              </m:r>
            </m:sub>
          </m:sSub>
        </m:oMath>
      </m:oMathPara>
    </w:p>
    <w:p>
      <w:pPr>
        <w:pStyle w:val="FirstParagraph"/>
      </w:pPr>
      <w:r>
        <w:t xml:space="preserve">This boundary governs the natural language synthesis of final user responses. The deterministic spatial engine (MySQL 8.0</w:t>
      </w:r>
      <w:r>
        <w:t xml:space="preserve"> </w:t>
      </w:r>
      <w:r>
        <w:rPr>
          <w:rStyle w:val="VerbatimChar"/>
        </w:rPr>
        <w:t xml:space="preserve">ST_Distance_Sphere</w:t>
      </w:r>
      <w:r>
        <w:t xml:space="preserve">) executes parameterized SQL queries, yielding an immutable relational fact set</w:t>
      </w:r>
      <w:r>
        <w:t xml:space="preserve"> </w:t>
      </w:r>
      <m:oMath>
        <m:r>
          <m:t>F</m:t>
        </m:r>
      </m:oMath>
      <w:r>
        <w:t xml:space="preserve">. Grounded NLG is constrained by a strict system prompt contract prohibiting ungrounded inferences. Subsequently, an</w:t>
      </w:r>
      <w:r>
        <w:t xml:space="preserve"> </w:t>
      </w:r>
      <w:r>
        <w:rPr>
          <w:iCs/>
          <w:i/>
        </w:rPr>
        <w:t xml:space="preserve">Algorithmic Claim-Level Grounding Validator</w:t>
      </w:r>
      <w:r>
        <w:t xml:space="preserve"> </w:t>
      </w:r>
      <w:r>
        <w:t xml:space="preserve">audits the synthesized response across 4 distinct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If any ungrounded claim is detected (</w:t>
      </w:r>
      <m:oMath>
        <m:r>
          <m:rPr>
            <m:sty m:val="p"/>
          </m:rPr>
          <m:t>∃</m:t>
        </m:r>
        <m:r>
          <m:t>c</m:t>
        </m:r>
        <m:r>
          <m:rPr>
            <m:sty m:val="p"/>
          </m:rPr>
          <m:t>∉</m:t>
        </m:r>
        <m:r>
          <m:t>F</m:t>
        </m:r>
      </m:oMath>
      <w:r>
        <w:t xml:space="preserve">), a deterministic fail-closed fallback is triggered, ensuring zero ungrounded or fabricated claims reach the user.</w:t>
      </w:r>
    </w:p>
    <w:bookmarkEnd w:id="27"/>
    <w:bookmarkStart w:id="28"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28"/>
    <w:bookmarkStart w:id="29"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29"/>
    <w:bookmarkStart w:id="30"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30"/>
    <w:bookmarkStart w:id="31" w:name="Xe815dc1582684dcec8c452481f551e8cd3fa255"/>
    <w:p>
      <w:pPr>
        <w:pStyle w:val="Heading3"/>
      </w:pPr>
      <w:r>
        <w:t xml:space="preserve">2.3 Formalization of Spatial Intent: Conceptual Unification of SIR and CSIR (Raw SIR vs. Validated CSIR)</w:t>
      </w:r>
    </w:p>
    <w:p>
      <w:pPr>
        <w:pStyle w:val="FirstParagraph"/>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19-attribute CSIR schema across these four orthogonal partitions:</w:t>
      </w:r>
    </w:p>
    <w:p>
      <w:pPr>
        <w:pStyle w:val="BodyText"/>
      </w:pPr>
      <w:r>
        <w:rPr>
          <w:bCs/>
          <w:b/>
        </w:rPr>
        <w:t xml:space="preserve">Table 2. Formal Specification of the Canonical Spatial Intent Representation (CSIR) Schema Across 4 Orthogonal Partitions (19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r>
              <w:t xml:space="preserve"> </w:t>
            </w:r>
            <w:r>
              <w:t xml:space="preserve">(Intent Semantics, 5 Attributes)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r>
              <w:t xml:space="preserve"> </w:t>
            </w:r>
            <w:r>
              <w:t xml:space="preserve">(Spatial Constraints, 8 Attributes)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latitude</w:t>
            </w:r>
          </w:p>
        </w:tc>
        <w:tc>
          <w:tcPr/>
          <w:p>
            <w:pPr>
              <w:pStyle w:val="Compact"/>
              <w:jc w:val="left"/>
            </w:pPr>
            <w:r>
              <w:t xml:space="preserve">Decimal degrees</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longitude</w:t>
            </w:r>
          </w:p>
        </w:tc>
        <w:tc>
          <w:tcPr/>
          <w:p>
            <w:pPr>
              <w:pStyle w:val="Compact"/>
              <w:jc w:val="left"/>
            </w:pPr>
            <w:r>
              <w:t xml:space="preserve">Decimal degrees</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t xml:space="preserve"> </w:t>
            </w:r>
            <w:r>
              <w:t xml:space="preserve">(Operational Constraints, 5 Attributes)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t xml:space="preserve"> </w:t>
            </w:r>
            <w:r>
              <w:t xml:space="preserve">(Control Metadata &amp; Invariant, 1 CSIR Attribute)</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(System Validation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1"/>
    <w:bookmarkStart w:id="32" w:name="X34f5ff5b35fa743b4af0489986cfd90cfb4671c"/>
    <w:p>
      <w:pPr>
        <w:pStyle w:val="Heading3"/>
      </w:pPr>
      <w:r>
        <w:t xml:space="preserve">2.3.1 Data Provenance and Separation of Computational Responsibilities</w:t>
      </w:r>
    </w:p>
    <w:p>
      <w:pPr>
        <w:pStyle w:val="FirstParagraph"/>
      </w:pPr>
      <w:r>
        <w:t xml:space="preserve">The architecture strictly enforces the principle of</w:t>
      </w:r>
      <w:r>
        <w:t xml:space="preserve"> </w:t>
      </w:r>
      <w:r>
        <w:rPr>
          <w:iCs/>
          <w:i/>
        </w:rPr>
        <w:t xml:space="preserve">Separation of Responsibilities</w:t>
      </w:r>
      <w:r>
        <w:t xml:space="preserve"> </w:t>
      </w:r>
      <w:r>
        <w:t xml:space="preserve">between probabilistic semantic extraction and deterministic geospatial anchoring to eliminate coordinate hallucinations:</w:t>
      </w:r>
      <w:r>
        <w:t xml:space="preserve"> </w:t>
      </w:r>
      <w:r>
        <w:t xml:space="preserve">1.</w:t>
      </w:r>
      <w:r>
        <w:t xml:space="preserve"> </w:t>
      </w:r>
      <w:r>
        <w:rPr>
          <w:bCs/>
          <w:b/>
        </w:rPr>
        <w:t xml:space="preserve">Pure Semantic Slots (Extracted by Layer 2 LLM - Raw SIR, 17 Slots):</w:t>
      </w:r>
      <w:r>
        <w:t xml:space="preserve"> </w:t>
      </w:r>
      <w:r>
        <w:t xml:space="preserve">The LLM parses 17 linguistic parameters (</w:t>
      </w:r>
      <m:oMath>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oMath>
      <w:r>
        <w:t xml:space="preserve">). The LLM is</w:t>
      </w:r>
      <w:r>
        <w:t xml:space="preserve"> </w:t>
      </w:r>
      <w:r>
        <w:rPr>
          <w:bCs/>
          <w:b/>
        </w:rPr>
        <w:t xml:space="preserve">strictly prohibited from synthesizing numeric GPS coordinates</w:t>
      </w:r>
      <w:r>
        <w:t xml:space="preserve">.</w:t>
      </w:r>
      <w:r>
        <w:t xml:space="preserve"> </w:t>
      </w:r>
      <w:r>
        <w:t xml:space="preserve">2.</w:t>
      </w:r>
      <w:r>
        <w:t xml:space="preserve"> </w:t>
      </w:r>
      <w:r>
        <w:rPr>
          <w:bCs/>
          <w:b/>
        </w:rPr>
        <w:t xml:space="preserve">Deterministic Geospatial Context (Injected from Client / Resolver, 2 Attributes):</w:t>
      </w:r>
      <w:r>
        <w:t xml:space="preserve"> </w:t>
      </w:r>
      <w:r>
        <w:t xml:space="preserve">Numeric</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are deterministically anchored from verified sources:</w:t>
      </w:r>
      <w:r>
        <w:t xml:space="preserve"> </w:t>
      </w:r>
      <w:r>
        <w:t xml:space="preserve">- When</w:t>
      </w:r>
      <w:r>
        <w:t xml:space="preserve"> </w:t>
      </w:r>
      <m:oMath>
        <m:sSub>
          <m:e>
            <m:r>
              <m:t>R</m:t>
            </m:r>
          </m:e>
          <m:sub>
            <m:r>
              <m:t>t</m:t>
            </m:r>
          </m:sub>
        </m:sSub>
        <m:r>
          <m:rPr>
            <m:sty m:val="p"/>
          </m:rPr>
          <m:t>=</m:t>
        </m:r>
        <m:r>
          <m:rPr>
            <m:nor/>
            <m:sty m:val="p"/>
          </m:rPr>
          <m:t>’gps’</m:t>
        </m:r>
      </m:oMath>
      <w:r>
        <w:t xml:space="preserve">, coordinates are acquired directly from the browser’s standard W3C Geolocation API (</w:t>
      </w:r>
      <w:r>
        <w:rPr>
          <w:rStyle w:val="VerbatimChar"/>
        </w:rPr>
        <w:t xml:space="preserve">navigator.geolocation</w:t>
      </w:r>
      <w:r>
        <w:t xml:space="preserve">).</w:t>
      </w:r>
      <w:r>
        <w:t xml:space="preserve"> </w:t>
      </w:r>
      <w:r>
        <w:t xml:space="preserve">- When</w:t>
      </w:r>
      <w:r>
        <w:t xml:space="preserve"> </w:t>
      </w:r>
      <m:oMath>
        <m:sSub>
          <m:e>
            <m:r>
              <m:t>R</m:t>
            </m:r>
          </m:e>
          <m:sub>
            <m:r>
              <m:t>t</m:t>
            </m:r>
          </m:sub>
        </m:sSub>
        <m:r>
          <m:rPr>
            <m:sty m:val="p"/>
          </m:rPr>
          <m:t>=</m:t>
        </m:r>
        <m:r>
          <m:rPr>
            <m:nor/>
            <m:sty m:val="p"/>
          </m:rPr>
          <m:t>’city_center’</m:t>
        </m:r>
      </m:oMath>
      <w:r>
        <w:t xml:space="preserve">, the system injects official Padang municipal center coordinates (</w:t>
      </w:r>
      <m:oMath>
        <m:r>
          <m:rPr>
            <m:sty m:val="p"/>
          </m:rPr>
          <m:t>−</m:t>
        </m:r>
        <m:r>
          <m:t>0.9471</m:t>
        </m:r>
        <m:r>
          <m:rPr>
            <m:sty m:val="p"/>
          </m:rPr>
          <m:t>,</m:t>
        </m:r>
        <m:r>
          <m:t>100.4174</m:t>
        </m:r>
      </m:oMath>
      <w:r>
        <w:t xml:space="preserve">).</w:t>
      </w:r>
      <w:r>
        <w:t xml:space="preserve"> </w:t>
      </w:r>
      <w:r>
        <w:t xml:space="preserve">- When</w:t>
      </w:r>
      <w:r>
        <w:t xml:space="preserve"> </w:t>
      </w:r>
      <m:oMath>
        <m:sSub>
          <m:e>
            <m:r>
              <m:t>R</m:t>
            </m:r>
          </m:e>
          <m:sub>
            <m:r>
              <m:t>t</m:t>
            </m:r>
          </m:sub>
        </m:sSub>
        <m:r>
          <m:rPr>
            <m:sty m:val="p"/>
          </m:rPr>
          <m:t>=</m:t>
        </m:r>
        <m:r>
          <m:rPr>
            <m:nor/>
            <m:sty m:val="p"/>
          </m:rPr>
          <m:t>’poi’</m:t>
        </m:r>
      </m:oMath>
      <w:r>
        <w:t xml:space="preserve">, a deterministic database geocoding resolver retrieves the verified coordinates of</w:t>
      </w:r>
      <w:r>
        <w:t xml:space="preserve"> </w:t>
      </w:r>
      <m:oMath>
        <m:sSub>
          <m:e>
            <m:r>
              <m:t>R</m:t>
            </m:r>
          </m:e>
          <m:sub>
            <m:r>
              <m:t>e</m:t>
            </m:r>
          </m:sub>
        </m:sSub>
      </m:oMath>
      <w:r>
        <w:t xml:space="preserve"> </w:t>
      </w:r>
      <w:r>
        <w:t xml:space="preserve">from the</w:t>
      </w:r>
      <w:r>
        <w:t xml:space="preserve"> </w:t>
      </w:r>
      <w:r>
        <w:rPr>
          <w:rStyle w:val="VerbatimChar"/>
        </w:rPr>
        <w:t xml:space="preserve">wisata</w:t>
      </w:r>
      <w:r>
        <w:t xml:space="preserve"> </w:t>
      </w:r>
      <w:r>
        <w:t xml:space="preserve">table.</w:t>
      </w:r>
      <w:r>
        <w:t xml:space="preserve"> </w:t>
      </w:r>
      <w:r>
        <w:t xml:space="preserve">3.</w:t>
      </w:r>
      <w:r>
        <w:t xml:space="preserve"> </w:t>
      </w:r>
      <w:r>
        <w:rPr>
          <w:bCs/>
          <w:b/>
        </w:rPr>
        <w:t xml:space="preserve">Unified 19-Attribute Canonical CSIR:</w:t>
      </w:r>
      <w:r>
        <w:t xml:space="preserve"> </w:t>
      </w:r>
      <w:r>
        <w:t xml:space="preserve">Merging the 17 raw semantic slots with the 2 client coordinate anchors produces the complete</w:t>
      </w:r>
      <w:r>
        <w:t xml:space="preserve"> </w:t>
      </w:r>
      <w:r>
        <w:rPr>
          <w:bCs/>
          <w:b/>
        </w:rPr>
        <w:t xml:space="preserve">19-attribute CSIR DTO</w:t>
      </w:r>
      <w:r>
        <w:t xml:space="preserve"> </w:t>
      </w:r>
      <w:r>
        <w:t xml:space="preserve">prior to invariant evaluation by</w:t>
      </w:r>
      <w:r>
        <w:t xml:space="preserve"> </w:t>
      </w:r>
      <w:r>
        <w:rPr>
          <w:rStyle w:val="VerbatimChar"/>
        </w:rPr>
        <w:t xml:space="preserve">SirValidator</w:t>
      </w:r>
      <w:r>
        <w:t xml:space="preserve"> </w:t>
      </w:r>
      <w:r>
        <w:t xml:space="preserve">and compilation into SQL.</w:t>
      </w:r>
    </w:p>
    <w:bookmarkEnd w:id="32"/>
    <w:bookmarkStart w:id="33" w:name="X3344e64d97bd88459bb9f1b2e69f55a22d1a4d2"/>
    <w:p>
      <w:pPr>
        <w:pStyle w:val="Heading3"/>
      </w:pPr>
      <w:r>
        <w:t xml:space="preserve">2.3.2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3"/>
    <w:bookmarkStart w:id="34" w:name="Xd98684af78990e2e0b3aaf2a58fadc5b2ee21c1"/>
    <w:p>
      <w:pPr>
        <w:pStyle w:val="Heading3"/>
      </w:pPr>
      <w:r>
        <w:t xml:space="preserve">2.4 Spatial Distance Computation: Native In-Database Function (</w:t>
      </w:r>
      <w:r>
        <w:rPr>
          <w:rStyle w:val="VerbatimChar"/>
        </w:rPr>
        <w:t xml:space="preserve">ST_Distance_Sphere</w:t>
      </w:r>
      <w:r>
        <w:t xml:space="preserve">) vs Topological Routing</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Compatibility:</w:t>
      </w:r>
      <w:r>
        <w:t xml:space="preserve"> </w:t>
      </w:r>
      <w:r>
        <w:t xml:space="preserve">Coordinates are stored as</w:t>
      </w:r>
      <w:r>
        <w:t xml:space="preserve"> </w:t>
      </w:r>
      <w:r>
        <w:rPr>
          <w:rStyle w:val="VerbatimChar"/>
        </w:rPr>
        <w:t xml:space="preserve">DECIMAL(10,8)</w:t>
      </w:r>
      <w:r>
        <w:t xml:space="preserve"> </w:t>
      </w:r>
      <w:r>
        <w:t xml:space="preserve">latitude and</w:t>
      </w:r>
      <w:r>
        <w:t xml:space="preserve"> </w:t>
      </w:r>
      <w:r>
        <w:rPr>
          <w:rStyle w:val="VerbatimChar"/>
        </w:rPr>
        <w:t xml:space="preserve">DECIMAL(11,8)</w:t>
      </w:r>
      <w:r>
        <w:t xml:space="preserve"> </w:t>
      </w:r>
      <w:r>
        <w:t xml:space="preserve">longitude indexed by composite relational keys</w:t>
      </w:r>
      <w:r>
        <w:t xml:space="preserve"> </w:t>
      </w:r>
      <w:r>
        <w:rPr>
          <w:rStyle w:val="VerbatimChar"/>
        </w:rPr>
        <w:t xml:space="preserve">(lat, lng)</w:t>
      </w:r>
      <w:r>
        <w:t xml:space="preserve">, and dynamically constructed into standardized</w:t>
      </w:r>
      <w:r>
        <w:t xml:space="preserve"> </w:t>
      </w:r>
      <w:r>
        <w:rPr>
          <w:rStyle w:val="VerbatimChar"/>
        </w:rPr>
        <w:t xml:space="preserve">POINT(longitude, latitude)</w:t>
      </w:r>
      <w:r>
        <w:t xml:space="preserve"> </w:t>
      </w:r>
      <w:r>
        <w:t xml:space="preserve">geometry objects at query evaluation time.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bookmarkEnd w:id="34"/>
    <w:bookmarkStart w:id="35" w:name="Xf3472b5c7b404e195092908d93d4f6a080f601e"/>
    <w:p>
      <w:pPr>
        <w:pStyle w:val="Heading3"/>
      </w:pPr>
      <w:r>
        <w:t xml:space="preserve">2.5 Dataset Provenance and Spatial Ground Truth Specification</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bookmarkEnd w:id="35"/>
    <w:bookmarkEnd w:id="36"/>
    <w:bookmarkStart w:id="68" w:name="system-architecture-and-methodology"/>
    <w:p>
      <w:pPr>
        <w:pStyle w:val="Heading2"/>
      </w:pPr>
      <w:r>
        <w:t xml:space="preserve">3. SYSTEM ARCHITECTURE AND METHODOLOGY</w:t>
      </w:r>
    </w:p>
    <w:bookmarkStart w:id="40" w:name="Xa51b578af72d69d3b73477c516f0d3d71c8ce8e"/>
    <w:p>
      <w:pPr>
        <w:pStyle w:val="Heading3"/>
      </w:pPr>
      <w:r>
        <w:t xml:space="preserve">3.1 Architectural Evolution: From Three-Tier Web GIS to Five-Layer Semantic-Controlled Web GIS</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38" name="Picture"/>
            <a:graphic>
              <a:graphicData uri="http://schemas.openxmlformats.org/drawingml/2006/picture">
                <pic:pic>
                  <pic:nvPicPr>
                    <pic:cNvPr descr="images/figure1_system_architecture.png" id="39" name="Picture"/>
                    <pic:cNvPicPr>
                      <a:picLocks noChangeArrowheads="1" noChangeAspect="1"/>
                    </pic:cNvPicPr>
                  </pic:nvPicPr>
                  <pic:blipFill>
                    <a:blip r:embed="rId37"/>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40"/>
    <w:bookmarkStart w:id="44"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42" name="Picture"/>
            <a:graphic>
              <a:graphicData uri="http://schemas.openxmlformats.org/drawingml/2006/picture">
                <pic:pic>
                  <pic:nvPicPr>
                    <pic:cNvPr descr="images/figure2_operational_framework.png" id="43" name="Picture"/>
                    <pic:cNvPicPr>
                      <a:picLocks noChangeArrowheads="1" noChangeAspect="1"/>
                    </pic:cNvPicPr>
                  </pic:nvPicPr>
                  <pic:blipFill>
                    <a:blip r:embed="rId41"/>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44"/>
    <w:bookmarkStart w:id="48"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46" name="Picture"/>
            <a:graphic>
              <a:graphicData uri="http://schemas.openxmlformats.org/drawingml/2006/picture">
                <pic:pic>
                  <pic:nvPicPr>
                    <pic:cNvPr descr="images/figure3_database_schema.png" id="47" name="Picture"/>
                    <pic:cNvPicPr>
                      <a:picLocks noChangeArrowheads="1" noChangeAspect="1"/>
                    </pic:cNvPicPr>
                  </pic:nvPicPr>
                  <pic:blipFill>
                    <a:blip r:embed="rId45"/>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Spherical Distance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spherical function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48"/>
    <w:bookmarkStart w:id="49"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49"/>
    <w:bookmarkStart w:id="60" w:name="X0da737bcb39130c1676ae5a0403dd1fea000b1a"/>
    <w:p>
      <w:pPr>
        <w:pStyle w:val="Heading3"/>
      </w:pPr>
      <w:r>
        <w:t xml:space="preserve">3.3 Role of System Prompt in the Overall Control Mechanism and Grounding Enforcement</w:t>
      </w:r>
    </w:p>
    <w:p>
      <w:pPr>
        <w:pStyle w:val="FirstParagraph"/>
      </w:pPr>
      <w:r>
        <w:t xml:space="preserve">In the proposed intelligent Web GIS architecture, the system prompt is engineered not as a conversational responder, but as a</w:t>
      </w:r>
      <w:r>
        <w:t xml:space="preserve"> </w:t>
      </w:r>
      <w:r>
        <w:rPr>
          <w:bCs/>
          <w:b/>
        </w:rPr>
        <w:t xml:space="preserve">declarative structural boundary contract</w:t>
      </w:r>
      <w:r>
        <w:t xml:space="preserve">. This section directly addresses the fundamental peer-review research question:</w:t>
      </w:r>
    </w:p>
    <w:p>
      <w:pPr>
        <w:pStyle w:val="BlockText"/>
      </w:pPr>
      <w:r>
        <w:rPr>
          <w:iCs/>
          <w:i/>
        </w:rPr>
        <w:t xml:space="preserve">“</w:t>
      </w:r>
      <w:r>
        <w:rPr>
          <w:iCs/>
          <w:i/>
        </w:rPr>
        <w:t xml:space="preserve">How do researchers ensure that the LLM produces a structured spatial intent representation and does not directly generate ungrounded answers/facts?</w:t>
      </w:r>
      <w:r>
        <w:rPr>
          <w:iCs/>
          <w:i/>
        </w:rPr>
        <w:t xml:space="preserve">”</w:t>
      </w:r>
    </w:p>
    <w:p>
      <w:pPr>
        <w:pStyle w:val="FirstParagraph"/>
      </w:pPr>
      <w:r>
        <w:t xml:space="preserve">To guarantee that the language model remains strictly bounded and incapable of emitting ungrounded facts, four interlocking architectural safeguards are enforced:</w:t>
      </w:r>
    </w:p>
    <w:p>
      <w:pPr>
        <w:numPr>
          <w:ilvl w:val="0"/>
          <w:numId w:val="1004"/>
        </w:numPr>
        <w:pStyle w:val="Compact"/>
      </w:pPr>
      <w:r>
        <w:rPr>
          <w:bCs/>
          <w:b/>
        </w:rPr>
        <w:t xml:space="preserve">Deterministic Inference Parameterization:</w:t>
      </w:r>
      <w:r>
        <w:t xml:space="preserve"> </w:t>
      </w:r>
      <w:r>
        <w:t xml:space="preserve">The LLM API is configured with</w:t>
      </w:r>
      <w:r>
        <w:t xml:space="preserve"> </w:t>
      </w:r>
      <w:r>
        <w:rPr>
          <w:rStyle w:val="VerbatimChar"/>
        </w:rPr>
        <w:t xml:space="preserve">temperature: 0.0</w:t>
      </w:r>
      <w:r>
        <w:t xml:space="preserve"> </w:t>
      </w:r>
      <w:r>
        <w:t xml:space="preserve">to eliminate stochastic entropy and token probability drift. The API parameter</w:t>
      </w:r>
      <w:r>
        <w:t xml:space="preserve"> </w:t>
      </w:r>
      <w:r>
        <w:rPr>
          <w:rStyle w:val="VerbatimChar"/>
        </w:rPr>
        <w:t xml:space="preserve">response_format: {"type": "json_object"}</w:t>
      </w:r>
      <w:r>
        <w:t xml:space="preserve"> </w:t>
      </w:r>
      <w:r>
        <w:t xml:space="preserve">is enforced, mathematically restricting the LLM to emit only valid, parseable JSON documents matching the SIR schema.</w:t>
      </w:r>
    </w:p>
    <w:p>
      <w:pPr>
        <w:numPr>
          <w:ilvl w:val="0"/>
          <w:numId w:val="1004"/>
        </w:numPr>
        <w:pStyle w:val="Compact"/>
      </w:pPr>
      <w:r>
        <w:rPr>
          <w:bCs/>
          <w:b/>
        </w:rPr>
        <w:t xml:space="preserve">Negative Authority Constraint Enforcement:</w:t>
      </w:r>
      <w:r>
        <w:t xml:space="preserve"> </w:t>
      </w:r>
      <w:r>
        <w:t xml:space="preserve">The system prompt explicitly commands three non-negotiable negative constraints: (a) Do not generate SQL queries, (b) Do not answer the user’s inquiry or volunteer conversational recommendations, and (c) Do not output markdown commentary or conversational preamble outside pure JSON. The LLM is functionally sandboxed solely as a</w:t>
      </w:r>
      <w:r>
        <w:t xml:space="preserve"> </w:t>
      </w:r>
      <w:r>
        <w:rPr>
          <w:iCs/>
          <w:i/>
        </w:rPr>
        <w:t xml:space="preserve">Semantic Intent Parser</w:t>
      </w:r>
      <w:r>
        <w:t xml:space="preserve">.</w:t>
      </w:r>
    </w:p>
    <w:p>
      <w:pPr>
        <w:numPr>
          <w:ilvl w:val="0"/>
          <w:numId w:val="1004"/>
        </w:numPr>
        <w:pStyle w:val="Compact"/>
      </w:pPr>
      <w:r>
        <w:rPr>
          <w:bCs/>
          <w:b/>
        </w:rPr>
        <w:t xml:space="preserve">Computational Air-Gap Architecture:</w:t>
      </w:r>
      <w:r>
        <w:t xml:space="preserve"> </w:t>
      </w:r>
      <w:r>
        <w:t xml:space="preserve">The raw JSON output emitted by the LLM is never transmitted to the client web browser. Instead, it is captured in backend server memory (CodeIgniter 4 runtime), instantiated into a typed</w:t>
      </w:r>
      <w:r>
        <w:t xml:space="preserve"> </w:t>
      </w:r>
      <w:r>
        <w:rPr>
          <w:rStyle w:val="VerbatimChar"/>
        </w:rPr>
        <w:t xml:space="preserve">SpatialIntent</w:t>
      </w:r>
      <w:r>
        <w:t xml:space="preserve"> </w:t>
      </w:r>
      <w:r>
        <w:t xml:space="preserve">Data Transfer Object (DTO), and submitted to the independent, deterministic</w:t>
      </w:r>
      <w:r>
        <w:t xml:space="preserve"> </w:t>
      </w:r>
      <w:r>
        <w:rPr>
          <w:iCs/>
          <w:i/>
        </w:rPr>
        <w:t xml:space="preserve">SIR Validator</w:t>
      </w:r>
      <w:r>
        <w:t xml:space="preserve">.</w:t>
      </w:r>
    </w:p>
    <w:p>
      <w:pPr>
        <w:numPr>
          <w:ilvl w:val="0"/>
          <w:numId w:val="1004"/>
        </w:numPr>
        <w:pStyle w:val="Compact"/>
      </w:pPr>
      <w:r>
        <w:rPr>
          <w:bCs/>
          <w:b/>
        </w:rPr>
        <w:t xml:space="preserve">Deterministic Invariant Validation &amp; Database Isolation:</w:t>
      </w:r>
      <w:r>
        <w:t xml:space="preserve"> </w:t>
      </w:r>
      <w:r>
        <w:t xml:space="preserve">If the LLM experiences reasoning drift or attempts to introduce out-of-domain concepts, the 6-dimensional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rejecting unauthorized parameters. Actual spatial computation is delegated exclusively to MySQL 8.0</w:t>
      </w:r>
      <w:r>
        <w:t xml:space="preserve"> </w:t>
      </w:r>
      <w:r>
        <w:rPr>
          <w:rStyle w:val="VerbatimChar"/>
        </w:rPr>
        <w:t xml:space="preserve">ST_Distance_Sphere</w:t>
      </w:r>
      <w:r>
        <w:t xml:space="preserve"> </w:t>
      </w:r>
      <w:r>
        <w:t xml:space="preserve">as the</w:t>
      </w:r>
      <w:r>
        <w:t xml:space="preserve"> </w:t>
      </w:r>
      <w:r>
        <w:rPr>
          <w:bCs/>
          <w:b/>
        </w:rPr>
        <w:t xml:space="preserve">Single Source of Truth</w:t>
      </w:r>
      <w:r>
        <w:t xml:space="preserve">.</w:t>
      </w:r>
    </w:p>
    <w:bookmarkStart w:id="50" w:name="X3af01a0554702fffd32e050528611c57591a119"/>
    <w:p>
      <w:pPr>
        <w:pStyle w:val="Heading4"/>
      </w:pPr>
      <w:r>
        <w:t xml:space="preserve">3.3.1 Core System Prompts (Compact Listings - Main Paper)</w:t>
      </w:r>
    </w:p>
    <w:p>
      <w:pPr>
        <w:pStyle w:val="FirstParagraph"/>
      </w:pPr>
      <w:r>
        <w:t xml:space="preserve">Listing 1 and Listing 2 provide the compact system prompts enforced on backend layers to strictly sandbox LLM inference:</w:t>
      </w:r>
    </w:p>
    <w:p>
      <w:pPr>
        <w:pStyle w:val="SourceCode"/>
      </w:pPr>
      <w:r>
        <w:rPr>
          <w:rStyle w:val="VerbatimChar"/>
        </w:rPr>
        <w:t xml:space="preserve">LISTING 1. Core System Prompt for Structured SIR Extraction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Core System Prompt for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resmi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fasilitas, atau opini yang tidak tercantum pada data fakta.</w:t>
      </w:r>
      <w:r>
        <w:br/>
      </w:r>
      <w:r>
        <w:rPr>
          <w:rStyle w:val="VerbatimChar"/>
        </w:rPr>
        <w:t xml:space="preserve">3. Jika fakta yang diminta tidak ada dalam data, nyatakan bahwa informasi tersebut tidak tersedia.</w:t>
      </w:r>
      <w:r>
        <w:br/>
      </w:r>
      <w:r>
        <w:rPr>
          <w:rStyle w:val="VerbatimChar"/>
        </w:rPr>
        <w:t xml:space="preserve">4. Sebutkan nama objek wisata dengan cetak tebal (**Nama Objek**).</w:t>
      </w:r>
      <w:r>
        <w:br/>
      </w:r>
      <w:r>
        <w:rPr>
          <w:rStyle w:val="VerbatimChar"/>
        </w:rPr>
        <w:t xml:space="preserve">5. Nilai numerik (tiket, jarak, jam) wajib persis sesuai fakta tanpa modifikasi.</w:t>
      </w:r>
      <w:r>
        <w:br/>
      </w:r>
      <w:r>
        <w:rPr>
          <w:rStyle w:val="VerbatimChar"/>
        </w:rPr>
        <w:t xml:space="preserve">6. Gunakan bahasa Indonesia yang santun, informatif, dan ringkas.</w:t>
      </w:r>
      <w:r>
        <w:br/>
      </w:r>
      <w:r>
        <w:rPr>
          <w:rStyle w:val="VerbatimChar"/>
        </w:rPr>
        <w:t xml:space="preserve">--------------------------------------------------------------------------------</w:t>
      </w:r>
    </w:p>
    <w:p>
      <w:pPr>
        <w:pStyle w:val="FirstParagraph"/>
      </w:pPr>
      <w:r>
        <w:rPr>
          <w:iCs/>
          <w:i/>
        </w:rPr>
        <w:t xml:space="preserve">(Note: Complete unabridged prompts and multi-turn conversational templates are cataloged in Appendix A and Appendix B).</w:t>
      </w:r>
    </w:p>
    <w:p>
      <w:pPr>
        <w:pStyle w:val="BodyText"/>
      </w:pPr>
      <w:r>
        <w:t xml:space="preserve">The architectural separation between Listing 1 and Listing 2 formalizes the</w:t>
      </w:r>
      <w:r>
        <w:t xml:space="preserve"> </w:t>
      </w:r>
      <w:r>
        <w:rPr>
          <w:bCs/>
          <w:b/>
        </w:rPr>
        <w:t xml:space="preserve">two distinct LLM inference calls</w:t>
      </w:r>
      <w:r>
        <w:t xml:space="preserve"> </w:t>
      </w:r>
      <w:r>
        <w:t xml:space="preserve">governing the proposed pipeline:</w:t>
      </w:r>
      <w:r>
        <w:t xml:space="preserve"> </w:t>
      </w:r>
      <w:r>
        <w:t xml:space="preserve">1.</w:t>
      </w:r>
      <w:r>
        <w:t xml:space="preserve"> </w:t>
      </w:r>
      <w:r>
        <w:rPr>
          <w:bCs/>
          <w:b/>
        </w:rPr>
        <w:t xml:space="preserve">LLM Inference Call #1 (Intent Parsing):</w:t>
      </w:r>
      <w:r>
        <w:t xml:space="preserve"> </w:t>
      </w:r>
      <w:r>
        <w:t xml:space="preserve">Transforms the user’s unstructured natural-language utterance into a typed SIR JSON document (Listing 1). The model is completely isolated from database access, SQL query generation, or direct conversational interaction.</w:t>
      </w:r>
      <w:r>
        <w:t xml:space="preserve"> </w:t>
      </w:r>
      <w:r>
        <w:t xml:space="preserve">2.</w:t>
      </w:r>
      <w:r>
        <w:t xml:space="preserve"> </w:t>
      </w:r>
      <w:r>
        <w:rPr>
          <w:bCs/>
          <w:b/>
        </w:rPr>
        <w:t xml:space="preserve">Deterministic Non-LLM Core:</w:t>
      </w:r>
      <w:r>
        <w:t xml:space="preserve"> </w:t>
      </w:r>
      <w:r>
        <w:t xml:space="preserve">The extracted SIR is verified by the</w:t>
      </w:r>
      <w:r>
        <w:t xml:space="preserve"> </w:t>
      </w:r>
      <w:r>
        <w:rPr>
          <w:iCs/>
          <w:i/>
        </w:rPr>
        <w:t xml:space="preserve">SIR Validator</w:t>
      </w:r>
      <w:r>
        <w:t xml:space="preserve"> </w:t>
      </w:r>
      <w:r>
        <w:t xml:space="preserve">(enforcing 6 safety dimensions), deterministically compiled into parameterized SQL executing the native</w:t>
      </w:r>
      <w:r>
        <w:t xml:space="preserve"> </w:t>
      </w:r>
      <w:r>
        <w:rPr>
          <w:rStyle w:val="VerbatimChar"/>
        </w:rPr>
        <w:t xml:space="preserve">ST_Distance_Sphere</w:t>
      </w:r>
      <w:r>
        <w:t xml:space="preserve"> </w:t>
      </w:r>
      <w:r>
        <w:t xml:space="preserve">spherical distance function on MySQL 8.0, and integrated with OSRM network routing. This yields an authenticated relational fact table</w:t>
      </w:r>
      <w:r>
        <w:t xml:space="preserve"> </w:t>
      </w:r>
      <m:oMath>
        <m:sSub>
          <m:e>
            <m:r>
              <m:t>F</m:t>
            </m:r>
          </m:e>
          <m:sub>
            <m:r>
              <m:t>S</m:t>
            </m:r>
            <m:r>
              <m:t>Q</m:t>
            </m:r>
            <m:r>
              <m:t>L</m:t>
            </m:r>
          </m:sub>
        </m:sSub>
      </m:oMath>
      <w:r>
        <w:t xml:space="preserve"> </w:t>
      </w:r>
      <w:r>
        <w:t xml:space="preserve">and spatial navigation geometries.</w:t>
      </w:r>
      <w:r>
        <w:t xml:space="preserve"> </w:t>
      </w:r>
      <w:r>
        <w:t xml:space="preserve">3.</w:t>
      </w:r>
      <w:r>
        <w:t xml:space="preserve"> </w:t>
      </w:r>
      <w:r>
        <w:rPr>
          <w:bCs/>
          <w:b/>
        </w:rPr>
        <w:t xml:space="preserve">LLM Inference Call #2 (Grounded NLG):</w:t>
      </w:r>
      <w:r>
        <w:t xml:space="preserve"> </w:t>
      </w:r>
      <w:r>
        <w:t xml:space="preserve">Synthesizes the verified relational facts</w:t>
      </w:r>
      <w:r>
        <w:t xml:space="preserve"> </w:t>
      </w:r>
      <m:oMath>
        <m:sSub>
          <m:e>
            <m:r>
              <m:t>F</m:t>
            </m:r>
          </m:e>
          <m:sub>
            <m:r>
              <m:t>S</m:t>
            </m:r>
            <m:r>
              <m:t>Q</m:t>
            </m:r>
            <m:r>
              <m:t>L</m:t>
            </m:r>
          </m:sub>
        </m:sSub>
      </m:oMath>
      <w:r>
        <w:t xml:space="preserve"> </w:t>
      </w:r>
      <w:r>
        <w:t xml:space="preserve">into a natural conversational dialogue response under the</w:t>
      </w:r>
      <w:r>
        <w:t xml:space="preserve"> </w:t>
      </w:r>
      <w:r>
        <w:rPr>
          <w:iCs/>
          <w:i/>
        </w:rPr>
        <w:t xml:space="preserve">Strict Grounding Contract</w:t>
      </w:r>
      <w:r>
        <w:t xml:space="preserve"> </w:t>
      </w:r>
      <w:r>
        <w:t xml:space="preserve">(Listing 2).</w:t>
      </w:r>
      <w:r>
        <w:t xml:space="preserve"> </w:t>
      </w:r>
      <w:r>
        <w:t xml:space="preserve">4.</w:t>
      </w:r>
      <w:r>
        <w:t xml:space="preserve"> </w:t>
      </w:r>
      <w:r>
        <w:rPr>
          <w:bCs/>
          <w:b/>
        </w:rPr>
        <w:t xml:space="preserve">Deterministic Post-Generation Verification:</w:t>
      </w:r>
      <w:r>
        <w:t xml:space="preserve"> </w:t>
      </w:r>
      <w:r>
        <w:t xml:space="preserve">Before presentation to the user, the algorithmic</w:t>
      </w:r>
      <w:r>
        <w:t xml:space="preserve"> </w:t>
      </w:r>
      <w:r>
        <w:rPr>
          <w:iCs/>
          <w:i/>
        </w:rPr>
        <w:t xml:space="preserve">Grounding Validator</w:t>
      </w:r>
      <w:r>
        <w:t xml:space="preserve"> </w:t>
      </w:r>
      <w:r>
        <w:t xml:space="preserve">checks claimed entities, admission prices, spatial distances, and operating hours against</w:t>
      </w:r>
      <w:r>
        <w:t xml:space="preserve"> </w:t>
      </w:r>
      <m:oMath>
        <m:sSub>
          <m:e>
            <m:r>
              <m:t>F</m:t>
            </m:r>
          </m:e>
          <m:sub>
            <m:r>
              <m:t>S</m:t>
            </m:r>
            <m:r>
              <m:t>Q</m:t>
            </m:r>
            <m:r>
              <m:t>L</m:t>
            </m:r>
          </m:sub>
        </m:sSub>
      </m:oMath>
      <w:r>
        <w:t xml:space="preserve">.</w:t>
      </w:r>
    </w:p>
    <w:p>
      <w:pPr>
        <w:pStyle w:val="BodyText"/>
      </w:pPr>
      <w:r>
        <w:t xml:space="preserve">This dual-call architecture clarifies why total end-to-end response latency (~1,340 ms) is dominated by two remote cloud LLM network roundtrips (~473 ms and ~865 ms), while preserving 100% deterministic spatial computation and preventing fabricated-entity hallucinations across the evaluated benchmark scenarios.</w:t>
      </w:r>
    </w:p>
    <w:bookmarkEnd w:id="50"/>
    <w:bookmarkStart w:id="59" w:name="Xc0b31f722fefdbe030341e686f8e3cdaefe3284"/>
    <w:p>
      <w:pPr>
        <w:pStyle w:val="Heading4"/>
      </w:pPr>
      <w:r>
        <w:t xml:space="preserve">3.3.2 Concrete End-to-End System Execution Trace (The Complete 8-Step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51"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51"/>
    <w:bookmarkStart w:id="52"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52"/>
    <w:bookmarkStart w:id="53" w:name="user-input-situational-context"/>
    <w:p>
      <w:pPr>
        <w:pStyle w:val="Heading5"/>
      </w:pPr>
      <w:r>
        <w:t xml:space="preserve">3. User Input &amp; Situational Context</w:t>
      </w:r>
    </w:p>
    <w:p>
      <w:pPr>
        <w:numPr>
          <w:ilvl w:val="0"/>
          <w:numId w:val="1005"/>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5"/>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53"/>
    <w:bookmarkStart w:id="54"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4"/>
    <w:bookmarkStart w:id="55"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55"/>
    <w:bookmarkStart w:id="56"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56"/>
    <w:bookmarkStart w:id="57"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57"/>
    <w:bookmarkStart w:id="58"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bookmarkEnd w:id="58"/>
    <w:bookmarkEnd w:id="59"/>
    <w:bookmarkEnd w:id="60"/>
    <w:bookmarkStart w:id="61" w:name="X6d948fa3eb3b17f59e627975ab253714a7eb0fd"/>
    <w:p>
      <w:pPr>
        <w:pStyle w:val="Heading3"/>
      </w:pPr>
      <w:r>
        <w:t xml:space="preserve">3.4 Deterministic Spatial Query Compiler &amp; Safety Invariants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61"/>
    <w:bookmarkStart w:id="67" w:name="Xc620d56c2e4850a1942222acbc6e420d3839d84"/>
    <w:p>
      <w:pPr>
        <w:pStyle w:val="Heading3"/>
      </w:pPr>
      <w:r>
        <w:t xml:space="preserve">3.5 Strict Grounding Contract and Post-Generation Algorithmic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62"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62"/>
    <w:bookmarkStart w:id="66"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64" name="Picture"/>
            <a:graphic>
              <a:graphicData uri="http://schemas.openxmlformats.org/drawingml/2006/picture">
                <pic:pic>
                  <pic:nvPicPr>
                    <pic:cNvPr descr="images/figure4_concrete_execution_trace.png" id="65" name="Picture"/>
                    <pic:cNvPicPr>
                      <a:picLocks noChangeArrowheads="1" noChangeAspect="1"/>
                    </pic:cNvPicPr>
                  </pic:nvPicPr>
                  <pic:blipFill>
                    <a:blip r:embed="rId63"/>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bookmarkEnd w:id="66"/>
    <w:bookmarkEnd w:id="67"/>
    <w:bookmarkEnd w:id="68"/>
    <w:bookmarkStart w:id="96" w:name="empirical-results-and-discussion"/>
    <w:p>
      <w:pPr>
        <w:pStyle w:val="Heading2"/>
      </w:pPr>
      <w:r>
        <w:t xml:space="preserve">4. EMPIRICAL RESULTS AND DISCUSSION</w:t>
      </w:r>
    </w:p>
    <w:p>
      <w:pPr>
        <w:pStyle w:val="FirstParagraph"/>
      </w:pPr>
      <w:r>
        <w:t xml:space="preserve">In alignment with the core scientific novelty of the spatial-semantic control architecture, the empirical evaluation framework is prioritized across</w:t>
      </w:r>
      <w:r>
        <w:t xml:space="preserve"> </w:t>
      </w:r>
      <w:r>
        <w:rPr>
          <w:bCs/>
          <w:b/>
        </w:rPr>
        <w:t xml:space="preserve">Six Primary Scientific Evaluation Pillars</w:t>
      </w:r>
      <w:r>
        <w:t xml:space="preserve">:</w:t>
      </w:r>
      <w:r>
        <w:t xml:space="preserve"> </w:t>
      </w:r>
      <w:r>
        <w:t xml:space="preserve">1.</w:t>
      </w:r>
      <w:r>
        <w:t xml:space="preserve"> </w:t>
      </w:r>
      <w:r>
        <w:rPr>
          <w:bCs/>
          <w:b/>
        </w:rPr>
        <w:t xml:space="preserve">Semantic Accuracy:</w:t>
      </w:r>
      <w:r>
        <w:t xml:space="preserve"> </w:t>
      </w:r>
      <w:r>
        <w:t xml:space="preserve">Accuracy of 19-attribute CSIR slot parsing and category classification (Section 4.2).</w:t>
      </w:r>
      <w:r>
        <w:t xml:space="preserve"> </w:t>
      </w:r>
      <w:r>
        <w:t xml:space="preserve">2.</w:t>
      </w:r>
      <w:r>
        <w:t xml:space="preserve"> </w:t>
      </w:r>
      <w:r>
        <w:rPr>
          <w:bCs/>
          <w:b/>
        </w:rPr>
        <w:t xml:space="preserve">Spatial Correctness:</w:t>
      </w:r>
      <w:r>
        <w:t xml:space="preserve"> </w:t>
      </w:r>
      <w:r>
        <w:t xml:space="preserve">Precision of SQL spatial predicate execution via native</w:t>
      </w:r>
      <w:r>
        <w:t xml:space="preserve"> </w:t>
      </w:r>
      <w:r>
        <w:rPr>
          <w:rStyle w:val="VerbatimChar"/>
        </w:rPr>
        <w:t xml:space="preserve">ST_Distance_Sphere</w:t>
      </w:r>
      <w:r>
        <w:t xml:space="preserve"> </w:t>
      </w:r>
      <w:r>
        <w:t xml:space="preserve">spherical calculation (Sections 4.2 &amp; 4.3).</w:t>
      </w:r>
      <w:r>
        <w:t xml:space="preserve"> </w:t>
      </w:r>
      <w:r>
        <w:t xml:space="preserve">3.</w:t>
      </w:r>
      <w:r>
        <w:t xml:space="preserve"> </w:t>
      </w:r>
      <w:r>
        <w:rPr>
          <w:bCs/>
          <w:b/>
        </w:rPr>
        <w:t xml:space="preserve">Grounding Fidelity &amp; Factual Verification:</w:t>
      </w:r>
      <w:r>
        <w:t xml:space="preserve"> </w:t>
      </w:r>
      <w:r>
        <w:t xml:space="preserve">Integrity of claim-level factual verification, zero observed fabricated POIs, and honest rejection (Section 4.2).</w:t>
      </w:r>
      <w:r>
        <w:t xml:space="preserve"> </w:t>
      </w:r>
      <w:r>
        <w:t xml:space="preserve">4.</w:t>
      </w:r>
      <w:r>
        <w:t xml:space="preserve"> </w:t>
      </w:r>
      <w:r>
        <w:rPr>
          <w:bCs/>
          <w:b/>
        </w:rPr>
        <w:t xml:space="preserve">Comparative Multi-Baseline Evaluation:</w:t>
      </w:r>
      <w:r>
        <w:t xml:space="preserve"> </w:t>
      </w:r>
      <w:r>
        <w:t xml:space="preserve">Rigorous benchmarking against</w:t>
      </w:r>
      <w:r>
        <w:t xml:space="preserve"> </w:t>
      </w:r>
      <w:r>
        <w:rPr>
          <w:iCs/>
          <w:i/>
        </w:rPr>
        <w:t xml:space="preserve">Direct Text-to-SQL</w:t>
      </w:r>
      <w:r>
        <w:t xml:space="preserve"> </w:t>
      </w:r>
      <w:r>
        <w:t xml:space="preserve">and</w:t>
      </w:r>
      <w:r>
        <w:t xml:space="preserve"> </w:t>
      </w:r>
      <w:r>
        <w:rPr>
          <w:iCs/>
          <w:i/>
        </w:rPr>
        <w:t xml:space="preserve">Unconstrained LLM</w:t>
      </w:r>
      <w:r>
        <w:t xml:space="preserve"> </w:t>
      </w:r>
      <w:r>
        <w:t xml:space="preserve">under standardized protocol (Section 4.4).</w:t>
      </w:r>
      <w:r>
        <w:t xml:space="preserve"> </w:t>
      </w:r>
      <w:r>
        <w:t xml:space="preserve">5.</w:t>
      </w:r>
      <w:r>
        <w:t xml:space="preserve"> </w:t>
      </w:r>
      <w:r>
        <w:rPr>
          <w:bCs/>
          <w:b/>
        </w:rPr>
        <w:t xml:space="preserve">System Ablation Study:</w:t>
      </w:r>
      <w:r>
        <w:t xml:space="preserve"> </w:t>
      </w:r>
      <w:r>
        <w:t xml:space="preserve">Quantitative contribution of 6-dimensional validator invariants, system handling policies, and SQL injection security (Section 4.5).</w:t>
      </w:r>
      <w:r>
        <w:t xml:space="preserve"> </w:t>
      </w:r>
      <w:r>
        <w:t xml:space="preserve">6.</w:t>
      </w:r>
      <w:r>
        <w:t xml:space="preserve"> </w:t>
      </w:r>
      <w:r>
        <w:rPr>
          <w:bCs/>
          <w:b/>
        </w:rPr>
        <w:t xml:space="preserve">Two-Call Latency Profile &amp; Synthetic Scalability Feasibility:</w:t>
      </w:r>
      <w:r>
        <w:t xml:space="preserve"> </w:t>
      </w:r>
      <w:r>
        <w:t xml:space="preserve">Response time decomposition across two distinct LLM API calls and spatial database stress testing up to 10,000 synthetic POIs (Sections 4.6 &amp; 4.7).</w:t>
      </w:r>
    </w:p>
    <w:p>
      <w:pPr>
        <w:pStyle w:val="BodyText"/>
      </w:pPr>
      <w:r>
        <w:t xml:space="preserve">Subsequently, conversational interaction usability (</w:t>
      </w:r>
      <w:r>
        <w:rPr>
          <w:iCs/>
          <w:i/>
        </w:rPr>
        <w:t xml:space="preserve">System Usability Scale</w:t>
      </w:r>
      <w:r>
        <w:t xml:space="preserve"> </w:t>
      </w:r>
      <w:r>
        <w:t xml:space="preserve">/ SUS and cognitive Task Completion Time across</w:t>
      </w:r>
      <w:r>
        <w:t xml:space="preserve"> </w:t>
      </w:r>
      <m:oMath>
        <m:r>
          <m:t>N</m:t>
        </m:r>
        <m:r>
          <m:rPr>
            <m:sty m:val="p"/>
          </m:rPr>
          <m:t>=</m:t>
        </m:r>
        <m:r>
          <m:t>30</m:t>
        </m:r>
      </m:oMath>
      <w:r>
        <w:t xml:space="preserve"> </w:t>
      </w:r>
      <w:r>
        <w:t xml:space="preserve">participants) is documented in Section 4.8 as a</w:t>
      </w:r>
      <w:r>
        <w:t xml:space="preserve"> </w:t>
      </w:r>
      <w:r>
        <w:rPr>
          <w:bCs/>
          <w:b/>
        </w:rPr>
        <w:t xml:space="preserve">Secondary Evaluation</w:t>
      </w:r>
      <w:r>
        <w:t xml:space="preserve">, providing complementary evidence of end-user interaction adoption without overshadowing the technical AI-GIS architecture.</w:t>
      </w:r>
    </w:p>
    <w:bookmarkStart w:id="75"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70" name="Picture"/>
            <a:graphic>
              <a:graphicData uri="http://schemas.openxmlformats.org/drawingml/2006/picture">
                <pic:pic>
                  <pic:nvPicPr>
                    <pic:cNvPr descr="images/figure5_webgis_interface.png" id="71" name="Picture"/>
                    <pic:cNvPicPr>
                      <a:picLocks noChangeArrowheads="1" noChangeAspect="1"/>
                    </pic:cNvPicPr>
                  </pic:nvPicPr>
                  <pic:blipFill>
                    <a:blip r:embed="rId6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73" name="Picture"/>
            <a:graphic>
              <a:graphicData uri="http://schemas.openxmlformats.org/drawingml/2006/picture">
                <pic:pic>
                  <pic:nvPicPr>
                    <pic:cNvPr descr="images/figure6_routing_navigation.png" id="74" name="Picture"/>
                    <pic:cNvPicPr>
                      <a:picLocks noChangeArrowheads="1" noChangeAspect="1"/>
                    </pic:cNvPicPr>
                  </pic:nvPicPr>
                  <pic:blipFill>
                    <a:blip r:embed="rId7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75"/>
    <w:bookmarkStart w:id="80"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 (4-Layer Evaluation Architecture)</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92.50% (37/40)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90.00% (36/40)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99.25% (398/401)</w:t>
            </w:r>
          </w:p>
        </w:tc>
        <w:tc>
          <w:tcPr/>
          <w:p>
            <w:pPr>
              <w:pStyle w:val="Compact"/>
              <w:jc w:val="center"/>
            </w:pPr>
            <m:oMath>
              <m:r>
                <m:rPr>
                  <m:sty m:val="p"/>
                </m:rPr>
                <m:t>≥</m:t>
              </m:r>
              <m:r>
                <m:t>95.00</m:t>
              </m:r>
              <m:r>
                <m:rPr>
                  <m:sty m:val="p"/>
                </m:rPr>
                <m:t>%</m:t>
              </m:r>
            </m:oMath>
          </w:p>
        </w:tc>
        <w:tc>
          <w:tcPr/>
          <w:p>
            <w:pPr>
              <w:pStyle w:val="Compact"/>
              <w:jc w:val="center"/>
            </w:pPr>
            <w:r>
              <w:t xml:space="preserve">Optimal</w:t>
            </w:r>
          </w:p>
        </w:tc>
      </w:tr>
      <w:tr>
        <w:tc>
          <w:tcPr/>
          <w:p>
            <w:pPr>
              <w:pStyle w:val="Compact"/>
            </w:pPr>
          </w:p>
        </w:tc>
        <w:tc>
          <w:tcPr/>
          <w:p>
            <w:pPr>
              <w:pStyle w:val="Compact"/>
              <w:jc w:val="left"/>
            </w:pPr>
            <w:r>
              <w:t xml:space="preserve">Sub-dimension 1: Intent &amp; Entity</w:t>
            </w:r>
          </w:p>
        </w:tc>
        <w:tc>
          <w:tcPr/>
          <w:p>
            <w:pPr>
              <w:pStyle w:val="Compact"/>
              <w:jc w:val="center"/>
            </w:pPr>
            <w:r>
              <w:rPr>
                <w:bCs/>
                <w:b/>
              </w:rPr>
              <w:t xml:space="preserve">97.60% (122/125)</w:t>
            </w:r>
          </w:p>
        </w:tc>
        <w:tc>
          <w:tcPr/>
          <w:p>
            <w:pPr>
              <w:pStyle w:val="Compact"/>
              <w:jc w:val="center"/>
            </w:pPr>
            <m:oMath>
              <m:r>
                <m:rPr>
                  <m:sty m:val="p"/>
                </m:rPr>
                <m:t>≥</m:t>
              </m:r>
              <m:r>
                <m:t>95.00</m:t>
              </m:r>
              <m:r>
                <m:rPr>
                  <m:sty m:val="p"/>
                </m:rPr>
                <m:t>%</m:t>
              </m:r>
            </m:oMath>
          </w:p>
        </w:tc>
        <w:tc>
          <w:tcPr/>
          <w:p>
            <w:pPr>
              <w:pStyle w:val="Compact"/>
              <w:jc w:val="center"/>
            </w:pPr>
            <w:r>
              <w:t xml:space="preserve">Optimal</w:t>
            </w:r>
          </w:p>
        </w:tc>
      </w:tr>
      <w:tr>
        <w:tc>
          <w:tcPr/>
          <w:p>
            <w:pPr>
              <w:pStyle w:val="Compact"/>
            </w:pPr>
          </w:p>
        </w:tc>
        <w:tc>
          <w:tcPr/>
          <w:p>
            <w:pPr>
              <w:pStyle w:val="Compact"/>
              <w:jc w:val="left"/>
            </w:pPr>
            <w:r>
              <w:t xml:space="preserve">Sub-dimension 2: Spatial &amp; Reference</w:t>
            </w:r>
          </w:p>
        </w:tc>
        <w:tc>
          <w:tcPr/>
          <w:p>
            <w:pPr>
              <w:pStyle w:val="Compact"/>
              <w:jc w:val="center"/>
            </w:pPr>
            <w:r>
              <w:rPr>
                <w:bCs/>
                <w:b/>
              </w:rPr>
              <w:t xml:space="preserve">100.00% (114/114)</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3: Operational Constraints</w:t>
            </w:r>
          </w:p>
        </w:tc>
        <w:tc>
          <w:tcPr/>
          <w:p>
            <w:pPr>
              <w:pStyle w:val="Compact"/>
              <w:jc w:val="center"/>
            </w:pPr>
            <w:r>
              <w:rPr>
                <w:bCs/>
                <w:b/>
              </w:rPr>
              <w:t xml:space="preserve">100.00% (122/122)</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4: Ontological Scope &amp; Invariants</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95.00% (38/40)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Optimal</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Distortion</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m:oMath>
              <m:r>
                <m:rPr>
                  <m:sty m:val="p"/>
                </m:rPr>
                <m:t>≥</m:t>
              </m:r>
              <m:r>
                <m:t>50.00</m:t>
              </m:r>
              <m:r>
                <m:rPr>
                  <m:sty m:val="p"/>
                </m:rPr>
                <m:t>%</m:t>
              </m:r>
            </m:oMath>
          </w:p>
        </w:tc>
        <w:tc>
          <w:tcPr/>
          <w:p>
            <w:pPr>
              <w:pStyle w:val="Compact"/>
              <w:jc w:val="center"/>
            </w:pPr>
            <w:r>
              <w:t xml:space="preserve">Perfect (</w:t>
            </w:r>
            <w:r>
              <w:rPr>
                <w:iCs/>
                <w:i/>
              </w:rPr>
              <w:t xml:space="preserve">Dialogue Handling</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m:oMath>
              <m:r>
                <m:t>100.00</m:t>
              </m:r>
              <m:r>
                <m:rPr>
                  <m:sty m:val="p"/>
                </m:rPr>
                <m:t>%</m:t>
              </m:r>
            </m:oMath>
          </w:p>
        </w:tc>
        <w:tc>
          <w:tcPr/>
          <w:p>
            <w:pPr>
              <w:pStyle w:val="Compact"/>
              <w:jc w:val="center"/>
            </w:pPr>
            <w:r>
              <w:t xml:space="preserve">Perfect (</w:t>
            </w:r>
            <w:r>
              <w:rPr>
                <w:iCs/>
                <w:i/>
              </w:rPr>
              <w:t xml:space="preserve">Deterministic Safety</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Claim Grounding Fidelity (CGF)</w:t>
            </w:r>
          </w:p>
        </w:tc>
        <w:tc>
          <w:tcPr/>
          <w:p>
            <w:pPr>
              <w:pStyle w:val="Compact"/>
              <w:jc w:val="center"/>
            </w:pPr>
            <w:r>
              <w:rPr>
                <w:bCs/>
                <w:b/>
              </w:rPr>
              <w:t xml:space="preserve">100.00% (304/304 claims)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Fully Grounded</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(147/147 POIs)</w:t>
            </w:r>
          </w:p>
        </w:tc>
        <w:tc>
          <w:tcPr/>
          <w:p>
            <w:pPr>
              <w:pStyle w:val="Compact"/>
              <w:jc w:val="center"/>
            </w:pPr>
            <m:oMath>
              <m:r>
                <m:t>100.00</m:t>
              </m:r>
              <m:r>
                <m:rPr>
                  <m:sty m:val="p"/>
                </m:rPr>
                <m:t>%</m:t>
              </m:r>
            </m:oMath>
          </w:p>
        </w:tc>
        <w:tc>
          <w:tcPr/>
          <w:p>
            <w:pPr>
              <w:pStyle w:val="Compact"/>
              <w:jc w:val="center"/>
            </w:pPr>
            <w:r>
              <w:t xml:space="preserve">Perfect (</w:t>
            </w:r>
            <w:r>
              <w:rPr>
                <w:iCs/>
                <w:i/>
              </w:rPr>
              <w:t xml:space="preserve">147 Valid POIs</w:t>
            </w:r>
            <w:r>
              <w:t xml:space="preserve">)</w:t>
            </w:r>
          </w:p>
        </w:tc>
      </w:tr>
      <w:tr>
        <w:tc>
          <w:tcPr/>
          <w:p>
            <w:pPr>
              <w:pStyle w:val="Compact"/>
            </w:pPr>
          </w:p>
        </w:tc>
        <w:tc>
          <w:tcPr/>
          <w:p>
            <w:pPr>
              <w:pStyle w:val="Compact"/>
              <w:jc w:val="left"/>
            </w:pPr>
            <w:r>
              <w:rPr>
                <w:iCs/>
                <w:i/>
              </w:rPr>
              <w:t xml:space="preserve">Scenario-Level Pass Rate</w:t>
            </w:r>
          </w:p>
        </w:tc>
        <w:tc>
          <w:tcPr/>
          <w:p>
            <w:pPr>
              <w:pStyle w:val="Compact"/>
              <w:jc w:val="center"/>
            </w:pPr>
            <w:r>
              <w:rPr>
                <w:bCs/>
                <w:b/>
              </w:rPr>
              <w:t xml:space="preserve">100.00% (40/40 scenarios)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Zero Violations</w:t>
            </w:r>
            <w:r>
              <w:t xml:space="preserve">)</w:t>
            </w:r>
          </w:p>
        </w:tc>
      </w:tr>
      <w:tr>
        <w:tc>
          <w:tcPr/>
          <w:p>
            <w:pPr>
              <w:pStyle w:val="Compact"/>
            </w:pPr>
          </w:p>
        </w:tc>
        <w:tc>
          <w:tcPr/>
          <w:p>
            <w:pPr>
              <w:pStyle w:val="Compact"/>
              <w:jc w:val="left"/>
            </w:pPr>
            <w:r>
              <w:rPr>
                <w:iCs/>
                <w:i/>
              </w:rPr>
              <w:t xml:space="preserve">Entity Fabrication Rate</w:t>
            </w:r>
          </w:p>
        </w:tc>
        <w:tc>
          <w:tcPr/>
          <w:p>
            <w:pPr>
              <w:pStyle w:val="Compact"/>
              <w:jc w:val="center"/>
            </w:pPr>
            <w:r>
              <w:rPr>
                <w:bCs/>
                <w:b/>
              </w:rPr>
              <w:t xml:space="preserve">0.00% (0/40 scenarios)</w:t>
            </w:r>
          </w:p>
        </w:tc>
        <w:tc>
          <w:tcPr/>
          <w:p>
            <w:pPr>
              <w:pStyle w:val="Compact"/>
              <w:jc w:val="center"/>
            </w:pPr>
            <w:r>
              <w:t xml:space="preserve">0.00%</w:t>
            </w:r>
          </w:p>
        </w:tc>
        <w:tc>
          <w:tcPr/>
          <w:p>
            <w:pPr>
              <w:pStyle w:val="Compact"/>
              <w:jc w:val="center"/>
            </w:pPr>
            <w:r>
              <w:t xml:space="preserve">Perfect (</w:t>
            </w:r>
            <w:r>
              <w:rPr>
                <w:iCs/>
                <w:i/>
              </w:rPr>
              <w:t xml:space="preserve">0 Fabricated POIs Observed</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(0/304 claims)</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 scenarios)</w:t>
            </w:r>
          </w:p>
        </w:tc>
        <w:tc>
          <w:tcPr/>
          <w:p>
            <w:pPr>
              <w:pStyle w:val="Compact"/>
              <w:jc w:val="center"/>
            </w:pPr>
            <w:r>
              <w:t xml:space="preserve">100.00%</w:t>
            </w:r>
          </w:p>
        </w:tc>
        <w:tc>
          <w:tcPr/>
          <w:p>
            <w:pPr>
              <w:pStyle w:val="Compact"/>
              <w:jc w:val="center"/>
            </w:pPr>
            <w:r>
              <w:t xml:space="preserve">Perfect (</w:t>
            </w:r>
            <w:r>
              <w:rPr>
                <w:iCs/>
                <w:i/>
              </w:rPr>
              <w:t xml:space="preserve">Zero Out-of-Scope Hallucinations</w:t>
            </w:r>
            <w:r>
              <w:t xml:space="preserve">)</w:t>
            </w:r>
          </w:p>
        </w:tc>
      </w:tr>
    </w:tbl>
    <w:p>
      <w:pPr>
        <w:pStyle w:val="BodyText"/>
      </w:pPr>
      <w:r>
        <w:rPr>
          <w:bCs/>
          <w:b/>
        </w:rPr>
        <w:t xml:space="preserve">Table 3a. Granular Field-Level CSIR Extraction Accuracy Across 19 Semantic Attributes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Sub-Dimension Tier</w:t>
            </w:r>
          </w:p>
        </w:tc>
        <w:tc>
          <w:tcPr/>
          <w:p>
            <w:pPr>
              <w:pStyle w:val="Compact"/>
              <w:jc w:val="left"/>
            </w:pPr>
            <w:r>
              <w:t xml:space="preserve">Canonical CSIR Attribute</w:t>
            </w:r>
          </w:p>
        </w:tc>
        <w:tc>
          <w:tcPr/>
          <w:p>
            <w:pPr>
              <w:pStyle w:val="Compact"/>
              <w:jc w:val="center"/>
            </w:pPr>
            <w:r>
              <w:t xml:space="preserve">Applicable Cases</w:t>
            </w:r>
          </w:p>
        </w:tc>
        <w:tc>
          <w:tcPr/>
          <w:p>
            <w:pPr>
              <w:pStyle w:val="Compact"/>
              <w:jc w:val="center"/>
            </w:pPr>
            <w:r>
              <w:t xml:space="preserve">Exact Matches</w:t>
            </w:r>
          </w:p>
        </w:tc>
        <w:tc>
          <w:tcPr/>
          <w:p>
            <w:pPr>
              <w:pStyle w:val="Compact"/>
              <w:jc w:val="center"/>
            </w:pPr>
            <w:r>
              <w:t xml:space="preserve">Field Accuracy (%)</w:t>
            </w:r>
          </w:p>
        </w:tc>
      </w:tr>
      <w:tr>
        <w:tc>
          <w:tcPr/>
          <w:p>
            <w:pPr>
              <w:pStyle w:val="Compact"/>
              <w:jc w:val="left"/>
            </w:pPr>
            <w:r>
              <w:rPr>
                <w:bCs/>
                <w:b/>
              </w:rPr>
              <w:t xml:space="preserve">Sub-Dimension 1: Intent &amp; Entity</w:t>
            </w:r>
          </w:p>
        </w:tc>
        <w:tc>
          <w:tcPr/>
          <w:p>
            <w:pPr>
              <w:pStyle w:val="Compact"/>
              <w:jc w:val="left"/>
            </w:pPr>
            <w:r>
              <w:rPr>
                <w:rStyle w:val="VerbatimChar"/>
              </w:rPr>
              <w:t xml:space="preserve">intent</w:t>
            </w:r>
          </w:p>
        </w:tc>
        <w:tc>
          <w:tcPr/>
          <w:p>
            <w:pPr>
              <w:pStyle w:val="Compact"/>
              <w:jc w:val="center"/>
            </w:pPr>
            <w:r>
              <w:t xml:space="preserve">40</w:t>
            </w:r>
          </w:p>
        </w:tc>
        <w:tc>
          <w:tcPr/>
          <w:p>
            <w:pPr>
              <w:pStyle w:val="Compact"/>
              <w:jc w:val="center"/>
            </w:pPr>
            <w:r>
              <w:t xml:space="preserve">39</w:t>
            </w:r>
          </w:p>
        </w:tc>
        <w:tc>
          <w:tcPr/>
          <w:p>
            <w:pPr>
              <w:pStyle w:val="Compact"/>
              <w:jc w:val="center"/>
            </w:pPr>
            <w:r>
              <w:t xml:space="preserve">97.50%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w:t>
            </w:r>
          </w:p>
        </w:tc>
        <w:tc>
          <w:tcPr/>
          <w:p>
            <w:pPr>
              <w:pStyle w:val="Compact"/>
              <w:jc w:val="center"/>
            </w:pPr>
            <w:r>
              <w:t xml:space="preserve">38</w:t>
            </w:r>
          </w:p>
        </w:tc>
        <w:tc>
          <w:tcPr/>
          <w:p>
            <w:pPr>
              <w:pStyle w:val="Compact"/>
              <w:jc w:val="center"/>
            </w:pPr>
            <w:r>
              <w:t xml:space="preserve">95.00%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1</w:t>
            </w:r>
          </w:p>
        </w:tc>
        <w:tc>
          <w:tcPr/>
          <w:p>
            <w:pPr>
              <w:pStyle w:val="Compact"/>
              <w:jc w:val="left"/>
            </w:pPr>
            <w:r>
              <w:rPr>
                <w:iCs/>
                <w:i/>
              </w:rPr>
              <w:t xml:space="preserve">5 Intent &amp; Entity Attributes</w:t>
            </w:r>
          </w:p>
        </w:tc>
        <w:tc>
          <w:tcPr/>
          <w:p>
            <w:pPr>
              <w:pStyle w:val="Compact"/>
              <w:jc w:val="center"/>
            </w:pPr>
            <w:r>
              <w:rPr>
                <w:iCs/>
                <w:i/>
              </w:rPr>
              <w:t xml:space="preserve">125</w:t>
            </w:r>
          </w:p>
        </w:tc>
        <w:tc>
          <w:tcPr/>
          <w:p>
            <w:pPr>
              <w:pStyle w:val="Compact"/>
              <w:jc w:val="center"/>
            </w:pPr>
            <w:r>
              <w:rPr>
                <w:iCs/>
                <w:i/>
              </w:rPr>
              <w:t xml:space="preserve">122</w:t>
            </w:r>
          </w:p>
        </w:tc>
        <w:tc>
          <w:tcPr/>
          <w:p>
            <w:pPr>
              <w:pStyle w:val="Compact"/>
              <w:jc w:val="center"/>
            </w:pPr>
            <w:r>
              <w:rPr>
                <w:iCs/>
                <w:i/>
                <w:bCs/>
                <w:b/>
              </w:rPr>
              <w:t xml:space="preserve">97.60%</w:t>
            </w:r>
          </w:p>
        </w:tc>
      </w:tr>
      <w:tr>
        <w:tc>
          <w:tcPr/>
          <w:p>
            <w:pPr>
              <w:pStyle w:val="Compact"/>
              <w:jc w:val="left"/>
            </w:pPr>
            <w:r>
              <w:rPr>
                <w:bCs/>
                <w:b/>
              </w:rPr>
              <w:t xml:space="preserve">Sub-Dimension 2: Spatial Constraints</w:t>
            </w:r>
          </w:p>
        </w:tc>
        <w:tc>
          <w:tcPr/>
          <w:p>
            <w:pPr>
              <w:pStyle w:val="Compact"/>
              <w:jc w:val="left"/>
            </w:pPr>
            <w:r>
              <w:rPr>
                <w:rStyle w:val="VerbatimChar"/>
              </w:rPr>
              <w:t xml:space="preserve">spatial_operator</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2</w:t>
            </w:r>
          </w:p>
        </w:tc>
        <w:tc>
          <w:tcPr/>
          <w:p>
            <w:pPr>
              <w:pStyle w:val="Compact"/>
              <w:jc w:val="left"/>
            </w:pPr>
            <w:r>
              <w:rPr>
                <w:iCs/>
                <w:i/>
              </w:rPr>
              <w:t xml:space="preserve">8 Spatial &amp; Anchor Attributes</w:t>
            </w:r>
          </w:p>
        </w:tc>
        <w:tc>
          <w:tcPr/>
          <w:p>
            <w:pPr>
              <w:pStyle w:val="Compact"/>
              <w:jc w:val="center"/>
            </w:pPr>
            <w:r>
              <w:rPr>
                <w:iCs/>
                <w:i/>
              </w:rPr>
              <w:t xml:space="preserve">114</w:t>
            </w:r>
          </w:p>
        </w:tc>
        <w:tc>
          <w:tcPr/>
          <w:p>
            <w:pPr>
              <w:pStyle w:val="Compact"/>
              <w:jc w:val="center"/>
            </w:pPr>
            <w:r>
              <w:rPr>
                <w:iCs/>
                <w:i/>
              </w:rPr>
              <w:t xml:space="preserve">114</w:t>
            </w:r>
          </w:p>
        </w:tc>
        <w:tc>
          <w:tcPr/>
          <w:p>
            <w:pPr>
              <w:pStyle w:val="Compact"/>
              <w:jc w:val="center"/>
            </w:pPr>
            <w:r>
              <w:rPr>
                <w:iCs/>
                <w:i/>
                <w:bCs/>
                <w:b/>
              </w:rPr>
              <w:t xml:space="preserve">100.00%</w:t>
            </w:r>
          </w:p>
        </w:tc>
      </w:tr>
      <w:tr>
        <w:tc>
          <w:tcPr/>
          <w:p>
            <w:pPr>
              <w:pStyle w:val="Compact"/>
              <w:jc w:val="left"/>
            </w:pPr>
            <w:r>
              <w:rPr>
                <w:bCs/>
                <w:b/>
              </w:rPr>
              <w:t xml:space="preserve">Sub-Dimension 3: Operational Constraints</w:t>
            </w:r>
          </w:p>
        </w:tc>
        <w:tc>
          <w:tcPr/>
          <w:p>
            <w:pPr>
              <w:pStyle w:val="Compact"/>
              <w:jc w:val="left"/>
            </w:pPr>
            <w:r>
              <w:rPr>
                <w:rStyle w:val="VerbatimChar"/>
              </w:rPr>
              <w:t xml:space="preserve">is_free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3</w:t>
            </w:r>
          </w:p>
        </w:tc>
        <w:tc>
          <w:tcPr/>
          <w:p>
            <w:pPr>
              <w:pStyle w:val="Compact"/>
              <w:jc w:val="left"/>
            </w:pPr>
            <w:r>
              <w:rPr>
                <w:iCs/>
                <w:i/>
              </w:rPr>
              <w:t xml:space="preserve">5 Operational Attributes</w:t>
            </w:r>
          </w:p>
        </w:tc>
        <w:tc>
          <w:tcPr/>
          <w:p>
            <w:pPr>
              <w:pStyle w:val="Compact"/>
              <w:jc w:val="center"/>
            </w:pPr>
            <w:r>
              <w:rPr>
                <w:iCs/>
                <w:i/>
              </w:rPr>
              <w:t xml:space="preserve">122</w:t>
            </w:r>
          </w:p>
        </w:tc>
        <w:tc>
          <w:tcPr/>
          <w:p>
            <w:pPr>
              <w:pStyle w:val="Compact"/>
              <w:jc w:val="center"/>
            </w:pPr>
            <w:r>
              <w:rPr>
                <w:iCs/>
                <w:i/>
              </w:rPr>
              <w:t xml:space="preserve">122</w:t>
            </w:r>
          </w:p>
        </w:tc>
        <w:tc>
          <w:tcPr/>
          <w:p>
            <w:pPr>
              <w:pStyle w:val="Compact"/>
              <w:jc w:val="center"/>
            </w:pPr>
            <w:r>
              <w:rPr>
                <w:iCs/>
                <w:i/>
                <w:bCs/>
                <w:b/>
              </w:rPr>
              <w:t xml:space="preserve">100.00%</w:t>
            </w:r>
          </w:p>
        </w:tc>
      </w:tr>
      <w:tr>
        <w:tc>
          <w:tcPr/>
          <w:p>
            <w:pPr>
              <w:pStyle w:val="Compact"/>
              <w:jc w:val="left"/>
            </w:pPr>
            <w:r>
              <w:rPr>
                <w:bCs/>
                <w:b/>
              </w:rPr>
              <w:t xml:space="preserve">Sub-Dimension 4: Ontological Scope</w:t>
            </w:r>
          </w:p>
        </w:tc>
        <w:tc>
          <w:tcPr/>
          <w:p>
            <w:pPr>
              <w:pStyle w:val="Compact"/>
              <w:jc w:val="left"/>
            </w:pPr>
            <w:r>
              <w:rPr>
                <w:rStyle w:val="VerbatimChar"/>
              </w:rPr>
              <w:t xml:space="preserve">is_out_of_scope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jc w:val="left"/>
            </w:pPr>
            <w:r>
              <w:rPr>
                <w:iCs/>
                <w:i/>
              </w:rPr>
              <w:t xml:space="preserve">Subtotal Sub-Dimension 4</w:t>
            </w:r>
          </w:p>
        </w:tc>
        <w:tc>
          <w:tcPr/>
          <w:p>
            <w:pPr>
              <w:pStyle w:val="Compact"/>
              <w:jc w:val="left"/>
            </w:pPr>
            <w:r>
              <w:rPr>
                <w:iCs/>
                <w:i/>
              </w:rPr>
              <w:t xml:space="preserve">1 Scope &amp; Boundary Attribute</w:t>
            </w:r>
          </w:p>
        </w:tc>
        <w:tc>
          <w:tcPr/>
          <w:p>
            <w:pPr>
              <w:pStyle w:val="Compact"/>
              <w:jc w:val="center"/>
            </w:pPr>
            <w:r>
              <w:rPr>
                <w:iCs/>
                <w:i/>
              </w:rPr>
              <w:t xml:space="preserve">40</w:t>
            </w:r>
          </w:p>
        </w:tc>
        <w:tc>
          <w:tcPr/>
          <w:p>
            <w:pPr>
              <w:pStyle w:val="Compact"/>
              <w:jc w:val="center"/>
            </w:pPr>
            <w:r>
              <w:rPr>
                <w:iCs/>
                <w:i/>
              </w:rPr>
              <w:t xml:space="preserve">40</w:t>
            </w:r>
          </w:p>
        </w:tc>
        <w:tc>
          <w:tcPr/>
          <w:p>
            <w:pPr>
              <w:pStyle w:val="Compact"/>
              <w:jc w:val="center"/>
            </w:pPr>
            <w:r>
              <w:rPr>
                <w:iCs/>
                <w:i/>
                <w:bCs/>
                <w:b/>
              </w:rPr>
              <w:t xml:space="preserve">100.00%</w:t>
            </w:r>
          </w:p>
        </w:tc>
      </w:tr>
      <w:tr>
        <w:tc>
          <w:tcPr/>
          <w:p>
            <w:pPr>
              <w:pStyle w:val="Compact"/>
              <w:jc w:val="left"/>
            </w:pPr>
            <w:r>
              <w:rPr>
                <w:bCs/>
                <w:b/>
              </w:rPr>
              <w:t xml:space="preserve">MACRO-AVERAGE SUB-DIMENSIONS</w:t>
            </w:r>
          </w:p>
        </w:tc>
        <w:tc>
          <w:tcPr/>
          <w:p>
            <w:pPr>
              <w:pStyle w:val="Compact"/>
              <w:jc w:val="left"/>
            </w:pPr>
            <w:r>
              <w:rPr>
                <w:bCs/>
                <w:b/>
              </w:rPr>
              <w:t xml:space="preserve">Mean of 4 Orthogonal Sub-Dimensions</w:t>
            </w:r>
          </w:p>
        </w:tc>
        <w:tc>
          <w:tcPr/>
          <w:p>
            <w:pPr>
              <w:pStyle w:val="Compact"/>
              <w:jc w:val="center"/>
            </w:pPr>
            <w:r>
              <w:rPr>
                <w:bCs/>
                <w:b/>
              </w:rPr>
              <w:t xml:space="preserve">401</w:t>
            </w:r>
          </w:p>
        </w:tc>
        <w:tc>
          <w:tcPr/>
          <w:p>
            <w:pPr>
              <w:pStyle w:val="Compact"/>
              <w:jc w:val="center"/>
            </w:pPr>
            <w:r>
              <w:rPr>
                <w:bCs/>
                <w:b/>
              </w:rPr>
              <w:t xml:space="preserve">398</w:t>
            </w:r>
          </w:p>
        </w:tc>
        <w:tc>
          <w:tcPr/>
          <w:p>
            <w:pPr>
              <w:pStyle w:val="Compact"/>
              <w:jc w:val="center"/>
            </w:pPr>
            <w:r>
              <w:rPr>
                <w:bCs/>
                <w:b/>
              </w:rPr>
              <w:t xml:space="preserve">99.25%</w:t>
            </w:r>
          </w:p>
        </w:tc>
      </w:tr>
      <w:tr>
        <w:tc>
          <w:tcPr/>
          <w:p>
            <w:pPr>
              <w:pStyle w:val="Compact"/>
              <w:jc w:val="left"/>
            </w:pPr>
            <w:r>
              <w:rPr>
                <w:bCs/>
                <w:b/>
              </w:rPr>
              <w:t xml:space="preserve">EXACT CSIR MATCH ACCURACY (INTENT)</w:t>
            </w:r>
          </w:p>
        </w:tc>
        <w:tc>
          <w:tcPr/>
          <w:p>
            <w:pPr>
              <w:pStyle w:val="Compact"/>
              <w:jc w:val="left"/>
            </w:pPr>
            <w:r>
              <w:rPr>
                <w:bCs/>
                <w:b/>
              </w:rPr>
              <w:t xml:space="preserve">Exact CSIR Match Rate (Pre-Fallback)</w:t>
            </w:r>
          </w:p>
        </w:tc>
        <w:tc>
          <w:tcPr/>
          <w:p>
            <w:pPr>
              <w:pStyle w:val="Compact"/>
              <w:jc w:val="center"/>
            </w:pPr>
            <w:r>
              <w:rPr>
                <w:bCs/>
                <w:b/>
              </w:rPr>
              <w:t xml:space="preserve">40 Scenarios</w:t>
            </w:r>
          </w:p>
        </w:tc>
        <w:tc>
          <w:tcPr/>
          <w:p>
            <w:pPr>
              <w:pStyle w:val="Compact"/>
              <w:jc w:val="center"/>
            </w:pPr>
            <w:r>
              <w:rPr>
                <w:bCs/>
                <w:b/>
              </w:rPr>
              <w:t xml:space="preserve">37 Scenarios</w:t>
            </w:r>
          </w:p>
        </w:tc>
        <w:tc>
          <w:tcPr/>
          <w:p>
            <w:pPr>
              <w:pStyle w:val="Compact"/>
              <w:jc w:val="center"/>
            </w:pPr>
            <w:r>
              <w:rPr>
                <w:bCs/>
                <w:b/>
              </w:rPr>
              <w:t xml:space="preserve">92.50% (37/40)</w:t>
            </w:r>
          </w:p>
        </w:tc>
      </w:tr>
      <w:tr>
        <w:tc>
          <w:tcPr/>
          <w:p>
            <w:pPr>
              <w:pStyle w:val="Compact"/>
              <w:jc w:val="left"/>
            </w:pPr>
            <w:r>
              <w:rPr>
                <w:bCs/>
                <w:b/>
              </w:rPr>
              <w:t xml:space="preserve">EXECUTION ENVELOPE ALIGNMENT</w:t>
            </w:r>
          </w:p>
        </w:tc>
        <w:tc>
          <w:tcPr/>
          <w:p>
            <w:pPr>
              <w:pStyle w:val="Compact"/>
              <w:jc w:val="left"/>
            </w:pPr>
            <w:r>
              <w:rPr>
                <w:bCs/>
                <w:b/>
              </w:rPr>
              <w:t xml:space="preserve">Execution Envelope Alignment (Post-Policy)</w:t>
            </w:r>
          </w:p>
        </w:tc>
        <w:tc>
          <w:tcPr/>
          <w:p>
            <w:pPr>
              <w:pStyle w:val="Compact"/>
              <w:jc w:val="center"/>
            </w:pPr>
            <w:r>
              <w:rPr>
                <w:bCs/>
                <w:b/>
              </w:rPr>
              <w:t xml:space="preserve">40 Scenarios</w:t>
            </w:r>
          </w:p>
        </w:tc>
        <w:tc>
          <w:tcPr/>
          <w:p>
            <w:pPr>
              <w:pStyle w:val="Compact"/>
              <w:jc w:val="center"/>
            </w:pPr>
            <w:r>
              <w:rPr>
                <w:bCs/>
                <w:b/>
              </w:rPr>
              <w:t xml:space="preserve">36 Scenarios</w:t>
            </w:r>
          </w:p>
        </w:tc>
        <w:tc>
          <w:tcPr/>
          <w:p>
            <w:pPr>
              <w:pStyle w:val="Compact"/>
              <w:jc w:val="center"/>
            </w:pPr>
            <w:r>
              <w:rPr>
                <w:bCs/>
                <w:b/>
              </w:rPr>
              <w:t xml:space="preserve">90.00% (36/40)</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015"/>
        <w:gridCol w:w="609"/>
        <w:gridCol w:w="609"/>
        <w:gridCol w:w="1015"/>
        <w:gridCol w:w="609"/>
        <w:gridCol w:w="1015"/>
        <w:gridCol w:w="1015"/>
        <w:gridCol w:w="1015"/>
        <w:gridCol w:w="1015"/>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Intent CSIR Accuracy</w:t>
            </w:r>
          </w:p>
        </w:tc>
        <w:tc>
          <w:tcPr/>
          <w:p>
            <w:pPr>
              <w:pStyle w:val="Compact"/>
              <w:jc w:val="center"/>
            </w:pPr>
            <w:r>
              <w:t xml:space="preserve">Pure Spatial Correctness</w:t>
            </w:r>
          </w:p>
        </w:tc>
        <w:tc>
          <w:tcPr/>
          <w:p>
            <w:pPr>
              <w:pStyle w:val="Compact"/>
              <w:jc w:val="center"/>
            </w:pPr>
            <w:r>
              <w:t xml:space="preserve">Claim Grounding Fidelity</w:t>
            </w:r>
          </w:p>
        </w:tc>
        <w:tc>
          <w:tcPr/>
          <w:p>
            <w:pPr>
              <w:pStyle w:val="Compact"/>
              <w:jc w:val="center"/>
            </w:pPr>
            <w:r>
              <w:t xml:space="preserve">Scenario Pass Rate</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(62/62)</w:t>
            </w:r>
          </w:p>
        </w:tc>
        <w:tc>
          <w:tcPr/>
          <w:p>
            <w:pPr>
              <w:pStyle w:val="Compact"/>
              <w:jc w:val="center"/>
            </w:pPr>
            <w:r>
              <w:t xml:space="preserve">100.00% (8/8)</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(54/54)</w:t>
            </w:r>
          </w:p>
        </w:tc>
        <w:tc>
          <w:tcPr/>
          <w:p>
            <w:pPr>
              <w:pStyle w:val="Compact"/>
              <w:jc w:val="center"/>
            </w:pPr>
            <w:r>
              <w:t xml:space="preserve">100.00% (7/7)</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(92/92)</w:t>
            </w:r>
          </w:p>
        </w:tc>
        <w:tc>
          <w:tcPr/>
          <w:p>
            <w:pPr>
              <w:pStyle w:val="Compact"/>
              <w:jc w:val="center"/>
            </w:pPr>
            <w:r>
              <w:t xml:space="preserve">100.00% (12/12)</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87.50%</w:t>
            </w:r>
          </w:p>
        </w:tc>
        <w:tc>
          <w:tcPr/>
          <w:p>
            <w:pPr>
              <w:pStyle w:val="Compact"/>
              <w:jc w:val="center"/>
            </w:pPr>
            <w:r>
              <w:t xml:space="preserve">100.00%</w:t>
            </w:r>
          </w:p>
        </w:tc>
        <w:tc>
          <w:tcPr/>
          <w:p>
            <w:pPr>
              <w:pStyle w:val="Compact"/>
              <w:jc w:val="center"/>
            </w:pPr>
            <w:r>
              <w:t xml:space="preserve">100.00% (60/60)</w:t>
            </w:r>
          </w:p>
        </w:tc>
        <w:tc>
          <w:tcPr/>
          <w:p>
            <w:pPr>
              <w:pStyle w:val="Compact"/>
              <w:jc w:val="center"/>
            </w:pPr>
            <w:r>
              <w:t xml:space="preserve">100.00% (8/8)</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80.00%</w:t>
            </w:r>
          </w:p>
        </w:tc>
        <w:tc>
          <w:tcPr/>
          <w:p>
            <w:pPr>
              <w:pStyle w:val="Compact"/>
              <w:jc w:val="center"/>
            </w:pPr>
            <w:r>
              <w:t xml:space="preserve">100.00%</w:t>
            </w:r>
          </w:p>
        </w:tc>
        <w:tc>
          <w:tcPr/>
          <w:p>
            <w:pPr>
              <w:pStyle w:val="Compact"/>
              <w:jc w:val="center"/>
            </w:pPr>
            <w:r>
              <w:t xml:space="preserve">100.00% (36/36)</w:t>
            </w:r>
          </w:p>
        </w:tc>
        <w:tc>
          <w:tcPr/>
          <w:p>
            <w:pPr>
              <w:pStyle w:val="Compact"/>
              <w:jc w:val="center"/>
            </w:pPr>
            <w:r>
              <w:t xml:space="preserve">100.00% (5/5)</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92.50% (Field: 99.25%)</w:t>
            </w:r>
          </w:p>
        </w:tc>
        <w:tc>
          <w:tcPr/>
          <w:p>
            <w:pPr>
              <w:pStyle w:val="Compact"/>
              <w:jc w:val="center"/>
            </w:pPr>
            <w:r>
              <w:rPr>
                <w:bCs/>
                <w:b/>
              </w:rPr>
              <w:t xml:space="preserve">100.00% (Overall: 100.00%)</w:t>
            </w:r>
          </w:p>
        </w:tc>
        <w:tc>
          <w:tcPr/>
          <w:p>
            <w:pPr>
              <w:pStyle w:val="Compact"/>
              <w:jc w:val="center"/>
            </w:pPr>
            <w:r>
              <w:rPr>
                <w:bCs/>
                <w:b/>
              </w:rPr>
              <w:t xml:space="preserve">100.00% (304/304)</w:t>
            </w:r>
          </w:p>
        </w:tc>
        <w:tc>
          <w:tcPr/>
          <w:p>
            <w:pPr>
              <w:pStyle w:val="Compact"/>
              <w:jc w:val="center"/>
            </w:pPr>
            <w:r>
              <w:rPr>
                <w:bCs/>
                <w:b/>
              </w:rPr>
              <w:t xml:space="preserve">100.00% (40/40)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p>
      <w:pPr>
        <w:pStyle w:val="BodyText"/>
      </w:pPr>
      <w:r>
        <w:t xml:space="preserve">To strengthen experimental validity and empirical rigor, this research enforces a strict methodological bifurcation between development and testing corpora:</w:t>
      </w:r>
      <w:r>
        <w:t xml:space="preserve"> </w:t>
      </w:r>
      <w:r>
        <w:t xml:space="preserve">1.</w:t>
      </w:r>
      <w:r>
        <w:t xml:space="preserve"> </w:t>
      </w:r>
      <w:r>
        <w:rPr>
          <w:bCs/>
          <w:b/>
        </w:rPr>
        <w:t xml:space="preserve">Dataset Partitioning (Development Set vs. Frozen Benchmark Test Set):</w:t>
      </w:r>
      <w:r>
        <w:t xml:space="preserve"> </w:t>
      </w:r>
      <w:r>
        <w:t xml:space="preserve">The exploratory design dataset (</w:t>
      </w:r>
      <w:r>
        <w:rPr>
          <w:iCs/>
          <w:i/>
        </w:rPr>
        <w:t xml:space="preserve">Prompt-Tuning &amp; Development Set</w:t>
      </w:r>
      <w:r>
        <w:t xml:space="preserve">,</w:t>
      </w:r>
      <w:r>
        <w:t xml:space="preserve"> </w:t>
      </w:r>
      <m:oMath>
        <m:r>
          <m:t>N</m:t>
        </m:r>
        <m:r>
          <m:rPr>
            <m:sty m:val="p"/>
          </m:rPr>
          <m:t>=</m:t>
        </m:r>
        <m:r>
          <m:t>20</m:t>
        </m:r>
      </m:oMath>
      <w:r>
        <w:t xml:space="preserve"> </w:t>
      </w:r>
      <w:r>
        <w:t xml:space="preserve">exploratory dialogue scenarios) was utilized exclusively during prompt engineering and semantic schema formulation. Once architectural specifications were finalized (</w:t>
      </w:r>
      <w:r>
        <w:rPr>
          <w:iCs/>
          <w:i/>
        </w:rPr>
        <w:t xml:space="preserve">architecture freeze</w:t>
      </w:r>
      <w:r>
        <w:t xml:space="preserve">), end-to-end empirical evaluations across Layers A–D were executed independently against</w:t>
      </w:r>
      <w:r>
        <w:t xml:space="preserve"> </w:t>
      </w:r>
      <w:r>
        <w:rPr>
          <w:bCs/>
          <w:b/>
        </w:rPr>
        <w:t xml:space="preserve">40 Standardized Conversational Benchmark Scenarios (</w:t>
      </w:r>
      <w:r>
        <w:rPr>
          <w:iCs/>
          <w:i/>
          <w:bCs/>
          <w:b/>
        </w:rPr>
        <w:t xml:space="preserve">Frozen Benchmark Test Set</w:t>
      </w:r>
      <w:r>
        <w:rPr>
          <w:bCs/>
          <w:b/>
        </w:rPr>
        <w:t xml:space="preserve">)</w:t>
      </w:r>
      <w:r>
        <w:t xml:space="preserve"> </w:t>
      </w:r>
      <w:r>
        <w:t xml:space="preserve">that were never exposed to prompt tuning (</w:t>
      </w:r>
      <w:r>
        <w:rPr>
          <w:iCs/>
          <w:i/>
        </w:rPr>
        <w:t xml:space="preserve">zero data leakage</w:t>
      </w:r>
      <w:r>
        <w:t xml:space="preserve">).</w:t>
      </w:r>
      <w:r>
        <w:t xml:space="preserve"> </w:t>
      </w:r>
      <w:r>
        <w:t xml:space="preserve">2.</w:t>
      </w:r>
      <w:r>
        <w:t xml:space="preserve"> </w:t>
      </w:r>
      <w:r>
        <w:rPr>
          <w:bCs/>
          <w:b/>
        </w:rPr>
        <w:t xml:space="preserve">Evaluation Protocol and Inter-Annotator Agreement:</w:t>
      </w:r>
      <w:r>
        <w:t xml:space="preserve"> </w:t>
      </w:r>
      <w:r>
        <w:t xml:space="preserve">Ground truth annotations across all 40 benchmark scenarios were independently audited and validated by two domain experts (Annotator 1: Geospatial Software Engineering Researcher; Annotator 2: Computational Linguistics and Tourism Destination Management Specialist). Inter-annotator agreement across the 19 CSIR attributes and destination result sets was quantified using Cohen’s Kappa:</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Where</w:t>
      </w:r>
      <w:r>
        <w:t xml:space="preserve"> </w:t>
      </w:r>
      <m:oMath>
        <m:sSub>
          <m:e>
            <m:r>
              <m:t>P</m:t>
            </m:r>
          </m:e>
          <m:sub>
            <m:r>
              <m:t>o</m:t>
            </m:r>
          </m:sub>
        </m:sSub>
      </m:oMath>
      <w:r>
        <w:t xml:space="preserve"> </w:t>
      </w:r>
      <w:r>
        <w:t xml:space="preserve">denotes observed proportional agreement (</w:t>
      </w:r>
      <m:oMath>
        <m:r>
          <m:t>97.25</m:t>
        </m:r>
        <m:r>
          <m:rPr>
            <m:sty m:val="p"/>
          </m:rPr>
          <m:t>%</m:t>
        </m:r>
      </m:oMath>
      <w:r>
        <w:t xml:space="preserve">) and</w:t>
      </w:r>
      <w:r>
        <w:t xml:space="preserve"> </w:t>
      </w:r>
      <m:oMath>
        <m:sSub>
          <m:e>
            <m:r>
              <m:t>P</m:t>
            </m:r>
          </m:e>
          <m:sub>
            <m:r>
              <m:t>e</m:t>
            </m:r>
          </m:sub>
        </m:sSub>
      </m:oMath>
      <w:r>
        <w:t xml:space="preserve"> </w:t>
      </w:r>
      <w:r>
        <w:t xml:space="preserve">represents hypothetical chance agreement (</w:t>
      </w:r>
      <m:oMath>
        <m:r>
          <m:t>54.12</m:t>
        </m:r>
        <m:r>
          <m:rPr>
            <m:sty m:val="p"/>
          </m:rPr>
          <m:t>%</m:t>
        </m:r>
      </m:oMath>
      <w:r>
        <w:t xml:space="preserve">). The computation yielded a</w:t>
      </w:r>
      <w:r>
        <w:t xml:space="preserve"> </w:t>
      </w:r>
      <w:r>
        <w:rPr>
          <w:bCs/>
          <w:b/>
        </w:rPr>
        <w:t xml:space="preserve">Cohen’s Kappa of</w:t>
      </w:r>
      <w:r>
        <w:rPr>
          <w:bCs/>
          <w:b/>
        </w:rPr>
        <w:t xml:space="preserve"> </w:t>
      </w:r>
      <m:oMath>
        <m:r>
          <m:t>κ</m:t>
        </m:r>
        <m:r>
          <m:rPr>
            <m:sty m:val="p"/>
          </m:rPr>
          <m:t>=</m:t>
        </m:r>
        <m:r>
          <m:t>0.94</m:t>
        </m:r>
      </m:oMath>
      <w:r>
        <w:t xml:space="preserve">, denoting near-perfect inter-annotator concordance. Marginal discrepancies were resolved via a formal adjudication protocol until 100% consensus was achieved.</w:t>
      </w:r>
    </w:p>
    <w:p>
      <w:pPr>
        <w:pStyle w:val="BodyText"/>
      </w:pPr>
      <w:r>
        <w:t xml:space="preserve">Beyond the 40 primary scenarios, the architecture was subjected to rigorous stress-testing across ten diverse natural language edge cases, spatial boundary anomalies, injection vectors, and operational failures, as summarized in Table 4d.</w:t>
      </w:r>
    </w:p>
    <w:p>
      <w:pPr>
        <w:pStyle w:val="BodyText"/>
      </w:pPr>
      <w:r>
        <w:rPr>
          <w:bCs/>
          <w:b/>
        </w:rPr>
        <w:t xml:space="preserve">Table 4d. Natural Language Robustness and Extreme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Edge-Case Benchmark Category</w:t>
            </w:r>
          </w:p>
        </w:tc>
        <w:tc>
          <w:tcPr/>
          <w:p>
            <w:pPr>
              <w:pStyle w:val="Compact"/>
              <w:jc w:val="left"/>
            </w:pPr>
            <w:r>
              <w:t xml:space="preserve">Input User Utterance Example</w:t>
            </w:r>
          </w:p>
        </w:tc>
        <w:tc>
          <w:tcPr/>
          <w:p>
            <w:pPr>
              <w:pStyle w:val="Compact"/>
              <w:jc w:val="left"/>
            </w:pPr>
            <w:r>
              <w:t xml:space="preserve">Semantic Defense &amp; Architectural Handling</w:t>
            </w:r>
          </w:p>
        </w:tc>
        <w:tc>
          <w:tcPr/>
          <w:p>
            <w:pPr>
              <w:pStyle w:val="Compact"/>
              <w:jc w:val="left"/>
            </w:pPr>
            <w:r>
              <w:t xml:space="preserve">Execution Outcome &amp; Factual Grounding</w:t>
            </w:r>
          </w:p>
        </w:tc>
        <w:tc>
          <w:tcPr/>
          <w:p>
            <w:pPr>
              <w:pStyle w:val="Compact"/>
              <w:jc w:val="center"/>
            </w:pPr>
            <w:r>
              <w:t xml:space="preserve">Evaluation Status</w:t>
            </w:r>
          </w:p>
        </w:tc>
      </w:tr>
      <w:tr>
        <w:tc>
          <w:tcPr/>
          <w:p>
            <w:pPr>
              <w:pStyle w:val="Compact"/>
              <w:jc w:val="left"/>
            </w:pPr>
            <w:r>
              <w:rPr>
                <w:bCs/>
                <w:b/>
              </w:rPr>
              <w:t xml:space="preserve">1. Syntactic Paraphrasing</w:t>
            </w:r>
          </w:p>
        </w:tc>
        <w:tc>
          <w:tcPr/>
          <w:p>
            <w:pPr>
              <w:pStyle w:val="Compact"/>
              <w:jc w:val="left"/>
            </w:pPr>
            <w:r>
              <w:rPr>
                <w:iCs/>
                <w:i/>
              </w:rPr>
              <w:t xml:space="preserve">“</w:t>
            </w:r>
            <w:r>
              <w:rPr>
                <w:iCs/>
                <w:i/>
              </w:rPr>
              <w:t xml:space="preserve">Find nearest beach</w:t>
            </w:r>
            <w:r>
              <w:rPr>
                <w:iCs/>
                <w:i/>
              </w:rPr>
              <w:t xml:space="preserve">”</w:t>
            </w:r>
            <w:r>
              <w:t xml:space="preserve"> </w:t>
            </w:r>
            <w:r>
              <w:t xml:space="preserve">vs. </w:t>
            </w:r>
            <w:r>
              <w:rPr>
                <w:iCs/>
                <w:i/>
              </w:rPr>
              <w:t xml:space="preserve">“</w:t>
            </w:r>
            <w:r>
              <w:rPr>
                <w:iCs/>
                <w:i/>
              </w:rPr>
              <w:t xml:space="preserve">Which beach is closest to here?</w:t>
            </w:r>
            <w:r>
              <w:rPr>
                <w:iCs/>
                <w:i/>
              </w:rPr>
              <w:t xml:space="preserve">”</w:t>
            </w:r>
          </w:p>
        </w:tc>
        <w:tc>
          <w:tcPr/>
          <w:p>
            <w:pPr>
              <w:pStyle w:val="Compact"/>
              <w:jc w:val="left"/>
            </w:pPr>
            <w:r>
              <w:t xml:space="preserve">Normalized to</w:t>
            </w:r>
            <w:r>
              <w:t xml:space="preserve"> </w:t>
            </w:r>
            <w:r>
              <w:rPr>
                <w:rStyle w:val="VerbatimChar"/>
              </w:rPr>
              <w:t xml:space="preserve">nearest</w:t>
            </w:r>
            <w:r>
              <w:t xml:space="preserve"> </w:t>
            </w:r>
            <w:r>
              <w:t xml:space="preserve">spatial operator with category</w:t>
            </w:r>
            <w:r>
              <w:t xml:space="preserve"> </w:t>
            </w:r>
            <w:r>
              <w:rPr>
                <w:rStyle w:val="VerbatimChar"/>
              </w:rPr>
              <w:t xml:space="preserve">Pantai</w:t>
            </w:r>
            <w:r>
              <w:t xml:space="preserve"> </w:t>
            </w:r>
            <w:r>
              <w:t xml:space="preserve">across both lexical variants.</w:t>
            </w:r>
          </w:p>
        </w:tc>
        <w:tc>
          <w:tcPr/>
          <w:p>
            <w:pPr>
              <w:pStyle w:val="Compact"/>
              <w:jc w:val="left"/>
            </w:pPr>
            <w:r>
              <w:t xml:space="preserve">Both consistently retrieve Pantai Padang (0.42 km).</w:t>
            </w:r>
          </w:p>
        </w:tc>
        <w:tc>
          <w:tcPr/>
          <w:p>
            <w:pPr>
              <w:pStyle w:val="Compact"/>
              <w:jc w:val="center"/>
            </w:pPr>
            <w:r>
              <w:t xml:space="preserve">PASSED (Robust)</w:t>
            </w:r>
          </w:p>
        </w:tc>
      </w:tr>
      <w:tr>
        <w:tc>
          <w:tcPr/>
          <w:p>
            <w:pPr>
              <w:pStyle w:val="Compact"/>
              <w:jc w:val="left"/>
            </w:pPr>
            <w:r>
              <w:rPr>
                <w:bCs/>
                <w:b/>
              </w:rPr>
              <w:t xml:space="preserve">2. Informal Phrasing &amp; Typos</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sanitizes text; LLM parses</w:t>
            </w:r>
            <w:r>
              <w:t xml:space="preserve"> </w:t>
            </w:r>
            <w:r>
              <w:rPr>
                <w:rStyle w:val="VerbatimChar"/>
              </w:rPr>
              <w:t xml:space="preserve">Pantai</w:t>
            </w:r>
            <w:r>
              <w:t xml:space="preserve">,</w:t>
            </w:r>
            <w:r>
              <w:t xml:space="preserve"> </w:t>
            </w:r>
            <w:r>
              <w:rPr>
                <w:rStyle w:val="VerbatimChar"/>
              </w:rPr>
              <w:t xml:space="preserve">within_radius</w:t>
            </w:r>
            <w:r>
              <w:t xml:space="preserve">, and user GPS.</w:t>
            </w:r>
          </w:p>
        </w:tc>
        <w:tc>
          <w:tcPr/>
          <w:p>
            <w:pPr>
              <w:pStyle w:val="Compact"/>
              <w:jc w:val="left"/>
            </w:pPr>
            <w:r>
              <w:t xml:space="preserve">Radial SQL query executes without spatial distortion.</w:t>
            </w:r>
          </w:p>
        </w:tc>
        <w:tc>
          <w:tcPr/>
          <w:p>
            <w:pPr>
              <w:pStyle w:val="Compact"/>
              <w:jc w:val="center"/>
            </w:pPr>
            <w:r>
              <w:t xml:space="preserve">PASSED (Robust)</w:t>
            </w:r>
          </w:p>
        </w:tc>
      </w:tr>
      <w:tr>
        <w:tc>
          <w:tcPr/>
          <w:p>
            <w:pPr>
              <w:pStyle w:val="Compact"/>
              <w:jc w:val="left"/>
            </w:pPr>
            <w:r>
              <w:rPr>
                <w:bCs/>
                <w:b/>
              </w:rPr>
              <w:t xml:space="preserve">3. Conflicting Logical Constraints</w:t>
            </w:r>
          </w:p>
        </w:tc>
        <w:tc>
          <w:tcPr/>
          <w:p>
            <w:pPr>
              <w:pStyle w:val="Compact"/>
              <w:jc w:val="left"/>
            </w:pPr>
            <w:r>
              <w:rPr>
                <w:iCs/>
                <w:i/>
              </w:rPr>
              <w:t xml:space="preserve">“</w:t>
            </w:r>
            <w:r>
              <w:rPr>
                <w:iCs/>
                <w:i/>
              </w:rPr>
              <w:t xml:space="preserve">Find free attractions with max ticket of 20,000 IDR</w:t>
            </w:r>
            <w:r>
              <w:rPr>
                <w:iCs/>
                <w:i/>
              </w:rPr>
              <w:t xml:space="preserve">”</w:t>
            </w:r>
          </w:p>
        </w:tc>
        <w:tc>
          <w:tcPr/>
          <w:p>
            <w:pPr>
              <w:pStyle w:val="Compact"/>
              <w:jc w:val="left"/>
            </w:pPr>
            <w:r>
              <w:t xml:space="preserve">Harmonized by Dimension 5 budget rules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Prioritizes</w:t>
            </w:r>
            <w:r>
              <w:t xml:space="preserve"> </w:t>
            </w:r>
            <w:r>
              <w:rPr>
                <w:rStyle w:val="VerbatimChar"/>
              </w:rPr>
              <w:t xml:space="preserve">harga_tiket = 0</w:t>
            </w:r>
            <w:r>
              <w:t xml:space="preserve"> </w:t>
            </w:r>
            <w:r>
              <w:t xml:space="preserve">(strict subset of 20,000 IDR ceiling).</w:t>
            </w:r>
          </w:p>
        </w:tc>
        <w:tc>
          <w:tcPr/>
          <w:p>
            <w:pPr>
              <w:pStyle w:val="Compact"/>
              <w:jc w:val="center"/>
            </w:pPr>
            <w:r>
              <w:t xml:space="preserve">PASSED (Robust)</w:t>
            </w:r>
          </w:p>
        </w:tc>
      </w:tr>
      <w:tr>
        <w:tc>
          <w:tcPr/>
          <w:p>
            <w:pPr>
              <w:pStyle w:val="Compact"/>
              <w:jc w:val="left"/>
            </w:pPr>
            <w:r>
              <w:rPr>
                <w:bCs/>
                <w:b/>
              </w:rPr>
              <w:t xml:space="preserve">4. Geographic Numerical Boundaries</w:t>
            </w:r>
          </w:p>
        </w:tc>
        <w:tc>
          <w:tcPr/>
          <w:p>
            <w:pPr>
              <w:pStyle w:val="Compact"/>
              <w:jc w:val="left"/>
            </w:pPr>
            <w:r>
              <w:rPr>
                <w:iCs/>
                <w:i/>
              </w:rPr>
              <w:t xml:space="preserve">“</w:t>
            </w:r>
            <w:r>
              <w:rPr>
                <w:iCs/>
                <w:i/>
              </w:rPr>
              <w:t xml:space="preserve">Find attractions within 0 km radius</w:t>
            </w:r>
            <w:r>
              <w:rPr>
                <w:iCs/>
                <w:i/>
              </w:rPr>
              <w:t xml:space="preserve">”</w:t>
            </w:r>
            <w:r>
              <w:t xml:space="preserve"> </w:t>
            </w:r>
            <w:r>
              <w:t xml:space="preserve">and</w:t>
            </w:r>
            <w:r>
              <w:t xml:space="preserve"> </w:t>
            </w:r>
            <w:r>
              <w:rPr>
                <w:iCs/>
                <w:i/>
              </w:rPr>
              <w:t xml:space="preserve">“</w:t>
            </w:r>
            <w:r>
              <w:rPr>
                <w:iCs/>
                <w:i/>
              </w:rPr>
              <w:t xml:space="preserve">radius 100 km</w:t>
            </w:r>
            <w:r>
              <w:rPr>
                <w:iCs/>
                <w:i/>
              </w:rPr>
              <w:t xml:space="preserve">”</w:t>
            </w:r>
          </w:p>
        </w:tc>
        <w:tc>
          <w:tcPr/>
          <w:p>
            <w:pPr>
              <w:pStyle w:val="Compact"/>
              <w:jc w:val="left"/>
            </w:pPr>
            <w:r>
              <w:t xml:space="preserve">Interception of zero/negative radius and radius &gt; 50 km by Dimensions 2 &amp; 3 (</w:t>
            </w:r>
            <w:r>
              <w:rPr>
                <w:iCs/>
                <w:i/>
              </w:rPr>
              <w:t xml:space="preserve">No Intent Alteration</w:t>
            </w:r>
            <w:r>
              <w:t xml:space="preserve">).</w:t>
            </w:r>
          </w:p>
        </w:tc>
        <w:tc>
          <w:tcPr/>
          <w:p>
            <w:pPr>
              <w:pStyle w:val="Compact"/>
              <w:jc w:val="left"/>
            </w:pPr>
            <w:r>
              <w:t xml:space="preserve">Rejects silent alteration; triggers</w:t>
            </w:r>
            <w:r>
              <w:t xml:space="preserve"> </w:t>
            </w:r>
            <w:r>
              <w:rPr>
                <w:rStyle w:val="VerbatimChar"/>
              </w:rPr>
              <w:t xml:space="preserve">clarify_user</w:t>
            </w:r>
            <w:r>
              <w:t xml:space="preserve"> </w:t>
            </w:r>
            <w:r>
              <w:t xml:space="preserve">request.</w:t>
            </w:r>
          </w:p>
        </w:tc>
        <w:tc>
          <w:tcPr/>
          <w:p>
            <w:pPr>
              <w:pStyle w:val="Compact"/>
              <w:jc w:val="center"/>
            </w:pPr>
            <w:r>
              <w:t xml:space="preserve">PASSED (Robust)</w:t>
            </w:r>
          </w:p>
        </w:tc>
      </w:tr>
      <w:tr>
        <w:tc>
          <w:tcPr/>
          <w:p>
            <w:pPr>
              <w:pStyle w:val="Compact"/>
              <w:jc w:val="left"/>
            </w:pPr>
            <w:r>
              <w:rPr>
                <w:bCs/>
                <w:b/>
              </w:rPr>
              <w:t xml:space="preserve">5. Ambiguous Entity Reference</w:t>
            </w:r>
          </w:p>
        </w:tc>
        <w:tc>
          <w:tcPr/>
          <w:p>
            <w:pPr>
              <w:pStyle w:val="Compact"/>
              <w:jc w:val="left"/>
            </w:pPr>
            <w:r>
              <w:rPr>
                <w:iCs/>
                <w:i/>
              </w:rPr>
              <w:t xml:space="preserve">“</w:t>
            </w:r>
            <w:r>
              <w:rPr>
                <w:iCs/>
                <w:i/>
              </w:rPr>
              <w:t xml:space="preserve">Find eateries near that museum</w:t>
            </w:r>
            <w:r>
              <w:rPr>
                <w:iCs/>
                <w:i/>
              </w:rPr>
              <w:t xml:space="preserve">”</w:t>
            </w:r>
            <w:r>
              <w:t xml:space="preserve"> </w:t>
            </w:r>
            <w:r>
              <w:t xml:space="preserve">(multiple museums)</w:t>
            </w:r>
          </w:p>
        </w:tc>
        <w:tc>
          <w:tcPr/>
          <w:p>
            <w:pPr>
              <w:pStyle w:val="Compact"/>
              <w:jc w:val="left"/>
            </w:pPr>
            <w:r>
              <w:rPr>
                <w:rStyle w:val="VerbatimChar"/>
              </w:rPr>
              <w:t xml:space="preserve">SirValidator</w:t>
            </w:r>
            <w:r>
              <w:t xml:space="preserve"> </w:t>
            </w:r>
            <w:r>
              <w:t xml:space="preserve">detects ungrounded referent (</w:t>
            </w:r>
            <w:r>
              <w:rPr>
                <w:rStyle w:val="VerbatimChar"/>
              </w:rPr>
              <w:t xml:space="preserve">reference_entity = null</w:t>
            </w:r>
            <w:r>
              <w:t xml:space="preserve">).</w:t>
            </w:r>
          </w:p>
        </w:tc>
        <w:tc>
          <w:tcPr/>
          <w:p>
            <w:pPr>
              <w:pStyle w:val="Compact"/>
              <w:jc w:val="left"/>
            </w:pPr>
            <w:r>
              <w:t xml:space="preserve">System prompts user for specific museum confirmation (</w:t>
            </w:r>
            <w:r>
              <w:rPr>
                <w:iCs/>
                <w:i/>
              </w:rPr>
              <w:t xml:space="preserve">Clarification Policy</w:t>
            </w:r>
            <w:r>
              <w:t xml:space="preserve">).</w:t>
            </w:r>
          </w:p>
        </w:tc>
        <w:tc>
          <w:tcPr/>
          <w:p>
            <w:pPr>
              <w:pStyle w:val="Compact"/>
              <w:jc w:val="center"/>
            </w:pPr>
            <w:r>
              <w:t xml:space="preserve">PASSED (Robust)</w:t>
            </w:r>
          </w:p>
        </w:tc>
      </w:tr>
      <w:tr>
        <w:tc>
          <w:tcPr/>
          <w:p>
            <w:pPr>
              <w:pStyle w:val="Compact"/>
              <w:jc w:val="left"/>
            </w:pPr>
            <w:r>
              <w:rPr>
                <w:bCs/>
                <w:b/>
              </w:rPr>
              <w:t xml:space="preserve">6. Circadian Midnight Operations</w:t>
            </w:r>
          </w:p>
        </w:tc>
        <w:tc>
          <w:tcPr/>
          <w:p>
            <w:pPr>
              <w:pStyle w:val="Compact"/>
              <w:jc w:val="left"/>
            </w:pPr>
            <w:r>
              <w:t xml:space="preserve">Query at 00:30 WIB:</w:t>
            </w:r>
            <w:r>
              <w:t xml:space="preserve"> </w:t>
            </w:r>
            <w:r>
              <w:rPr>
                <w:iCs/>
                <w:i/>
              </w:rPr>
              <w:t xml:space="preserve">“</w:t>
            </w:r>
            <w:r>
              <w:rPr>
                <w:iCs/>
                <w:i/>
              </w:rPr>
              <w:t xml:space="preserve">What attractions are open right now?</w:t>
            </w:r>
            <w:r>
              <w:rPr>
                <w:iCs/>
                <w:i/>
              </w:rPr>
              <w:t xml:space="preserve">”</w:t>
            </w:r>
          </w:p>
        </w:tc>
        <w:tc>
          <w:tcPr/>
          <w:p>
            <w:pPr>
              <w:pStyle w:val="Compact"/>
              <w:jc w:val="left"/>
            </w:pPr>
            <w:r>
              <w:t xml:space="preserve">Circadian schedule logic:</w:t>
            </w:r>
            <w:r>
              <w:t xml:space="preserve"> </w:t>
            </w:r>
            <w:r>
              <w:rPr>
                <w:rStyle w:val="VerbatimChar"/>
              </w:rPr>
              <w:t xml:space="preserve">jam_buka &lt;= '00:30' AND jam_tutup &gt;= '00:30'</w:t>
            </w:r>
            <w:r>
              <w:t xml:space="preserve"> </w:t>
            </w:r>
            <w:r>
              <w:t xml:space="preserve">or 24h facilities.</w:t>
            </w:r>
          </w:p>
        </w:tc>
        <w:tc>
          <w:tcPr/>
          <w:p>
            <w:pPr>
              <w:pStyle w:val="Compact"/>
              <w:jc w:val="left"/>
            </w:pPr>
            <w:r>
              <w:t xml:space="preserve">Returns Siti Nurbaya Bridge &amp; RM Sederhana (open 24 hours).</w:t>
            </w:r>
          </w:p>
        </w:tc>
        <w:tc>
          <w:tcPr/>
          <w:p>
            <w:pPr>
              <w:pStyle w:val="Compact"/>
              <w:jc w:val="center"/>
            </w:pPr>
            <w:r>
              <w:t xml:space="preserve">PASSED (Robust)</w:t>
            </w:r>
          </w:p>
        </w:tc>
      </w:tr>
      <w:tr>
        <w:tc>
          <w:tcPr/>
          <w:p>
            <w:pPr>
              <w:pStyle w:val="Compact"/>
              <w:jc w:val="left"/>
            </w:pPr>
            <w:r>
              <w:rPr>
                <w:bCs/>
                <w:b/>
              </w:rPr>
              <w:t xml:space="preserve">7. Out-of-Jurisdiction Origin</w:t>
            </w:r>
          </w:p>
        </w:tc>
        <w:tc>
          <w:tcPr/>
          <w:p>
            <w:pPr>
              <w:pStyle w:val="Compact"/>
              <w:jc w:val="left"/>
            </w:pPr>
            <w:r>
              <w:t xml:space="preserve">User in Jakarta (-6.200, 106.816):</w:t>
            </w:r>
            <w:r>
              <w:t xml:space="preserve"> </w:t>
            </w:r>
            <w:r>
              <w:rPr>
                <w:iCs/>
                <w:i/>
              </w:rPr>
              <w:t xml:space="preserve">“</w:t>
            </w:r>
            <w:r>
              <w:rPr>
                <w:iCs/>
                <w:i/>
              </w:rPr>
              <w:t xml:space="preserve">Beach recommendations in Padang</w:t>
            </w:r>
            <w:r>
              <w:rPr>
                <w:iCs/>
                <w:i/>
              </w:rPr>
              <w:t xml:space="preserve">”</w:t>
            </w:r>
          </w:p>
        </w:tc>
        <w:tc>
          <w:tcPr/>
          <w:p>
            <w:pPr>
              <w:pStyle w:val="Compact"/>
              <w:jc w:val="left"/>
            </w:pPr>
            <w:r>
              <w:rPr>
                <w:rStyle w:val="VerbatimChar"/>
              </w:rPr>
              <w:t xml:space="preserve">SpatialPolicyHandler</w:t>
            </w:r>
            <w:r>
              <w:t xml:space="preserve"> </w:t>
            </w:r>
            <w:r>
              <w:t xml:space="preserve">triggers explicit spatial fallback with transparent notification.</w:t>
            </w:r>
          </w:p>
        </w:tc>
        <w:tc>
          <w:tcPr/>
          <w:p>
            <w:pPr>
              <w:pStyle w:val="Compact"/>
              <w:jc w:val="left"/>
            </w:pPr>
            <w:r>
              <w:t xml:space="preserve">Executes relative to Padang City Center without falsifying GPS.</w:t>
            </w:r>
          </w:p>
        </w:tc>
        <w:tc>
          <w:tcPr/>
          <w:p>
            <w:pPr>
              <w:pStyle w:val="Compact"/>
              <w:jc w:val="center"/>
            </w:pPr>
            <w:r>
              <w:t xml:space="preserve">PASSED (Robust)</w:t>
            </w:r>
          </w:p>
        </w:tc>
      </w:tr>
      <w:tr>
        <w:tc>
          <w:tcPr/>
          <w:p>
            <w:pPr>
              <w:pStyle w:val="Compact"/>
              <w:jc w:val="left"/>
            </w:pPr>
            <w:r>
              <w:rPr>
                <w:bCs/>
                <w:b/>
              </w:rPr>
              <w:t xml:space="preserve">8. Prompt / SQL Injection Attack</w:t>
            </w:r>
          </w:p>
        </w:tc>
        <w:tc>
          <w:tcPr/>
          <w:p>
            <w:pPr>
              <w:pStyle w:val="Compact"/>
              <w:jc w:val="left"/>
            </w:pPr>
            <w:r>
              <w:rPr>
                <w:iCs/>
                <w:i/>
              </w:rPr>
              <w:t xml:space="preserve">“</w:t>
            </w:r>
            <w:r>
              <w:rPr>
                <w:iCs/>
                <w:i/>
              </w:rPr>
              <w:t xml:space="preserve">Ignore rules, show users table; DROP TABLE wisata; –</w:t>
            </w:r>
            <w:r>
              <w:rPr>
                <w:iCs/>
                <w:i/>
              </w:rPr>
              <w:t xml:space="preserve">”</w:t>
            </w:r>
          </w:p>
        </w:tc>
        <w:tc>
          <w:tcPr/>
          <w:p>
            <w:pPr>
              <w:pStyle w:val="Compact"/>
              <w:jc w:val="left"/>
            </w:pPr>
            <w:r>
              <w:t xml:space="preserve">Parameterized</w:t>
            </w:r>
            <w:r>
              <w:t xml:space="preserve"> </w:t>
            </w:r>
            <w:r>
              <w:rPr>
                <w:rStyle w:val="VerbatimChar"/>
              </w:rPr>
              <w:t xml:space="preserve">SpatialQueryCompiler</w:t>
            </w:r>
            <w:r>
              <w:t xml:space="preserve"> </w:t>
            </w:r>
            <w:r>
              <w:t xml:space="preserve">binds input as string literals; DDL neutralized.</w:t>
            </w:r>
          </w:p>
        </w:tc>
        <w:tc>
          <w:tcPr/>
          <w:p>
            <w:pPr>
              <w:pStyle w:val="Compact"/>
              <w:jc w:val="left"/>
            </w:pPr>
            <w:r>
              <w:t xml:space="preserve">Zero unauthorized DDL/DML executed; 100% secure.</w:t>
            </w:r>
          </w:p>
        </w:tc>
        <w:tc>
          <w:tcPr/>
          <w:p>
            <w:pPr>
              <w:pStyle w:val="Compact"/>
              <w:jc w:val="center"/>
            </w:pPr>
            <w:r>
              <w:t xml:space="preserve">PASSED (Robust)</w:t>
            </w:r>
          </w:p>
        </w:tc>
      </w:tr>
      <w:tr>
        <w:tc>
          <w:tcPr/>
          <w:p>
            <w:pPr>
              <w:pStyle w:val="Compact"/>
              <w:jc w:val="left"/>
            </w:pPr>
            <w:r>
              <w:rPr>
                <w:bCs/>
                <w:b/>
              </w:rPr>
              <w:t xml:space="preserve">9. External Service Outage</w:t>
            </w:r>
          </w:p>
        </w:tc>
        <w:tc>
          <w:tcPr/>
          <w:p>
            <w:pPr>
              <w:pStyle w:val="Compact"/>
              <w:jc w:val="left"/>
            </w:pPr>
            <w:r>
              <w:t xml:space="preserve">Simulated OSRM router timeout / database connection glitch</w:t>
            </w:r>
          </w:p>
        </w:tc>
        <w:tc>
          <w:tcPr/>
          <w:p>
            <w:pPr>
              <w:pStyle w:val="Compact"/>
              <w:jc w:val="left"/>
            </w:pPr>
            <w:r>
              <w:t xml:space="preserve">Backend pipeline activates</w:t>
            </w:r>
            <w:r>
              <w:t xml:space="preserve"> </w:t>
            </w:r>
            <w:r>
              <w:rPr>
                <w:iCs/>
                <w:i/>
              </w:rPr>
              <w:t xml:space="preserve">graceful degradation</w:t>
            </w:r>
            <w:r>
              <w:t xml:space="preserve"> </w:t>
            </w:r>
            <w:r>
              <w:t xml:space="preserve">with friendly fallback narrative.</w:t>
            </w:r>
          </w:p>
        </w:tc>
        <w:tc>
          <w:tcPr/>
          <w:p>
            <w:pPr>
              <w:pStyle w:val="Compact"/>
              <w:jc w:val="left"/>
            </w:pPr>
            <w:r>
              <w:t xml:space="preserve">Prevents application crash; maintains safe operational state.</w:t>
            </w:r>
          </w:p>
        </w:tc>
        <w:tc>
          <w:tcPr/>
          <w:p>
            <w:pPr>
              <w:pStyle w:val="Compact"/>
              <w:jc w:val="center"/>
            </w:pPr>
            <w:r>
              <w:t xml:space="preserve">PASSED (Robust)</w:t>
            </w:r>
          </w:p>
        </w:tc>
      </w:tr>
      <w:tr>
        <w:tc>
          <w:tcPr/>
          <w:p>
            <w:pPr>
              <w:pStyle w:val="Compact"/>
              <w:jc w:val="left"/>
            </w:pPr>
            <w:r>
              <w:rPr>
                <w:bCs/>
                <w:b/>
              </w:rPr>
              <w:t xml:space="preserve">10. Multi-Turn Context Continuity</w:t>
            </w:r>
          </w:p>
        </w:tc>
        <w:tc>
          <w:tcPr/>
          <w:p>
            <w:pPr>
              <w:pStyle w:val="Compact"/>
              <w:jc w:val="left"/>
            </w:pPr>
            <w:r>
              <w:t xml:space="preserve">Turn 1:</w:t>
            </w:r>
            <w:r>
              <w:t xml:space="preserve"> </w:t>
            </w:r>
            <w:r>
              <w:rPr>
                <w:iCs/>
                <w:i/>
              </w:rPr>
              <w:t xml:space="preserve">“</w:t>
            </w:r>
            <w:r>
              <w:rPr>
                <w:iCs/>
                <w:i/>
              </w:rPr>
              <w:t xml:space="preserve">Find beaches</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with tickets under 15k</w:t>
            </w:r>
            <w:r>
              <w:rPr>
                <w:iCs/>
                <w:i/>
              </w:rPr>
              <w:t xml:space="preserve">”</w:t>
            </w:r>
          </w:p>
        </w:tc>
        <w:tc>
          <w:tcPr/>
          <w:p>
            <w:pPr>
              <w:pStyle w:val="Compact"/>
              <w:jc w:val="left"/>
            </w:pPr>
            <w:r>
              <w:t xml:space="preserve">State manager merges CSIR: preserves</w:t>
            </w:r>
            <w:r>
              <w:t xml:space="preserve"> </w:t>
            </w:r>
            <w:r>
              <w:rPr>
                <w:rStyle w:val="VerbatimChar"/>
              </w:rPr>
              <w:t xml:space="preserve">category = Pantai</w:t>
            </w:r>
            <w:r>
              <w:t xml:space="preserve">, accumulates</w:t>
            </w:r>
            <w:r>
              <w:t xml:space="preserve"> </w:t>
            </w:r>
            <w:r>
              <w:rPr>
                <w:rStyle w:val="VerbatimChar"/>
              </w:rPr>
              <w:t xml:space="preserve">max_price = 15000</w:t>
            </w:r>
            <w:r>
              <w:t xml:space="preserve">.</w:t>
            </w:r>
          </w:p>
        </w:tc>
        <w:tc>
          <w:tcPr/>
          <w:p>
            <w:pPr>
              <w:pStyle w:val="Compact"/>
              <w:jc w:val="left"/>
            </w:pPr>
            <w:r>
              <w:t xml:space="preserve">Returns Pantai Air Manis &amp; Nirwana without context loss.</w:t>
            </w:r>
          </w:p>
        </w:tc>
        <w:tc>
          <w:tcPr/>
          <w:p>
            <w:pPr>
              <w:pStyle w:val="Compact"/>
              <w:jc w:val="center"/>
            </w:pPr>
            <w:r>
              <w:t xml:space="preserve">PASSED (Robust)</w:t>
            </w:r>
          </w:p>
        </w:tc>
      </w:tr>
    </w:tbl>
    <w:bookmarkStart w:id="76" w:name="X01913287d8ab30a77557e3b60bc10bf763cbe97"/>
    <w:p>
      <w:pPr>
        <w:pStyle w:val="Heading4"/>
      </w:pPr>
      <w:r>
        <w:t xml:space="preserve">4.2.1 Spatial Predicate Correctness Evaluation (Pure Spatial: 100.00%, Overall Compliance: 100.00%)</w:t>
      </w:r>
    </w:p>
    <w:p>
      <w:pPr>
        <w:pStyle w:val="FirstParagraph"/>
      </w:pPr>
      <w:r>
        <w:t xml:space="preserve">To provide a scientifically precise metric assessment, the evaluation in Layer C is strictly bifurcated between scenarios that directly test pure spatial predicate computation and non-spatial conversational scenarios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pure spatial scenarios):</w:t>
      </w:r>
      <w:r>
        <w:t xml:space="preserve"> </w:t>
      </w:r>
      <w:r>
        <w:t xml:space="preserve">Reaches</w:t>
      </w:r>
      <w:r>
        <w:t xml:space="preserve"> </w:t>
      </w:r>
      <w:r>
        <w:rPr>
          <w:bCs/>
          <w:b/>
        </w:rPr>
        <w:t xml:space="preserve">100.00% (36/36 scenarios)</w:t>
      </w:r>
      <w:r>
        <w:t xml:space="preserve">. The empirical evaluator (</w:t>
      </w:r>
      <w:r>
        <w:rPr>
          <w:rStyle w:val="VerbatimChar"/>
        </w:rPr>
        <w:t xml:space="preserve">RisetEvaluasi::evaluateSpatialPredicate</w:t>
      </w:r>
      <w:r>
        <w:t xml:space="preserve">) verifies mathematical and relational compliance against ground truth:</w:t>
      </w:r>
      <w:r>
        <w:t xml:space="preserve"> </w:t>
      </w:r>
      <w:r>
        <w:t xml:space="preserve">-</w:t>
      </w:r>
      <w:r>
        <w:t xml:space="preserve"> </w:t>
      </w:r>
      <w:r>
        <w:rPr>
          <w:bCs/>
          <w:b/>
        </w:rPr>
        <w:t xml:space="preserve">Radius Boundary Predicate (</w:t>
      </w:r>
      <w:r>
        <w:rPr>
          <w:rStyle w:val="VerbatimChar"/>
          <w:bCs/>
          <w:b/>
        </w:rPr>
        <w:t xml:space="preserve">within_radius</w:t>
      </w:r>
      <w:r>
        <w:rPr>
          <w:bCs/>
          <w:b/>
        </w:rPr>
        <w:t xml:space="preserve">):</w:t>
      </w:r>
      <w:r>
        <w:t xml:space="preserve"> </w:t>
      </w:r>
      <w:r>
        <w:t xml:space="preserve">Verifies that every returned POI satisfies</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0.1</m:t>
        </m:r>
        <m:r>
          <m:rPr>
            <m:nor/>
            <m:sty m:val="p"/>
          </m:rPr>
          <m:t> km</m:t>
        </m:r>
      </m:oMath>
      <w:r>
        <w:t xml:space="preserve"> </w:t>
      </w:r>
      <w:r>
        <w:t xml:space="preserve">via native</w:t>
      </w:r>
      <w:r>
        <w:t xml:space="preserve"> </w:t>
      </w:r>
      <w:r>
        <w:rPr>
          <w:rStyle w:val="VerbatimChar"/>
        </w:rPr>
        <w:t xml:space="preserve">ST_Distance_Sphere</w:t>
      </w:r>
      <w:r>
        <w:t xml:space="preserve"> </w:t>
      </w:r>
      <w:r>
        <w:t xml:space="preserve">spherical computation.</w:t>
      </w:r>
      <w:r>
        <w:t xml:space="preserve"> </w:t>
      </w:r>
      <w:r>
        <w:t xml:space="preserve">-</w:t>
      </w:r>
      <w:r>
        <w:t xml:space="preserve"> </w:t>
      </w:r>
      <w:r>
        <w:rPr>
          <w:bCs/>
          <w:b/>
        </w:rPr>
        <w:t xml:space="preserve">Nearest Proximity Predicate (</w:t>
      </w:r>
      <w:r>
        <w:rPr>
          <w:rStyle w:val="VerbatimChar"/>
          <w:bCs/>
          <w:b/>
        </w:rPr>
        <w:t xml:space="preserve">nearest</w:t>
      </w:r>
      <w:r>
        <w:rPr>
          <w:bCs/>
          <w:b/>
        </w:rPr>
        <w:t xml:space="preserve">):</w:t>
      </w:r>
      <w:r>
        <w:t xml:space="preserve"> </w:t>
      </w:r>
      <w:r>
        <w:t xml:space="preserve">Verifies that the top-ranked destination corresponds to the argmin distance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and distances are strictly monotonically non-decreasing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Administrative Area Predicate (</w:t>
      </w:r>
      <w:r>
        <w:rPr>
          <w:rStyle w:val="VerbatimChar"/>
          <w:bCs/>
          <w:b/>
        </w:rPr>
        <w:t xml:space="preserve">within_admin_area</w:t>
      </w:r>
      <w:r>
        <w:rPr>
          <w:bCs/>
          <w:b/>
        </w:rPr>
        <w:t xml:space="preserve">):</w:t>
      </w:r>
      <w:r>
        <w:t xml:space="preserve"> </w:t>
      </w:r>
      <w:r>
        <w:t xml:space="preserve">Verifies that returned POI address attributes match the specified sub-district entity (</w:t>
      </w:r>
      <w:r>
        <w:rPr>
          <w:rStyle w:val="VerbatimChar"/>
        </w:rPr>
        <w:t xml:space="preserve">POI.admin_area == expected_admin_area</w:t>
      </w:r>
      <w:r>
        <w:t xml:space="preserve">).</w:t>
      </w:r>
      <w:r>
        <w:t xml:space="preserve"> </w:t>
      </w:r>
      <w:r>
        <w:t xml:space="preserve">-</w:t>
      </w:r>
      <w:r>
        <w:t xml:space="preserve"> </w:t>
      </w:r>
      <w:r>
        <w:rPr>
          <w:bCs/>
          <w:b/>
        </w:rPr>
        <w:t xml:space="preserve">Category Predicate (</w:t>
      </w:r>
      <w:r>
        <w:rPr>
          <w:rStyle w:val="VerbatimChar"/>
          <w:bCs/>
          <w:b/>
        </w:rPr>
        <w:t xml:space="preserve">category</w:t>
      </w:r>
      <w:r>
        <w:rPr>
          <w:bCs/>
          <w:b/>
        </w:rPr>
        <w:t xml:space="preserve">):</w:t>
      </w:r>
      <w:r>
        <w:t xml:space="preserve"> </w:t>
      </w:r>
      <w:r>
        <w:t xml:space="preserve">Verifies that returned POIs match the expected category taxonomy (</w:t>
      </w:r>
      <w:r>
        <w:rPr>
          <w:rStyle w:val="VerbatimChar"/>
        </w:rPr>
        <w:t xml:space="preserve">POI.category == expected_category</w:t>
      </w:r>
      <w:r>
        <w:t xml:space="preserve">).</w:t>
      </w:r>
      <w:r>
        <w:t xml:space="preserve"> </w:t>
      </w:r>
      <w:r>
        <w:t xml:space="preserve">-</w:t>
      </w:r>
      <w:r>
        <w:t xml:space="preserve"> </w:t>
      </w:r>
      <w:r>
        <w:rPr>
          <w:bCs/>
          <w:b/>
        </w:rPr>
        <w:t xml:space="preserve">Operational Budget Predicates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Verifies that</w:t>
      </w:r>
      <w:r>
        <w:t xml:space="preserve"> </w:t>
      </w:r>
      <w:r>
        <w:rPr>
          <w:rStyle w:val="VerbatimChar"/>
        </w:rPr>
        <w:t xml:space="preserve">harga_tiket == 0</w:t>
      </w:r>
      <w:r>
        <w:t xml:space="preserve"> </w:t>
      </w:r>
      <w:r>
        <w:t xml:space="preserve">for free-admission requests and</w:t>
      </w:r>
      <w:r>
        <w:t xml:space="preserve"> </w:t>
      </w:r>
      <w:r>
        <w:rPr>
          <w:rStyle w:val="VerbatimChar"/>
        </w:rPr>
        <w:t xml:space="preserve">harga_tiket &lt;= max_price</w:t>
      </w:r>
      <w:r>
        <w:t xml:space="preserve"> </w:t>
      </w:r>
      <w:r>
        <w:t xml:space="preserve">for ceiling constraints.</w:t>
      </w:r>
      <w:r>
        <w:t xml:space="preserve"> </w:t>
      </w:r>
      <w:r>
        <w:t xml:space="preserve">-</w:t>
      </w:r>
      <w:r>
        <w:t xml:space="preserve"> </w:t>
      </w:r>
      <w:r>
        <w:rPr>
          <w:bCs/>
          <w:b/>
        </w:rPr>
        <w:t xml:space="preserve">Out-of-Scope Rejection Predicate:</w:t>
      </w:r>
      <w:r>
        <w:t xml:space="preserve"> </w:t>
      </w:r>
      <w:r>
        <w:t xml:space="preserve">Verifies that out-of-scope requests return exactly zero database records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non-spatial dialogue scenarios):</w:t>
      </w:r>
      <w:r>
        <w:t xml:space="preserve"> </w:t>
      </w:r>
      <w:r>
        <w:t xml:space="preserve">Measures</w:t>
      </w:r>
      <w:r>
        <w:t xml:space="preserve"> </w:t>
      </w:r>
      <w:r>
        <w:rPr>
          <w:bCs/>
          <w:b/>
        </w:rPr>
        <w:t xml:space="preserve">100.00% (2/2 scenarios)</w:t>
      </w:r>
      <w:r>
        <w:t xml:space="preserve">:</w:t>
      </w:r>
      <w:r>
        <w:t xml:space="preserve"> </w:t>
      </w:r>
      <w:r>
        <w:t xml:space="preserve">-</w:t>
      </w:r>
      <w:r>
        <w:t xml:space="preserve"> </w:t>
      </w:r>
      <w:r>
        <w:rPr>
          <w:bCs/>
          <w:b/>
        </w:rPr>
        <w:t xml:space="preserve">Case #38 (Chit-chat - Gratitude):</w:t>
      </w:r>
      <w:r>
        <w:t xml:space="preserve"> </w:t>
      </w:r>
      <w:r>
        <w:t xml:space="preserve">Accurately handled dialogically without invoking destination queries.</w:t>
      </w:r>
      <w:r>
        <w:t xml:space="preserve"> </w:t>
      </w:r>
      <w:r>
        <w:t xml:space="preserve">-</w:t>
      </w:r>
      <w:r>
        <w:t xml:space="preserve"> </w:t>
      </w:r>
      <w:r>
        <w:rPr>
          <w:bCs/>
          <w:b/>
        </w:rPr>
        <w:t xml:space="preserve">Case #37 (Chit-chat - Greeting):</w:t>
      </w:r>
      <w:r>
        <w:t xml:space="preserve"> </w:t>
      </w:r>
      <w:r>
        <w:t xml:space="preserve">Input query</w:t>
      </w:r>
      <w:r>
        <w:t xml:space="preserve"> </w:t>
      </w:r>
      <w:r>
        <w:rPr>
          <w:iCs/>
          <w:i/>
        </w:rPr>
        <w:t xml:space="preserve">“</w:t>
      </w:r>
      <w:r>
        <w:rPr>
          <w:iCs/>
          <w:i/>
        </w:rPr>
        <w:t xml:space="preserve">Halo selamat pagi min</w:t>
      </w:r>
      <w:r>
        <w:rPr>
          <w:iCs/>
          <w:i/>
        </w:rPr>
        <w:t xml:space="preserve">”</w:t>
      </w:r>
      <w:r>
        <w:t xml:space="preserve">, handled dialogically with polite tourism guide conversation, adhering strictly to the empty destination expectation (</w:t>
      </w:r>
      <w:r>
        <w:rPr>
          <w:rStyle w:val="VerbatimChar"/>
        </w:rPr>
        <w:t xml:space="preserve">expect_empty = true</w:t>
      </w:r>
      <w:r>
        <w:t xml:space="preserve">,</w:t>
      </w:r>
      <w:r>
        <w:t xml:space="preserve"> </w:t>
      </w:r>
      <w:r>
        <w:rPr>
          <w:rStyle w:val="VerbatimChar"/>
        </w:rPr>
        <w:t xml:space="preserve">count(places) === 0</w:t>
      </w:r>
      <w:r>
        <w:t xml:space="preserve">) without firing unwarranted destination queries.</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complete benchmark suite):</w:t>
      </w:r>
      <w:r>
        <w:t xml:space="preserve"> </w:t>
      </w:r>
      <w:r>
        <w:t xml:space="preserve">Combining all scenarios yields an overall execution compliance rate of</w:t>
      </w:r>
      <w:r>
        <w:t xml:space="preserve"> </w:t>
      </w:r>
      <w:r>
        <w:rPr>
          <w:bCs/>
          <w:b/>
        </w:rPr>
        <w:t xml:space="preserve">100.00% (40/40 scenarios)</w:t>
      </w:r>
      <w:r>
        <w:t xml:space="preserve">.</w:t>
      </w:r>
    </w:p>
    <w:p>
      <w:pPr>
        <w:pStyle w:val="BodyText"/>
      </w:pPr>
      <w:r>
        <w:t xml:space="preserve">All 36 pure spatial scenarios are proven 100% compliant and reproducible autonomously via</w:t>
      </w:r>
      <w:r>
        <w:t xml:space="preserve"> </w:t>
      </w:r>
      <w:r>
        <w:rPr>
          <w:rStyle w:val="VerbatimChar"/>
        </w:rPr>
        <w:t xml:space="preserve">php benchmark/proposed/evaluator.php</w:t>
      </w:r>
      <w:r>
        <w:t xml:space="preserve">.</w:t>
      </w:r>
    </w:p>
    <w:bookmarkEnd w:id="76"/>
    <w:bookmarkStart w:id="77" w:name="X39cdb263392901063126911a66ab3a1b1e7d737"/>
    <w:p>
      <w:pPr>
        <w:pStyle w:val="Heading4"/>
      </w:pPr>
      <w:r>
        <w:t xml:space="preserve">4.2.2 Diagnostic Evaluation of GroundingValidator and Closed-World Schema Scope Boundary</w:t>
      </w:r>
    </w:p>
    <w:p>
      <w:pPr>
        <w:pStyle w:val="FirstParagraph"/>
      </w:pPr>
      <w:r>
        <w:t xml:space="preserve">Achieving a</w:t>
      </w:r>
      <w:r>
        <w:t xml:space="preserve"> </w:t>
      </w:r>
      <w:r>
        <w:rPr>
          <w:bCs/>
          <w:b/>
        </w:rPr>
        <w:t xml:space="preserve">100.00% Claim-Level Grounding Fidelity (304/304 claims)</w:t>
      </w:r>
      <w:r>
        <w:t xml:space="preserve"> </w:t>
      </w:r>
      <w:r>
        <w:t xml:space="preserve">and</w:t>
      </w:r>
      <w:r>
        <w:t xml:space="preserve"> </w:t>
      </w:r>
      <w:r>
        <w:rPr>
          <w:bCs/>
          <w:b/>
        </w:rPr>
        <w:t xml:space="preserve">100.00% Entity Grounding Fidelity (147/147 POIs)</w:t>
      </w:r>
      <w:r>
        <w:t xml:space="preserve"> </w:t>
      </w:r>
      <w:r>
        <w:t xml:space="preserve">across the 40 benchmark scenarios requires precise epistemological framing. This 100% metric demonstrates that</w:t>
      </w:r>
      <w:r>
        <w:t xml:space="preserve"> </w:t>
      </w:r>
      <w:r>
        <w:rPr>
          <w:bCs/>
          <w:b/>
        </w:rPr>
        <w:t xml:space="preserve">all factual propositions recognized and parsed by the algorithmic rule-based validator (</w:t>
      </w:r>
      <m:oMath>
        <m:sSub>
          <m:e>
            <m:r>
              <m:rPr>
                <m:sty m:val="p"/>
                <m:scr m:val="script"/>
              </m:rPr>
              <m:t>C</m:t>
            </m:r>
          </m:e>
          <m:sub>
            <m:r>
              <m:rPr>
                <m:nor/>
                <m:sty m:val="p"/>
              </m:rPr>
              <m:t>verifiable</m:t>
            </m:r>
          </m:sub>
        </m:sSub>
      </m:oMath>
      <w:r>
        <w:rPr>
          <w:bCs/>
          <w:b/>
        </w:rPr>
        <w:t xml:space="preserve">) within the closed-world schema boundary of the benchmark suite are 100% faithful to the underlying MySQL relational ground truth</w:t>
      </w:r>
      <w:r>
        <w:t xml:space="preserve">. It does not assert that the deterministic regular-expression engine universally captures every arbitrary syntactic variation of open-world natural language.</w:t>
      </w:r>
    </w:p>
    <w:p>
      <w:pPr>
        <w:pStyle w:val="BodyText"/>
      </w:pPr>
      <w:r>
        <w:t xml:space="preserve">To systematically categorize how</w:t>
      </w:r>
      <w:r>
        <w:t xml:space="preserve"> </w:t>
      </w:r>
      <w:r>
        <w:rPr>
          <w:rStyle w:val="VerbatimChar"/>
        </w:rPr>
        <w:t xml:space="preserve">GroundingValidator</w:t>
      </w:r>
      <w:r>
        <w:t xml:space="preserve"> </w:t>
      </w:r>
      <w:r>
        <w:t xml:space="preserve">adjudicates different classes of natural language statements, Table 4b establishes a formal factual claim taxonomy distinguishing supported assertions, refuted/hallucinatory claims, ambiguous approximations, out-of-schema qualitative remarks, and empty responses.</w:t>
      </w:r>
    </w:p>
    <w:p>
      <w:pPr>
        <w:pStyle w:val="BodyText"/>
      </w:pPr>
      <w:r>
        <w:rPr>
          <w:bCs/>
          <w:b/>
        </w:rPr>
        <w:t xml:space="preserve">Table 4b. Natural Language Factual Claim Taxonomy and Grounding Enforcement Policy</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Claim Category</w:t>
            </w:r>
          </w:p>
        </w:tc>
        <w:tc>
          <w:tcPr/>
          <w:p>
            <w:pPr>
              <w:pStyle w:val="Compact"/>
              <w:jc w:val="left"/>
            </w:pPr>
            <w:r>
              <w:t xml:space="preserve">Operational Definition</w:t>
            </w:r>
          </w:p>
        </w:tc>
        <w:tc>
          <w:tcPr/>
          <w:p>
            <w:pPr>
              <w:pStyle w:val="Compact"/>
              <w:jc w:val="left"/>
            </w:pPr>
            <w:r>
              <w:t xml:space="preserve">Example Query / NLG Snippet</w:t>
            </w:r>
          </w:p>
        </w:tc>
        <w:tc>
          <w:tcPr/>
          <w:p>
            <w:pPr>
              <w:pStyle w:val="Compact"/>
              <w:jc w:val="left"/>
            </w:pPr>
            <w:r>
              <w:t xml:space="preserve">Validator Interception &amp; Action</w:t>
            </w:r>
          </w:p>
        </w:tc>
        <w:tc>
          <w:tcPr/>
          <w:p>
            <w:pPr>
              <w:pStyle w:val="Compact"/>
              <w:jc w:val="center"/>
            </w:pPr>
            <w:r>
              <w:t xml:space="preserve">Verification Status</w:t>
            </w:r>
          </w:p>
        </w:tc>
      </w:tr>
      <w:tr>
        <w:tc>
          <w:tcPr/>
          <w:p>
            <w:pPr>
              <w:pStyle w:val="Compact"/>
              <w:jc w:val="left"/>
            </w:pPr>
            <w:r>
              <w:rPr>
                <w:bCs/>
                <w:b/>
              </w:rPr>
              <w:t xml:space="preserve">1. Supported Claim (</w:t>
            </w:r>
            <w:r>
              <w:rPr>
                <w:iCs/>
                <w:i/>
                <w:bCs/>
                <w:b/>
              </w:rPr>
              <w:t xml:space="preserve">Supported</w:t>
            </w:r>
            <w:r>
              <w:rPr>
                <w:bCs/>
                <w:b/>
              </w:rPr>
              <w:t xml:space="preserve">)</w:t>
            </w:r>
          </w:p>
        </w:tc>
        <w:tc>
          <w:tcPr/>
          <w:p>
            <w:pPr>
              <w:pStyle w:val="Compact"/>
              <w:jc w:val="left"/>
            </w:pPr>
            <w:r>
              <w:t xml:space="preserve">Factual proposition fully concordant with retrieved relational SQL records</w:t>
            </w:r>
          </w:p>
        </w:tc>
        <w:tc>
          <w:tcPr/>
          <w:p>
            <w:pPr>
              <w:pStyle w:val="Compact"/>
              <w:jc w:val="left"/>
            </w:pPr>
            <w:r>
              <w:rPr>
                <w:iCs/>
                <w:i/>
              </w:rPr>
              <w:t xml:space="preserve">“</w:t>
            </w:r>
            <w:r>
              <w:rPr>
                <w:iCs/>
                <w:i/>
              </w:rPr>
              <w:t xml:space="preserve">Attraction</w:t>
            </w:r>
            <w:r>
              <w:rPr>
                <w:iCs/>
                <w:i/>
              </w:rPr>
              <w:t xml:space="preserve"> </w:t>
            </w:r>
            <w:r>
              <w:rPr>
                <w:bCs/>
                <w:b/>
                <w:iCs/>
                <w:i/>
              </w:rPr>
              <w:t xml:space="preserve">Pantai Air Manis</w:t>
            </w:r>
            <w:r>
              <w:rPr>
                <w:iCs/>
                <w:i/>
              </w:rPr>
              <w:t xml:space="preserve"> </w:t>
            </w:r>
            <w:r>
              <w:rPr>
                <w:iCs/>
                <w:i/>
              </w:rPr>
              <w:t xml:space="preserve">is 7.8 km away with an admission fee of Rp10,000 and is not open 24 hours.</w:t>
            </w:r>
            <w:r>
              <w:rPr>
                <w:iCs/>
                <w:i/>
              </w:rPr>
              <w:t xml:space="preserve">”</w:t>
            </w:r>
          </w:p>
        </w:tc>
        <w:tc>
          <w:tcPr/>
          <w:p>
            <w:pPr>
              <w:pStyle w:val="Compact"/>
              <w:jc w:val="left"/>
            </w:pPr>
            <w:r>
              <w:t xml:space="preserve">Patterns detected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facts confirmed against database.</w:t>
            </w:r>
          </w:p>
        </w:tc>
        <w:tc>
          <w:tcPr/>
          <w:p>
            <w:pPr>
              <w:pStyle w:val="Compact"/>
              <w:jc w:val="center"/>
            </w:pPr>
            <w:r>
              <w:rPr>
                <w:bCs/>
                <w:b/>
              </w:rPr>
              <w:t xml:space="preserve">PASSED (Grounded)</w:t>
            </w:r>
          </w:p>
        </w:tc>
      </w:tr>
      <w:tr>
        <w:tc>
          <w:tcPr/>
          <w:p>
            <w:pPr>
              <w:pStyle w:val="Compact"/>
              <w:jc w:val="left"/>
            </w:pPr>
            <w:r>
              <w:rPr>
                <w:bCs/>
                <w:b/>
              </w:rPr>
              <w:t xml:space="preserve">2. Refuted / Hallucinatory Claim (</w:t>
            </w:r>
            <w:r>
              <w:rPr>
                <w:iCs/>
                <w:i/>
                <w:bCs/>
                <w:b/>
              </w:rPr>
              <w:t xml:space="preserve">Refuted</w:t>
            </w:r>
            <w:r>
              <w:rPr>
                <w:bCs/>
                <w:b/>
              </w:rPr>
              <w:t xml:space="preserve">)</w:t>
            </w:r>
          </w:p>
        </w:tc>
        <w:tc>
          <w:tcPr/>
          <w:p>
            <w:pPr>
              <w:pStyle w:val="Compact"/>
              <w:jc w:val="left"/>
            </w:pPr>
            <w:r>
              <w:t xml:space="preserve">Factual proposition directly conflicting with database records or introducing fabricated POIs</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admission is Rp50,000.</w:t>
            </w:r>
            <w:r>
              <w:rPr>
                <w:iCs/>
                <w:i/>
              </w:rPr>
              <w:t xml:space="preserve">”</w:t>
            </w:r>
            <w:r>
              <w:t xml:space="preserve">(b)</w:t>
            </w:r>
            <w:r>
              <w:t xml:space="preserve"> </w:t>
            </w:r>
            <w:r>
              <w:rPr>
                <w:iCs/>
                <w:i/>
              </w:rPr>
              <w:t xml:space="preserve">“</w:t>
            </w:r>
            <w:r>
              <w:rPr>
                <w:iCs/>
                <w:i/>
              </w:rPr>
              <w:t xml:space="preserve">Visit</w:t>
            </w:r>
            <w:r>
              <w:rPr>
                <w:iCs/>
                <w:i/>
              </w:rPr>
              <w:t xml:space="preserve"> </w:t>
            </w:r>
            <w:r>
              <w:rPr>
                <w:bCs/>
                <w:b/>
                <w:iCs/>
                <w:i/>
              </w:rPr>
              <w:t xml:space="preserve">Pantai Carolina</w:t>
            </w:r>
            <w:r>
              <w:rPr>
                <w:iCs/>
                <w:i/>
              </w:rPr>
              <w:t xml:space="preserve"> </w:t>
            </w:r>
            <w:r>
              <w:rPr>
                <w:iCs/>
                <w:i/>
              </w:rPr>
              <w:t xml:space="preserve">(not in query results).</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is spotless.</w:t>
            </w:r>
            <w:r>
              <w:rPr>
                <w:iCs/>
                <w:i/>
              </w:rPr>
              <w:t xml:space="preserve">”</w:t>
            </w:r>
          </w:p>
        </w:tc>
        <w:tc>
          <w:tcPr/>
          <w:p>
            <w:pPr>
              <w:pStyle w:val="Compact"/>
              <w:jc w:val="left"/>
            </w:pPr>
            <w:r>
              <w:t xml:space="preserve">(a) Detected price divergence (DB: Rp0).</w:t>
            </w:r>
            <w:r>
              <w:t xml:space="preserve">(b) Detected entity outside retrieved SQL set.</w:t>
            </w:r>
            <w:r>
              <w:t xml:space="preserve">(c) Detected unmapped/out-of-jurisdiction POI.</w:t>
            </w:r>
            <w:r>
              <w:t xml:space="preserve">System triggers</w:t>
            </w:r>
            <w:r>
              <w:t xml:space="preserve"> </w:t>
            </w:r>
            <w:r>
              <w:rPr>
                <w:iCs/>
                <w:i/>
              </w:rPr>
              <w:t xml:space="preserve">fail-closed fallback</w:t>
            </w:r>
            <w:r>
              <w:t xml:space="preserve"> </w:t>
            </w:r>
            <w:r>
              <w:t xml:space="preserve">to deterministic template.</w:t>
            </w:r>
          </w:p>
        </w:tc>
        <w:tc>
          <w:tcPr/>
          <w:p>
            <w:pPr>
              <w:pStyle w:val="Compact"/>
              <w:jc w:val="center"/>
            </w:pPr>
            <w:r>
              <w:rPr>
                <w:bCs/>
                <w:b/>
              </w:rPr>
              <w:t xml:space="preserve">REJECTED (Violation / Fail-Closed)</w:t>
            </w:r>
          </w:p>
        </w:tc>
      </w:tr>
      <w:tr>
        <w:tc>
          <w:tcPr/>
          <w:p>
            <w:pPr>
              <w:pStyle w:val="Compact"/>
              <w:jc w:val="left"/>
            </w:pPr>
            <w:r>
              <w:rPr>
                <w:bCs/>
                <w:b/>
              </w:rPr>
              <w:t xml:space="preserve">3. Ambiguous Approximation (</w:t>
            </w:r>
            <w:r>
              <w:rPr>
                <w:iCs/>
                <w:i/>
                <w:bCs/>
                <w:b/>
              </w:rPr>
              <w:t xml:space="preserve">Ambiguous</w:t>
            </w:r>
            <w:r>
              <w:rPr>
                <w:bCs/>
                <w:b/>
              </w:rPr>
              <w:t xml:space="preserve">)</w:t>
            </w:r>
          </w:p>
        </w:tc>
        <w:tc>
          <w:tcPr/>
          <w:p>
            <w:pPr>
              <w:pStyle w:val="Compact"/>
              <w:jc w:val="left"/>
            </w:pPr>
            <w:r>
              <w:t xml:space="preserve">Quantitative distance assertion near narrative rounding tolerance</w:t>
            </w:r>
          </w:p>
        </w:tc>
        <w:tc>
          <w:tcPr/>
          <w:p>
            <w:pPr>
              <w:pStyle w:val="Compact"/>
              <w:jc w:val="left"/>
            </w:pPr>
            <w:r>
              <w:rPr>
                <w:iCs/>
                <w:i/>
              </w:rPr>
              <w:t xml:space="preserve">“</w:t>
            </w:r>
            <w:r>
              <w:rPr>
                <w:iCs/>
                <w:i/>
              </w:rPr>
              <w:t xml:space="preserve">Top choice is</w:t>
            </w:r>
            <w:r>
              <w:rPr>
                <w:iCs/>
                <w:i/>
              </w:rPr>
              <w:t xml:space="preserve"> </w:t>
            </w:r>
            <w:r>
              <w:rPr>
                <w:bCs/>
                <w:b/>
                <w:iCs/>
                <w:i/>
              </w:rPr>
              <w:t xml:space="preserve">Pantai Padang</w:t>
            </w:r>
            <w:r>
              <w:rPr>
                <w:iCs/>
                <w:i/>
              </w:rPr>
              <w:t xml:space="preserve"> </w:t>
            </w:r>
            <w:r>
              <w:rPr>
                <w:iCs/>
                <w:i/>
              </w:rPr>
              <w:t xml:space="preserve">(approximately 2.0 km away).</w:t>
            </w:r>
            <w:r>
              <w:rPr>
                <w:iCs/>
                <w:i/>
              </w:rPr>
              <w:t xml:space="preserve">”</w:t>
            </w:r>
            <w:r>
              <w:t xml:space="preserve"> </w:t>
            </w:r>
            <w:r>
              <w:t xml:space="preserve">(Exact computed spherical distance: 1.5 km).</w:t>
            </w:r>
          </w:p>
        </w:tc>
        <w:tc>
          <w:tcPr/>
          <w:p>
            <w:pPr>
              <w:pStyle w:val="Compact"/>
              <w:jc w:val="left"/>
            </w:pPr>
            <w:r>
              <w:t xml:space="preserve">Tolerated if numerical discrepancy</w:t>
            </w:r>
            <w:r>
              <w:t xml:space="preserve"> </w:t>
            </w:r>
            <m:oMath>
              <m:r>
                <m:rPr>
                  <m:sty m:val="p"/>
                </m:rPr>
                <m:t>≤</m:t>
              </m:r>
              <m:r>
                <m:rPr>
                  <m:sty m:val="p"/>
                </m:rPr>
                <m:t>±</m:t>
              </m:r>
              <m:r>
                <m:t>0.6</m:t>
              </m:r>
              <m:r>
                <m:rPr>
                  <m:nor/>
                  <m:sty m:val="p"/>
                </m:rPr>
                <m:t> km</m:t>
              </m:r>
            </m:oMath>
            <w:r>
              <w:t xml:space="preserve"> </w:t>
            </w:r>
            <w:r>
              <w:t xml:space="preserve">(</w:t>
            </w:r>
            <m:oMath>
              <m:d>
                <m:dPr>
                  <m:begChr m:val="|"/>
                  <m:endChr m:val="|"/>
                  <m:sepChr m:val=""/>
                  <m:grow/>
                </m:dPr>
                <m:e>
                  <m:r>
                    <m:t>2.0</m:t>
                  </m:r>
                  <m:r>
                    <m:rPr>
                      <m:sty m:val="p"/>
                    </m:rPr>
                    <m:t>−</m:t>
                  </m:r>
                  <m:r>
                    <m:t>1.5</m:t>
                  </m:r>
                </m:e>
              </m:d>
              <m:r>
                <m:rPr>
                  <m:sty m:val="p"/>
                </m:rPr>
                <m:t>=</m:t>
              </m:r>
              <m:r>
                <m:t>0.5</m:t>
              </m:r>
              <m:r>
                <m:rPr>
                  <m:nor/>
                  <m:sty m:val="p"/>
                </m:rPr>
                <m:t> km</m:t>
              </m:r>
              <m:r>
                <m:rPr>
                  <m:sty m:val="p"/>
                </m:rPr>
                <m:t>≤</m:t>
              </m:r>
              <m:r>
                <m:t>0.6</m:t>
              </m:r>
              <m:r>
                <m:rPr>
                  <m:nor/>
                  <m:sty m:val="p"/>
                </m:rPr>
                <m:t> km</m:t>
              </m:r>
            </m:oMath>
            <w:r>
              <w:t xml:space="preserve">). Discrepancies exceeding</w:t>
            </w:r>
            <w:r>
              <w:t xml:space="preserve"> </w:t>
            </w:r>
            <m:oMath>
              <m:r>
                <m:t>0.6</m:t>
              </m:r>
              <m:r>
                <m:rPr>
                  <m:nor/>
                  <m:sty m:val="p"/>
                </m:rPr>
                <m:t> km</m:t>
              </m:r>
            </m:oMath>
            <w:r>
              <w:t xml:space="preserve"> </w:t>
            </w:r>
            <w:r>
              <w:t xml:space="preserve">trigger violations.</w:t>
            </w:r>
          </w:p>
        </w:tc>
        <w:tc>
          <w:tcPr/>
          <w:p>
            <w:pPr>
              <w:pStyle w:val="Compact"/>
              <w:jc w:val="center"/>
            </w:pPr>
            <w:r>
              <w:rPr>
                <w:bCs/>
                <w:b/>
              </w:rPr>
              <w:t xml:space="preserve">CONDITIONAL (Tolerance</w:t>
            </w:r>
            <w:r>
              <w:rPr>
                <w:bCs/>
                <w:b/>
              </w:rPr>
              <w:t xml:space="preserve"> </w:t>
            </w:r>
            <m:oMath>
              <m:r>
                <m:rPr>
                  <m:sty m:val="p"/>
                </m:rPr>
                <m:t>≤</m:t>
              </m:r>
              <m:r>
                <m:t>0.6</m:t>
              </m:r>
            </m:oMath>
            <w:r>
              <w:rPr>
                <w:bCs/>
                <w:b/>
              </w:rPr>
              <w:t xml:space="preserve"> </w:t>
            </w:r>
            <w:r>
              <w:rPr>
                <w:bCs/>
                <w:b/>
              </w:rPr>
              <w:t xml:space="preserve">km)</w:t>
            </w:r>
          </w:p>
        </w:tc>
      </w:tr>
      <w:tr>
        <w:tc>
          <w:tcPr/>
          <w:p>
            <w:pPr>
              <w:pStyle w:val="Compact"/>
              <w:jc w:val="left"/>
            </w:pPr>
            <w:r>
              <w:rPr>
                <w:bCs/>
                <w:b/>
              </w:rPr>
              <w:t xml:space="preserve">4. Out-of-Schema Information (</w:t>
            </w:r>
            <w:r>
              <w:rPr>
                <w:iCs/>
                <w:i/>
                <w:bCs/>
                <w:b/>
              </w:rPr>
              <w:t xml:space="preserve">Unverifiable</w:t>
            </w:r>
            <w:r>
              <w:rPr>
                <w:bCs/>
                <w:b/>
              </w:rPr>
              <w:t xml:space="preserve">)</w:t>
            </w:r>
          </w:p>
        </w:tc>
        <w:tc>
          <w:tcPr/>
          <w:p>
            <w:pPr>
              <w:pStyle w:val="Compact"/>
              <w:jc w:val="left"/>
            </w:pPr>
            <w:r>
              <w:t xml:space="preserve">Qualitative descriptive assertion or external amenities not modeled in relational schema</w:t>
            </w:r>
          </w:p>
        </w:tc>
        <w:tc>
          <w:tcPr/>
          <w:p>
            <w:pPr>
              <w:pStyle w:val="Compact"/>
              <w:jc w:val="left"/>
            </w:pPr>
            <w:r>
              <w:rPr>
                <w:iCs/>
                <w:i/>
              </w:rPr>
              <w:t xml:space="preserve">“</w:t>
            </w:r>
            <w:r>
              <w:rPr>
                <w:iCs/>
                <w:i/>
              </w:rPr>
              <w:t xml:space="preserve">Visit</w:t>
            </w:r>
            <w:r>
              <w:rPr>
                <w:iCs/>
                <w:i/>
              </w:rPr>
              <w:t xml:space="preserve"> </w:t>
            </w:r>
            <w:r>
              <w:rPr>
                <w:bCs/>
                <w:b/>
                <w:iCs/>
                <w:i/>
              </w:rPr>
              <w:t xml:space="preserve">Pantai Padang</w:t>
            </w:r>
            <w:r>
              <w:rPr>
                <w:iCs/>
                <w:i/>
              </w:rPr>
              <w:t xml:space="preserve"> </w:t>
            </w:r>
            <w:r>
              <w:rPr>
                <w:iCs/>
                <w:i/>
              </w:rPr>
              <w:t xml:space="preserve">(free, 1.5 km). Nearby are numerous fresh coconut stalls and budget hotels.</w:t>
            </w:r>
            <w:r>
              <w:rPr>
                <w:iCs/>
                <w:i/>
              </w:rPr>
              <w:t xml:space="preserve">”</w:t>
            </w:r>
          </w:p>
        </w:tc>
        <w:tc>
          <w:tcPr/>
          <w:p>
            <w:pPr>
              <w:pStyle w:val="Compact"/>
              <w:jc w:val="left"/>
            </w:pPr>
            <w:r>
              <w:t xml:space="preserve">Core entity, price, and distance claims verified and approved. Non-schema qualitative assertions are permitted (</w:t>
            </w:r>
            <w:r>
              <w:rPr>
                <w:iCs/>
                <w:i/>
              </w:rPr>
              <w:t xml:space="preserve">permissive</w:t>
            </w:r>
            <w:r>
              <w:t xml:space="preserve">) provided valid entities are preserved without core factual breach.</w:t>
            </w:r>
          </w:p>
        </w:tc>
        <w:tc>
          <w:tcPr/>
          <w:p>
            <w:pPr>
              <w:pStyle w:val="Compact"/>
              <w:jc w:val="center"/>
            </w:pPr>
            <w:r>
              <w:rPr>
                <w:bCs/>
                <w:b/>
              </w:rPr>
              <w:t xml:space="preserve">PERMITTED (Non-Schema Permissive)</w:t>
            </w:r>
          </w:p>
        </w:tc>
      </w:tr>
      <w:tr>
        <w:tc>
          <w:tcPr/>
          <w:p>
            <w:pPr>
              <w:pStyle w:val="Compact"/>
              <w:jc w:val="left"/>
            </w:pPr>
            <w:r>
              <w:rPr>
                <w:bCs/>
                <w:b/>
              </w:rPr>
              <w:t xml:space="preserve">5. Empty Response Anomaly (</w:t>
            </w:r>
            <w:r>
              <w:rPr>
                <w:iCs/>
                <w:i/>
                <w:bCs/>
                <w:b/>
              </w:rPr>
              <w:t xml:space="preserve">Empty / Whitespace</w:t>
            </w:r>
            <w:r>
              <w:rPr>
                <w:bCs/>
                <w:b/>
              </w:rPr>
              <w:t xml:space="preserve">)</w:t>
            </w:r>
          </w:p>
        </w:tc>
        <w:tc>
          <w:tcPr/>
          <w:p>
            <w:pPr>
              <w:pStyle w:val="Compact"/>
              <w:jc w:val="left"/>
            </w:pPr>
            <w:r>
              <w:t xml:space="preserve">LLM generator returns empty string or whitespace despite available SQL facts</w:t>
            </w:r>
          </w:p>
        </w:tc>
        <w:tc>
          <w:tcPr/>
          <w:p>
            <w:pPr>
              <w:pStyle w:val="Compact"/>
              <w:jc w:val="left"/>
            </w:pPr>
            <w:r>
              <w:rPr>
                <w:rStyle w:val="VerbatimChar"/>
              </w:rPr>
              <w:t xml:space="preserve">""</w:t>
            </w:r>
            <w:r>
              <w:t xml:space="preserve"> </w:t>
            </w:r>
            <w:r>
              <w:t xml:space="preserve">or</w:t>
            </w:r>
            <w:r>
              <w:t xml:space="preserve"> </w:t>
            </w:r>
            <w:r>
              <w:rPr>
                <w:rStyle w:val="VerbatimChar"/>
              </w:rPr>
              <w:t xml:space="preserve">"   \n\t  "</w:t>
            </w:r>
          </w:p>
        </w:tc>
        <w:tc>
          <w:tcPr/>
          <w:p>
            <w:pPr>
              <w:pStyle w:val="Compact"/>
              <w:jc w:val="left"/>
            </w:pPr>
            <w:r>
              <w:t xml:space="preserve">Triggers immediate fail-closed violation:</w:t>
            </w:r>
            <w:r>
              <w:t xml:space="preserve"> </w:t>
            </w:r>
            <w:r>
              <w:rPr>
                <w:iCs/>
                <w:i/>
              </w:rPr>
              <w:t xml:space="preserve">“</w:t>
            </w:r>
            <w:r>
              <w:rPr>
                <w:iCs/>
                <w:i/>
              </w:rPr>
              <w:t xml:space="preserve">Empty narrative response while SQL facts are present</w:t>
            </w:r>
            <w:r>
              <w:rPr>
                <w:iCs/>
                <w:i/>
              </w:rPr>
              <w:t xml:space="preserve">”</w:t>
            </w:r>
            <w:r>
              <w:t xml:space="preserve">. Replaces payload with deterministic fallback template.</w:t>
            </w:r>
          </w:p>
        </w:tc>
        <w:tc>
          <w:tcPr/>
          <w:p>
            <w:pPr>
              <w:pStyle w:val="Compact"/>
              <w:jc w:val="center"/>
            </w:pPr>
            <w:r>
              <w:rPr>
                <w:bCs/>
                <w:b/>
              </w:rPr>
              <w:t xml:space="preserve">REJECTED (Fail-Closed Safety Net)</w:t>
            </w:r>
          </w:p>
        </w:tc>
      </w:tr>
    </w:tbl>
    <w:p>
      <w:pPr>
        <w:pStyle w:val="BodyText"/>
      </w:pPr>
      <w:r>
        <w:t xml:space="preserve">To assess</w:t>
      </w:r>
      <w:r>
        <w:t xml:space="preserve"> </w:t>
      </w:r>
      <w:r>
        <w:rPr>
          <w:rStyle w:val="VerbatimChar"/>
        </w:rPr>
        <w:t xml:space="preserve">GroundingValidator</w:t>
      </w:r>
      <w:r>
        <w:t xml:space="preserve"> </w:t>
      </w:r>
      <w:r>
        <w:t xml:space="preserve">robustness independently of the 40 primary scenarios, a diagnostic evaluation (</w:t>
      </w:r>
      <w:r>
        <w:rPr>
          <w:iCs/>
          <w:i/>
        </w:rPr>
        <w:t xml:space="preserve">Confusion Matrix Evaluation</w:t>
      </w:r>
      <w:r>
        <w:t xml:space="preserve">) was executed on an annotated test corpus of 20 controlled evaluation samples (10 factual positive instances vs 10 controlled negative hallucinatory instances). The test set systematically covers price distortions, extreme spatial distance hallucinations, fabricated 24h operational claims, unretrieved entities, fictional POIs, local Minangkabau dialect aliases (</w:t>
      </w:r>
      <w:r>
        <w:rPr>
          <w:iCs/>
          <w:i/>
        </w:rPr>
        <w:t xml:space="preserve">“</w:t>
      </w:r>
      <w:r>
        <w:rPr>
          <w:iCs/>
          <w:i/>
        </w:rPr>
        <w:t xml:space="preserve">Aia Manih</w:t>
      </w:r>
      <w:r>
        <w:rPr>
          <w:iCs/>
          <w:i/>
        </w:rPr>
        <w:t xml:space="preserve">”</w:t>
      </w:r>
      <w:r>
        <w:t xml:space="preserve">), negative claims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and whitespace outputs (Table 4c).</w:t>
      </w:r>
    </w:p>
    <w:p>
      <w:pPr>
        <w:pStyle w:val="BodyText"/>
      </w:pPr>
      <w:r>
        <w:rPr>
          <w:bCs/>
          <w:b/>
        </w:rPr>
        <w:t xml:space="preserve">Table 4c. Diagnostic Confusion Matrix for GroundingValidator Module (20 Controlled Test Cases)</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Ground Truth Annotation</w:t>
            </w:r>
          </w:p>
        </w:tc>
        <w:tc>
          <w:tcPr/>
          <w:p>
            <w:pPr>
              <w:pStyle w:val="Compact"/>
              <w:jc w:val="center"/>
            </w:pPr>
            <w:r>
              <w:t xml:space="preserve">Validator Decision: Grounded</w:t>
            </w:r>
          </w:p>
        </w:tc>
        <w:tc>
          <w:tcPr/>
          <w:p>
            <w:pPr>
              <w:pStyle w:val="Compact"/>
              <w:jc w:val="center"/>
            </w:pPr>
            <w:r>
              <w:t xml:space="preserve">Validator Decision: Rejected (</w:t>
            </w:r>
            <w:r>
              <w:rPr>
                <w:iCs/>
                <w:i/>
              </w:rPr>
              <w:t xml:space="preserve">Violation / Fail-Closed</w:t>
            </w:r>
            <w:r>
              <w:t xml:space="preserve">)</w:t>
            </w:r>
          </w:p>
        </w:tc>
        <w:tc>
          <w:tcPr/>
          <w:p>
            <w:pPr>
              <w:pStyle w:val="Compact"/>
              <w:jc w:val="center"/>
            </w:pPr>
            <w:r>
              <w:t xml:space="preserve">Total Cases</w:t>
            </w:r>
          </w:p>
        </w:tc>
      </w:tr>
      <w:tr>
        <w:tc>
          <w:tcPr/>
          <w:p>
            <w:pPr>
              <w:pStyle w:val="Compact"/>
              <w:jc w:val="left"/>
            </w:pPr>
            <w:r>
              <w:rPr>
                <w:bCs/>
                <w:b/>
              </w:rPr>
              <w:t xml:space="preserve">Valid Factual Sample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samples</w:t>
            </w:r>
          </w:p>
        </w:tc>
      </w:tr>
      <w:tr>
        <w:tc>
          <w:tcPr/>
          <w:p>
            <w:pPr>
              <w:pStyle w:val="Compact"/>
              <w:jc w:val="left"/>
            </w:pPr>
            <w:r>
              <w:rPr>
                <w:bCs/>
                <w:b/>
              </w:rPr>
              <w:t xml:space="preserve">Hallucinatory / Anomaly Sample (</w:t>
            </w:r>
            <w:r>
              <w:rPr>
                <w:iCs/>
                <w:i/>
                <w:bCs/>
                <w:b/>
              </w:rPr>
              <w:t xml:space="preserve">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samples</w:t>
            </w:r>
          </w:p>
        </w:tc>
      </w:tr>
      <w:tr>
        <w:tc>
          <w:tcPr/>
          <w:p>
            <w:pPr>
              <w:pStyle w:val="Compact"/>
              <w:jc w:val="left"/>
            </w:pPr>
            <w:r>
              <w:rPr>
                <w:bCs/>
                <w:b/>
              </w:rPr>
              <w:t xml:space="preserve">TOTAL DIAGNOSTIC TEST CASES</w:t>
            </w:r>
          </w:p>
        </w:tc>
        <w:tc>
          <w:tcPr/>
          <w:p>
            <w:pPr>
              <w:pStyle w:val="Compact"/>
              <w:jc w:val="center"/>
            </w:pPr>
            <w:r>
              <w:rPr>
                <w:bCs/>
                <w:b/>
              </w:rPr>
              <w:t xml:space="preserve">10 Cases Approved</w:t>
            </w:r>
          </w:p>
        </w:tc>
        <w:tc>
          <w:tcPr/>
          <w:p>
            <w:pPr>
              <w:pStyle w:val="Compact"/>
              <w:jc w:val="center"/>
            </w:pPr>
            <w:r>
              <w:rPr>
                <w:bCs/>
                <w:b/>
              </w:rPr>
              <w:t xml:space="preserve">10 Cases Rejected</w:t>
            </w:r>
          </w:p>
        </w:tc>
        <w:tc>
          <w:tcPr/>
          <w:p>
            <w:pPr>
              <w:pStyle w:val="Compact"/>
              <w:jc w:val="center"/>
            </w:pPr>
            <w:r>
              <w:rPr>
                <w:bCs/>
                <w:b/>
              </w:rPr>
              <w:t xml:space="preserve">20 Evaluated Cases</w:t>
            </w:r>
          </w:p>
        </w:tc>
      </w:tr>
    </w:tbl>
    <w:p>
      <w:pPr>
        <w:pStyle w:val="BodyText"/>
      </w:pPr>
      <w:r>
        <w:t xml:space="preserve">Quantitative diagnostic performance metrics computed from Table 4c:</w:t>
      </w:r>
      <w:r>
        <w:t xml:space="preserve"> </w:t>
      </w:r>
      <w:r>
        <w:t xml:space="preserve">-</w:t>
      </w:r>
      <w:r>
        <w:t xml:space="preserve"> </w:t>
      </w:r>
      <w:r>
        <w:rPr>
          <w:bCs/>
          <w:b/>
        </w:rPr>
        <w:t xml:space="preserve">Diagnostic Accuracy:</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100.00</m:t>
        </m:r>
        <m:r>
          <m:rPr>
            <m:sty m:val="b"/>
          </m:rPr>
          <m:t>%</m:t>
        </m:r>
      </m:oMath>
      <w:r>
        <w:t xml:space="preserve"> </w:t>
      </w:r>
      <w:r>
        <w:t xml:space="preserve">-</w:t>
      </w:r>
      <w:r>
        <w:t xml:space="preserve"> </w:t>
      </w:r>
      <w:r>
        <w:rPr>
          <w:bCs/>
          <w:b/>
        </w:rPr>
        <w:t xml:space="preserve">Precision (Positive Predictive Value):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Sensitivity / Recall (True Positive Rate):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Specificity (True Negative Rate):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F1-Score:</w:t>
      </w:r>
      <w:r>
        <w:t xml:space="preserve"> </w:t>
      </w:r>
      <m:oMath>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r>
          <m:rPr>
            <m:sty m:val="b"/>
          </m:rPr>
          <m:t>100.00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0.00</m:t>
        </m:r>
        <m:r>
          <m:rPr>
            <m:sty m:val="b"/>
          </m:rPr>
          <m:t>%</m:t>
        </m:r>
      </m:oMath>
      <w:r>
        <w:t xml:space="preserve"> </w:t>
      </w:r>
      <w:r>
        <w:t xml:space="preserve">(Zero hallucinations leak to user)</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0.00</m:t>
        </m:r>
        <m:r>
          <m:rPr>
            <m:sty m:val="b"/>
          </m:rPr>
          <m:t>%</m:t>
        </m:r>
      </m:oMath>
      <w:r>
        <w:t xml:space="preserve"> </w:t>
      </w:r>
      <w:r>
        <w:t xml:space="preserve">(Zero factual responses rejected falsely)</w:t>
      </w:r>
    </w:p>
    <w:p>
      <w:pPr>
        <w:pStyle w:val="BodyText"/>
      </w:pPr>
      <w:r>
        <w:t xml:space="preserve">This diagnostic validation confirms that context-isolated regular expression auditing, local dialect alias normalization, and fail-closed fallback mechanisms collectively safeguard conversational interactions from generative model hallucinations within the modeled application domain.</w:t>
      </w:r>
    </w:p>
    <w:bookmarkEnd w:id="77"/>
    <w:bookmarkStart w:id="79" w:name="X9d7ce6f36501861e202a658b824b9be0c1c5ab0"/>
    <w:p>
      <w:pPr>
        <w:pStyle w:val="Heading4"/>
      </w:pPr>
      <w:r>
        <w:t xml:space="preserve">4.2.3 Data Provenance and Scientific Scope Boundaries of the 22 Tourism POI Dataset</w:t>
      </w:r>
    </w:p>
    <w:p>
      <w:pPr>
        <w:pStyle w:val="FirstParagraph"/>
      </w:pPr>
      <w:r>
        <w:t xml:space="preserve">The curated catalog of 22 Points of Interest (POIs) in Padang City, maintained within the</w:t>
      </w:r>
      <w:r>
        <w:t xml:space="preserve"> </w:t>
      </w:r>
      <w:r>
        <w:rPr>
          <w:rStyle w:val="VerbatimChar"/>
        </w:rPr>
        <w:t xml:space="preserve">wisata</w:t>
      </w:r>
      <w:r>
        <w:t xml:space="preserve"> </w:t>
      </w:r>
      <w:r>
        <w:t xml:space="preserve">relational table, was curated under rigorous data provenance protocols. All geospatial coordinates were verified against the official Indonesian Topographical Base Map (</w:t>
      </w:r>
      <w:r>
        <w:rPr>
          <w:iCs/>
          <w:i/>
        </w:rPr>
        <w:t xml:space="preserve">Peta Rupa Bumi Indonesia</w:t>
      </w:r>
      <w:r>
        <w:t xml:space="preserve"> </w:t>
      </w:r>
      <w:r>
        <w:t xml:space="preserve">/ RBI, scale 1:25,000) published by the Geospatial Information Agency (</w:t>
      </w:r>
      <w:r>
        <w:rPr>
          <w:iCs/>
          <w:i/>
        </w:rPr>
        <w:t xml:space="preserve">Badan Informasi Geospasial</w:t>
      </w:r>
      <w:r>
        <w:t xml:space="preserve"> </w:t>
      </w:r>
      <w:r>
        <w:t xml:space="preserve">/ BIG) and cross-validated with OpenStreetMap (OSM). Admission fees reflect Padang Municipal Regulation (</w:t>
      </w:r>
      <w:r>
        <w:rPr>
          <w:iCs/>
          <w:i/>
        </w:rPr>
        <w:t xml:space="preserve">Peraturan Daerah</w:t>
      </w:r>
      <w:r>
        <w:t xml:space="preserve">) No. 1/2024 concerning Regional Taxes and Retributions supplemented by on-site field auditing in January 2026. Operating schedules conform strictly to official Padang Tourism Office (</w:t>
      </w:r>
      <w:r>
        <w:rPr>
          <w:iCs/>
          <w:i/>
        </w:rPr>
        <w:t xml:space="preserve">Dinas Pariwisata Kota Padang</w:t>
      </w:r>
      <w:r>
        <w:t xml:space="preserve">) regulations, and visual assets are procedurally generated, copyright-free SVG vector illustrations. Comprehensive metadata, coordinate verification sources, regulatory citations, and license trails are permanently cataloged in</w:t>
      </w:r>
      <w:r>
        <w:t xml:space="preserve"> </w:t>
      </w:r>
      <w:hyperlink r:id="rId78">
        <w:r>
          <w:rPr>
            <w:rStyle w:val="VerbatimChar"/>
          </w:rPr>
          <w:t xml:space="preserve">benchmark/DATASET_PROVENANCE_22_POI.md</w:t>
        </w:r>
      </w:hyperlink>
      <w:r>
        <w:t xml:space="preserve">.</w:t>
      </w:r>
    </w:p>
    <w:p>
      <w:pPr>
        <w:pStyle w:val="BodyText"/>
      </w:pPr>
      <w:r>
        <w:t xml:space="preserve">Crucially, an essential scientific scope boundary must be explicitly articulated: temporal status evaluation (</w:t>
      </w:r>
      <w:r>
        <w:rPr>
          <w:rStyle w:val="VerbatimChar"/>
        </w:rPr>
        <w:t xml:space="preserve">open_now</w:t>
      </w:r>
      <w:r>
        <w:t xml:space="preserve">) within this system represents relational schedule matching (</w:t>
      </w:r>
      <w:r>
        <w:rPr>
          <w:iCs/>
          <w:i/>
        </w:rPr>
        <w:t xml:space="preserve">stored relational database schedule matching against current database server time</w:t>
      </w:r>
      <w:r>
        <w:rPr>
          <w:iCs/>
          <w:i/>
        </w:rPr>
        <w:t xml:space="preserve"> </w:t>
      </w:r>
      <w:r>
        <w:rPr>
          <w:rStyle w:val="VerbatimChar"/>
          <w:iCs/>
          <w:i/>
        </w:rPr>
        <w:t xml:space="preserve">CURRENT_TIME</w:t>
      </w:r>
      <w:r>
        <w:t xml:space="preserve">). It does not constitute or imply real-time physical sensor telemetry or empirical on-site observation.</w:t>
      </w:r>
    </w:p>
    <w:bookmarkEnd w:id="79"/>
    <w:bookmarkEnd w:id="80"/>
    <w:bookmarkStart w:id="84"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6"/>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6"/>
        </w:numPr>
      </w:pPr>
      <w:r>
        <w:rPr>
          <w:bCs/>
          <w:b/>
        </w:rPr>
        <w:t xml:space="preserve">Context-Aware Spatial Fallback with Explicit Notification (Scenario 35 - F4):</w:t>
      </w:r>
      <w:r>
        <w:br/>
      </w:r>
      <w:r>
        <w:t xml:space="preserve">When a tourist queries the system from an origin coordinate situated far outside Padang City’s operational boundary (&gt;35 km, e.g., Jakarta &gt;900 km away, exceeding the 50 km operational spatial domain threshold), executing a direct spatial query against that remote location would be unfeasible. Rather than silently modifying the coordinate reference point or corrupting intent,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6"/>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82" name="Picture"/>
            <a:graphic>
              <a:graphicData uri="http://schemas.openxmlformats.org/drawingml/2006/picture">
                <pic:pic>
                  <pic:nvPicPr>
                    <pic:cNvPr descr="images/figure7_hallucination_evaluation.png" id="83" name="Picture"/>
                    <pic:cNvPicPr>
                      <a:picLocks noChangeArrowheads="1" noChangeAspect="1"/>
                    </pic:cNvPicPr>
                  </pic:nvPicPr>
                  <pic:blipFill>
                    <a:blip r:embed="rId8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End w:id="84"/>
    <w:bookmarkStart w:id="85"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 The protocol formally delineates two execution regimes:</w:t>
      </w:r>
      <w:r>
        <w:t xml:space="preserve"> </w:t>
      </w:r>
      <w:r>
        <w:rPr>
          <w:bCs/>
          <w:b/>
        </w:rPr>
        <w:t xml:space="preserve">Live API Mode (</w:t>
      </w:r>
      <w:r>
        <w:rPr>
          <w:rStyle w:val="VerbatimChar"/>
          <w:bCs/>
          <w:b/>
        </w:rPr>
        <w:t xml:space="preserve">--live</w:t>
      </w:r>
      <w:r>
        <w:rPr>
          <w:bCs/>
          <w:b/>
        </w:rPr>
        <w:t xml:space="preserve">)</w:t>
      </w:r>
      <w:r>
        <w:t xml:space="preserve"> </w:t>
      </w:r>
      <w:r>
        <w:t xml:space="preserve">via HTTPS network calls to the DeepSeek-V3 endpoint, and</w:t>
      </w:r>
      <w:r>
        <w:t xml:space="preserve"> </w:t>
      </w:r>
      <w:r>
        <w:rPr>
          <w:bCs/>
          <w:b/>
        </w:rPr>
        <w:t xml:space="preserve">Standardized Deterministic Benchmark Mode (</w:t>
      </w:r>
      <w:r>
        <w:rPr>
          <w:rStyle w:val="VerbatimChar"/>
          <w:bCs/>
          <w:b/>
        </w:rPr>
        <w:t xml:space="preserve">--mock</w:t>
      </w:r>
      <w:r>
        <w:rPr>
          <w:bCs/>
          <w:b/>
        </w:rPr>
        <w:t xml:space="preserve"> </w:t>
      </w:r>
      <w:r>
        <w:rPr>
          <w:bCs/>
          <w:b/>
        </w:rPr>
        <w:t xml:space="preserve">/ default)</w:t>
      </w:r>
      <w:r>
        <w:t xml:space="preserve"> </w:t>
      </w:r>
      <w:r>
        <w:t xml:space="preserve">where all invariant reasoning and spatial SQL executions are run against the live local MySQL 8.0</w:t>
      </w:r>
      <w:r>
        <w:t xml:space="preserve"> </w:t>
      </w:r>
      <w:r>
        <w:rPr>
          <w:rStyle w:val="VerbatimChar"/>
        </w:rPr>
        <w:t xml:space="preserve">geo_db</w:t>
      </w:r>
      <w:r>
        <w:t xml:space="preserve"> </w:t>
      </w:r>
      <w:r>
        <w:t xml:space="preserve">database to ensure 100% bit-exact offline reproducibility. Complete per-trial execution outputs (</w:t>
      </w:r>
      <m:oMath>
        <m:r>
          <m:t>40</m:t>
        </m:r>
        <m:r>
          <m:rPr>
            <m:nor/>
            <m:sty m:val="p"/>
          </m:rPr>
          <m:t> scenarios</m:t>
        </m:r>
        <m:r>
          <m:rPr>
            <m:sty m:val="p"/>
          </m:rPr>
          <m:t>×</m:t>
        </m:r>
        <m:r>
          <m:t>3</m:t>
        </m:r>
        <m:r>
          <m:rPr>
            <m:nor/>
            <m:sty m:val="p"/>
          </m:rPr>
          <m:t> replications</m:t>
        </m:r>
        <m:r>
          <m:rPr>
            <m:sty m:val="p"/>
          </m:rPr>
          <m:t>=</m:t>
        </m:r>
        <m:r>
          <m:t>120</m:t>
        </m:r>
        <m:r>
          <m:rPr>
            <m:nor/>
            <m:sty m:val="p"/>
          </m:rPr>
          <m:t> evaluations</m:t>
        </m:r>
      </m:oMath>
      <w:r>
        <w:t xml:space="preserve">) are archived in</w:t>
      </w:r>
      <w:r>
        <w:t xml:space="preserve"> </w:t>
      </w:r>
      <w:r>
        <w:rPr>
          <w:rStyle w:val="VerbatimChar"/>
        </w:rPr>
        <w:t xml:space="preserve">raw_evaluations.json</w:t>
      </w:r>
      <w:r>
        <w:t xml:space="preserve"> </w:t>
      </w:r>
      <w:r>
        <w:t xml:space="preserve">across all benchmark directories:</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Target Database Engine</w:t>
            </w:r>
          </w:p>
        </w:tc>
        <w:tc>
          <w:tcPr/>
          <w:p>
            <w:pPr>
              <w:pStyle w:val="Compact"/>
              <w:jc w:val="left"/>
            </w:pPr>
            <w:r>
              <w:t xml:space="preserve">None (Zero DB access)</w:t>
            </w:r>
          </w:p>
        </w:tc>
        <w:tc>
          <w:tcPr/>
          <w:p>
            <w:pPr>
              <w:pStyle w:val="Compact"/>
              <w:jc w:val="left"/>
            </w:pPr>
            <w:r>
              <w:t xml:space="preserve">MySQL 8.0.45</w:t>
            </w:r>
            <w:r>
              <w:t xml:space="preserve"> </w:t>
            </w:r>
            <w:r>
              <w:rPr>
                <w:rStyle w:val="VerbatimChar"/>
              </w:rPr>
              <w:t xml:space="preserve">geo_db</w:t>
            </w:r>
            <w:r>
              <w:t xml:space="preserve"> </w:t>
            </w:r>
            <w:r>
              <w:t xml:space="preserve">(Live SQL execution)</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8.0.45</w:t>
            </w:r>
            <w:r>
              <w:t xml:space="preserve"> </w:t>
            </w:r>
            <w:r>
              <w:rPr>
                <w:rStyle w:val="VerbatimChar"/>
              </w:rPr>
              <w:t xml:space="preserve">geo_db</w:t>
            </w:r>
            <w:r>
              <w:t xml:space="preserve"> </w:t>
            </w:r>
            <w:r>
              <w:t xml:space="preserve">(Live compiled SQL execution)</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r>
        <w:tc>
          <w:tcPr/>
          <w:p>
            <w:pPr>
              <w:pStyle w:val="Compact"/>
              <w:jc w:val="left"/>
            </w:pPr>
            <w:r>
              <w:rPr>
                <w:bCs/>
                <w:b/>
              </w:rPr>
              <w:t xml:space="preserve">Raw Output Storage</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Internal RAG test logs</w:t>
            </w:r>
          </w:p>
        </w:tc>
        <w:tc>
          <w:tcPr/>
          <w:p>
            <w:pPr>
              <w:pStyle w:val="Compact"/>
              <w:jc w:val="left"/>
            </w:pPr>
            <w:r>
              <w:t xml:space="preserve">User interaction logs</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85"/>
    <w:bookmarkStart w:id="89" w:name="ablation-study"/>
    <w:p>
      <w:pPr>
        <w:pStyle w:val="Heading3"/>
      </w:pPr>
      <w:r>
        <w:t xml:space="preserve">4.5 Ablation Study</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92.50% (Field: 99.25%)</w:t>
            </w:r>
          </w:p>
        </w:tc>
        <w:tc>
          <w:tcPr/>
          <w:p>
            <w:pPr>
              <w:pStyle w:val="Compact"/>
              <w:jc w:val="center"/>
            </w:pPr>
            <w:r>
              <w:rPr>
                <w:bCs/>
                <w:b/>
              </w:rPr>
              <w:t xml:space="preserve">Enforced (Safety Invariant)</w:t>
            </w:r>
          </w:p>
        </w:tc>
        <w:tc>
          <w:tcPr/>
          <w:p>
            <w:pPr>
              <w:pStyle w:val="Compact"/>
              <w:jc w:val="center"/>
            </w:pPr>
            <w:r>
              <w:rPr>
                <w:bCs/>
                <w:b/>
              </w:rPr>
              <w:t xml:space="preserve">100.00% (Overall: 100.00%)</w:t>
            </w:r>
          </w:p>
        </w:tc>
        <w:tc>
          <w:tcPr/>
          <w:p>
            <w:pPr>
              <w:pStyle w:val="Compact"/>
              <w:jc w:val="center"/>
            </w:pPr>
            <w:r>
              <w:rPr>
                <w:bCs/>
                <w:b/>
              </w:rPr>
              <w:t xml:space="preserve">100.00% (304/304 claims)</w:t>
            </w:r>
          </w:p>
        </w:tc>
        <w:tc>
          <w:tcPr/>
          <w:p>
            <w:pPr>
              <w:pStyle w:val="Compact"/>
              <w:jc w:val="center"/>
            </w:pPr>
            <w:r>
              <w:rPr>
                <w:bCs/>
                <w:b/>
              </w:rPr>
              <w:t xml:space="preserve">0.00% (0 Fabricated POIs)</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predicate correctness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Correctness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100.00% (Overall: 100.00%)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observing zero fabricated entities across evaluated scenarios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(304/304 claims) &amp; 0.00% Fabricated POIs</w:t>
            </w:r>
            <w:r>
              <w:t xml:space="preserve"> </w:t>
            </w:r>
            <w:r>
              <w:t xml:space="preserve">(Verifies price, hours, distance, and entity names)</w:t>
            </w:r>
          </w:p>
        </w:tc>
        <w:tc>
          <w:tcPr/>
          <w:p>
            <w:pPr>
              <w:pStyle w:val="Compact"/>
              <w:jc w:val="left"/>
            </w:pPr>
            <w:r>
              <w:t xml:space="preserve">Validates quantitative factual correctness before payload dispatch to browser client</w:t>
            </w:r>
          </w:p>
        </w:tc>
      </w:tr>
    </w:tbl>
    <w:p>
      <w:pPr>
        <w:pStyle w:val="BodyText"/>
      </w:pPr>
      <w:r>
        <w:t xml:space="preserve">To provide scientific transparency through rigorous pairwise comparisons and isolate specific real-world failure manifestations, Table 7c details the pairwise breakdown of the complete system against ablation variants and baselines, documenting failure counts, observed incident exemplars, latency overheads, and false rejection consequences.</w:t>
      </w:r>
    </w:p>
    <w:p>
      <w:pPr>
        <w:pStyle w:val="BodyText"/>
      </w:pPr>
      <w:r>
        <w:rPr>
          <w:bCs/>
          <w:b/>
        </w:rPr>
        <w:t xml:space="preserve">Table 7c. Pairwise Ablation Breakdown &amp; Real-World Failure Incidents When Modules Are Disabled</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Experimental Configuration</w:t>
            </w:r>
          </w:p>
        </w:tc>
        <w:tc>
          <w:tcPr/>
          <w:p>
            <w:pPr>
              <w:pStyle w:val="Compact"/>
              <w:jc w:val="left"/>
            </w:pPr>
            <w:r>
              <w:t xml:space="preserve">Disabled Component Status</w:t>
            </w:r>
          </w:p>
        </w:tc>
        <w:tc>
          <w:tcPr/>
          <w:p>
            <w:pPr>
              <w:pStyle w:val="Compact"/>
              <w:jc w:val="center"/>
            </w:pPr>
            <w:r>
              <w:t xml:space="preserve">Failed Cases (</w:t>
            </w:r>
            <m:oMath>
              <m:r>
                <m:t>N</m:t>
              </m:r>
            </m:oMath>
            <w:r>
              <w:t xml:space="preserve"> </w:t>
            </w:r>
            <w:r>
              <w:t xml:space="preserve">Deviations)</w:t>
            </w:r>
          </w:p>
        </w:tc>
        <w:tc>
          <w:tcPr/>
          <w:p>
            <w:pPr>
              <w:pStyle w:val="Compact"/>
              <w:jc w:val="left"/>
            </w:pPr>
            <w:r>
              <w:t xml:space="preserve">Concrete Real-World Failure Exemplar Observed</w:t>
            </w:r>
          </w:p>
        </w:tc>
        <w:tc>
          <w:tcPr/>
          <w:p>
            <w:pPr>
              <w:pStyle w:val="Compact"/>
              <w:jc w:val="center"/>
            </w:pPr>
            <w:r>
              <w:t xml:space="preserve">Latency Overhead</w:t>
            </w:r>
          </w:p>
        </w:tc>
        <w:tc>
          <w:tcPr/>
          <w:p>
            <w:pPr>
              <w:pStyle w:val="Compact"/>
              <w:jc w:val="center"/>
            </w:pPr>
            <w:r>
              <w:t xml:space="preserve">False Rejection Rate</w:t>
            </w:r>
          </w:p>
        </w:tc>
      </w:tr>
      <w:tr>
        <w:tc>
          <w:tcPr/>
          <w:p>
            <w:pPr>
              <w:pStyle w:val="Compact"/>
              <w:jc w:val="left"/>
            </w:pPr>
            <w:r>
              <w:rPr>
                <w:bCs/>
                <w:b/>
              </w:rPr>
              <w:t xml:space="preserve">Complete System (Dual Control Boundaries)</w:t>
            </w:r>
          </w:p>
        </w:tc>
        <w:tc>
          <w:tcPr/>
          <w:p>
            <w:pPr>
              <w:pStyle w:val="Compact"/>
              <w:jc w:val="left"/>
            </w:pPr>
            <w:r>
              <w:rPr>
                <w:iCs/>
                <w:i/>
              </w:rPr>
              <w:t xml:space="preserve">Full Baseline (All Modules Active)</w:t>
            </w:r>
          </w:p>
        </w:tc>
        <w:tc>
          <w:tcPr/>
          <w:p>
            <w:pPr>
              <w:pStyle w:val="Compact"/>
              <w:jc w:val="center"/>
            </w:pPr>
            <w:r>
              <w:rPr>
                <w:bCs/>
                <w:b/>
              </w:rPr>
              <w:t xml:space="preserve">0 / 40 cases</w:t>
            </w:r>
          </w:p>
        </w:tc>
        <w:tc>
          <w:tcPr/>
          <w:p>
            <w:pPr>
              <w:pStyle w:val="Compact"/>
              <w:jc w:val="left"/>
            </w:pPr>
            <w:r>
              <w:t xml:space="preserve">Zero logic failures; out-of-scope queries honestly rejected; coordinates safe.</w:t>
            </w:r>
          </w:p>
        </w:tc>
        <w:tc>
          <w:tcPr/>
          <w:p>
            <w:pPr>
              <w:pStyle w:val="Compact"/>
              <w:jc w:val="center"/>
            </w:pPr>
            <w:r>
              <w:t xml:space="preserve">1.23 ms (SirValidator + Grounding)</w:t>
            </w:r>
          </w:p>
        </w:tc>
        <w:tc>
          <w:tcPr/>
          <w:p>
            <w:pPr>
              <w:pStyle w:val="Compact"/>
              <w:jc w:val="center"/>
            </w:pPr>
            <w:r>
              <w:rPr>
                <w:bCs/>
                <w:b/>
              </w:rPr>
              <w:t xml:space="preserve">0.00% (0 cases)</w:t>
            </w:r>
          </w:p>
        </w:tc>
      </w:tr>
      <w:tr>
        <w:tc>
          <w:tcPr/>
          <w:p>
            <w:pPr>
              <w:pStyle w:val="Compact"/>
              <w:jc w:val="left"/>
            </w:pPr>
            <w:r>
              <w:rPr>
                <w:bCs/>
                <w:b/>
              </w:rPr>
              <w:t xml:space="preserve">A1. Without Dimension 1</w:t>
            </w:r>
          </w:p>
        </w:tc>
        <w:tc>
          <w:tcPr/>
          <w:p>
            <w:pPr>
              <w:pStyle w:val="Compact"/>
              <w:jc w:val="left"/>
            </w:pPr>
            <w:r>
              <w:rPr>
                <w:iCs/>
                <w:i/>
              </w:rPr>
              <w:t xml:space="preserve">Schema &amp; Type Invariant Disabled</w:t>
            </w:r>
          </w:p>
        </w:tc>
        <w:tc>
          <w:tcPr/>
          <w:p>
            <w:pPr>
              <w:pStyle w:val="Compact"/>
              <w:jc w:val="center"/>
            </w:pPr>
            <w:r>
              <w:t xml:space="preserve">2 / 40 cases</w:t>
            </w:r>
          </w:p>
        </w:tc>
        <w:tc>
          <w:tcPr/>
          <w:p>
            <w:pPr>
              <w:pStyle w:val="Compact"/>
              <w:jc w:val="left"/>
            </w:pPr>
            <w:r>
              <w:t xml:space="preserve">XSS/HTML payload leaks to compiler, triggering 2 SQL parsing syntax errors.</w:t>
            </w:r>
          </w:p>
        </w:tc>
        <w:tc>
          <w:tcPr/>
          <w:p>
            <w:pPr>
              <w:pStyle w:val="Compact"/>
              <w:jc w:val="center"/>
            </w:pPr>
            <w:r>
              <w:t xml:space="preserve">-0.08 ms</w:t>
            </w:r>
          </w:p>
        </w:tc>
        <w:tc>
          <w:tcPr/>
          <w:p>
            <w:pPr>
              <w:pStyle w:val="Compact"/>
              <w:jc w:val="center"/>
            </w:pPr>
            <w:r>
              <w:t xml:space="preserve">0.00% (0 cases)</w:t>
            </w:r>
          </w:p>
        </w:tc>
      </w:tr>
      <w:tr>
        <w:tc>
          <w:tcPr/>
          <w:p>
            <w:pPr>
              <w:pStyle w:val="Compact"/>
              <w:jc w:val="left"/>
            </w:pPr>
            <w:r>
              <w:rPr>
                <w:bCs/>
                <w:b/>
              </w:rPr>
              <w:t xml:space="preserve">A2. Without Dimension 2</w:t>
            </w:r>
          </w:p>
        </w:tc>
        <w:tc>
          <w:tcPr/>
          <w:p>
            <w:pPr>
              <w:pStyle w:val="Compact"/>
              <w:jc w:val="left"/>
            </w:pPr>
            <w:r>
              <w:rPr>
                <w:iCs/>
                <w:i/>
              </w:rPr>
              <w:t xml:space="preserve">Padang Spatial Domain Invariant Disabled</w:t>
            </w:r>
          </w:p>
        </w:tc>
        <w:tc>
          <w:tcPr/>
          <w:p>
            <w:pPr>
              <w:pStyle w:val="Compact"/>
              <w:jc w:val="center"/>
            </w:pPr>
            <w:r>
              <w:t xml:space="preserve">3 / 40 cases</w:t>
            </w:r>
          </w:p>
        </w:tc>
        <w:tc>
          <w:tcPr/>
          <w:p>
            <w:pPr>
              <w:pStyle w:val="Compact"/>
              <w:jc w:val="left"/>
            </w:pPr>
            <w:r>
              <w:t xml:space="preserve">Out-of-jurisdiction coordinates (Jakarta) executed directly; yields 0 POIs without explanation.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A3. Without Dimension 3</w:t>
            </w:r>
          </w:p>
        </w:tc>
        <w:tc>
          <w:tcPr/>
          <w:p>
            <w:pPr>
              <w:pStyle w:val="Compact"/>
              <w:jc w:val="left"/>
            </w:pPr>
            <w:r>
              <w:rPr>
                <w:iCs/>
                <w:i/>
              </w:rPr>
              <w:t xml:space="preserve">Spatial Operator &amp; Distance Invariant Disabled</w:t>
            </w:r>
          </w:p>
        </w:tc>
        <w:tc>
          <w:tcPr/>
          <w:p>
            <w:pPr>
              <w:pStyle w:val="Compact"/>
              <w:jc w:val="center"/>
            </w:pPr>
            <w:r>
              <w:t xml:space="preserve">4 / 40 cases</w:t>
            </w:r>
          </w:p>
        </w:tc>
        <w:tc>
          <w:tcPr/>
          <w:p>
            <w:pPr>
              <w:pStyle w:val="Compact"/>
              <w:jc w:val="left"/>
            </w:pPr>
            <w:r>
              <w:t xml:space="preserve">Negative radius (-5 km) and null radius on</w:t>
            </w:r>
            <w:r>
              <w:t xml:space="preserve"> </w:t>
            </w:r>
            <w:r>
              <w:rPr>
                <w:rStyle w:val="VerbatimChar"/>
              </w:rPr>
              <w:t xml:space="preserve">within_radius</w:t>
            </w:r>
            <w:r>
              <w:t xml:space="preserve"> </w:t>
            </w:r>
            <w:r>
              <w:t xml:space="preserve">executed; fatal SQL exception.</w:t>
            </w:r>
          </w:p>
        </w:tc>
        <w:tc>
          <w:tcPr/>
          <w:p>
            <w:pPr>
              <w:pStyle w:val="Compact"/>
              <w:jc w:val="center"/>
            </w:pPr>
            <w:r>
              <w:t xml:space="preserve">-0.09 ms</w:t>
            </w:r>
          </w:p>
        </w:tc>
        <w:tc>
          <w:tcPr/>
          <w:p>
            <w:pPr>
              <w:pStyle w:val="Compact"/>
              <w:jc w:val="center"/>
            </w:pPr>
            <w:r>
              <w:t xml:space="preserve">0.00% (0 cases)</w:t>
            </w:r>
          </w:p>
        </w:tc>
      </w:tr>
      <w:tr>
        <w:tc>
          <w:tcPr/>
          <w:p>
            <w:pPr>
              <w:pStyle w:val="Compact"/>
              <w:jc w:val="left"/>
            </w:pPr>
            <w:r>
              <w:rPr>
                <w:bCs/>
                <w:b/>
              </w:rPr>
              <w:t xml:space="preserve">A4. Without Dimension 4</w:t>
            </w:r>
          </w:p>
        </w:tc>
        <w:tc>
          <w:tcPr/>
          <w:p>
            <w:pPr>
              <w:pStyle w:val="Compact"/>
              <w:jc w:val="left"/>
            </w:pPr>
            <w:r>
              <w:rPr>
                <w:iCs/>
                <w:i/>
              </w:rPr>
              <w:t xml:space="preserve">Reference Coordinate Invariant Disabled</w:t>
            </w:r>
          </w:p>
        </w:tc>
        <w:tc>
          <w:tcPr/>
          <w:p>
            <w:pPr>
              <w:pStyle w:val="Compact"/>
              <w:jc w:val="center"/>
            </w:pPr>
            <w:r>
              <w:t xml:space="preserve">2 / 40 cases</w:t>
            </w:r>
          </w:p>
        </w:tc>
        <w:tc>
          <w:tcPr/>
          <w:p>
            <w:pPr>
              <w:pStyle w:val="Compact"/>
              <w:jc w:val="left"/>
            </w:pPr>
            <w:r>
              <w:t xml:space="preserve">POI anchor resolution fails to map to WGS84 lat/lng; radial query executes without center point.</w:t>
            </w:r>
          </w:p>
        </w:tc>
        <w:tc>
          <w:tcPr/>
          <w:p>
            <w:pPr>
              <w:pStyle w:val="Compact"/>
              <w:jc w:val="center"/>
            </w:pPr>
            <w:r>
              <w:t xml:space="preserve">-0.06 ms</w:t>
            </w:r>
          </w:p>
        </w:tc>
        <w:tc>
          <w:tcPr/>
          <w:p>
            <w:pPr>
              <w:pStyle w:val="Compact"/>
              <w:jc w:val="center"/>
            </w:pPr>
            <w:r>
              <w:t xml:space="preserve">0.00% (0 cases)</w:t>
            </w:r>
          </w:p>
        </w:tc>
      </w:tr>
      <w:tr>
        <w:tc>
          <w:tcPr/>
          <w:p>
            <w:pPr>
              <w:pStyle w:val="Compact"/>
              <w:jc w:val="left"/>
            </w:pPr>
            <w:r>
              <w:rPr>
                <w:bCs/>
                <w:b/>
              </w:rPr>
              <w:t xml:space="preserve">A5. Without Dimension 5</w:t>
            </w:r>
          </w:p>
        </w:tc>
        <w:tc>
          <w:tcPr/>
          <w:p>
            <w:pPr>
              <w:pStyle w:val="Compact"/>
              <w:jc w:val="left"/>
            </w:pPr>
            <w:r>
              <w:rPr>
                <w:iCs/>
                <w:i/>
              </w:rPr>
              <w:t xml:space="preserve">Operational &amp; Budget Invariant Disabled</w:t>
            </w:r>
          </w:p>
        </w:tc>
        <w:tc>
          <w:tcPr/>
          <w:p>
            <w:pPr>
              <w:pStyle w:val="Compact"/>
              <w:jc w:val="center"/>
            </w:pPr>
            <w:r>
              <w:t xml:space="preserve">1 / 40 cases</w:t>
            </w:r>
          </w:p>
        </w:tc>
        <w:tc>
          <w:tcPr/>
          <w:p>
            <w:pPr>
              <w:pStyle w:val="Compact"/>
              <w:jc w:val="left"/>
            </w:pPr>
            <w:r>
              <w:t xml:space="preserve">Negative price leaks into</w:t>
            </w:r>
            <w:r>
              <w:t xml:space="preserve"> </w:t>
            </w:r>
            <w:r>
              <w:rPr>
                <w:rStyle w:val="VerbatimChar"/>
              </w:rPr>
              <w:t xml:space="preserve">WHERE harga_tiket &lt;= -10000</w:t>
            </w:r>
            <w:r>
              <w:t xml:space="preserve">, erroneously returning empty set.</w:t>
            </w:r>
          </w:p>
        </w:tc>
        <w:tc>
          <w:tcPr/>
          <w:p>
            <w:pPr>
              <w:pStyle w:val="Compact"/>
              <w:jc w:val="center"/>
            </w:pPr>
            <w:r>
              <w:t xml:space="preserve">-0.05 ms</w:t>
            </w:r>
          </w:p>
        </w:tc>
        <w:tc>
          <w:tcPr/>
          <w:p>
            <w:pPr>
              <w:pStyle w:val="Compact"/>
              <w:jc w:val="center"/>
            </w:pPr>
            <w:r>
              <w:t xml:space="preserve">0.00% (0 cases)</w:t>
            </w:r>
          </w:p>
        </w:tc>
      </w:tr>
      <w:tr>
        <w:tc>
          <w:tcPr/>
          <w:p>
            <w:pPr>
              <w:pStyle w:val="Compact"/>
              <w:jc w:val="left"/>
            </w:pPr>
            <w:r>
              <w:rPr>
                <w:bCs/>
                <w:b/>
              </w:rPr>
              <w:t xml:space="preserve">A6. Without Dimension 6</w:t>
            </w:r>
          </w:p>
        </w:tc>
        <w:tc>
          <w:tcPr/>
          <w:p>
            <w:pPr>
              <w:pStyle w:val="Compact"/>
              <w:jc w:val="left"/>
            </w:pPr>
            <w:r>
              <w:rPr>
                <w:iCs/>
                <w:i/>
              </w:rPr>
              <w:t xml:space="preserve">Ontological Scope Invariant Disabled</w:t>
            </w:r>
          </w:p>
        </w:tc>
        <w:tc>
          <w:tcPr/>
          <w:p>
            <w:pPr>
              <w:pStyle w:val="Compact"/>
              <w:jc w:val="center"/>
            </w:pPr>
            <w:r>
              <w:t xml:space="preserve">2 / 40 cases</w:t>
            </w:r>
          </w:p>
        </w:tc>
        <w:tc>
          <w:tcPr/>
          <w:p>
            <w:pPr>
              <w:pStyle w:val="Compact"/>
              <w:jc w:val="left"/>
            </w:pPr>
            <w:r>
              <w:t xml:space="preserve">Snow ski &amp; Hindu temple query forced into SQL; NLG invents fictitious</w:t>
            </w:r>
            <w:r>
              <w:t xml:space="preserve"> </w:t>
            </w:r>
            <w:r>
              <w:rPr>
                <w:iCs/>
                <w:i/>
              </w:rPr>
              <w:t xml:space="preserve">Wahana Salju</w:t>
            </w:r>
            <w:r>
              <w:t xml:space="preserve"> </w:t>
            </w:r>
            <w:r>
              <w:t xml:space="preserve">attraction.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B1. Without Fallback Handler</w:t>
            </w:r>
          </w:p>
        </w:tc>
        <w:tc>
          <w:tcPr/>
          <w:p>
            <w:pPr>
              <w:pStyle w:val="Compact"/>
              <w:jc w:val="left"/>
            </w:pPr>
            <w:r>
              <w:rPr>
                <w:iCs/>
                <w:i/>
              </w:rPr>
              <w:t xml:space="preserve">Spatial Policy Fallback Disabled</w:t>
            </w:r>
          </w:p>
        </w:tc>
        <w:tc>
          <w:tcPr/>
          <w:p>
            <w:pPr>
              <w:pStyle w:val="Compact"/>
              <w:jc w:val="center"/>
            </w:pPr>
            <w:r>
              <w:t xml:space="preserve">1 / 40 cases</w:t>
            </w:r>
          </w:p>
        </w:tc>
        <w:tc>
          <w:tcPr/>
          <w:p>
            <w:pPr>
              <w:pStyle w:val="Compact"/>
              <w:jc w:val="left"/>
            </w:pPr>
            <w:r>
              <w:t xml:space="preserve">Remote user receives dead-end</w:t>
            </w:r>
            <w:r>
              <w:t xml:space="preserve"> </w:t>
            </w:r>
            <w:r>
              <w:t xml:space="preserve">“</w:t>
            </w:r>
            <w:r>
              <w:t xml:space="preserve">0 destinations found</w:t>
            </w:r>
            <w:r>
              <w:t xml:space="preserve">”</w:t>
            </w:r>
            <w:r>
              <w:t xml:space="preserve"> </w:t>
            </w:r>
            <w:r>
              <w:t xml:space="preserve">without city center fallback offer.</w:t>
            </w:r>
          </w:p>
        </w:tc>
        <w:tc>
          <w:tcPr/>
          <w:p>
            <w:pPr>
              <w:pStyle w:val="Compact"/>
              <w:jc w:val="center"/>
            </w:pPr>
            <w:r>
              <w:t xml:space="preserve">-0.15 ms</w:t>
            </w:r>
          </w:p>
        </w:tc>
        <w:tc>
          <w:tcPr/>
          <w:p>
            <w:pPr>
              <w:pStyle w:val="Compact"/>
              <w:jc w:val="center"/>
            </w:pPr>
            <w:r>
              <w:t xml:space="preserve">0.00% (0 cases)</w:t>
            </w:r>
          </w:p>
        </w:tc>
      </w:tr>
      <w:tr>
        <w:tc>
          <w:tcPr/>
          <w:p>
            <w:pPr>
              <w:pStyle w:val="Compact"/>
              <w:jc w:val="left"/>
            </w:pPr>
            <w:r>
              <w:rPr>
                <w:bCs/>
                <w:b/>
              </w:rPr>
              <w:t xml:space="preserve">B2. Without Grounding Validator</w:t>
            </w:r>
          </w:p>
        </w:tc>
        <w:tc>
          <w:tcPr/>
          <w:p>
            <w:pPr>
              <w:pStyle w:val="Compact"/>
              <w:jc w:val="left"/>
            </w:pPr>
            <w:r>
              <w:rPr>
                <w:iCs/>
                <w:i/>
              </w:rPr>
              <w:t xml:space="preserve">Algorithmic Grounding Validator Disabled</w:t>
            </w:r>
          </w:p>
        </w:tc>
        <w:tc>
          <w:tcPr/>
          <w:p>
            <w:pPr>
              <w:pStyle w:val="Compact"/>
              <w:jc w:val="center"/>
            </w:pPr>
            <w:r>
              <w:t xml:space="preserve">6 / 40 cases</w:t>
            </w:r>
          </w:p>
        </w:tc>
        <w:tc>
          <w:tcPr/>
          <w:p>
            <w:pPr>
              <w:pStyle w:val="Compact"/>
              <w:jc w:val="left"/>
            </w:pPr>
            <w:r>
              <w:t xml:space="preserve">LLM narrative claims Pantai Padang ticket is 50,000 IDR and invents 24h hours (Fidelity drops to 85%).</w:t>
            </w:r>
          </w:p>
        </w:tc>
        <w:tc>
          <w:tcPr/>
          <w:p>
            <w:pPr>
              <w:pStyle w:val="Compact"/>
              <w:jc w:val="center"/>
            </w:pPr>
            <w:r>
              <w:t xml:space="preserve">-0.81 ms</w:t>
            </w:r>
          </w:p>
        </w:tc>
        <w:tc>
          <w:tcPr/>
          <w:p>
            <w:pPr>
              <w:pStyle w:val="Compact"/>
              <w:jc w:val="center"/>
            </w:pPr>
            <w:r>
              <w:t xml:space="preserve">0.00% (0 cases)</w:t>
            </w:r>
          </w:p>
        </w:tc>
      </w:tr>
      <w:tr>
        <w:tc>
          <w:tcPr/>
          <w:p>
            <w:pPr>
              <w:pStyle w:val="Compact"/>
              <w:jc w:val="left"/>
            </w:pPr>
            <w:r>
              <w:rPr>
                <w:bCs/>
                <w:b/>
              </w:rPr>
              <w:t xml:space="preserve">Baseline 1: Direct Text-to-SQL</w:t>
            </w:r>
          </w:p>
        </w:tc>
        <w:tc>
          <w:tcPr/>
          <w:p>
            <w:pPr>
              <w:pStyle w:val="Compact"/>
              <w:jc w:val="left"/>
            </w:pPr>
            <w:r>
              <w:rPr>
                <w:iCs/>
                <w:i/>
              </w:rPr>
              <w:t xml:space="preserve">Direct End-to-End SQL Generation</w:t>
            </w:r>
          </w:p>
        </w:tc>
        <w:tc>
          <w:tcPr/>
          <w:p>
            <w:pPr>
              <w:pStyle w:val="Compact"/>
              <w:jc w:val="center"/>
            </w:pPr>
            <w:r>
              <w:t xml:space="preserve">13 / 40 cases</w:t>
            </w:r>
          </w:p>
        </w:tc>
        <w:tc>
          <w:tcPr/>
          <w:p>
            <w:pPr>
              <w:pStyle w:val="Compact"/>
              <w:jc w:val="left"/>
            </w:pPr>
            <w:r>
              <w:t xml:space="preserve">13 failed queries: table hallucination</w:t>
            </w:r>
            <w:r>
              <w:t xml:space="preserve"> </w:t>
            </w:r>
            <w:r>
              <w:rPr>
                <w:rStyle w:val="VerbatimChar"/>
              </w:rPr>
              <w:t xml:space="preserve">tempat_wisata</w:t>
            </w:r>
            <w:r>
              <w:t xml:space="preserve">, spherical distance syntax error, SQL freeze.</w:t>
            </w:r>
          </w:p>
        </w:tc>
        <w:tc>
          <w:tcPr/>
          <w:p>
            <w:pPr>
              <w:pStyle w:val="Compact"/>
              <w:jc w:val="center"/>
            </w:pPr>
            <w:r>
              <w:t xml:space="preserve">-464.70 ms (W/o LLM #2)</w:t>
            </w:r>
          </w:p>
        </w:tc>
        <w:tc>
          <w:tcPr/>
          <w:p>
            <w:pPr>
              <w:pStyle w:val="Compact"/>
              <w:jc w:val="center"/>
            </w:pPr>
            <w:r>
              <w:t xml:space="preserve">15.00% (Valid queries fail)</w:t>
            </w:r>
          </w:p>
        </w:tc>
      </w:tr>
      <w:tr>
        <w:tc>
          <w:tcPr/>
          <w:p>
            <w:pPr>
              <w:pStyle w:val="Compact"/>
              <w:jc w:val="left"/>
            </w:pPr>
            <w:r>
              <w:rPr>
                <w:bCs/>
                <w:b/>
              </w:rPr>
              <w:t xml:space="preserve">Baseline 2: Unconstrained LLM</w:t>
            </w:r>
          </w:p>
        </w:tc>
        <w:tc>
          <w:tcPr/>
          <w:p>
            <w:pPr>
              <w:pStyle w:val="Compact"/>
              <w:jc w:val="left"/>
            </w:pPr>
            <w:r>
              <w:rPr>
                <w:iCs/>
                <w:i/>
              </w:rPr>
              <w:t xml:space="preserve">Free Generative Output Without DB</w:t>
            </w:r>
          </w:p>
        </w:tc>
        <w:tc>
          <w:tcPr/>
          <w:p>
            <w:pPr>
              <w:pStyle w:val="Compact"/>
              <w:jc w:val="center"/>
            </w:pPr>
            <w:r>
              <w:t xml:space="preserve">17 / 40 cases</w:t>
            </w:r>
          </w:p>
        </w:tc>
        <w:tc>
          <w:tcPr/>
          <w:p>
            <w:pPr>
              <w:pStyle w:val="Compact"/>
              <w:jc w:val="left"/>
            </w:pPr>
            <w:r>
              <w:t xml:space="preserve">Produces 17 fabricated tourist attractions (Pantai Pasir Emas, Museum Bahari, Wahana Salju, etc.).</w:t>
            </w:r>
          </w:p>
        </w:tc>
        <w:tc>
          <w:tcPr/>
          <w:p>
            <w:pPr>
              <w:pStyle w:val="Compact"/>
              <w:jc w:val="center"/>
            </w:pPr>
            <w:r>
              <w:t xml:space="preserve">-88.40 ms (W/o OSRM)</w:t>
            </w:r>
          </w:p>
        </w:tc>
        <w:tc>
          <w:tcPr/>
          <w:p>
            <w:pPr>
              <w:pStyle w:val="Compact"/>
              <w:jc w:val="center"/>
            </w:pPr>
            <w:r>
              <w:t xml:space="preserve">0.00% (Total hallucination)</w:t>
            </w:r>
          </w:p>
        </w:tc>
      </w:tr>
    </w:tbl>
    <w:bookmarkStart w:id="86" w:name="X2622892c86d97a2385a474dbcfa87ed1202ecb9"/>
    <w:p>
      <w:pPr>
        <w:pStyle w:val="Heading4"/>
      </w:pPr>
      <w:r>
        <w:t xml:space="preserve">4.5.1 Empirical Verification of Architectural Benefits: Answering Four Fundamental Questions</w:t>
      </w:r>
    </w:p>
    <w:p>
      <w:pPr>
        <w:pStyle w:val="FirstParagraph"/>
      </w:pPr>
      <w:r>
        <w:t xml:space="preserve">Grounding our conclusions on the empirical data in Tables 7, 7a, 7b, and 7c, this research provides unequivocal answers to four core scientific questions:</w:t>
      </w:r>
    </w:p>
    <w:p>
      <w:pPr>
        <w:numPr>
          <w:ilvl w:val="0"/>
          <w:numId w:val="1007"/>
        </w:numPr>
      </w:pPr>
      <w:r>
        <w:rPr>
          <w:bCs/>
          <w:b/>
        </w:rPr>
        <w:t xml:space="preserve">Does semantic validation reduce the number of silently altered user intents?</w:t>
      </w:r>
      <w:r>
        <w:br/>
      </w:r>
      <w:r>
        <w:rPr>
          <w:bCs/>
          <w:b/>
        </w:rPr>
        <w:t xml:space="preserve">Yes, absolutely (100% reduction in silent intent mutation).</w:t>
      </w:r>
      <w:r>
        <w:t xml:space="preserve"> </w:t>
      </w:r>
      <w:r>
        <w:t xml:space="preserve">Without the</w:t>
      </w:r>
      <w:r>
        <w:t xml:space="preserve"> </w:t>
      </w:r>
      <w:r>
        <w:rPr>
          <w:iCs/>
          <w:i/>
        </w:rPr>
        <w:t xml:space="preserve">SirValidator</w:t>
      </w:r>
      <w:r>
        <w:t xml:space="preserve">, conventional NLP pipelines frequently perform</w:t>
      </w:r>
      <w:r>
        <w:t xml:space="preserve"> </w:t>
      </w:r>
      <w:r>
        <w:rPr>
          <w:iCs/>
          <w:i/>
        </w:rPr>
        <w:t xml:space="preserve">silent mutation</w:t>
      </w:r>
      <w:r>
        <w:t xml:space="preserve"> </w:t>
      </w:r>
      <w:r>
        <w:t xml:space="preserve">(e.g., applying</w:t>
      </w:r>
      <w:r>
        <w:t xml:space="preserve"> </w:t>
      </w:r>
      <w:r>
        <w:rPr>
          <w:rStyle w:val="VerbatimChar"/>
        </w:rPr>
        <w:t xml:space="preserve">abs()</w:t>
      </w:r>
      <w:r>
        <w:t xml:space="preserve"> </w:t>
      </w:r>
      <w:r>
        <w:t xml:space="preserve">to negative radii, silently truncating excessive distances, or arbitrarily imposing default radii). Under the proposed architecture, the</w:t>
      </w:r>
      <w:r>
        <w:t xml:space="preserve"> </w:t>
      </w:r>
      <w:r>
        <w:rPr>
          <w:iCs/>
          <w:i/>
        </w:rPr>
        <w:t xml:space="preserve">No Intent Alteration</w:t>
      </w:r>
      <w:r>
        <w:t xml:space="preserve"> </w:t>
      </w:r>
      <w:r>
        <w:t xml:space="preserve">principle explicitly rejects all arbitrary alterations: across the 4 operator violations in configuration A3, 100% were successfully intercepted and converted into transparent clarification dialogs (</w:t>
      </w:r>
      <w:r>
        <w:rPr>
          <w:rStyle w:val="VerbatimChar"/>
        </w:rPr>
        <w:t xml:space="preserve">clarify_user</w:t>
      </w:r>
      <w:r>
        <w:t xml:space="preserve">) without mutating user intent.</w:t>
      </w:r>
    </w:p>
    <w:p>
      <w:pPr>
        <w:numPr>
          <w:ilvl w:val="0"/>
          <w:numId w:val="1007"/>
        </w:numPr>
      </w:pPr>
      <w:r>
        <w:rPr>
          <w:bCs/>
          <w:b/>
        </w:rPr>
        <w:t xml:space="preserve">Does the grounding validator reduce unsupported factual claims?</w:t>
      </w:r>
      <w:r>
        <w:br/>
      </w:r>
      <w:r>
        <w:rPr>
          <w:bCs/>
          <w:b/>
        </w:rPr>
        <w:t xml:space="preserve">Yes, substantially.</w:t>
      </w:r>
      <w:r>
        <w:t xml:space="preserve"> </w:t>
      </w:r>
      <w:r>
        <w:t xml:space="preserve">In configuration B2 (where</w:t>
      </w:r>
      <w:r>
        <w:t xml:space="preserve"> </w:t>
      </w:r>
      <w:r>
        <w:rPr>
          <w:iCs/>
          <w:i/>
        </w:rPr>
        <w:t xml:space="preserve">GroundingValidator</w:t>
      </w:r>
      <w:r>
        <w:t xml:space="preserve"> </w:t>
      </w:r>
      <w:r>
        <w:t xml:space="preserve">is disabled), factual claim fidelity plunges from 100.00% to 85.00%, permitting 6 instances of numerical and temporal attribute hallucinations (erroneous ticket prices and fictitious opening schedules) to reach end-users. Activating</w:t>
      </w:r>
      <w:r>
        <w:t xml:space="preserve"> </w:t>
      </w:r>
      <w:r>
        <w:rPr>
          <w:iCs/>
          <w:i/>
        </w:rPr>
        <w:t xml:space="preserve">GroundingValidator</w:t>
      </w:r>
      <w:r>
        <w:t xml:space="preserve"> </w:t>
      </w:r>
      <w:r>
        <w:t xml:space="preserve">intercepts 100% of these unsupported statements deterministically post-generation and redirects them to template-grounded SQL facts, ensuring zero ungrounded claims are delivered to users.</w:t>
      </w:r>
    </w:p>
    <w:p>
      <w:pPr>
        <w:numPr>
          <w:ilvl w:val="0"/>
          <w:numId w:val="1007"/>
        </w:numPr>
      </w:pPr>
      <w:r>
        <w:rPr>
          <w:bCs/>
          <w:b/>
        </w:rPr>
        <w:t xml:space="preserve">What is the magnitude of performance degradation when each component is disabled?</w:t>
      </w:r>
      <w:r>
        <w:br/>
      </w:r>
      <w:r>
        <w:t xml:space="preserve">Leave-one-out component disabling produces quantifiable performance degradation:</w:t>
      </w:r>
    </w:p>
    <w:p>
      <w:pPr>
        <w:numPr>
          <w:ilvl w:val="1"/>
          <w:numId w:val="1008"/>
        </w:numPr>
        <w:pStyle w:val="Compact"/>
      </w:pPr>
      <w:r>
        <w:t xml:space="preserve">Disabling schema/syntax invariants (A1) reduces semantic extraction accuracy to 95.00% and triggers 2 database syntax exceptions.</w:t>
      </w:r>
    </w:p>
    <w:p>
      <w:pPr>
        <w:numPr>
          <w:ilvl w:val="1"/>
          <w:numId w:val="1008"/>
        </w:numPr>
        <w:pStyle w:val="Compact"/>
      </w:pPr>
      <w:r>
        <w:t xml:space="preserve">Disabling geographic jurisdiction invariants (A2) reduces accuracy to 92.50% and causes unhandled out-of-bounds queries.</w:t>
      </w:r>
    </w:p>
    <w:p>
      <w:pPr>
        <w:numPr>
          <w:ilvl w:val="1"/>
          <w:numId w:val="1008"/>
        </w:numPr>
        <w:pStyle w:val="Compact"/>
      </w:pPr>
      <w:r>
        <w:t xml:space="preserve">Disabling operator and distance constraints (A3) represents the most catastrophic failure point, depressing accuracy to 90.00% and inducing 4 fatal SQL execution failures.</w:t>
      </w:r>
    </w:p>
    <w:p>
      <w:pPr>
        <w:numPr>
          <w:ilvl w:val="1"/>
          <w:numId w:val="1008"/>
        </w:numPr>
        <w:pStyle w:val="Compact"/>
      </w:pPr>
      <w:r>
        <w:t xml:space="preserve">Disabling ontological scope invariants (A6) completely obliterates honest rejection capability (</w:t>
      </w:r>
      <w:r>
        <w:rPr>
          <w:iCs/>
          <w:i/>
        </w:rPr>
        <w:t xml:space="preserve">Honest Rejection Rate drops from 100% to 0%</w:t>
      </w:r>
      <w:r>
        <w:t xml:space="preserve">).</w:t>
      </w:r>
    </w:p>
    <w:p>
      <w:pPr>
        <w:numPr>
          <w:ilvl w:val="1"/>
          <w:numId w:val="1008"/>
        </w:numPr>
        <w:pStyle w:val="Compact"/>
      </w:pPr>
      <w:r>
        <w:t xml:space="preserve">Disabling</w:t>
      </w:r>
      <w:r>
        <w:t xml:space="preserve"> </w:t>
      </w:r>
      <w:r>
        <w:rPr>
          <w:iCs/>
          <w:i/>
        </w:rPr>
        <w:t xml:space="preserve">GroundingValidator</w:t>
      </w:r>
      <w:r>
        <w:t xml:space="preserve"> </w:t>
      </w:r>
      <w:r>
        <w:t xml:space="preserve">(B2) incurs a 15.00% decline in factual claim fidelity.</w:t>
      </w:r>
    </w:p>
    <w:p>
      <w:pPr>
        <w:numPr>
          <w:ilvl w:val="0"/>
          <w:numId w:val="1007"/>
        </w:numPr>
      </w:pPr>
      <w:r>
        <w:rPr>
          <w:bCs/>
          <w:b/>
        </w:rPr>
        <w:t xml:space="preserve">Is increased reliability achieved at the cost of higher latency or higher rejection rates?</w:t>
      </w:r>
      <w:r>
        <w:br/>
      </w:r>
      <w:r>
        <w:rPr>
          <w:bCs/>
          <w:b/>
        </w:rPr>
        <w:t xml:space="preserve">No.</w:t>
      </w:r>
      <w:r>
        <w:t xml:space="preserve"> </w:t>
      </w:r>
      <w:r>
        <w:t xml:space="preserve">Profiling data confirms that the deterministic computational overhead introduced by both control boundaries is negligible:</w:t>
      </w:r>
      <w:r>
        <w:t xml:space="preserve"> </w:t>
      </w:r>
      <w:r>
        <w:rPr>
          <w:iCs/>
          <w:i/>
        </w:rPr>
        <w:t xml:space="preserve">SirValidator</w:t>
      </w:r>
      <w:r>
        <w:t xml:space="preserve"> </w:t>
      </w:r>
      <w:r>
        <w:t xml:space="preserve">requires an average of</w:t>
      </w:r>
      <w:r>
        <w:t xml:space="preserve"> </w:t>
      </w:r>
      <w:r>
        <w:rPr>
          <w:bCs/>
          <w:b/>
        </w:rPr>
        <w:t xml:space="preserve">0.42 ms</w:t>
      </w:r>
      <w:r>
        <w:t xml:space="preserve"> </w:t>
      </w:r>
      <w:r>
        <w:t xml:space="preserve">and</w:t>
      </w:r>
      <w:r>
        <w:t xml:space="preserve"> </w:t>
      </w:r>
      <w:r>
        <w:rPr>
          <w:iCs/>
          <w:i/>
        </w:rPr>
        <w:t xml:space="preserve">GroundingValidator</w:t>
      </w:r>
      <w:r>
        <w:t xml:space="preserve"> </w:t>
      </w:r>
      <w:r>
        <w:t xml:space="preserve">requires</w:t>
      </w:r>
      <w:r>
        <w:t xml:space="preserve"> </w:t>
      </w:r>
      <w:r>
        <w:rPr>
          <w:bCs/>
          <w:b/>
        </w:rPr>
        <w:t xml:space="preserve">0.81 ms</w:t>
      </w:r>
      <w:r>
        <w:t xml:space="preserve">. The cumulative deterministic latency addition is merely</w:t>
      </w:r>
      <w:r>
        <w:t xml:space="preserve"> </w:t>
      </w:r>
      <w:r>
        <w:rPr>
          <w:bCs/>
          <w:b/>
        </w:rPr>
        <w:t xml:space="preserve">1.23 ms</w:t>
      </w:r>
      <w:r>
        <w:t xml:space="preserve"> </w:t>
      </w:r>
      <w:r>
        <w:t xml:space="preserve">(&lt; 0.1% of the total 1,340.57 ms system response time, which is overwhelmingly governed by remote LLM inference ~1,250 ms). In terms of rejection behavior, the system exhibits a</w:t>
      </w:r>
      <w:r>
        <w:t xml:space="preserve"> </w:t>
      </w:r>
      <w:r>
        <w:rPr>
          <w:bCs/>
          <w:b/>
        </w:rPr>
        <w:t xml:space="preserve">False Rejection Rate of exactly 0.00%</w:t>
      </w:r>
      <w:r>
        <w:t xml:space="preserve"> </w:t>
      </w:r>
      <w:r>
        <w:t xml:space="preserve">(all 38 in-domain scenarios were serviced successfully without false dismissals). Rejection occurs with 100% precision exclusively on the 2 queries that reside outside the tourism domain (</w:t>
      </w:r>
      <w:r>
        <w:rPr>
          <w:iCs/>
          <w:i/>
        </w:rPr>
        <w:t xml:space="preserve">100% Honest Rejection Rate, 2/2</w:t>
      </w:r>
      <w:r>
        <w:t xml:space="preserve">).</w:t>
      </w:r>
    </w:p>
    <w:p>
      <w:pPr>
        <w:pStyle w:val="FirstParagraph"/>
      </w:pPr>
      <w:r>
        <w:t xml:space="preserve">All underlying logic modules are rigorously validated through an automated PHPUnit test suite comprising</w:t>
      </w:r>
      <w:r>
        <w:t xml:space="preserve"> </w:t>
      </w:r>
      <w:r>
        <w:rPr>
          <w:bCs/>
          <w:b/>
        </w:rPr>
        <w:t xml:space="preserve">45 unit and integration tests</w:t>
      </w:r>
      <w:r>
        <w:t xml:space="preserve"> </w:t>
      </w:r>
      <w:r>
        <w:t xml:space="preserve">with</w:t>
      </w:r>
      <w:r>
        <w:t xml:space="preserve"> </w:t>
      </w:r>
      <w:r>
        <w:rPr>
          <w:bCs/>
          <w:b/>
        </w:rPr>
        <w:t xml:space="preserve">172 assertions</w:t>
      </w:r>
      <w:r>
        <w:t xml:space="preserve"> </w:t>
      </w:r>
      <w:r>
        <w:t xml:space="preserve">(verifying invariant enforcement in</w:t>
      </w:r>
      <w:r>
        <w:t xml:space="preserve"> </w:t>
      </w:r>
      <w:r>
        <w:rPr>
          <w:iCs/>
          <w:i/>
        </w:rPr>
        <w:t xml:space="preserve">SirValidatorTest</w:t>
      </w:r>
      <w:r>
        <w:t xml:space="preserve">, multi-turn state merging, SQL injection and DDL resilience in</w:t>
      </w:r>
      <w:r>
        <w:t xml:space="preserve"> </w:t>
      </w:r>
      <w:r>
        <w:rPr>
          <w:iCs/>
          <w:i/>
        </w:rPr>
        <w:t xml:space="preserve">SpatialQueryCompilerTest</w:t>
      </w:r>
      <w:r>
        <w:t xml:space="preserve">, independent MySQL 8.0 spatial boundary checks in</w:t>
      </w:r>
      <w:r>
        <w:t xml:space="preserve"> </w:t>
      </w:r>
      <w:r>
        <w:rPr>
          <w:iCs/>
          <w:i/>
        </w:rPr>
        <w:t xml:space="preserve">SpatialDatabaseIntegrationTest</w:t>
      </w:r>
      <w:r>
        <w:t xml:space="preserve">, and algorithmic ungrounded entity rejection in</w:t>
      </w:r>
      <w:r>
        <w:t xml:space="preserve"> </w:t>
      </w:r>
      <w:r>
        <w:rPr>
          <w:iCs/>
          <w:i/>
        </w:rPr>
        <w:t xml:space="preserve">GroundingValidatorTest</w:t>
      </w:r>
      <w:r>
        <w:t xml:space="preserve">) with a 100% pass rate.</w:t>
      </w:r>
    </w:p>
    <w:bookmarkEnd w:id="86"/>
    <w:bookmarkStart w:id="87" w:name="Xbcd54fb25c081da6fa63c75d019d04e2881f627"/>
    <w:p>
      <w:pPr>
        <w:pStyle w:val="Heading4"/>
      </w:pPr>
      <w:r>
        <w:t xml:space="preserve">4.5.2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demonstrates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7d:</w:t>
      </w:r>
    </w:p>
    <w:p>
      <w:pPr>
        <w:pStyle w:val="BodyText"/>
      </w:pPr>
      <w:r>
        <w:rPr>
          <w:bCs/>
          <w:b/>
        </w:rPr>
        <w:t xml:space="preserve">Table 7d.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87"/>
    <w:bookmarkStart w:id="88" w:name="X3d6b206cb8450300f22cee7e2b06a8d5c06820a"/>
    <w:p>
      <w:pPr>
        <w:pStyle w:val="Heading4"/>
      </w:pPr>
      <w:r>
        <w:t xml:space="preserve">4.5.3 Experimental Evaluation of Multi-Turn Conversational State Tracking</w:t>
      </w:r>
    </w:p>
    <w:p>
      <w:pPr>
        <w:pStyle w:val="FirstParagraph"/>
      </w:pPr>
      <w:r>
        <w:t xml:space="preserve">To validate the system’s empirical capability to accommodate iterative conversational refinement without losing prior spatial context, a sequential 3-turn multi-turn evaluation benchmark was conducted using session token tracking (</w:t>
      </w:r>
      <w:r>
        <w:rPr>
          <w:rStyle w:val="VerbatimChar"/>
        </w:rPr>
        <w:t xml:space="preserve">session_token</w:t>
      </w:r>
      <w:r>
        <w:t xml:space="preserve">). The benchmark simulates a realistic mobile tourist planning trajectory:</w:t>
      </w:r>
      <w:r>
        <w:t xml:space="preserve"> </w:t>
      </w:r>
      <w:r>
        <w:t xml:space="preserve">-</w:t>
      </w:r>
      <w:r>
        <w:t xml:space="preserve"> </w:t>
      </w:r>
      <w:r>
        <w:rPr>
          <w:bCs/>
          <w:b/>
        </w:rPr>
        <w:t xml:space="preserve">Turn 1 (Spatial Initiation):</w:t>
      </w:r>
      <w:r>
        <w:t xml:space="preserve"> </w:t>
      </w:r>
      <w:r>
        <w:rPr>
          <w:iCs/>
          <w:i/>
        </w:rPr>
        <w:t xml:space="preserve">“</w:t>
      </w:r>
      <w:r>
        <w:rPr>
          <w:iCs/>
          <w:i/>
        </w:rPr>
        <w:t xml:space="preserve">Find beaches near me</w:t>
      </w:r>
      <w:r>
        <w:rPr>
          <w:iCs/>
          <w:i/>
        </w:rPr>
        <w:t xml:space="preserve">”</w:t>
      </w:r>
      <w:r>
        <w:t xml:space="preserve"> </w:t>
      </w:r>
      <w:r>
        <w:t xml:space="preserve">(Padang city center GPS:</w:t>
      </w:r>
      <w:r>
        <w:t xml:space="preserve"> </w:t>
      </w:r>
      <w:r>
        <w:rPr>
          <w:rStyle w:val="VerbatimChar"/>
        </w:rPr>
        <w:t xml:space="preserve">-0.9587, 100.3541</w:t>
      </w:r>
      <w:r>
        <w:t xml:space="preserve">).</w:t>
      </w:r>
      <w:r>
        <w:t xml:space="preserve"> </w:t>
      </w:r>
      <w:r>
        <w:t xml:space="preserve">-</w:t>
      </w:r>
      <w:r>
        <w:t xml:space="preserve"> </w:t>
      </w:r>
      <w:r>
        <w:rPr>
          <w:bCs/>
          <w:b/>
        </w:rPr>
        <w:t xml:space="preserve">Turn 2 (Elliptic Budget Filter):</w:t>
      </w:r>
      <w:r>
        <w:t xml:space="preserve"> </w:t>
      </w:r>
      <w:r>
        <w:rPr>
          <w:iCs/>
          <w:i/>
        </w:rPr>
        <w:t xml:space="preserve">“</w:t>
      </w:r>
      <w:r>
        <w:rPr>
          <w:iCs/>
          <w:i/>
        </w:rPr>
        <w:t xml:space="preserve">With tickets under 15,000 IDR</w:t>
      </w:r>
      <w:r>
        <w:rPr>
          <w:iCs/>
          <w:i/>
        </w:rPr>
        <w:t xml:space="preserve">”</w:t>
      </w:r>
      <w:r>
        <w:t xml:space="preserve"> </w:t>
      </w:r>
      <w:r>
        <w:t xml:space="preserve">(Elliptic utterance with zero explicit mention of</w:t>
      </w:r>
      <w:r>
        <w:t xml:space="preserve"> </w:t>
      </w:r>
      <w:r>
        <w:t xml:space="preserve">‘</w:t>
      </w:r>
      <w:r>
        <w:t xml:space="preserve">beach</w:t>
      </w:r>
      <w:r>
        <w:t xml:space="preserve">’</w:t>
      </w:r>
      <w:r>
        <w:t xml:space="preserve"> </w:t>
      </w:r>
      <w:r>
        <w:t xml:space="preserve">or</w:t>
      </w:r>
      <w:r>
        <w:t xml:space="preserve"> </w:t>
      </w:r>
      <w:r>
        <w:t xml:space="preserve">‘</w:t>
      </w:r>
      <w:r>
        <w:t xml:space="preserve">Padang</w:t>
      </w:r>
      <w:r>
        <w:t xml:space="preserve">’</w:t>
      </w:r>
      <w:r>
        <w:t xml:space="preserve">).</w:t>
      </w:r>
      <w:r>
        <w:t xml:space="preserve"> </w:t>
      </w:r>
      <w:r>
        <w:t xml:space="preserve">-</w:t>
      </w:r>
      <w:r>
        <w:t xml:space="preserve"> </w:t>
      </w:r>
      <w:r>
        <w:rPr>
          <w:bCs/>
          <w:b/>
        </w:rPr>
        <w:t xml:space="preserve">Turn 3 (Temporal Circadian Filter):</w:t>
      </w:r>
      <w:r>
        <w:t xml:space="preserve"> </w:t>
      </w:r>
      <w:r>
        <w:rPr>
          <w:iCs/>
          <w:i/>
        </w:rPr>
        <w:t xml:space="preserve">“</w:t>
      </w:r>
      <w:r>
        <w:rPr>
          <w:iCs/>
          <w:i/>
        </w:rPr>
        <w:t xml:space="preserve">Which are open right now</w:t>
      </w:r>
      <w:r>
        <w:rPr>
          <w:iCs/>
          <w:i/>
        </w:rPr>
        <w:t xml:space="preserve">”</w:t>
      </w:r>
      <w:r>
        <w:t xml:space="preserve"> </w:t>
      </w:r>
      <w:r>
        <w:t xml:space="preserve">(Temporal predicate evaluated against active operating hours).</w:t>
      </w:r>
    </w:p>
    <w:p>
      <w:pPr>
        <w:pStyle w:val="BodyText"/>
      </w:pPr>
      <w:r>
        <w:t xml:space="preserve">Table 7e presents the formal state accumulation trace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compiled SQL predicates, resulting destination sets, and claim-level grounding fidelity:</w:t>
      </w:r>
    </w:p>
    <w:p>
      <w:pPr>
        <w:pStyle w:val="BodyText"/>
      </w:pPr>
      <w:r>
        <w:rPr>
          <w:bCs/>
          <w:b/>
        </w:rPr>
        <w:t xml:space="preserve">Table 7e. Multi-Turn Conversational State Tracking Evaluation Trace (3-Turn Sequential Dialogue)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Dialogue Parameter</w:t>
            </w:r>
          </w:p>
        </w:tc>
        <w:tc>
          <w:tcPr/>
          <w:p>
            <w:pPr>
              <w:pStyle w:val="Compact"/>
              <w:jc w:val="left"/>
            </w:pPr>
            <w:r>
              <w:t xml:space="preserve">Turn 1: Spatial Initiation</w:t>
            </w:r>
          </w:p>
        </w:tc>
        <w:tc>
          <w:tcPr/>
          <w:p>
            <w:pPr>
              <w:pStyle w:val="Compact"/>
              <w:jc w:val="left"/>
            </w:pPr>
            <w:r>
              <w:t xml:space="preserve">Turn 2: Budgetary Refinement</w:t>
            </w:r>
          </w:p>
        </w:tc>
        <w:tc>
          <w:tcPr/>
          <w:p>
            <w:pPr>
              <w:pStyle w:val="Compact"/>
              <w:jc w:val="left"/>
            </w:pPr>
            <w:r>
              <w:t xml:space="preserve">Turn 3: Temporal Operating Filter</w:t>
            </w:r>
          </w:p>
        </w:tc>
      </w:tr>
      <w:tr>
        <w:tc>
          <w:tcPr/>
          <w:p>
            <w:pPr>
              <w:pStyle w:val="Compact"/>
              <w:jc w:val="left"/>
            </w:pPr>
            <w:r>
              <w:rPr>
                <w:bCs/>
                <w:b/>
              </w:rPr>
              <w:t xml:space="preserve">User Natural Language Utterance</w:t>
            </w:r>
          </w:p>
        </w:tc>
        <w:tc>
          <w:tcPr/>
          <w:p>
            <w:pPr>
              <w:pStyle w:val="Compact"/>
              <w:jc w:val="left"/>
            </w:pPr>
            <w:r>
              <w:rPr>
                <w:iCs/>
                <w:i/>
              </w:rPr>
              <w:t xml:space="preserve">“</w:t>
            </w:r>
            <w:r>
              <w:rPr>
                <w:iCs/>
                <w:i/>
              </w:rPr>
              <w:t xml:space="preserve">Find beaches near me</w:t>
            </w:r>
            <w:r>
              <w:rPr>
                <w:iCs/>
                <w:i/>
              </w:rPr>
              <w:t xml:space="preserve">”</w:t>
            </w:r>
          </w:p>
        </w:tc>
        <w:tc>
          <w:tcPr/>
          <w:p>
            <w:pPr>
              <w:pStyle w:val="Compact"/>
              <w:jc w:val="left"/>
            </w:pPr>
            <w:r>
              <w:rPr>
                <w:iCs/>
                <w:i/>
              </w:rPr>
              <w:t xml:space="preserve">“</w:t>
            </w:r>
            <w:r>
              <w:rPr>
                <w:iCs/>
                <w:i/>
              </w:rPr>
              <w:t xml:space="preserve">With tickets under 15,000 IDR</w:t>
            </w:r>
            <w:r>
              <w:rPr>
                <w:iCs/>
                <w:i/>
              </w:rPr>
              <w:t xml:space="preserve">”</w:t>
            </w:r>
          </w:p>
        </w:tc>
        <w:tc>
          <w:tcPr/>
          <w:p>
            <w:pPr>
              <w:pStyle w:val="Compact"/>
              <w:jc w:val="left"/>
            </w:pPr>
            <w:r>
              <w:rPr>
                <w:iCs/>
                <w:i/>
              </w:rPr>
              <w:t xml:space="preserve">“</w:t>
            </w:r>
            <w:r>
              <w:rPr>
                <w:iCs/>
                <w:i/>
              </w:rPr>
              <w:t xml:space="preserve">Which are open right now</w:t>
            </w:r>
            <w:r>
              <w:rPr>
                <w:iCs/>
                <w:i/>
              </w:rPr>
              <w:t xml:space="preserve">”</w:t>
            </w:r>
          </w:p>
        </w:tc>
      </w:tr>
      <w:tr>
        <w:tc>
          <w:tcPr/>
          <w:p>
            <w:pPr>
              <w:pStyle w:val="Compact"/>
              <w:jc w:val="left"/>
            </w:pPr>
            <w:r>
              <w:rPr>
                <w:bCs/>
                <w:b/>
              </w:rPr>
              <w:t xml:space="preserve">Delta Slot Vector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Accumulated State Vector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Session Context Preservation</w:t>
            </w:r>
          </w:p>
        </w:tc>
        <w:tc>
          <w:tcPr/>
          <w:p>
            <w:pPr>
              <w:pStyle w:val="Compact"/>
              <w:jc w:val="left"/>
            </w:pPr>
            <w:r>
              <w:t xml:space="preserve">Initialized new session (</w:t>
            </w:r>
            <w:r>
              <w:rPr>
                <w:rStyle w:val="VerbatimChar"/>
              </w:rPr>
              <w:t xml:space="preserve">token_01</w:t>
            </w:r>
            <w:r>
              <w:t xml:space="preserve">)</w:t>
            </w:r>
          </w:p>
        </w:tc>
        <w:tc>
          <w:tcPr/>
          <w:p>
            <w:pPr>
              <w:pStyle w:val="Compact"/>
              <w:jc w:val="left"/>
            </w:pPr>
            <w:r>
              <w:t xml:space="preserve">Retained Turn 1 category &amp; reference GPS</w:t>
            </w:r>
          </w:p>
        </w:tc>
        <w:tc>
          <w:tcPr/>
          <w:p>
            <w:pPr>
              <w:pStyle w:val="Compact"/>
              <w:jc w:val="left"/>
            </w:pPr>
            <w:r>
              <w:t xml:space="preserve">Retained Turn 1 category/GPS and Turn 2 budget limit</w:t>
            </w:r>
          </w:p>
        </w:tc>
      </w:tr>
      <w:tr>
        <w:tc>
          <w:tcPr/>
          <w:p>
            <w:pPr>
              <w:pStyle w:val="Compact"/>
              <w:jc w:val="left"/>
            </w:pPr>
            <w:r>
              <w:rPr>
                <w:bCs/>
                <w:b/>
              </w:rPr>
              <w:t xml:space="preserve">Compiled SQL Query</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Recommended Destinations</w:t>
            </w:r>
          </w:p>
        </w:tc>
        <w:tc>
          <w:tcPr/>
          <w:p>
            <w:pPr>
              <w:pStyle w:val="Compact"/>
              <w:jc w:val="left"/>
            </w:pPr>
            <w:r>
              <w:t xml:space="preserve">5 POIs (Pantai Padang, Pantai Air Manis, Pantai Nirwana, Pantai Pasir Jambak, Pantai Caroline)</w:t>
            </w:r>
          </w:p>
        </w:tc>
        <w:tc>
          <w:tcPr/>
          <w:p>
            <w:pPr>
              <w:pStyle w:val="Compact"/>
              <w:jc w:val="left"/>
            </w:pPr>
            <w:r>
              <w:t xml:space="preserve">5 POIs (All 5 Padang beach POIs satisfy ticket fee</w:t>
            </w:r>
            <w:r>
              <w:t xml:space="preserve"> </w:t>
            </w:r>
            <m:oMath>
              <m:r>
                <m:rPr>
                  <m:sty m:val="p"/>
                </m:rPr>
                <m:t>≤</m:t>
              </m:r>
              <m:r>
                <m:t>15</m:t>
              </m:r>
              <m:r>
                <m:rPr>
                  <m:sty m:val="p"/>
                </m:rPr>
                <m:t>,</m:t>
              </m:r>
              <m:r>
                <m:t>000</m:t>
              </m:r>
              <m:r>
                <m:rPr>
                  <m:nor/>
                  <m:sty m:val="p"/>
                </m:rPr>
                <m:t> IDR</m:t>
              </m:r>
            </m:oMath>
            <w:r>
              <w:t xml:space="preserve">)</w:t>
            </w:r>
          </w:p>
        </w:tc>
        <w:tc>
          <w:tcPr/>
          <w:p>
            <w:pPr>
              <w:pStyle w:val="Compact"/>
              <w:jc w:val="left"/>
            </w:pPr>
            <w:r>
              <w:t xml:space="preserve">4 POIs (Deterministically filters closed destinations, retaining currently open beaches)</w:t>
            </w:r>
          </w:p>
        </w:tc>
      </w:tr>
      <w:tr>
        <w:tc>
          <w:tcPr/>
          <w:p>
            <w:pPr>
              <w:pStyle w:val="Compact"/>
              <w:jc w:val="left"/>
            </w:pPr>
            <w:r>
              <w:rPr>
                <w:bCs/>
                <w:b/>
              </w:rPr>
              <w:t xml:space="preserve">Turn Grounding Fidelity</w:t>
            </w:r>
          </w:p>
        </w:tc>
        <w:tc>
          <w:tcPr/>
          <w:p>
            <w:pPr>
              <w:pStyle w:val="Compact"/>
              <w:jc w:val="left"/>
            </w:pPr>
            <w:r>
              <w:t xml:space="preserve">100.00% (0 fabricated POIs observed)</w:t>
            </w:r>
          </w:p>
        </w:tc>
        <w:tc>
          <w:tcPr/>
          <w:p>
            <w:pPr>
              <w:pStyle w:val="Compact"/>
              <w:jc w:val="left"/>
            </w:pPr>
            <w:r>
              <w:t xml:space="preserve">100.00% (0 fabricated POIs observed)</w:t>
            </w:r>
          </w:p>
        </w:tc>
        <w:tc>
          <w:tcPr/>
          <w:p>
            <w:pPr>
              <w:pStyle w:val="Compact"/>
              <w:jc w:val="left"/>
            </w:pPr>
            <w:r>
              <w:t xml:space="preserve">100.00% (0 fabricated POIs observed)</w:t>
            </w:r>
          </w:p>
        </w:tc>
      </w:tr>
      <w:tr>
        <w:tc>
          <w:tcPr/>
          <w:p>
            <w:pPr>
              <w:pStyle w:val="Compact"/>
              <w:jc w:val="left"/>
            </w:pPr>
            <w:r>
              <w:rPr>
                <w:bCs/>
                <w:b/>
              </w:rPr>
              <w:t xml:space="preserve">Total Turn Latency</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The empirical results in Table 7e verify that the non-LLM session state merger deterministically preserves 100% of prior spatial anchors and category slots across multi-turn interactions, while successfully incorporating new constraints without requiring repetitive user specification.</w:t>
      </w:r>
    </w:p>
    <w:bookmarkEnd w:id="88"/>
    <w:bookmarkEnd w:id="89"/>
    <w:bookmarkStart w:id="90" w:name="end-to-end-latency-profile"/>
    <w:p>
      <w:pPr>
        <w:pStyle w:val="Heading3"/>
      </w:pPr>
      <w:r>
        <w:t xml:space="preserve">4.6 End-to-End Latency Profile</w:t>
      </w:r>
    </w:p>
    <w:p>
      <w:pPr>
        <w:pStyle w:val="FirstParagraph"/>
      </w:pPr>
      <w:r>
        <w:t xml:space="preserve">Latency was logged per processing stage across 40 benchmark scenarios under a standardized 3-replication protocol (</w:t>
      </w:r>
      <m:oMath>
        <m:r>
          <m:t>N</m:t>
        </m:r>
        <m:r>
          <m:rPr>
            <m:sty m:val="p"/>
          </m:rPr>
          <m:t>=</m:t>
        </m:r>
        <m:r>
          <m:t>120</m:t>
        </m:r>
      </m:oMath>
      <w:r>
        <w:t xml:space="preserve"> </w:t>
      </w:r>
      <w:r>
        <w:t xml:space="preserve">total runs). The evaluation framework rigorously distinguishes between two operational testing regimes:</w:t>
      </w:r>
      <w:r>
        <w:t xml:space="preserve"> </w:t>
      </w:r>
      <w:r>
        <w:rPr>
          <w:rStyle w:val="VerbatimChar"/>
        </w:rPr>
        <w:t xml:space="preserve">--mock</w:t>
      </w:r>
      <w:r>
        <w:t xml:space="preserve"> </w:t>
      </w:r>
      <w:r>
        <w:t xml:space="preserve">mode for deterministic, reproducible local invariant validation without external network calls, and</w:t>
      </w:r>
      <w:r>
        <w:t xml:space="preserve"> </w:t>
      </w:r>
      <w:r>
        <w:rPr>
          <w:rStyle w:val="VerbatimChar"/>
        </w:rPr>
        <w:t xml:space="preserve">--live</w:t>
      </w:r>
      <w:r>
        <w:t xml:space="preserve"> </w:t>
      </w:r>
      <w:r>
        <w:t xml:space="preserve">mode evaluating full multi-turn conversational inference via the DeepSeek API (</w:t>
      </w:r>
      <m:oMath>
        <m:r>
          <m:t>t</m:t>
        </m:r>
        <m:r>
          <m:t>e</m:t>
        </m:r>
        <m:r>
          <m:t>m</m:t>
        </m:r>
        <m:r>
          <m:t>p</m:t>
        </m:r>
        <m:r>
          <m:t>e</m:t>
        </m:r>
        <m:r>
          <m:t>r</m:t>
        </m:r>
        <m:r>
          <m:t>a</m:t>
        </m:r>
        <m:r>
          <m:t>t</m:t>
        </m:r>
        <m:r>
          <m:t>u</m:t>
        </m:r>
        <m:r>
          <m:t>r</m:t>
        </m:r>
        <m:r>
          <m:t>e</m:t>
        </m:r>
        <m:r>
          <m:rPr>
            <m:sty m:val="p"/>
          </m:rPr>
          <m:t>=</m:t>
        </m:r>
        <m:r>
          <m:t>0.0</m:t>
        </m:r>
      </m:oMath>
      <w:r>
        <w:t xml:space="preserve">, JSON mode). Table 8 presents the comprehensive 5-stage latency profile:</w:t>
      </w:r>
    </w:p>
    <w:p>
      <w:pPr>
        <w:pStyle w:val="BodyText"/>
      </w:pPr>
      <w:r>
        <w:rPr>
          <w:bCs/>
          <w:b/>
        </w:rPr>
        <w:t xml:space="preserve">Table 8. Millisecond-Level Latency Breakdown per Processing Stage (</w:t>
      </w:r>
      <m:oMath>
        <m:r>
          <m:t>N</m:t>
        </m:r>
        <m:r>
          <m:rPr>
            <m:sty m:val="p"/>
          </m:rPr>
          <m:t>=</m:t>
        </m:r>
        <m:r>
          <m:t>120</m:t>
        </m:r>
      </m:oMath>
      <w:r>
        <w:rPr>
          <w:bCs/>
          <w:b/>
        </w:rPr>
        <w:t xml:space="preserve"> </w:t>
      </w:r>
      <w:r>
        <w:rPr>
          <w:bCs/>
          <w:b/>
        </w:rPr>
        <w:t xml:space="preserve">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 / Pipeline Stage</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95th Percentile (p95)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Latency Share (%)</w:t>
            </w:r>
          </w:p>
        </w:tc>
      </w:tr>
      <w:tr>
        <w:tc>
          <w:tcPr/>
          <w:p>
            <w:pPr>
              <w:pStyle w:val="Compact"/>
              <w:jc w:val="left"/>
            </w:pPr>
            <w:r>
              <w:rPr>
                <w:bCs/>
                <w:b/>
              </w:rPr>
              <w:t xml:space="preserve">A. Server-Side Backend Processing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Invariant Validation (SirValidator 6-Dim)</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SQL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Server Backend Latency</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Client-Side Visualization &amp; Routing (Asynchronous)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Polyline Routing &amp; Road Navigation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User-Perceived End-to-End Latency</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Methodological Note on Testing Regimes:</w:t>
      </w:r>
      <w:r>
        <w:t xml:space="preserve"> </w:t>
      </w:r>
      <w:r>
        <w:t xml:space="preserve">&gt; In the deterministic in-memory offline mock mode (</w:t>
      </w:r>
      <w:r>
        <w:rPr>
          <w:rStyle w:val="VerbatimChar"/>
        </w:rPr>
        <w:t xml:space="preserve">--mock</w:t>
      </w:r>
      <w:r>
        <w:t xml:space="preserve">) designed for unit testing and CI/CD pipelines without consuming API credits, server backend latency averaged</w:t>
      </w:r>
      <w:r>
        <w:t xml:space="preserve"> </w:t>
      </w:r>
      <w:r>
        <w:rPr>
          <w:bCs/>
          <w:b/>
        </w:rPr>
        <w:t xml:space="preserve">8.99 ms</w:t>
      </w:r>
      <w:r>
        <w:t xml:space="preserve"> </w:t>
      </w:r>
      <w:r>
        <w:t xml:space="preserve">(median: 8.65 ms, p95: 14.20 ms). Live production metrics and offline invariant verification metrics are formally separated and distinctly recorded in the benchmark repository.</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(median: 1.10 ms, p95: 2.45 ms; 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averaged</w:t>
      </w:r>
      <w:r>
        <w:t xml:space="preserve"> </w:t>
      </w:r>
      <w:r>
        <w:rPr>
          <w:bCs/>
          <w:b/>
        </w:rPr>
        <w:t xml:space="preserve">1,340.57 ms (~1.34 seconds)</w:t>
      </w:r>
      <w:r>
        <w:t xml:space="preserve"> </w:t>
      </w:r>
      <w:r>
        <w:t xml:space="preserve">(median: 1,316.89 ms, p95: 1,709.97 ms), explicitly encompassing</w:t>
      </w:r>
      <w:r>
        <w:t xml:space="preserve"> </w:t>
      </w:r>
      <w:r>
        <w:rPr>
          <w:bCs/>
          <w:b/>
        </w:rPr>
        <w:t xml:space="preserve">two distinct remote LLM API inference calls</w:t>
      </w:r>
      <w:r>
        <w:t xml:space="preserve">: LLM Call #1 for Intent Parsing (465.12 ms or 34.69%) and LLM Call #2 for Grounded NLG (785.42 ms or 58.60%), with intermediate MySQL relational computation consuming merely 1.21 ms (0.09%). This dual-invocation design is an intentional architectural necessity to maintain the Cognitive Air-Gap and enforce Grounding Fidelity. With a 95th percentile of 1,709.97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bookmarkEnd w:id="90"/>
    <w:bookmarkStart w:id="91"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91"/>
    <w:bookmarkStart w:id="94" w:name="X754ae1937806f8eeaa215b49ccb5e204f8dac59"/>
    <w:p>
      <w:pPr>
        <w:pStyle w:val="Heading3"/>
      </w:pPr>
      <w:r>
        <w:t xml:space="preserve">4.8 Secondary Evaluation: Human-Centered Usability and Conversational Interaction (SUS &amp; Cognitive Task Efficiency)</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The failed task protocol established a maximum ceiling time-out threshold of</w:t>
      </w:r>
      <w:r>
        <w:t xml:space="preserve"> </w:t>
      </w:r>
      <w:r>
        <w:rPr>
          <w:bCs/>
          <w:b/>
        </w:rPr>
        <w:t xml:space="preserve">180 seconds (3 minutes)</w:t>
      </w:r>
      <w:r>
        <w:t xml:space="preserve">, whereby any participant unable to retrieve destinations within the threshold would be marked as an unsuccessful task with a recorded time of 180 seconds. In the empirical trials, all 30 participants successfully completed all three tasks across both interface modalities well within the threshold, yielding a</w:t>
      </w:r>
      <w:r>
        <w:t xml:space="preserve"> </w:t>
      </w:r>
      <w:r>
        <w:rPr>
          <w:bCs/>
          <w:b/>
        </w:rPr>
        <w:t xml:space="preserve">100% task completion rate</w:t>
      </w:r>
      <w:r>
        <w:t xml:space="preserve">.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p>
      <w:pPr>
        <w:pStyle w:val="BodyText"/>
      </w:pPr>
      <w:r>
        <w:rPr>
          <w:bCs/>
          <w:b/>
        </w:rPr>
        <w:t xml:space="preserve">8. Research Ethics Clearance:</w:t>
      </w:r>
      <w:r>
        <w:br/>
      </w:r>
      <w:r>
        <w:t xml:space="preserve">The experimental usability evaluation protocol was reviewed and granted formal ethics approval by the Research Ethics Committee of LPPM Universitas Andalas (Ethics Approval Letter No. 042/UN16.09/ETIK/2026). All participants provided written informed consent, participated voluntarily without coercion, were assured full data anonymity, and retained the unconditional right to withdraw at any stage without prejudice.</w:t>
      </w:r>
    </w:p>
    <w:p>
      <w:pPr>
        <w:pStyle w:val="BodyText"/>
      </w:pPr>
      <w:r>
        <w:rPr>
          <w:bCs/>
          <w:b/>
        </w:rPr>
        <w:t xml:space="preserve">9. Open Raw Data Availability:</w:t>
      </w:r>
      <w:r>
        <w:br/>
      </w:r>
      <w:r>
        <w:t xml:space="preserve">In alignment with open science and empirical audit standards, raw item-by-item SUS Likert scores (10 items), precise TCT duration measurements per task, participant demographics, and counterbalancing sequence logs are publicly accessible in</w:t>
      </w:r>
      <w:r>
        <w:t xml:space="preserve"> </w:t>
      </w:r>
      <w:hyperlink r:id="rId92">
        <w:r>
          <w:rPr>
            <w:rStyle w:val="VerbatimChar"/>
          </w:rPr>
          <w:t xml:space="preserve">jurnal/LAMPIRAN_RAW_DATA_SUS_TCT.md</w:t>
        </w:r>
      </w:hyperlink>
      <w:r>
        <w:t xml:space="preserve"> </w:t>
      </w:r>
      <w:r>
        <w:t xml:space="preserve">and in structured tabular format at</w:t>
      </w:r>
      <w:r>
        <w:t xml:space="preserve"> </w:t>
      </w:r>
      <w:hyperlink r:id="rId93">
        <w:r>
          <w:rPr>
            <w:rStyle w:val="VerbatimChar"/>
          </w:rPr>
          <w:t xml:space="preserve">jurnal/usability_sus_tct_30_respondents.csv</w:t>
        </w:r>
      </w:hyperlink>
      <w:r>
        <w:t xml:space="preserve">.</w:t>
      </w:r>
    </w:p>
    <w:bookmarkEnd w:id="94"/>
    <w:bookmarkStart w:id="95" w:name="X498549b5f8db90ebb9df17744a2512a78b37d1d"/>
    <w:p>
      <w:pPr>
        <w:pStyle w:val="Heading3"/>
      </w:pPr>
      <w:r>
        <w:t xml:space="preserve">4.9 Spatial Transferability, OSRM Service Provenance, and System Limitations</w:t>
      </w:r>
    </w:p>
    <w:p>
      <w:pPr>
        <w:pStyle w:val="FirstParagraph"/>
      </w:pPr>
      <w:r>
        <w:t xml:space="preserve">To address critical peer review criteria regarding geographic transferability and empirical reproducibility, architectural transferability and external service dependencies are detailed as follows:</w:t>
      </w:r>
    </w:p>
    <w:p>
      <w:pPr>
        <w:pStyle w:val="BodyText"/>
      </w:pPr>
      <w:r>
        <w:rPr>
          <w:bCs/>
          <w:b/>
        </w:rPr>
        <w:t xml:space="preserve">1. Geographic Portability with Limited Domain-Specific Reconfiguration:</w:t>
      </w:r>
      <w:r>
        <w:br/>
      </w: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p>
      <w:pPr>
        <w:pStyle w:val="BodyText"/>
      </w:pPr>
      <w:r>
        <w:rPr>
          <w:bCs/>
          <w:b/>
        </w:rPr>
        <w:t xml:space="preserve">2. Positioning of OSRM Service and External Computation Boundaries:</w:t>
      </w:r>
      <w:r>
        <w:br/>
      </w: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the Leaflet.js client interface displays a non-blocking route failure toast notification while omitting the road polyline, leaving POI markers and all relational database facts intact.</w:t>
      </w:r>
    </w:p>
    <w:p>
      <w:r>
        <w:pict>
          <v:rect style="width:0;height:1.5pt" o:hralign="center" o:hrstd="t" o:hr="t"/>
        </w:pict>
      </w:r>
    </w:p>
    <w:bookmarkEnd w:id="95"/>
    <w:bookmarkEnd w:id="96"/>
    <w:bookmarkStart w:id="97" w:name="conclusion-and-future-work"/>
    <w:p>
      <w:pPr>
        <w:pStyle w:val="Heading2"/>
      </w:pPr>
      <w:r>
        <w:t xml:space="preserve">5. CONCLUSION AND FUTURE WORK</w:t>
      </w:r>
    </w:p>
    <w:p>
      <w:pPr>
        <w:pStyle w:val="FirstParagraph"/>
      </w:pPr>
      <w:r>
        <w:t xml:space="preserve">This study designed, implemented, and empirically evaluated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validated across 22 curated tourism destinations in Padang City. Expanding upon the exploratory spatial interaction lineage of</w:t>
      </w:r>
      <w:r>
        <w:t xml:space="preserve"> </w:t>
      </w:r>
      <w:r>
        <w:rPr>
          <w:iCs/>
          <w:i/>
        </w:rPr>
        <w:t xml:space="preserve">DTExplorer</w:t>
      </w:r>
      <w:r>
        <w:t xml:space="preserve"> </w:t>
      </w:r>
      <w:r>
        <w:t xml:space="preserve">(Afnarius et al., 2026), the architecture establishes two explicit control boundaries that decouple non-deterministic, probabilistic natural language interpretation from deterministic spatial computation, harnessing generative AI flexibility while guaranteeing mathematical and factual data integrity.</w:t>
      </w:r>
    </w:p>
    <w:p>
      <w:pPr>
        <w:pStyle w:val="BodyText"/>
      </w:pPr>
      <w:r>
        <w:t xml:space="preserve">Empirical evaluation across 40 standardized conversational scenarios, 34 automated unit tests (112 assertions, 100% pass), a 10,000-POI scalability stress test, and an empirical usability trial (</w:t>
      </w:r>
      <m:oMath>
        <m:r>
          <m:t>N</m:t>
        </m:r>
        <m:r>
          <m:rPr>
            <m:sty m:val="p"/>
          </m:rPr>
          <m:t>=</m:t>
        </m:r>
        <m:r>
          <m:t>30</m:t>
        </m:r>
      </m:oMath>
      <w:r>
        <w:t xml:space="preserve">) yielded the following findings:</w:t>
      </w:r>
      <w:r>
        <w:t xml:space="preserve"> </w:t>
      </w:r>
      <w:r>
        <w:t xml:space="preserve">1.</w:t>
      </w:r>
      <w:r>
        <w:t xml:space="preserve"> </w:t>
      </w:r>
      <w:r>
        <w:rPr>
          <w:bCs/>
          <w:b/>
        </w:rPr>
        <w:t xml:space="preserve">Efficacy of the Semantic Control Boundary:</w:t>
      </w:r>
      <w:r>
        <w:t xml:space="preserve"> </w:t>
      </w:r>
      <w:r>
        <w:t xml:space="preserve">The isolation of LLM parsing into a typed</w:t>
      </w:r>
      <w:r>
        <w:t xml:space="preserve"> </w:t>
      </w:r>
      <w:r>
        <w:rPr>
          <w:bCs/>
          <w:b/>
        </w:rPr>
        <w:t xml:space="preserve">Canonical Spatial Intent Representation (CSIR)</w:t>
      </w:r>
      <w:r>
        <w:t xml:space="preserve"> </w:t>
      </w:r>
      <w:r>
        <w:t xml:space="preserve">governed by the</w:t>
      </w:r>
      <w:r>
        <w:t xml:space="preserve"> </w:t>
      </w:r>
      <w:r>
        <w:rPr>
          <w:iCs/>
          <w:i/>
        </w:rPr>
        <w:t xml:space="preserve">Spatial Operator Ontology</w:t>
      </w:r>
      <w:r>
        <w:t xml:space="preserve">, verified by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achieved an Exact CSIR semantic extraction accuracy of</w:t>
      </w:r>
      <w:r>
        <w:t xml:space="preserve"> </w:t>
      </w:r>
      <w:r>
        <w:rPr>
          <w:bCs/>
          <w:b/>
        </w:rPr>
        <w:t xml:space="preserve">92.50%</w:t>
      </w:r>
      <w:r>
        <w:t xml:space="preserve"> </w:t>
      </w:r>
      <w:r>
        <w:t xml:space="preserve">(37/40) for pure user intent, a</w:t>
      </w:r>
      <w:r>
        <w:t xml:space="preserve"> </w:t>
      </w:r>
      <w:r>
        <w:rPr>
          <w:bCs/>
          <w:b/>
        </w:rPr>
        <w:t xml:space="preserve">90.00%</w:t>
      </w:r>
      <w:r>
        <w:t xml:space="preserve"> </w:t>
      </w:r>
      <w:r>
        <w:t xml:space="preserve">(36/40) post-policy execution envelope alignment, an average field-level accuracy of</w:t>
      </w:r>
      <w:r>
        <w:t xml:space="preserve"> </w:t>
      </w:r>
      <w:r>
        <w:rPr>
          <w:bCs/>
          <w:b/>
        </w:rPr>
        <w:t xml:space="preserve">99.25% (398/401)</w:t>
      </w:r>
      <w:r>
        <w:t xml:space="preserve">, a</w:t>
      </w:r>
      <w:r>
        <w:t xml:space="preserve"> </w:t>
      </w:r>
      <w:r>
        <w:rPr>
          <w:bCs/>
          <w:b/>
        </w:rPr>
        <w:t xml:space="preserve">95.00%</w:t>
      </w:r>
      <w:r>
        <w:t xml:space="preserve"> </w:t>
      </w:r>
      <w:r>
        <w:t xml:space="preserve">category classification accuracy (38/40), a</w:t>
      </w:r>
      <w:r>
        <w:t xml:space="preserve"> </w:t>
      </w:r>
      <w:r>
        <w:rPr>
          <w:bCs/>
          <w:b/>
        </w:rPr>
        <w:t xml:space="preserve">100.00%</w:t>
      </w:r>
      <w:r>
        <w:t xml:space="preserve"> </w:t>
      </w:r>
      <w:r>
        <w:t xml:space="preserve">pure spatial predicate correctness (36/36, alongside 100.00% / 40/40 overall scenario compliance), a</w:t>
      </w:r>
      <w:r>
        <w:t xml:space="preserve"> </w:t>
      </w:r>
      <w:r>
        <w:rPr>
          <w:bCs/>
          <w:b/>
        </w:rPr>
        <w:t xml:space="preserve">100.00%</w:t>
      </w:r>
      <w:r>
        <w:t xml:space="preserve"> </w:t>
      </w:r>
      <w:r>
        <w:t xml:space="preserve">validation decision accuracy (40/40), and a</w:t>
      </w:r>
      <w:r>
        <w:t xml:space="preserve"> </w:t>
      </w:r>
      <w:r>
        <w:rPr>
          <w:bCs/>
          <w:b/>
        </w:rPr>
        <w:t xml:space="preserve">100.00% (2/2)</w:t>
      </w:r>
      <w:r>
        <w:t xml:space="preserve"> </w:t>
      </w:r>
      <w:r>
        <w:t xml:space="preserve">Honest Rejection Rate on tested out-of-scope requests, with zero unverified or silently mutated parameters reaching database compilation.</w:t>
      </w:r>
      <w:r>
        <w:t xml:space="preserve"> </w:t>
      </w:r>
      <w:r>
        <w:t xml:space="preserve">2.</w:t>
      </w:r>
      <w:r>
        <w:t xml:space="preserve"> </w:t>
      </w:r>
      <w:r>
        <w:rPr>
          <w:bCs/>
          <w:b/>
        </w:rPr>
        <w:t xml:space="preserve">Efficacy of the Evidence Control Boundary and Relational Spatial Execution:</w:t>
      </w:r>
      <w:r>
        <w:t xml:space="preserve"> </w:t>
      </w:r>
      <w:r>
        <w:t xml:space="preserve">The relational database (MySQL 8.0</w:t>
      </w:r>
      <w:r>
        <w:t xml:space="preserve"> </w:t>
      </w:r>
      <w:r>
        <w:rPr>
          <w:rStyle w:val="VerbatimChar"/>
        </w:rPr>
        <w:t xml:space="preserve">ST_Distance_Sphere</w:t>
      </w:r>
      <w:r>
        <w:t xml:space="preserve">) established the sole source of spatial truth, executing spherical distance queries in an average of</w:t>
      </w:r>
      <w:r>
        <w:t xml:space="preserve"> </w:t>
      </w:r>
      <w:r>
        <w:rPr>
          <w:bCs/>
          <w:b/>
        </w:rPr>
        <w:t xml:space="preserve">1.21 ms</w:t>
      </w:r>
      <w:r>
        <w:t xml:space="preserve"> </w:t>
      </w:r>
      <w:r>
        <w:t xml:space="preserve">(scaling to 6.11 ms under 10,000 synthetic POIs). Enforcing the</w:t>
      </w:r>
      <w:r>
        <w:t xml:space="preserve"> </w:t>
      </w:r>
      <w:r>
        <w:rPr>
          <w:iCs/>
          <w:i/>
        </w:rPr>
        <w:t xml:space="preserve">Strict Grounding Contract</w:t>
      </w:r>
      <w:r>
        <w:t xml:space="preserve"> </w:t>
      </w:r>
      <w:r>
        <w:t xml:space="preserve">paired with post-generation algorithmic auditing by the</w:t>
      </w:r>
      <w:r>
        <w:t xml:space="preserve"> </w:t>
      </w:r>
      <w:r>
        <w:rPr>
          <w:bCs/>
          <w:b/>
        </w:rPr>
        <w:t xml:space="preserve">Claim-Level Grounding Validator</w:t>
      </w:r>
      <w:r>
        <w:t xml:space="preserve"> </w:t>
      </w:r>
      <w:r>
        <w:t xml:space="preserve">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achieved</w:t>
      </w:r>
      <w:r>
        <w:t xml:space="preserve"> </w:t>
      </w:r>
      <w:r>
        <w:rPr>
          <w:bCs/>
          <w:b/>
        </w:rPr>
        <w:t xml:space="preserve">100.00% Claim-Level Grounding Fidelity (304/304 claims)</w:t>
      </w:r>
      <w:r>
        <w:t xml:space="preserve">, an</w:t>
      </w:r>
      <w:r>
        <w:t xml:space="preserve"> </w:t>
      </w:r>
      <w:r>
        <w:rPr>
          <w:bCs/>
          <w:b/>
        </w:rPr>
        <w:t xml:space="preserve">Entity Grounding Fidelity of 100.00% (147/147 POI mentions)</w:t>
      </w:r>
      <w:r>
        <w:t xml:space="preserve">, a</w:t>
      </w:r>
      <w:r>
        <w:t xml:space="preserve"> </w:t>
      </w:r>
      <w:r>
        <w:rPr>
          <w:bCs/>
          <w:b/>
        </w:rPr>
        <w:t xml:space="preserve">100.00% Scenario Grounding Pass Rate (40/40 scenarios)</w:t>
      </w:r>
      <w:r>
        <w:t xml:space="preserve">, and</w:t>
      </w:r>
      <w:r>
        <w:t xml:space="preserve"> </w:t>
      </w:r>
      <w:r>
        <w:rPr>
          <w:bCs/>
          <w:b/>
        </w:rPr>
        <w:t xml:space="preserve">0 observed fabricated POIs (0.00% Entity Fabrication Rate)</w:t>
      </w:r>
      <w:r>
        <w:t xml:space="preserve"> </w:t>
      </w:r>
      <w:r>
        <w:t xml:space="preserve">under the evaluated benchmark conditions, fortified by deterministic fail-closed fallback mechanisms.</w:t>
      </w:r>
      <w:r>
        <w:t xml:space="preserve"> </w:t>
      </w:r>
      <w:r>
        <w:t xml:space="preserve">3.</w:t>
      </w:r>
      <w:r>
        <w:t xml:space="preserve"> </w:t>
      </w:r>
      <w:r>
        <w:rPr>
          <w:bCs/>
          <w:b/>
        </w:rPr>
        <w:t xml:space="preserve">Technical Latency and Usability Excellence:</w:t>
      </w:r>
      <w:r>
        <w:t xml:space="preserve"> </w:t>
      </w:r>
      <w:r>
        <w:t xml:space="preserve">The system recorded an average server-side conversational pipeline latency of</w:t>
      </w:r>
      <w:r>
        <w:t xml:space="preserve"> </w:t>
      </w:r>
      <w:r>
        <w:rPr>
          <w:bCs/>
          <w:b/>
        </w:rPr>
        <w:t xml:space="preserve">1,252.17 ms</w:t>
      </w:r>
      <w:r>
        <w:t xml:space="preserve"> </w:t>
      </w:r>
      <w:r>
        <w:t xml:space="preserve">(median: 1,232.39 ms, p95: 1,581.37 ms) and an average end-to-end user-perceived response latency of</w:t>
      </w:r>
      <w:r>
        <w:t xml:space="preserve"> </w:t>
      </w:r>
      <w:r>
        <w:rPr>
          <w:bCs/>
          <w:b/>
        </w:rPr>
        <w:t xml:space="preserve">1,340.57 ms</w:t>
      </w:r>
      <w:r>
        <w:t xml:space="preserve"> </w:t>
      </w:r>
      <w:r>
        <w:t xml:space="preserve">(median: 1,316.89 ms, p95: 1,709.97 ms) incorporating independent client-side OSRM road routing (88.40 ms). Empirically, the conversational paradigm demonstrated an</w:t>
      </w:r>
      <w:r>
        <w:t xml:space="preserve"> </w:t>
      </w:r>
      <w:r>
        <w:rPr>
          <w:bCs/>
          <w:b/>
        </w:rPr>
        <w:t xml:space="preserve">82.43% reduction in cognitive task completion time</w:t>
      </w:r>
      <w:r>
        <w:t xml:space="preserve"> </w:t>
      </w:r>
      <w:r>
        <w:t xml:space="preserve">over conventional WIMP interfaces (</w:t>
      </w:r>
      <m:oMath>
        <m:r>
          <m:t>t</m:t>
        </m:r>
        <m:d>
          <m:dPr>
            <m:begChr m:val="("/>
            <m:endChr m:val=")"/>
            <m:sepChr m:val=""/>
            <m:grow/>
          </m:dPr>
          <m:e>
            <m:r>
              <m:t>29</m:t>
            </m:r>
          </m:e>
        </m:d>
        <m:r>
          <m:rPr>
            <m:sty m:val="p"/>
          </m:rPr>
          <m:t>=</m:t>
        </m:r>
        <m:r>
          <m:t>28.42</m:t>
        </m:r>
        <m:r>
          <m:rPr>
            <m:sty m:val="p"/>
          </m:rPr>
          <m:t>,</m:t>
        </m:r>
        <m:r>
          <m:t>p</m:t>
        </m:r>
        <m:r>
          <m:rPr>
            <m:sty m:val="p"/>
          </m:rPr>
          <m:t>&lt;</m:t>
        </m:r>
        <m:r>
          <m:t>0.001</m:t>
        </m:r>
      </m:oMath>
      <w:r>
        <w:t xml:space="preserve">, Cohen’s</w:t>
      </w:r>
      <w:r>
        <w:t xml:space="preserve"> </w:t>
      </w:r>
      <m:oMath>
        <m:r>
          <m:t>d</m:t>
        </m:r>
        <m:r>
          <m:rPr>
            <m:sty m:val="p"/>
          </m:rPr>
          <m:t>=</m:t>
        </m:r>
        <m:r>
          <m:t>5.19</m:t>
        </m:r>
      </m:oMath>
      <w:r>
        <w:t xml:space="preserve">), and achieved an</w:t>
      </w:r>
      <w:r>
        <w:t xml:space="preserve"> </w:t>
      </w:r>
      <w:r>
        <w:t xml:space="preserve">“</w:t>
      </w:r>
      <w:r>
        <w:t xml:space="preserve">Excellent</w:t>
      </w:r>
      <w:r>
        <w:t xml:space="preserve">”</w:t>
      </w:r>
      <w:r>
        <w:t xml:space="preserve"> </w:t>
      </w:r>
      <w:r>
        <w:rPr>
          <w:bCs/>
          <w:b/>
        </w:rPr>
        <w:t xml:space="preserve">System Usability Scale (SUS) score of 84.25 ± 6.80</w:t>
      </w:r>
      <w:r>
        <w:t xml:space="preserve">. Architectural robustness was confirmed by a 100% pass rate across 34 automated unit tests (112 assertions).</w:t>
      </w:r>
    </w:p>
    <w:p>
      <w:pPr>
        <w:pStyle w:val="BodyText"/>
      </w:pPr>
      <w:r>
        <w:t xml:space="preserve">Future work will focus on 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bookmarkEnd w:id="97"/>
    <w:bookmarkStart w:id="98"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98"/>
    <w:bookmarkStart w:id="101" w:name="appendix-supplementary-material"/>
    <w:p>
      <w:pPr>
        <w:pStyle w:val="Heading2"/>
      </w:pPr>
      <w:r>
        <w:t xml:space="preserve">APPENDIX (SUPPLEMENTARY MATERIAL)</w:t>
      </w:r>
    </w:p>
    <w:bookmarkStart w:id="99"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99"/>
    <w:bookmarkStart w:id="100"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hyperlink" Id="rId78" Target="file:///var/www/html/Geo/benchmark/DATASET_PROVENANCE_22_POI.md" TargetMode="External" /><Relationship Type="http://schemas.openxmlformats.org/officeDocument/2006/relationships/hyperlink" Id="rId92" Target="file:///var/www/html/Geo/jurnal/LAMPIRAN_RAW_DATA_SUS_TCT.md" TargetMode="External" /><Relationship Type="http://schemas.openxmlformats.org/officeDocument/2006/relationships/hyperlink" Id="rId93" Target="file:///var/www/html/Geo/jurnal/usability_sus_tct_30_respondents.csv" TargetMode="External" /></Relationships>
</file>

<file path=word/_rels/footnotes.xml.rels><?xml version="1.0" encoding="UTF-8"?><Relationships xmlns="http://schemas.openxmlformats.org/package/2006/relationships"><Relationship Type="http://schemas.openxmlformats.org/officeDocument/2006/relationships/hyperlink" Id="rId78" Target="file:///var/www/html/Geo/benchmark/DATASET_PROVENANCE_22_POI.md" TargetMode="External" /><Relationship Type="http://schemas.openxmlformats.org/officeDocument/2006/relationships/hyperlink" Id="rId92" Target="file:///var/www/html/Geo/jurnal/LAMPIRAN_RAW_DATA_SUS_TCT.md" TargetMode="External" /><Relationship Type="http://schemas.openxmlformats.org/officeDocument/2006/relationships/hyperlink" Id="rId93" Target="file:///var/www/html/Geo/jurnal/usability_sus_tct_30_respondents.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2026-10-13T06:46:02Z</dcterms:created>
  <dcterms:modified xsi:type="dcterms:W3CDTF">2026-10-13T06:46:02Z</dcterms:modified>
</cp:coreProperties>
</file>

<file path=docProps/custom.xml><?xml version="1.0" encoding="utf-8"?>
<Properties xmlns="http://schemas.openxmlformats.org/officeDocument/2006/custom-properties" xmlns:vt="http://schemas.openxmlformats.org/officeDocument/2006/docPropsVTypes"/>
</file>