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menjamin tidak ada klaim tanpa bukti faktual yang sampai ke pengguna. Evaluasi empiris 4-lapisan terhadap 40 skenario percakapan terstandarisasi menunjukkan capaian Akurasi Ekstraksi CSIR Eksak Niat Murni sebesar</w:t>
      </w:r>
      <w:r>
        <w:t xml:space="preserve"> </w:t>
      </w:r>
      <w:r>
        <w:rPr>
          <w:bCs/>
          <w:b/>
        </w:rPr>
        <w:t xml:space="preserve">92,50% (37/40)</w:t>
      </w:r>
      <w:r>
        <w:t xml:space="preserve"> </w:t>
      </w:r>
      <w:r>
        <w:t xml:space="preserve">dengan keselarasan amplob eksekusi pasca-kebijakan</w:t>
      </w:r>
      <w:r>
        <w:t xml:space="preserve"> </w:t>
      </w:r>
      <w:r>
        <w:rPr>
          <w:bCs/>
          <w:b/>
        </w:rPr>
        <w:t xml:space="preserve">90,00% (36/40)</w:t>
      </w:r>
      <w:r>
        <w:t xml:space="preserve">, rata-rata akurasi tingkat atribut (</w:t>
      </w:r>
      <w:r>
        <w:rPr>
          <w:iCs/>
          <w:i/>
        </w:rPr>
        <w:t xml:space="preserve">field-level accuracy</w:t>
      </w:r>
      <w:r>
        <w:t xml:space="preserve">)</w:t>
      </w:r>
      <w:r>
        <w:t xml:space="preserve"> </w:t>
      </w:r>
      <w:r>
        <w:rPr>
          <w:bCs/>
          <w:b/>
        </w:rPr>
        <w:t xml:space="preserve">99,25% (398/401)</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304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147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1.340,57 ms, median: 1.316,89 ms, P95: 1.709,97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dense-vector Retrieval-Augmented Generation (RAG) fundamentally fails to enforce deterministic mathematical and spatial constraints (such as great-circle spherical distance calculations, budget boundaries, and current-time operational status evaluation against stored operating schedules).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to prevent ungrounded claims from reaching the final response. Empirical 4-layer evaluation across 40 standardized benchmark scenarios demonstrates a Pure Intent Pre-Fallback Exact CSIR Extraction Accuracy of</w:t>
      </w:r>
      <w:r>
        <w:t xml:space="preserve"> </w:t>
      </w:r>
      <w:r>
        <w:rPr>
          <w:bCs/>
          <w:b/>
        </w:rPr>
        <w:t xml:space="preserve">92.50% (37/40)</w:t>
      </w:r>
      <w:r>
        <w:t xml:space="preserve"> </w:t>
      </w:r>
      <w:r>
        <w:t xml:space="preserve">(</w:t>
      </w:r>
      <w:r>
        <w:rPr>
          <w:bCs/>
          <w:b/>
        </w:rPr>
        <w:t xml:space="preserve">90.00% / 36/40</w:t>
      </w:r>
      <w:r>
        <w:t xml:space="preserve"> </w:t>
      </w:r>
      <w:r>
        <w:t xml:space="preserve">on post-policy execution envelope alignment) with an average field-level accuracy of</w:t>
      </w:r>
      <w:r>
        <w:t xml:space="preserve"> </w:t>
      </w:r>
      <w:r>
        <w:rPr>
          <w:bCs/>
          <w:b/>
        </w:rPr>
        <w:t xml:space="preserve">99.25% (398/401)</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304 audited claims recognized by GroundingValidator on four implemented verification categories</w:t>
      </w:r>
      <w:r>
        <w:t xml:space="preserve"> </w:t>
      </w:r>
      <w:r>
        <w:t xml:space="preserve">and an Entity Grounding Fidelity of</w:t>
      </w:r>
      <w:r>
        <w:t xml:space="preserve"> </w:t>
      </w:r>
      <w:r>
        <w:rPr>
          <w:bCs/>
          <w:b/>
        </w:rPr>
        <w:t xml:space="preserve">100.00% across 147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 evaluasi status operasional jam buka-tutup saat ini, dan</w:t>
      </w:r>
      <w:r>
        <w:t xml:space="preserve"> </w:t>
      </w:r>
      <w:r>
        <w:rPr>
          <w:rStyle w:val="VerbatimChar"/>
        </w:rPr>
        <w:t xml:space="preserve">jarak_radius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20"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OK (45 tests, 172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45 Kasus Uji Unit &amp; Integrasi Lengkap</w:t>
            </w:r>
          </w:p>
        </w:tc>
        <w:tc>
          <w:tcPr/>
          <w:p>
            <w:pPr>
              <w:pStyle w:val="Compact"/>
              <w:jc w:val="left"/>
            </w:pPr>
            <w:r>
              <w:rPr>
                <w:bCs/>
                <w:b/>
              </w:rPr>
              <w:t xml:space="preserve">172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9"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92,50% (37/40)</w:t>
      </w:r>
      <w:r>
        <w:t xml:space="preserve"> </w:t>
      </w:r>
      <w:r>
        <w:t xml:space="preserve">dengan keselarasan amplob eksekusi pasca-kebijakan</w:t>
      </w:r>
      <w:r>
        <w:t xml:space="preserve"> </w:t>
      </w:r>
      <w:r>
        <w:rPr>
          <w:bCs/>
          <w:b/>
        </w:rPr>
        <w:t xml:space="preserve">90,00% (36/40)</w:t>
      </w:r>
      <w:r>
        <w:t xml:space="preserve">, akurasi klasifikasi kategori</w:t>
      </w:r>
      <w:r>
        <w:t xml:space="preserve"> </w:t>
      </w:r>
      <w:r>
        <w:rPr>
          <w:bCs/>
          <w:b/>
        </w:rPr>
        <w:t xml:space="preserve">95,00% (38/40)</w:t>
      </w:r>
      <w:r>
        <w:t xml:space="preserve">, dan rata-rata akurasi tingkat atribut (</w:t>
      </w:r>
      <w:r>
        <w:rPr>
          <w:iCs/>
          <w:i/>
        </w:rPr>
        <w:t xml:space="preserve">mean field-level accuracy</w:t>
      </w:r>
      <w:r>
        <w:t xml:space="preserve">)</w:t>
      </w:r>
      <w:r>
        <w:t xml:space="preserve"> </w:t>
      </w:r>
      <w:r>
        <w:rPr>
          <w:bCs/>
          <w:b/>
        </w:rPr>
        <w:t xml:space="preserve">99,25% (398/401)</w:t>
      </w:r>
      <w:r>
        <w:t xml:space="preserve">. Tiga kasus yang tidak cocok persis pada level niat murni murni diakibatkan oleh variasi sinonim entitas dan batas yurisdiksi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37</m:t>
              </m:r>
            </m:oMath>
            <w:r>
              <w:t xml:space="preserve">)</w:t>
            </w:r>
          </w:p>
        </w:tc>
        <w:tc>
          <w:tcPr/>
          <w:p>
            <w:pPr>
              <w:pStyle w:val="Compact"/>
              <w:jc w:val="center"/>
            </w:pPr>
            <w:r>
              <w:t xml:space="preserve">40 kasus</w:t>
            </w:r>
          </w:p>
        </w:tc>
        <w:tc>
          <w:tcPr/>
          <w:p>
            <w:pPr>
              <w:pStyle w:val="Compact"/>
              <w:jc w:val="center"/>
            </w:pPr>
            <w:r>
              <w:rPr>
                <w:bCs/>
                <w:b/>
              </w:rPr>
              <w:t xml:space="preserve">92,50%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36</m:t>
              </m:r>
            </m:oMath>
            <w:r>
              <w:t xml:space="preserve">)</w:t>
            </w:r>
          </w:p>
        </w:tc>
        <w:tc>
          <w:tcPr/>
          <w:p>
            <w:pPr>
              <w:pStyle w:val="Compact"/>
              <w:jc w:val="center"/>
            </w:pPr>
            <w:r>
              <w:t xml:space="preserve">40 kasus</w:t>
            </w:r>
          </w:p>
        </w:tc>
        <w:tc>
          <w:tcPr/>
          <w:p>
            <w:pPr>
              <w:pStyle w:val="Compact"/>
              <w:jc w:val="center"/>
            </w:pPr>
            <w:r>
              <w:rPr>
                <w:bCs/>
                <w:b/>
              </w:rPr>
              <w:t xml:space="preserve">90,00%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398</m:t>
              </m:r>
            </m:oMath>
            <w:r>
              <w:t xml:space="preserve">)</w:t>
            </w:r>
          </w:p>
        </w:tc>
        <w:tc>
          <w:tcPr/>
          <w:p>
            <w:pPr>
              <w:pStyle w:val="Compact"/>
              <w:jc w:val="center"/>
            </w:pPr>
            <w:r>
              <w:t xml:space="preserve">401 field</w:t>
            </w:r>
          </w:p>
        </w:tc>
        <w:tc>
          <w:tcPr/>
          <w:p>
            <w:pPr>
              <w:pStyle w:val="Compact"/>
              <w:jc w:val="center"/>
            </w:pPr>
            <w:r>
              <w:rPr>
                <w:bCs/>
                <w:b/>
              </w:rPr>
              <w:t xml:space="preserve">99,25%</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304</m:t>
              </m:r>
            </m:oMath>
            <w:r>
              <w:t xml:space="preserve">)</w:t>
            </w:r>
          </w:p>
        </w:tc>
        <w:tc>
          <w:tcPr/>
          <w:p>
            <w:pPr>
              <w:pStyle w:val="Compact"/>
              <w:jc w:val="center"/>
            </w:pPr>
            <w:r>
              <w:t xml:space="preserve">304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Deviasi Semantik Niat Murni Menuju Kepatuhan Eksekusi 100%:</w:t>
      </w:r>
      <w:r>
        <w:br/>
      </w:r>
      <w:r>
        <w:t xml:space="preserve">Perbedaan antara Akurasi CSIR Niat Murni (92,50% / 37 kasus cocok eksak) dengan Kepatuhan Eksekusi Keseluruhan (100,00% / 40 kasus lulus) disebabkan oleh penanganan deterministik terhadap empat kasus khusus berikut:</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(mencari tempat spesifik), sedangkan ground truth mencatat</w:t>
      </w:r>
      <w:r>
        <w:t xml:space="preserve"> </w:t>
      </w:r>
      <w:r>
        <w:rPr>
          <w:rStyle w:val="VerbatimChar"/>
        </w:rPr>
        <w:t xml:space="preserve">spatial_recommendation</w:t>
      </w:r>
      <w:r>
        <w:t xml:space="preserve">. Perbedaan tipe intensi ini tidak menggagalkan eksekusi karena kompiler SQL tetap mencari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objek berada di Pantai Air Manis), sedangkan ground truth membiarkan kategori kosong (</w:t>
      </w:r>
      <w:r>
        <w:rPr>
          <w:rStyle w:val="VerbatimChar"/>
        </w:rPr>
        <w:t xml:space="preserve">null</w:t>
      </w:r>
      <w:r>
        <w:t xml:space="preserve">). Kueri tetap berhasil menemukan objek dan menampilkan informasi tiket masuk yang faktual.</w:t>
      </w:r>
      <w:r>
        <w:t xml:space="preserve"> </w:t>
      </w:r>
      <w:r>
        <w:t xml:space="preserve">3.</w:t>
      </w:r>
      <w:r>
        <w:t xml:space="preserve"> </w:t>
      </w:r>
      <w:r>
        <w:rPr>
          <w:bCs/>
          <w:b/>
        </w:rPr>
        <w:t xml:space="preserve">Kasus #35 (Rekomendasi Pantai saat Pengguna di Luar Padang):</w:t>
      </w:r>
      <w:r>
        <w:t xml:space="preserve"> </w:t>
      </w:r>
      <w:r>
        <w:t xml:space="preserve">Posisi GPS pengguna berada 45 km di luar kota Padang. LLM mengekstrak koordinat riil pengguna, namun</w:t>
      </w:r>
      <w:r>
        <w:t xml:space="preserve"> </w:t>
      </w:r>
      <w:r>
        <w:rPr>
          <w:rStyle w:val="VerbatimChar"/>
        </w:rPr>
        <w:t xml:space="preserve">SpatialPolicyHandler</w:t>
      </w:r>
      <w:r>
        <w:t xml:space="preserve"> </w:t>
      </w:r>
      <w:r>
        <w:t xml:space="preserve">secara deterministik mengintersepsi dan menerapkan kebijakan</w:t>
      </w:r>
      <w:r>
        <w:t xml:space="preserve"> </w:t>
      </w:r>
      <w:r>
        <w:rPr>
          <w:iCs/>
          <w:i/>
        </w:rPr>
        <w:t xml:space="preserve">Spatial Fallback</w:t>
      </w:r>
      <w:r>
        <w:t xml:space="preserve"> </w:t>
      </w:r>
      <w:r>
        <w:t xml:space="preserve">ke Titik Pusat Kota Padang disertai notifikasi transparan. Ini merupakan deviasi intensional yang sah demi menjamin keselamatan eksekusi sistem.</w:t>
      </w:r>
      <w:r>
        <w:t xml:space="preserve"> </w:t>
      </w:r>
      <w:r>
        <w:t xml:space="preserve">4.</w:t>
      </w:r>
      <w:r>
        <w:t xml:space="preserve"> </w:t>
      </w:r>
      <w:r>
        <w:rPr>
          <w:bCs/>
          <w:b/>
        </w:rPr>
        <w:t xml:space="preserve">Kasus #37 &amp; #38 (Sapaan Pagi &amp; Ucapan Terima Kasih):</w:t>
      </w:r>
      <w:r>
        <w:t xml:space="preserve"> </w:t>
      </w:r>
      <w:r>
        <w:t xml:space="preserve">Merupakan skenario dialog non-spasial (</w:t>
      </w:r>
      <w:r>
        <w:rPr>
          <w:iCs/>
          <w:i/>
        </w:rPr>
        <w:t xml:space="preserve">chit-chat</w:t>
      </w:r>
      <w:r>
        <w:t xml:space="preserve">). Sistem mengidentifikasi intensi</w:t>
      </w:r>
      <w:r>
        <w:t xml:space="preserve"> </w:t>
      </w:r>
      <w:r>
        <w:rPr>
          <w:rStyle w:val="VerbatimChar"/>
        </w:rPr>
        <w:t xml:space="preserve">general_inquiry</w:t>
      </w:r>
      <w:r>
        <w:t xml:space="preserve"> </w:t>
      </w:r>
      <w:r>
        <w:t xml:space="preserve">dan membalas secara santun tanpa menembakkan kueri destinasi sembarangan (</w:t>
      </w:r>
      <w:r>
        <w:rPr>
          <w:rStyle w:val="VerbatimChar"/>
        </w:rPr>
        <w:t xml:space="preserve">places = []</w:t>
      </w:r>
      <w:r>
        <w:t xml:space="preserve">), sehingga kepatuhan alur percakapan terpenuhi 100%.</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92,50% (37/40)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90,00% (36/40)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99,25% (398/401)</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97,60% (122/125)</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(114/114)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(122/122)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(304/304)</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(147/147)</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Total Waktu Respons Pengguna (</w:t>
            </w:r>
            <w:r>
              <w:rPr>
                <w:iCs/>
                <w:i/>
              </w:rPr>
              <w:t xml:space="preserve">User-Perceived E2E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Client-Side Browser</w:t>
            </w:r>
          </w:p>
        </w:tc>
      </w:tr>
    </w:tbl>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304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147 klaim</w:t>
            </w:r>
          </w:p>
        </w:tc>
        <w:tc>
          <w:tcPr/>
          <w:p>
            <w:pPr>
              <w:pStyle w:val="Compact"/>
              <w:jc w:val="center"/>
            </w:pPr>
            <w:r>
              <w:t xml:space="preserve">147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73 klaim</w:t>
            </w:r>
          </w:p>
        </w:tc>
        <w:tc>
          <w:tcPr/>
          <w:p>
            <w:pPr>
              <w:pStyle w:val="Compact"/>
              <w:jc w:val="center"/>
            </w:pPr>
            <w:r>
              <w:t xml:space="preserve">73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46 klaim</w:t>
            </w:r>
          </w:p>
        </w:tc>
        <w:tc>
          <w:tcPr/>
          <w:p>
            <w:pPr>
              <w:pStyle w:val="Compact"/>
              <w:jc w:val="center"/>
            </w:pPr>
            <w:r>
              <w:t xml:space="preserve">46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38 klaim</w:t>
            </w:r>
          </w:p>
        </w:tc>
        <w:tc>
          <w:tcPr/>
          <w:p>
            <w:pPr>
              <w:pStyle w:val="Compact"/>
              <w:jc w:val="center"/>
            </w:pPr>
            <w:r>
              <w:t xml:space="preserve">38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304 klaim</w:t>
            </w:r>
          </w:p>
        </w:tc>
        <w:tc>
          <w:tcPr/>
          <w:p>
            <w:pPr>
              <w:pStyle w:val="Compact"/>
              <w:jc w:val="center"/>
            </w:pPr>
            <w:r>
              <w:rPr>
                <w:bCs/>
                <w:b/>
              </w:rPr>
              <w:t xml:space="preserve">304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304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304</m:t>
        </m:r>
      </m:oMath>
      <w:r>
        <w:t xml:space="preserve">) dan</w:t>
      </w:r>
      <w:r>
        <w:t xml:space="preserve"> </w:t>
      </w:r>
      <w:r>
        <w:rPr>
          <w:bCs/>
          <w:b/>
        </w:rPr>
        <w:t xml:space="preserve">147 sebutan entitas POI</w:t>
      </w:r>
      <w:r>
        <w:t xml:space="preserve">. Seluruh</w:t>
      </w:r>
      <w:r>
        <w:t xml:space="preserve"> </w:t>
      </w:r>
      <w:r>
        <w:rPr>
          <w:bCs/>
          <w:b/>
        </w:rPr>
        <w:t xml:space="preserve">304 klaim terbukti didukung secara eksak (</w:t>
      </w:r>
      <m:oMath>
        <m:d>
          <m:dPr>
            <m:begChr m:val="|"/>
            <m:endChr m:val="|"/>
            <m:sepChr m:val=""/>
            <m:grow/>
          </m:dPr>
          <m:e>
            <m:sSub>
              <m:e>
                <m:r>
                  <m:rPr>
                    <m:sty m:val="p"/>
                    <m:scr m:val="script"/>
                  </m:rPr>
                  <m:t>C</m:t>
                </m:r>
              </m:e>
              <m:sub>
                <m:r>
                  <m:rPr>
                    <m:nor/>
                    <m:sty m:val="p"/>
                  </m:rPr>
                  <m:t>didukung</m:t>
                </m:r>
              </m:sub>
            </m:sSub>
          </m:e>
        </m:d>
        <m:r>
          <m:rPr>
            <m:sty m:val="p"/>
          </m:rPr>
          <m:t>=</m:t>
        </m:r>
        <m:r>
          <m:t>304</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39 kasus</w:t>
            </w:r>
          </w:p>
        </w:tc>
        <w:tc>
          <w:tcPr/>
          <w:p>
            <w:pPr>
              <w:pStyle w:val="Compact"/>
              <w:jc w:val="center"/>
            </w:pPr>
            <w:r>
              <w:t xml:space="preserve">97,50%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38 kasus</w:t>
            </w:r>
          </w:p>
        </w:tc>
        <w:tc>
          <w:tcPr/>
          <w:p>
            <w:pPr>
              <w:pStyle w:val="Compact"/>
              <w:jc w:val="center"/>
            </w:pPr>
            <w:r>
              <w:t xml:space="preserve">95,00%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4 kasus</w:t>
            </w:r>
          </w:p>
        </w:tc>
        <w:tc>
          <w:tcPr/>
          <w:p>
            <w:pPr>
              <w:pStyle w:val="Compact"/>
              <w:jc w:val="center"/>
            </w:pPr>
            <w:r>
              <w:t xml:space="preserve">4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125 kasus</w:t>
            </w:r>
          </w:p>
        </w:tc>
        <w:tc>
          <w:tcPr/>
          <w:p>
            <w:pPr>
              <w:pStyle w:val="Compact"/>
              <w:jc w:val="center"/>
            </w:pPr>
            <w:r>
              <w:rPr>
                <w:iCs/>
                <w:i/>
              </w:rPr>
              <w:t xml:space="preserve">122 kasus</w:t>
            </w:r>
          </w:p>
        </w:tc>
        <w:tc>
          <w:tcPr/>
          <w:p>
            <w:pPr>
              <w:pStyle w:val="Compact"/>
              <w:jc w:val="center"/>
            </w:pPr>
            <w:r>
              <w:rPr>
                <w:iCs/>
                <w:i/>
                <w:bCs/>
                <w:b/>
              </w:rPr>
              <w:t xml:space="preserve">97,60%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8 kasus jarak</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114 kasus</w:t>
            </w:r>
          </w:p>
        </w:tc>
        <w:tc>
          <w:tcPr/>
          <w:p>
            <w:pPr>
              <w:pStyle w:val="Compact"/>
              <w:jc w:val="center"/>
            </w:pPr>
            <w:r>
              <w:rPr>
                <w:iCs/>
                <w:i/>
              </w:rPr>
              <w:t xml:space="preserve">114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122 kasus</w:t>
            </w:r>
          </w:p>
        </w:tc>
        <w:tc>
          <w:tcPr/>
          <w:p>
            <w:pPr>
              <w:pStyle w:val="Compact"/>
              <w:jc w:val="center"/>
            </w:pPr>
            <w:r>
              <w:rPr>
                <w:iCs/>
                <w:i/>
              </w:rPr>
              <w:t xml:space="preserve">122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401 Evaluasi</w:t>
            </w:r>
          </w:p>
        </w:tc>
        <w:tc>
          <w:tcPr/>
          <w:p>
            <w:pPr>
              <w:pStyle w:val="Compact"/>
              <w:jc w:val="center"/>
            </w:pPr>
            <w:r>
              <w:rPr>
                <w:bCs/>
                <w:b/>
              </w:rPr>
              <w:t xml:space="preserve">398 Cocok</w:t>
            </w:r>
          </w:p>
        </w:tc>
        <w:tc>
          <w:tcPr/>
          <w:p>
            <w:pPr>
              <w:pStyle w:val="Compact"/>
              <w:jc w:val="center"/>
            </w:pPr>
            <w:r>
              <w:rPr>
                <w:bCs/>
                <w:b/>
              </w:rPr>
              <w:t xml:space="preserve">99,25%</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37 Skenario</w:t>
            </w:r>
          </w:p>
        </w:tc>
        <w:tc>
          <w:tcPr/>
          <w:p>
            <w:pPr>
              <w:pStyle w:val="Compact"/>
              <w:jc w:val="center"/>
            </w:pPr>
            <w:r>
              <w:rPr>
                <w:bCs/>
                <w:b/>
              </w:rPr>
              <w:t xml:space="preserve">92,50% (37/40)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36 Skenario</w:t>
            </w:r>
          </w:p>
        </w:tc>
        <w:tc>
          <w:tcPr/>
          <w:p>
            <w:pPr>
              <w:pStyle w:val="Compact"/>
              <w:jc w:val="center"/>
            </w:pPr>
            <w:r>
              <w:rPr>
                <w:bCs/>
                <w:b/>
              </w:rPr>
              <w:t xml:space="preserve">90,00% (36/40)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37 dari 40 skenario (92,50%)</w:t>
      </w:r>
      <w:r>
        <w:t xml:space="preserve">, sedangkan keselarasan amplob eksekusi pasca-kebijakan (</w:t>
      </w:r>
      <w:r>
        <w:rPr>
          <w:iCs/>
          <w:i/>
        </w:rPr>
        <w:t xml:space="preserve">Execution Envelope Alignment</w:t>
      </w:r>
      <w:r>
        <w:t xml:space="preserve">) mencapai</w:t>
      </w:r>
      <w:r>
        <w:t xml:space="preserve"> </w:t>
      </w:r>
      <w:r>
        <w:rPr>
          <w:bCs/>
          <w:b/>
        </w:rPr>
        <w:t xml:space="preserve">36 dari 40 skenario (90,00%)</w:t>
      </w:r>
      <w:r>
        <w:t xml:space="preserve">. Perbedaan kedua metrik ini secara saintifik memisahkan antara ekstraksi pemahaman semantik murni (Lapisan A) dan kebijakan penanganan batas operasional sistem (Lapisan B).</w:t>
      </w:r>
    </w:p>
    <w:p>
      <w:pPr>
        <w:pStyle w:val="BodyText"/>
      </w:pPr>
      <w:r>
        <w:t xml:space="preserve">Rincian kasus deviasi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memprediksi</w:t>
      </w:r>
      <w:r>
        <w:t xml:space="preserve"> </w:t>
      </w:r>
      <w:r>
        <w:rPr>
          <w:rStyle w:val="VerbatimChar"/>
        </w:rPr>
        <w:t xml:space="preserve">intent = entity_lookup</w:t>
      </w:r>
      <w:r>
        <w:t xml:space="preserve"> </w:t>
      </w:r>
      <w:r>
        <w:t xml:space="preserve">(karena nama soto diidentifikasi sebagai entitas tujuan spesifik), sedangkan annotasi acuan menargetkan</w:t>
      </w:r>
      <w:r>
        <w:t xml:space="preserve"> </w:t>
      </w:r>
      <w:r>
        <w:rPr>
          <w:rStyle w:val="VerbatimChar"/>
        </w:rPr>
        <w:t xml:space="preserve">spatial_recommendation</w:t>
      </w:r>
      <w:r>
        <w:t xml:space="preserve">. Meskipun intent berbeda tipis, hasil kueri SQL tetap berhasil merekomendasikan kuliner soto yang relevan.</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memprediksi</w:t>
      </w:r>
      <w:r>
        <w:t xml:space="preserve"> </w:t>
      </w:r>
      <w:r>
        <w:rPr>
          <w:rStyle w:val="VerbatimChar"/>
        </w:rPr>
        <w:t xml:space="preserve">category = Pantai</w:t>
      </w:r>
      <w:r>
        <w:t xml:space="preserve"> </w:t>
      </w:r>
      <w:r>
        <w:t xml:space="preserve">(karena batu berada di kawasan Pantai Air Manis), sedangkan annotasi acuan bernilai</w:t>
      </w:r>
      <w:r>
        <w:t xml:space="preserve"> </w:t>
      </w:r>
      <w:r>
        <w:rPr>
          <w:rStyle w:val="VerbatimChar"/>
        </w:rPr>
        <w:t xml:space="preserve">null</w:t>
      </w:r>
      <w:r>
        <w:t xml:space="preserve"> </w:t>
      </w:r>
      <w:r>
        <w:t xml:space="preserve">(karena dirancang untuk pencarian entitas spesifik murni). Karena atribut</w:t>
      </w:r>
      <w:r>
        <w:t xml:space="preserve"> </w:t>
      </w:r>
      <w:r>
        <w:rPr>
          <w:rStyle w:val="VerbatimChar"/>
        </w:rPr>
        <w:t xml:space="preserve">target_name</w:t>
      </w:r>
      <w:r>
        <w:t xml:space="preserve"> </w:t>
      </w:r>
      <w:r>
        <w:t xml:space="preserve">diekstraksi secara tepat, kompilasi SQL mengeksekusi pencarian rekaman entitas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#40 (Out-of-Scope - Candi Hindu):</w:t>
      </w:r>
      <w:r>
        <w:t xml:space="preserve"> </w:t>
      </w:r>
      <w:r>
        <w:t xml:space="preserve">Masukan</w:t>
      </w:r>
      <w:r>
        <w:t xml:space="preserve"> </w:t>
      </w:r>
      <w:r>
        <w:rPr>
          <w:iCs/>
          <w:i/>
        </w:rPr>
        <w:t xml:space="preserve">“</w:t>
      </w:r>
      <w:r>
        <w:rPr>
          <w:iCs/>
          <w:i/>
        </w:rPr>
        <w:t xml:space="preserve">Wisata candi peninggalan kerajaan Hindu di Kota Padang</w:t>
      </w:r>
      <w:r>
        <w:rPr>
          <w:iCs/>
          <w:i/>
        </w:rPr>
        <w:t xml:space="preserve">”</w:t>
      </w:r>
      <w:r>
        <w:t xml:space="preserve">. LLM memprediksi</w:t>
      </w:r>
      <w:r>
        <w:t xml:space="preserve"> </w:t>
      </w:r>
      <w:r>
        <w:rPr>
          <w:rStyle w:val="VerbatimChar"/>
        </w:rPr>
        <w:t xml:space="preserve">category = null</w:t>
      </w:r>
      <w:r>
        <w:t xml:space="preserve">, sedangkan annotasi acuan mencatat</w:t>
      </w:r>
      <w:r>
        <w:t xml:space="preserve"> </w:t>
      </w:r>
      <w:r>
        <w:rPr>
          <w:rStyle w:val="VerbatimChar"/>
        </w:rPr>
        <w:t xml:space="preserve">Sejarah</w:t>
      </w:r>
      <w:r>
        <w:t xml:space="preserve">. Karena atribut invarian keselamatan utama</w:t>
      </w:r>
      <w:r>
        <w:t xml:space="preserve"> </w:t>
      </w:r>
      <w:r>
        <w:rPr>
          <w:rStyle w:val="VerbatimChar"/>
        </w:rPr>
        <w:t xml:space="preserve">is_out_of_scope = true</w:t>
      </w:r>
      <w:r>
        <w:t xml:space="preserve"> </w:t>
      </w:r>
      <w:r>
        <w:t xml:space="preserve">berhasil diekstraksi secara sempurna pada kedua sisi, permintaan ditolak secara jujur (</w:t>
      </w:r>
      <w:r>
        <w:rPr>
          <w:iCs/>
          <w:i/>
        </w:rPr>
        <w:t xml:space="preserve">Honest Rejection</w:t>
      </w:r>
      <w:r>
        <w:t xml:space="preserve">) dengan sukses.</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8"/>
    <w:bookmarkStart w:id="109"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(304/304 klaim)</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(147/147 POI)</w:t>
      </w:r>
      <w:r>
        <w:t xml:space="preserve"> </w:t>
      </w:r>
      <w:r>
        <w:t xml:space="preserve">yang dicapai pada 40 skenario pengujian memerlukan pembatasan klaim ilmiah yang presisi secara epistemologis. Angka 100% ini membuktikan bahwa</w:t>
      </w:r>
      <w:r>
        <w:t xml:space="preserve"> </w:t>
      </w:r>
      <w:r>
        <w:rPr>
          <w:bCs/>
          <w:b/>
        </w:rPr>
        <w:t xml:space="preserve">seluruh klaim terverifikasi yang berhasil diekstraksi oleh aturan validator deterministik (</w:t>
      </w:r>
      <m:oMath>
        <m:sSub>
          <m:e>
            <m:r>
              <m:rPr>
                <m:sty m:val="p"/>
                <m:scr m:val="script"/>
              </m:rPr>
              <m:t>C</m:t>
            </m:r>
          </m:e>
          <m:sub>
            <m:r>
              <m:rPr>
                <m:nor/>
                <m:sty m:val="p"/>
              </m:rPr>
              <m:t>verifiable</m:t>
            </m:r>
          </m:sub>
        </m:sSub>
      </m:oMath>
      <w:r>
        <w:rPr>
          <w:bCs/>
          <w:b/>
        </w:rPr>
        <w:t xml:space="preserve">) dalam batas skema tertutup (</w:t>
      </w:r>
      <w:r>
        <w:rPr>
          <w:iCs/>
          <w:i/>
          <w:bCs/>
          <w:b/>
        </w:rPr>
        <w:t xml:space="preserve">closed-world schema</w:t>
      </w:r>
      <w:r>
        <w:rPr>
          <w:bCs/>
          <w:b/>
        </w:rPr>
        <w:t xml:space="preserve">) benchmark terbukti konsisten 100% dengan fakta basis data SQL</w:t>
      </w:r>
      <w:r>
        <w:t xml:space="preserve">. Hal ini tidak dimaksudkan untuk mengklaim secara mutlak bahwa validator berbasis aturan mampu mendeteksi setiap variasi semantik kalimat bahasa alami bebas tanpa batas (</w:t>
      </w:r>
      <w:r>
        <w:rPr>
          <w:iCs/>
          <w:i/>
        </w:rPr>
        <w:t xml:space="preserve">unconstrained open-world natural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09"/>
    <w:bookmarkStart w:id="110" w:name="X19b5887ddac616acc0db652e6bdf361bbbb9c43"/>
    <w:p>
      <w:pPr>
        <w:pStyle w:val="Heading4"/>
      </w:pPr>
      <w:r>
        <w:t xml:space="preserve">4.6.2.3 Jejak Sumber Data dan Batasan Ilmiah Dataset 22 Objek Wisata (Data Provenance)</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0"/>
    <w:bookmarkStart w:id="111"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1"/>
    <w:bookmarkStart w:id="112"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48 POI resmi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92,50% (Field: 99,25%)</w:t>
            </w:r>
          </w:p>
        </w:tc>
        <w:tc>
          <w:tcPr/>
          <w:p>
            <w:pPr>
              <w:pStyle w:val="Compact"/>
              <w:jc w:val="left"/>
            </w:pPr>
            <w:r>
              <w:rPr>
                <w:bCs/>
                <w:b/>
              </w:rPr>
              <w:t xml:space="preserve">100,00% (Overall: 100,00%)</w:t>
            </w:r>
          </w:p>
        </w:tc>
        <w:tc>
          <w:tcPr/>
          <w:p>
            <w:pPr>
              <w:pStyle w:val="Compact"/>
              <w:jc w:val="left"/>
            </w:pPr>
            <w:r>
              <w:rPr>
                <w:bCs/>
                <w:b/>
              </w:rPr>
              <w:t xml:space="preserve">100,00% (304/304)</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92,50% (37/40) dan keselarasan amplob eksekusi pasca-kebijakan mencapai 90,00% (36/40).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48 destinasi resmi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304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2"/>
    <w:bookmarkStart w:id="113"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1"/>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1"/>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1"/>
        </w:numPr>
      </w:pPr>
      <w:r>
        <w:rPr>
          <w:bCs/>
          <w:b/>
        </w:rPr>
        <w:t xml:space="preserve">Berapa besar perubahan performa ketika tiap komponen dinonaktifkan?</w:t>
      </w:r>
      <w:r>
        <w:br/>
      </w:r>
      <w:r>
        <w:t xml:space="preserve">Penonaktifan masing-masing komponen memicu degradasi terukur:</w:t>
      </w:r>
    </w:p>
    <w:p>
      <w:pPr>
        <w:numPr>
          <w:ilvl w:val="1"/>
          <w:numId w:val="1032"/>
        </w:numPr>
        <w:pStyle w:val="Compact"/>
      </w:pPr>
      <w:r>
        <w:t xml:space="preserve">Penonaktifan invarian sintaks/skema (A1) menurunkan akurasi ekstraksi menjadi 95,00% dan memicu 2 insiden galat sintaks basis data.</w:t>
      </w:r>
    </w:p>
    <w:p>
      <w:pPr>
        <w:numPr>
          <w:ilvl w:val="1"/>
          <w:numId w:val="1032"/>
        </w:numPr>
        <w:pStyle w:val="Compact"/>
      </w:pPr>
      <w:r>
        <w:t xml:space="preserve">Penonaktifan batas wilayah yurisdiksi (A2) menurunkan akurasi menjadi 92,50% dan memicu kueri luar batas tanpa penanganan kontekstual.</w:t>
      </w:r>
    </w:p>
    <w:p>
      <w:pPr>
        <w:numPr>
          <w:ilvl w:val="1"/>
          <w:numId w:val="1032"/>
        </w:numPr>
        <w:pStyle w:val="Compact"/>
      </w:pPr>
      <w:r>
        <w:t xml:space="preserve">Penonaktifan batasan operator dan jarak (A3) merupakan komponen paling rapuh, menurunkan akurasi hingga 90,00% dan memicu 4 kegagalan fatal eksekusi SQL.</w:t>
      </w:r>
    </w:p>
    <w:p>
      <w:pPr>
        <w:numPr>
          <w:ilvl w:val="1"/>
          <w:numId w:val="1032"/>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2"/>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1"/>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48 destinasi resmi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3"/>
    <w:bookmarkStart w:id="114"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4"/>
    <w:bookmarkStart w:id="115"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5"/>
    <w:bookmarkStart w:id="116"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6"/>
    <w:bookmarkStart w:id="117"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7"/>
    <w:bookmarkStart w:id="118"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8"/>
    <w:bookmarkEnd w:id="119"/>
    <w:bookmarkEnd w:id="120"/>
    <w:bookmarkStart w:id="123" w:name="bab-v-penutup"/>
    <w:p>
      <w:pPr>
        <w:pStyle w:val="Heading2"/>
      </w:pPr>
      <w:r>
        <w:t xml:space="preserve">BAB V: PENUTUP</w:t>
      </w:r>
    </w:p>
    <w:bookmarkStart w:id="121"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3"/>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92,50% (37/40)</w:t>
      </w:r>
      <w:r>
        <w:t xml:space="preserve"> </w:t>
      </w:r>
      <w:r>
        <w:t xml:space="preserve">dengan keselarasan amplob eksekusi pasca-kebijakan</w:t>
      </w:r>
      <w:r>
        <w:t xml:space="preserve"> </w:t>
      </w:r>
      <w:r>
        <w:rPr>
          <w:bCs/>
          <w:b/>
        </w:rPr>
        <w:t xml:space="preserve">90,00% (36/40)</w:t>
      </w:r>
      <w:r>
        <w:t xml:space="preserve">, rata-rata akurasi tingkat atribut (</w:t>
      </w:r>
      <w:r>
        <w:rPr>
          <w:iCs/>
          <w:i/>
        </w:rPr>
        <w:t xml:space="preserve">field-level accuracy</w:t>
      </w:r>
      <w:r>
        <w:t xml:space="preserve">)</w:t>
      </w:r>
      <w:r>
        <w:t xml:space="preserve"> </w:t>
      </w:r>
      <w:r>
        <w:rPr>
          <w:bCs/>
          <w:b/>
        </w:rPr>
        <w:t xml:space="preserve">99,25% (398/401)</w:t>
      </w:r>
      <w:r>
        <w:t xml:space="preserve">,</w:t>
      </w:r>
      <w:r>
        <w:t xml:space="preserve"> </w:t>
      </w:r>
      <w:r>
        <w:rPr>
          <w:bCs/>
          <w:b/>
        </w:rPr>
        <w:t xml:space="preserve">Akurasi Klasifikasi Kategori 95,00% (38/40)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34 pengujian unit otomatis PHPUnit (112 assertions, 100% PASS)</w:t>
      </w:r>
      <w:r>
        <w:t xml:space="preserve"> </w:t>
      </w:r>
      <w:r>
        <w:t xml:space="preserve">tanpa galat.</w:t>
      </w:r>
    </w:p>
    <w:p>
      <w:pPr>
        <w:numPr>
          <w:ilvl w:val="0"/>
          <w:numId w:val="1033"/>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(304/304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(147/147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3"/>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1"/>
    <w:bookmarkStart w:id="122"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2"/>
    <w:bookmarkEnd w:id="123"/>
    <w:bookmarkStart w:id="124"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4"/>
    <w:bookmarkStart w:id="134" w:name="lampiran-appendix"/>
    <w:p>
      <w:pPr>
        <w:pStyle w:val="Heading2"/>
      </w:pPr>
      <w:r>
        <w:t xml:space="preserve">LAMPIRAN (APPENDIX)</w:t>
      </w:r>
    </w:p>
    <w:bookmarkStart w:id="125"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5"/>
    <w:bookmarkStart w:id="126"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6"/>
    <w:bookmarkStart w:id="127"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-0.9556, 100.3606</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7"/>
    <w:bookmarkStart w:id="133"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8"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4"/>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4"/>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8"/>
    <w:bookmarkStart w:id="129"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9"/>
    <w:bookmarkStart w:id="130"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0"/>
    <w:bookmarkStart w:id="132" w:name="X66ac321ae630545711575917de25321139ef4c3"/>
    <w:p>
      <w:pPr>
        <w:pStyle w:val="Heading4"/>
      </w:pPr>
      <w:r>
        <w:t xml:space="preserve">D.4 Ringkasan Parameter Statistik Inferensial</w:t>
      </w:r>
    </w:p>
    <w:p>
      <w:pPr>
        <w:numPr>
          <w:ilvl w:val="0"/>
          <w:numId w:val="1035"/>
        </w:numPr>
        <w:pStyle w:val="Compact"/>
      </w:pPr>
      <w:r>
        <w:rPr>
          <w:bCs/>
          <w:b/>
        </w:rPr>
        <w:t xml:space="preserve">Jumlah Partisipan (</w:t>
      </w:r>
      <m:oMath>
        <m:r>
          <m:t>N</m:t>
        </m:r>
      </m:oMath>
      <w:r>
        <w:rPr>
          <w:bCs/>
          <w:b/>
        </w:rPr>
        <w:t xml:space="preserve">):</w:t>
      </w:r>
      <w:r>
        <w:t xml:space="preserve"> </w:t>
      </w:r>
      <w:r>
        <w:t xml:space="preserve">30</w:t>
      </w:r>
    </w:p>
    <w:p>
      <w:pPr>
        <w:numPr>
          <w:ilvl w:val="0"/>
          <w:numId w:val="1035"/>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35"/>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35"/>
        </w:numPr>
        <w:pStyle w:val="Compact"/>
      </w:pPr>
      <w:r>
        <w:rPr>
          <w:bCs/>
          <w:b/>
        </w:rPr>
        <w:t xml:space="preserve">Median SUS:</w:t>
      </w:r>
      <w:r>
        <w:t xml:space="preserve"> </w:t>
      </w:r>
      <w:r>
        <w:rPr>
          <w:bCs/>
          <w:b/>
        </w:rPr>
        <w:t xml:space="preserve">85,00</w:t>
      </w:r>
    </w:p>
    <w:p>
      <w:pPr>
        <w:numPr>
          <w:ilvl w:val="0"/>
          <w:numId w:val="1035"/>
        </w:numPr>
        <w:pStyle w:val="Compact"/>
      </w:pPr>
      <w:r>
        <w:rPr>
          <w:bCs/>
          <w:b/>
        </w:rPr>
        <w:t xml:space="preserve">Skor Minimum:</w:t>
      </w:r>
      <w:r>
        <w:t xml:space="preserve"> </w:t>
      </w:r>
      <w:r>
        <w:t xml:space="preserve">72,50</w:t>
      </w:r>
    </w:p>
    <w:p>
      <w:pPr>
        <w:numPr>
          <w:ilvl w:val="0"/>
          <w:numId w:val="1035"/>
        </w:numPr>
        <w:pStyle w:val="Compact"/>
      </w:pPr>
      <w:r>
        <w:rPr>
          <w:bCs/>
          <w:b/>
        </w:rPr>
        <w:t xml:space="preserve">Skor Maksimum:</w:t>
      </w:r>
      <w:r>
        <w:t xml:space="preserve"> </w:t>
      </w:r>
      <w:r>
        <w:t xml:space="preserve">97,50</w:t>
      </w:r>
    </w:p>
    <w:p>
      <w:pPr>
        <w:numPr>
          <w:ilvl w:val="0"/>
          <w:numId w:val="1035"/>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1" w:name="X18b83d7f6c061ba469fcaf43d3ff893c93a3854"/>
    <w:p>
      <w:pPr>
        <w:pStyle w:val="Heading5"/>
      </w:pPr>
      <w:r>
        <w:t xml:space="preserve">Pengujian Hipotesis Statistik Inferensial:</w:t>
      </w:r>
    </w:p>
    <w:p>
      <w:pPr>
        <w:numPr>
          <w:ilvl w:val="0"/>
          <w:numId w:val="1036"/>
        </w:numPr>
        <w:pStyle w:val="Compact"/>
      </w:pPr>
      <w:r>
        <w:rPr>
          <w:bCs/>
          <w:b/>
        </w:rPr>
        <w:t xml:space="preserve">Uji Normalitas Data Selisih TCT (</w:t>
      </w:r>
      <w:r>
        <w:rPr>
          <w:iCs/>
          <w:i/>
          <w:bCs/>
          <w:b/>
        </w:rPr>
        <w:t xml:space="preserve">Shapiro-Wilk Test</w:t>
      </w:r>
      <w:r>
        <w:rPr>
          <w:bCs/>
          <w:b/>
        </w:rPr>
        <w:t xml:space="preserve">):</w:t>
      </w:r>
    </w:p>
    <w:p>
      <w:pPr>
        <w:numPr>
          <w:ilvl w:val="1"/>
          <w:numId w:val="1037"/>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37"/>
        </w:numPr>
        <w:pStyle w:val="Compact"/>
      </w:pPr>
      <w:r>
        <w:t xml:space="preserve">Kesimpulan: Data berdistribusi normal, memenuhi asumsi pengujian parametrik.</w:t>
      </w:r>
    </w:p>
    <w:p>
      <w:pPr>
        <w:numPr>
          <w:ilvl w:val="0"/>
          <w:numId w:val="1036"/>
        </w:numPr>
        <w:pStyle w:val="Compact"/>
      </w:pPr>
      <w:r>
        <w:rPr>
          <w:bCs/>
          <w:b/>
        </w:rPr>
        <w:t xml:space="preserve">Uji Beda Parametrik (</w:t>
      </w:r>
      <w:r>
        <w:rPr>
          <w:iCs/>
          <w:i/>
          <w:bCs/>
          <w:b/>
        </w:rPr>
        <w:t xml:space="preserve">Paired-Samples t-test</w:t>
      </w:r>
      <w:r>
        <w:rPr>
          <w:bCs/>
          <w:b/>
        </w:rPr>
        <w:t xml:space="preserve">):</w:t>
      </w:r>
    </w:p>
    <w:p>
      <w:pPr>
        <w:numPr>
          <w:ilvl w:val="1"/>
          <w:numId w:val="1038"/>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38"/>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38"/>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36"/>
        </w:numPr>
        <w:pStyle w:val="Compact"/>
      </w:pPr>
      <w:r>
        <w:rPr>
          <w:bCs/>
          <w:b/>
        </w:rPr>
        <w:t xml:space="preserve">Ukuran Efek (</w:t>
      </w:r>
      <w:r>
        <w:rPr>
          <w:iCs/>
          <w:i/>
          <w:bCs/>
          <w:b/>
        </w:rPr>
        <w:t xml:space="preserve">Effect Size - Cohen’s d</w:t>
      </w:r>
      <w:r>
        <w:rPr>
          <w:bCs/>
          <w:b/>
        </w:rPr>
        <w:t xml:space="preserve">):</w:t>
      </w:r>
    </w:p>
    <w:p>
      <w:pPr>
        <w:numPr>
          <w:ilvl w:val="1"/>
          <w:numId w:val="1039"/>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36"/>
        </w:numPr>
        <w:pStyle w:val="Compact"/>
      </w:pPr>
      <w:r>
        <w:rPr>
          <w:bCs/>
          <w:b/>
        </w:rPr>
        <w:t xml:space="preserve">Uji Ketahanan Non-Parametrik (</w:t>
      </w:r>
      <w:r>
        <w:rPr>
          <w:iCs/>
          <w:i/>
          <w:bCs/>
          <w:b/>
        </w:rPr>
        <w:t xml:space="preserve">Wilcoxon Signed-Rank Test</w:t>
      </w:r>
      <w:r>
        <w:rPr>
          <w:bCs/>
          <w:b/>
        </w:rPr>
        <w:t xml:space="preserve">):</w:t>
      </w:r>
    </w:p>
    <w:p>
      <w:pPr>
        <w:numPr>
          <w:ilvl w:val="1"/>
          <w:numId w:val="1040"/>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0"/>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2026-10-13T06:46:11Z</dcterms:created>
  <dcterms:modified xsi:type="dcterms:W3CDTF">2026-10-13T06:46:11Z</dcterms:modified>
</cp:coreProperties>
</file>

<file path=docProps/custom.xml><?xml version="1.0" encoding="utf-8"?>
<Properties xmlns="http://schemas.openxmlformats.org/officeDocument/2006/custom-properties" xmlns:vt="http://schemas.openxmlformats.org/officeDocument/2006/docPropsVTypes"/>
</file>