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41.png" ContentType="image/png"/>
  <Override PartName="/word/media/rId62.png" ContentType="image/png"/>
  <Override PartName="/word/media/rId6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(zero fabricated POIs were observed across the evaluated benchmark scenarios), a Claim-Level Grounding Fidelity of</w:t>
      </w:r>
      <w:r>
        <w:t xml:space="preserve"> </w:t>
      </w:r>
      <w:r>
        <w:rPr>
          <w:bCs/>
          <w:b/>
        </w:rPr>
        <w:t xml:space="preserve">100.00% across 270 audited factual claims recognized by GroundingValidator on four implemented verification categories</w:t>
      </w:r>
      <w:r>
        <w:t xml:space="preserve">, an Entity Grounding Fidelity of</w:t>
      </w:r>
      <w:r>
        <w:t xml:space="preserve"> </w:t>
      </w:r>
      <w:r>
        <w:rPr>
          <w:bCs/>
          <w:b/>
        </w:rPr>
        <w:t xml:space="preserve">100.00% across 120 POI mentions</w:t>
      </w:r>
      <w:r>
        <w:t xml:space="preserve">, and an Honest Rejection Rate of</w:t>
      </w:r>
      <w:r>
        <w:t xml:space="preserve"> </w:t>
      </w:r>
      <w:r>
        <w:rPr>
          <w:bCs/>
          <w:b/>
        </w:rPr>
        <w:t xml:space="preserve">100.00% (2/2)</w:t>
      </w:r>
      <w:r>
        <w:t xml:space="preserve"> </w:t>
      </w:r>
      <w:r>
        <w:t xml:space="preserve">on tested out-of-scope requests. Average server-side conversational pipeline latency was</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p>
      <w:r>
        <w:pict>
          <v:rect style="width:0;height:1.5pt" o:hralign="center" o:hrstd="t" o:hr="t"/>
        </w:pict>
      </w:r>
    </w:p>
    <w:bookmarkEnd w:id="20"/>
    <w:bookmarkStart w:id="25"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d26d25ef63dd80113cac071abea4d00306b139b"/>
    <w:p>
      <w:pPr>
        <w:pStyle w:val="Heading3"/>
      </w:pPr>
      <w:r>
        <w:t xml:space="preserve">1.2 Research Gaps and Specific Problem Formulation</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Limitations of Dense-Vector RAG for Structured Geospatial Constraints:</w:t>
      </w:r>
      <w:r>
        <w:t xml:space="preserve"> </w:t>
      </w:r>
      <w:r>
        <w:t xml:space="preserve">Dense-vector Retrieval-Augmented Generation (RAG) relies on cosine similarity across latent embedding spaces [6], [7]. While effective for unstructured text search, vector similarity alone inherently lacks deterministic mathematical guarantees for evaluating exact structured spatial-temporal predicates. Latent embeddings cannot autonomously execute numerical inequalities on operating schedules (</w:t>
      </w:r>
      <w:r>
        <w:rPr>
          <w:rStyle w:val="VerbatimChar"/>
        </w:rPr>
        <w:t xml:space="preserve">open_time &lt;= CURRENT_TIME AND close_time &gt;= CURRENT_TIME</w:t>
      </w:r>
      <w:r>
        <w:t xml:space="preserve">), evaluate budgetary price ceilings (</w:t>
      </w:r>
      <w:r>
        <w:rPr>
          <w:rStyle w:val="VerbatimChar"/>
        </w:rPr>
        <w:t xml:space="preserve">ticket_price &lt;= 15000</w:t>
      </w:r>
      <w:r>
        <w:t xml:space="preserve">), or compute exact spherical great-circle distances relative to a user’s GPS coordinates in real-time. Reliable execution requires an explicit architectural coupling with a spatial database query compiler and invariant validation.</w:t>
      </w:r>
    </w:p>
    <w:p>
      <w:pPr>
        <w:pStyle w:val="BodyText"/>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2"/>
    <w:bookmarkStart w:id="23" w:name="research-questions-rqs"/>
    <w:p>
      <w:pPr>
        <w:pStyle w:val="Heading3"/>
      </w:pPr>
      <w:r>
        <w:t xml:space="preserve">1.3 Research Questions (RQs)</w:t>
      </w:r>
    </w:p>
    <w:p>
      <w:pPr>
        <w:pStyle w:val="FirstParagraph"/>
      </w:pPr>
      <w:r>
        <w:t xml:space="preserve">To systematically evaluate the efficacy of the proposed structured semantic control layer and factual grounding firewall, this study formulates four core Research Questions (RQs):</w:t>
      </w:r>
      <w:r>
        <w:t xml:space="preserve"> </w:t>
      </w:r>
      <w:r>
        <w:t xml:space="preserve">*</w:t>
      </w:r>
      <w:r>
        <w:t xml:space="preserve"> </w:t>
      </w:r>
      <w:r>
        <w:rPr>
          <w:bCs/>
          <w:b/>
        </w:rPr>
        <w:t xml:space="preserve">RQ1 (Semantic Parsing Fidelity):</w:t>
      </w:r>
      <w:r>
        <w:t xml:space="preserve"> </w:t>
      </w:r>
      <w:r>
        <w:t xml:space="preserve">To what extent can large language models reliably parse natural-language spatial queries into formal canonical intent representations (Raw SIR and Validated CSIR) while strictly adhering to the</w:t>
      </w:r>
      <w:r>
        <w:t xml:space="preserve"> </w:t>
      </w:r>
      <w:r>
        <w:rPr>
          <w:iCs/>
          <w:i/>
        </w:rPr>
        <w:t xml:space="preserve">No Intent Alteration</w:t>
      </w:r>
      <w:r>
        <w:t xml:space="preserve"> </w:t>
      </w:r>
      <w:r>
        <w:t xml:space="preserve">principle?</w:t>
      </w:r>
      <w:r>
        <w:t xml:space="preserve"> </w:t>
      </w:r>
      <w:r>
        <w:t xml:space="preserve">*</w:t>
      </w:r>
      <w:r>
        <w:t xml:space="preserve"> </w:t>
      </w:r>
      <w:r>
        <w:rPr>
          <w:bCs/>
          <w:b/>
        </w:rPr>
        <w:t xml:space="preserve">RQ2 (Spatial Execution Safety &amp; Correctness):</w:t>
      </w:r>
      <w:r>
        <w:t xml:space="preserve"> </w:t>
      </w:r>
      <w:r>
        <w:t xml:space="preserve">Does the integration of a deterministic 6-dimensional validator and parameterized query compiler guarantee safety invariants (preventing unauthorized query execution or SQL injection) and compute spherical spatial predicates with precision via native</w:t>
      </w:r>
      <w:r>
        <w:t xml:space="preserve"> </w:t>
      </w:r>
      <w:r>
        <w:rPr>
          <w:rStyle w:val="VerbatimChar"/>
        </w:rPr>
        <w:t xml:space="preserve">ST_Distance_Sphere</w:t>
      </w:r>
      <w:r>
        <w:t xml:space="preserve"> </w:t>
      </w:r>
      <w:r>
        <w:t xml:space="preserve">under acceptable latency constraints?</w:t>
      </w:r>
      <w:r>
        <w:t xml:space="preserve"> </w:t>
      </w:r>
      <w:r>
        <w:t xml:space="preserve">*</w:t>
      </w:r>
      <w:r>
        <w:t xml:space="preserve"> </w:t>
      </w:r>
      <w:r>
        <w:rPr>
          <w:bCs/>
          <w:b/>
        </w:rPr>
        <w:t xml:space="preserve">RQ3 (Factual Grounding &amp; Zero Fabrication):</w:t>
      </w:r>
      <w:r>
        <w:t xml:space="preserve"> </w:t>
      </w:r>
      <w:r>
        <w:t xml:space="preserve">How effectively does the post-generation algorithmic proof firewall (</w:t>
      </w:r>
      <w:r>
        <w:rPr>
          <w:iCs/>
          <w:i/>
        </w:rPr>
        <w:t xml:space="preserve">Claim-Level Grounding Validator</w:t>
      </w:r>
      <w:r>
        <w:t xml:space="preserve">) eliminate destination entity hallucinations (</w:t>
      </w:r>
      <w:r>
        <w:rPr>
          <w:iCs/>
          <w:i/>
        </w:rPr>
        <w:t xml:space="preserve">zero fabricated POIs</w:t>
      </w:r>
      <w:r>
        <w:t xml:space="preserve">) and enforce factual alignment with the underlying relational database?</w:t>
      </w:r>
      <w:r>
        <w:t xml:space="preserve"> </w:t>
      </w:r>
      <w:r>
        <w:t xml:space="preserve">*</w:t>
      </w:r>
      <w:r>
        <w:t xml:space="preserve"> </w:t>
      </w:r>
      <w:r>
        <w:rPr>
          <w:bCs/>
          <w:b/>
        </w:rPr>
        <w:t xml:space="preserve">RQ4 (Cognitive Efficiency &amp; Usability):</w:t>
      </w:r>
      <w:r>
        <w:t xml:space="preserve"> </w:t>
      </w:r>
      <w:r>
        <w:t xml:space="preserve">How does shifting from conventional multi-step WIMP form manipulation to guided conversational interaction impact cognitive Task Completion Time (TCT) and user satisfaction measured via the standardized System Usability Scale (SUS)?</w:t>
      </w:r>
    </w:p>
    <w:bookmarkEnd w:id="23"/>
    <w:bookmarkStart w:id="24" w:name="principal-scientific-contributions"/>
    <w:p>
      <w:pPr>
        <w:pStyle w:val="Heading3"/>
      </w:pPr>
      <w:r>
        <w:t xml:space="preserve">1.4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56 unit, integration, and adversarial tests (240 assertions, 100% pass) and multi-baseline ablation studies.</w:t>
      </w:r>
    </w:p>
    <w:p>
      <w:r>
        <w:pict>
          <v:rect style="width:0;height:1.5pt" o:hralign="center" o:hrstd="t" o:hr="t"/>
        </w:pict>
      </w:r>
    </w:p>
    <w:p>
      <w:r>
        <w:pict>
          <v:rect style="width:0;height:1.5pt" o:hralign="center" o:hrstd="t" o:hr="t"/>
        </w:pict>
      </w:r>
    </w:p>
    <w:bookmarkEnd w:id="24"/>
    <w:bookmarkEnd w:id="25"/>
    <w:bookmarkStart w:id="31" w:name="related-work"/>
    <w:p>
      <w:pPr>
        <w:pStyle w:val="Heading2"/>
      </w:pPr>
      <w:r>
        <w:t xml:space="preserve">2. RELATED WORK</w:t>
      </w:r>
    </w:p>
    <w:bookmarkStart w:id="26" w:name="X83ea0c07b22b74b064a275280b1ec2b912689e7"/>
    <w:p>
      <w:pPr>
        <w:pStyle w:val="Heading3"/>
      </w:pPr>
      <w:r>
        <w:t xml:space="preserve">2.1 Conversational GIS and Autonomous Spatial Interaction</w:t>
      </w:r>
    </w:p>
    <w:p>
      <w:pPr>
        <w:pStyle w:val="FirstParagraph"/>
      </w:pPr>
      <w:r>
        <w:t xml:space="preserve">The integration of natural language processing into Geographic Information Systems has catalyzed the emergence of</w:t>
      </w:r>
      <w:r>
        <w:t xml:space="preserve"> </w:t>
      </w:r>
      <w:r>
        <w:rPr>
          <w:iCs/>
          <w:i/>
        </w:rPr>
        <w:t xml:space="preserve">Conversational GIS</w:t>
      </w:r>
      <w:r>
        <w:t xml:space="preserve"> </w:t>
      </w:r>
      <w:r>
        <w:t xml:space="preserve">and</w:t>
      </w:r>
      <w:r>
        <w:t xml:space="preserve"> </w:t>
      </w:r>
      <w:r>
        <w:rPr>
          <w:iCs/>
          <w:i/>
        </w:rPr>
        <w:t xml:space="preserve">Autonomous GIS</w:t>
      </w:r>
      <w:r>
        <w:t xml:space="preserve"> </w:t>
      </w:r>
      <w:r>
        <w:t xml:space="preserve">[35], [36]. Early systems relied on rule-based pattern matching or slot-filling over rigid static ontologies that degraded rapidly under everyday linguistic variations. The advent of Large Language Models (LLMs) such as GPT-4 and geospatial foundation models [4], [35] enabled far more expressive conversational interaction. However, contemporary conversational GIS architectures predominantly treat LLMs as unconstrained autonomous agents granted direct tool-execution authority over GIS libraries [36]. This unconstrained autonomy introduces severe vulnerabilities to coordinate hallucination, temporal attribute distortion, and stochastic instability unacceptable in urban decision support. The proposed framework fundamentally departs from autonomous agency: the LLM is quarantined strictly as a cognitive semantic interpreter without execution authority.</w:t>
      </w:r>
    </w:p>
    <w:bookmarkEnd w:id="26"/>
    <w:bookmarkStart w:id="27" w:name="Xa95793ff209d3dc786aac1b1d2c794423ef3f83"/>
    <w:p>
      <w:pPr>
        <w:pStyle w:val="Heading3"/>
      </w:pPr>
      <w:r>
        <w:t xml:space="preserve">2.2 Text-to-SQL and Relational Database Interfaces</w:t>
      </w:r>
    </w:p>
    <w:p>
      <w:pPr>
        <w:pStyle w:val="FirstParagraph"/>
      </w:pPr>
      <w:r>
        <w:t xml:space="preserve">Translating natural language into structured queries (</w:t>
      </w:r>
      <w:r>
        <w:rPr>
          <w:iCs/>
          <w:i/>
        </w:rPr>
        <w:t xml:space="preserve">Text-to-SQL</w:t>
      </w:r>
      <w:r>
        <w:t xml:space="preserve">) has been extensively investigated on standard benchmarks such as Spider, DIN-SQL [28], and RESDSQL [29]. In geospatial domains, unconstrained Text-to-SQL architectures encounter three acute failure modes: (1)</w:t>
      </w:r>
      <w:r>
        <w:t xml:space="preserve"> </w:t>
      </w:r>
      <w:r>
        <w:rPr>
          <w:bCs/>
          <w:b/>
        </w:rPr>
        <w:t xml:space="preserve">Schema and Syntax Hallucinations:</w:t>
      </w:r>
      <w:r>
        <w:t xml:space="preserve"> </w:t>
      </w:r>
      <w:r>
        <w:t xml:space="preserve">LLMs frequently invent non-existent table names, columns, or join relations; (2)</w:t>
      </w:r>
      <w:r>
        <w:t xml:space="preserve"> </w:t>
      </w:r>
      <w:r>
        <w:rPr>
          <w:bCs/>
          <w:b/>
        </w:rPr>
        <w:t xml:space="preserve">Inability to Optimize Spherical Spatial Functions:</w:t>
      </w:r>
      <w:r>
        <w:t xml:space="preserve"> </w:t>
      </w:r>
      <w:r>
        <w:t xml:space="preserve">LLMs often construct erroneous manual trigonometric formulas, suffer floating-point truncation, or fail to leverage native database kernel spatial primitives such as</w:t>
      </w:r>
      <w:r>
        <w:t xml:space="preserve"> </w:t>
      </w:r>
      <w:r>
        <w:rPr>
          <w:rStyle w:val="VerbatimChar"/>
        </w:rPr>
        <w:t xml:space="preserve">ST_Distance_Sphere</w:t>
      </w:r>
      <w:r>
        <w:t xml:space="preserve">; and (3)</w:t>
      </w:r>
      <w:r>
        <w:t xml:space="preserve"> </w:t>
      </w:r>
      <w:r>
        <w:rPr>
          <w:bCs/>
          <w:b/>
        </w:rPr>
        <w:t xml:space="preserve">Security Vulnerabilities:</w:t>
      </w:r>
      <w:r>
        <w:t xml:space="preserve"> </w:t>
      </w:r>
      <w:r>
        <w:t xml:space="preserve">Permitting LLMs to synthesize raw SQL strings exposes database engines to prompt-injection vulnerabilities and unauthorized data manipulation. In response, this work adopts</w:t>
      </w:r>
      <w:r>
        <w:t xml:space="preserve"> </w:t>
      </w:r>
      <w:r>
        <w:rPr>
          <w:iCs/>
          <w:i/>
        </w:rPr>
        <w:t xml:space="preserve">Parameterized Semantic Compilation</w:t>
      </w:r>
      <w:r>
        <w:t xml:space="preserve">, wherein the LLM emits strictly typed intent semantics (SIR), while SQL syntax is synthesized entirely by an application-layer, non-LLM parameterized compiler.</w:t>
      </w:r>
    </w:p>
    <w:bookmarkEnd w:id="27"/>
    <w:bookmarkStart w:id="28" w:name="Xb1e7777e81cbb5ce93d6ba7a8d9306ae4fc362c"/>
    <w:p>
      <w:pPr>
        <w:pStyle w:val="Heading3"/>
      </w:pPr>
      <w:r>
        <w:t xml:space="preserve">2.3 Grounded Generation and Mitigation of Spatial Hallucinations</w:t>
      </w:r>
    </w:p>
    <w:p>
      <w:pPr>
        <w:pStyle w:val="FirstParagraph"/>
      </w:pPr>
      <w:r>
        <w:t xml:space="preserve">The prevalence of factual hallucination in LLMs [5], [31] prompted the widespread adoption of Retrieval-Augmented Generation (RAG) [6], [7]. In general text retrieval, dense-vector similarity search over document chunks effectively mitigates unsupported text generation [30]. However, in urban geospatial environments governed by multi-criteria constraints (such as spherical distance radii, budgetary limits, and circadian opening schedules), vector RAG fundamentally fails. Vector embeddings cannot evaluate exact mathematical inequalities (</w:t>
      </w:r>
      <m:oMath>
        <m:r>
          <m:t>d</m:t>
        </m:r>
        <m:r>
          <m:rPr>
            <m:sty m:val="p"/>
          </m:rPr>
          <m:t>≤</m:t>
        </m:r>
        <m:r>
          <m:t>10</m:t>
        </m:r>
        <m:r>
          <m:rPr>
            <m:nor/>
            <m:sty m:val="p"/>
          </m:rPr>
          <m:t> km</m:t>
        </m:r>
      </m:oMath>
      <w:r>
        <w:t xml:space="preserve">,</w:t>
      </w:r>
      <w:r>
        <w:t xml:space="preserve"> </w:t>
      </w:r>
      <m:oMath>
        <m:r>
          <m:rPr>
            <m:nor/>
            <m:sty m:val="p"/>
          </m:rPr>
          <m:t>price</m:t>
        </m:r>
        <m:r>
          <m:rPr>
            <m:sty m:val="p"/>
          </m:rPr>
          <m:t>≤</m:t>
        </m:r>
        <m:r>
          <m:t>15</m:t>
        </m:r>
        <m:r>
          <m:rPr>
            <m:sty m:val="p"/>
          </m:rPr>
          <m:t>,</m:t>
        </m:r>
        <m:r>
          <m:t>000</m:t>
        </m:r>
      </m:oMath>
      <w:r>
        <w:t xml:space="preserve">). Furthermore, post-generation hallucination mitigation relying on secondary LLM judges (</w:t>
      </w:r>
      <w:r>
        <w:rPr>
          <w:iCs/>
          <w:i/>
        </w:rPr>
        <w:t xml:space="preserve">LLM-as-a-judge</w:t>
      </w:r>
      <w:r>
        <w:t xml:space="preserve">) introduces additional stochastic noise and excessive latency overhead. This research introduces a deterministic, rule-based algorithmic verification firewall (</w:t>
      </w:r>
      <w:r>
        <w:rPr>
          <w:iCs/>
          <w:i/>
        </w:rPr>
        <w:t xml:space="preserve">Claim-Level Grounding Validator</w:t>
      </w:r>
      <w:r>
        <w:t xml:space="preserve">) that mathematically audits every generated factual claim against database tuples without secondary generative models.</w:t>
      </w:r>
    </w:p>
    <w:bookmarkEnd w:id="28"/>
    <w:bookmarkStart w:id="29" w:name="X4b413f3f790009261b4c8fc2e7c8d315ce00248"/>
    <w:p>
      <w:pPr>
        <w:pStyle w:val="Heading3"/>
      </w:pPr>
      <w:r>
        <w:t xml:space="preserve">2.4 Constraint-Based Spatial Recommendation Systems</w:t>
      </w:r>
    </w:p>
    <w:p>
      <w:pPr>
        <w:pStyle w:val="FirstParagraph"/>
      </w:pPr>
      <w:r>
        <w:t xml:space="preserve">Within the taxonomy of tourism retrieval and decision support systems [1], [3], [14], [18], spatial recommendation systems are broadly categorized into collaborative filtering, content-based filtering, and constraint-based recommendation [18]. Urban tourism systems for independent travelers frequently suffer from acute cold-start conditions where prior user interaction histories are unavailable [3]. Consequently, constraint-based approaches represent the most dependable paradigm: candidate destinations are deterministically retrieved based on explicit user constraints articulated in the query (geographical position, radius, opening hours, ticket budget) [14]. This research positions itself firmly in the constraint-based spatial recommendation quadrant, deliberately disclaiming latent preference learning to guarantee strict traceability, reproducible execution, and determinism across all recommendations.</w:t>
      </w:r>
    </w:p>
    <w:bookmarkEnd w:id="29"/>
    <w:bookmarkStart w:id="30" w:name="X7b643628980acd20363ebd5aee5a512ab3dfbc3"/>
    <w:p>
      <w:pPr>
        <w:pStyle w:val="Heading3"/>
      </w:pPr>
      <w:r>
        <w:t xml:space="preserve">2.5 Research Lineage: From Conventional WIMP Exploration (DTExplorer) to Reliability-Controlled Systems</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p>
      <w:r>
        <w:pict>
          <v:rect style="width:0;height:1.5pt" o:hralign="center" o:hrstd="t" o:hr="t"/>
        </w:pict>
      </w:r>
    </w:p>
    <w:bookmarkEnd w:id="30"/>
    <w:bookmarkEnd w:id="31"/>
    <w:bookmarkStart w:id="46" w:name="methodology"/>
    <w:p>
      <w:pPr>
        <w:pStyle w:val="Heading2"/>
      </w:pPr>
      <w:r>
        <w:t xml:space="preserve">3. METHODOLOGY</w:t>
      </w:r>
    </w:p>
    <w:bookmarkStart w:id="32" w:name="Xb01e2ffabeb20506b61e9fde6c6057277cc8acc"/>
    <w:p>
      <w:pPr>
        <w:pStyle w:val="Heading3"/>
      </w:pPr>
      <w:r>
        <w:t xml:space="preserve">3.1 Cognitive-Computational Decoupling: The Tripartite Correctness Framework</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p>
      <w:pPr>
        <w:pStyle w:val="BodyText"/>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32"/>
    <w:bookmarkStart w:id="33"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33"/>
    <w:bookmarkStart w:id="34" w:name="X3bf0e8ba08beac6723b7b24f005c4ff3e0c6b0c"/>
    <w:p>
      <w:pPr>
        <w:pStyle w:val="Heading3"/>
      </w:pPr>
      <w:r>
        <w:t xml:space="preserve">3.2 Formalization of Spatial Intent: Conceptual Unification of Raw SIR (17 Attributes) vs. Validated CSIR (19 Attributes)</w:t>
      </w:r>
    </w:p>
    <w:p>
      <w:pPr>
        <w:pStyle w:val="FirstParagraph"/>
      </w:pPr>
      <w:r>
        <w:t xml:space="preserve">(Raw SIR vs. Validated CSIR)</w:t>
      </w:r>
    </w:p>
    <w:p>
      <w:pPr>
        <w:pStyle w:val="BodyText"/>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19-attribute CSIR schema across these four orthogonal partitions:</w:t>
      </w:r>
    </w:p>
    <w:p>
      <w:pPr>
        <w:pStyle w:val="BodyText"/>
      </w:pPr>
      <w:r>
        <w:rPr>
          <w:bCs/>
          <w:b/>
        </w:rPr>
        <w:t xml:space="preserve">Table 2. Formal Specification of the Canonical Spatial Intent Representation (CSIR) Schema Across 4 Orthogonal Partitions (19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r>
              <w:t xml:space="preserve"> </w:t>
            </w:r>
            <w:r>
              <w:t xml:space="preserve">(Intent Semantics, 5 Attributes)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r>
              <w:t xml:space="preserve"> </w:t>
            </w:r>
            <w:r>
              <w:t xml:space="preserve">(Spatial Constraints, 8 Attributes)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latitude</w:t>
            </w:r>
          </w:p>
        </w:tc>
        <w:tc>
          <w:tcPr/>
          <w:p>
            <w:pPr>
              <w:pStyle w:val="Compact"/>
              <w:jc w:val="left"/>
            </w:pPr>
            <w:r>
              <w:t xml:space="preserve">Decimal degrees</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longitude</w:t>
            </w:r>
          </w:p>
        </w:tc>
        <w:tc>
          <w:tcPr/>
          <w:p>
            <w:pPr>
              <w:pStyle w:val="Compact"/>
              <w:jc w:val="left"/>
            </w:pPr>
            <w:r>
              <w:t xml:space="preserve">Decimal degrees</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t xml:space="preserve"> </w:t>
            </w:r>
            <w:r>
              <w:t xml:space="preserve">(Operational Constraints, 5 Attributes)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t xml:space="preserve"> </w:t>
            </w:r>
            <w:r>
              <w:t xml:space="preserve">(Control Metadata &amp; Invariant, 1 CSIR Attribute)</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(System Validation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4"/>
    <w:bookmarkStart w:id="35" w:name="X34f5ff5b35fa743b4af0489986cfd90cfb4671c"/>
    <w:p>
      <w:pPr>
        <w:pStyle w:val="Heading3"/>
      </w:pPr>
      <w:r>
        <w:t xml:space="preserve">2.3.1 Data Provenance and Separation of Computational Responsibilities</w:t>
      </w:r>
    </w:p>
    <w:p>
      <w:pPr>
        <w:pStyle w:val="FirstParagraph"/>
      </w:pPr>
      <w:r>
        <w:t xml:space="preserve">The architecture strictly enforces the principle of</w:t>
      </w:r>
      <w:r>
        <w:t xml:space="preserve"> </w:t>
      </w:r>
      <w:r>
        <w:rPr>
          <w:iCs/>
          <w:i/>
        </w:rPr>
        <w:t xml:space="preserve">Separation of Responsibilities</w:t>
      </w:r>
      <w:r>
        <w:t xml:space="preserve"> </w:t>
      </w:r>
      <w:r>
        <w:t xml:space="preserve">between probabilistic semantic extraction and deterministic geospatial anchoring to eliminate coordinate hallucinations:</w:t>
      </w:r>
      <w:r>
        <w:t xml:space="preserve"> </w:t>
      </w:r>
      <w:r>
        <w:t xml:space="preserve">1.</w:t>
      </w:r>
      <w:r>
        <w:t xml:space="preserve"> </w:t>
      </w:r>
      <w:r>
        <w:rPr>
          <w:bCs/>
          <w:b/>
        </w:rPr>
        <w:t xml:space="preserve">Pure Semantic Slots (Extracted by Layer 2 LLM - Raw SIR, 17 Slots):</w:t>
      </w:r>
      <w:r>
        <w:t xml:space="preserve"> </w:t>
      </w:r>
      <w:r>
        <w:t xml:space="preserve">The LLM parses 17 linguistic parameters (</w:t>
      </w:r>
      <m:oMath>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oMath>
      <w:r>
        <w:t xml:space="preserve">). The LLM is</w:t>
      </w:r>
      <w:r>
        <w:t xml:space="preserve"> </w:t>
      </w:r>
      <w:r>
        <w:rPr>
          <w:bCs/>
          <w:b/>
        </w:rPr>
        <w:t xml:space="preserve">strictly prohibited from synthesizing numeric GPS coordinates</w:t>
      </w:r>
      <w:r>
        <w:t xml:space="preserve">.</w:t>
      </w:r>
      <w:r>
        <w:t xml:space="preserve"> </w:t>
      </w:r>
      <w:r>
        <w:t xml:space="preserve">2.</w:t>
      </w:r>
      <w:r>
        <w:t xml:space="preserve"> </w:t>
      </w:r>
      <w:r>
        <w:rPr>
          <w:bCs/>
          <w:b/>
        </w:rPr>
        <w:t xml:space="preserve">Deterministic Geospatial Context (Injected from Client / Resolver, 2 Attributes):</w:t>
      </w:r>
      <w:r>
        <w:t xml:space="preserve"> </w:t>
      </w:r>
      <w:r>
        <w:t xml:space="preserve">Numeric</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are deterministically anchored from verified sources:</w:t>
      </w:r>
      <w:r>
        <w:t xml:space="preserve"> </w:t>
      </w:r>
      <w:r>
        <w:t xml:space="preserve">- When</w:t>
      </w:r>
      <w:r>
        <w:t xml:space="preserve"> </w:t>
      </w:r>
      <m:oMath>
        <m:sSub>
          <m:e>
            <m:r>
              <m:t>R</m:t>
            </m:r>
          </m:e>
          <m:sub>
            <m:r>
              <m:t>t</m:t>
            </m:r>
          </m:sub>
        </m:sSub>
        <m:r>
          <m:rPr>
            <m:sty m:val="p"/>
          </m:rPr>
          <m:t>=</m:t>
        </m:r>
        <m:r>
          <m:rPr>
            <m:nor/>
            <m:sty m:val="p"/>
          </m:rPr>
          <m:t>’gps’</m:t>
        </m:r>
      </m:oMath>
      <w:r>
        <w:t xml:space="preserve">, coordinates are acquired directly from the browser’s standard W3C Geolocation API (</w:t>
      </w:r>
      <w:r>
        <w:rPr>
          <w:rStyle w:val="VerbatimChar"/>
        </w:rPr>
        <w:t xml:space="preserve">navigator.geolocation</w:t>
      </w:r>
      <w:r>
        <w:t xml:space="preserve">).</w:t>
      </w:r>
      <w:r>
        <w:t xml:space="preserve"> </w:t>
      </w:r>
      <w:r>
        <w:t xml:space="preserve">- When</w:t>
      </w:r>
      <w:r>
        <w:t xml:space="preserve"> </w:t>
      </w:r>
      <m:oMath>
        <m:sSub>
          <m:e>
            <m:r>
              <m:t>R</m:t>
            </m:r>
          </m:e>
          <m:sub>
            <m:r>
              <m:t>t</m:t>
            </m:r>
          </m:sub>
        </m:sSub>
        <m:r>
          <m:rPr>
            <m:sty m:val="p"/>
          </m:rPr>
          <m:t>=</m:t>
        </m:r>
        <m:r>
          <m:rPr>
            <m:nor/>
            <m:sty m:val="p"/>
          </m:rPr>
          <m:t>’city_center’</m:t>
        </m:r>
      </m:oMath>
      <w:r>
        <w:t xml:space="preserve">, the system injects official Padang municipal center coordinates (</w:t>
      </w:r>
      <m:oMath>
        <m:r>
          <m:rPr>
            <m:sty m:val="p"/>
          </m:rPr>
          <m:t>−</m:t>
        </m:r>
        <m:r>
          <m:t>0.9471</m:t>
        </m:r>
        <m:r>
          <m:rPr>
            <m:sty m:val="p"/>
          </m:rPr>
          <m:t>,</m:t>
        </m:r>
        <m:r>
          <m:t>100.4174</m:t>
        </m:r>
      </m:oMath>
      <w:r>
        <w:t xml:space="preserve">).</w:t>
      </w:r>
      <w:r>
        <w:t xml:space="preserve"> </w:t>
      </w:r>
      <w:r>
        <w:t xml:space="preserve">- When</w:t>
      </w:r>
      <w:r>
        <w:t xml:space="preserve"> </w:t>
      </w:r>
      <m:oMath>
        <m:sSub>
          <m:e>
            <m:r>
              <m:t>R</m:t>
            </m:r>
          </m:e>
          <m:sub>
            <m:r>
              <m:t>t</m:t>
            </m:r>
          </m:sub>
        </m:sSub>
        <m:r>
          <m:rPr>
            <m:sty m:val="p"/>
          </m:rPr>
          <m:t>=</m:t>
        </m:r>
        <m:r>
          <m:rPr>
            <m:nor/>
            <m:sty m:val="p"/>
          </m:rPr>
          <m:t>’poi’</m:t>
        </m:r>
      </m:oMath>
      <w:r>
        <w:t xml:space="preserve">, a deterministic database geocoding resolver retrieves the verified coordinates of</w:t>
      </w:r>
      <w:r>
        <w:t xml:space="preserve"> </w:t>
      </w:r>
      <m:oMath>
        <m:sSub>
          <m:e>
            <m:r>
              <m:t>R</m:t>
            </m:r>
          </m:e>
          <m:sub>
            <m:r>
              <m:t>e</m:t>
            </m:r>
          </m:sub>
        </m:sSub>
      </m:oMath>
      <w:r>
        <w:t xml:space="preserve"> </w:t>
      </w:r>
      <w:r>
        <w:t xml:space="preserve">from the</w:t>
      </w:r>
      <w:r>
        <w:t xml:space="preserve"> </w:t>
      </w:r>
      <w:r>
        <w:rPr>
          <w:rStyle w:val="VerbatimChar"/>
        </w:rPr>
        <w:t xml:space="preserve">wisata</w:t>
      </w:r>
      <w:r>
        <w:t xml:space="preserve"> </w:t>
      </w:r>
      <w:r>
        <w:t xml:space="preserve">table.</w:t>
      </w:r>
      <w:r>
        <w:t xml:space="preserve"> </w:t>
      </w:r>
      <w:r>
        <w:t xml:space="preserve">3.</w:t>
      </w:r>
      <w:r>
        <w:t xml:space="preserve"> </w:t>
      </w:r>
      <w:r>
        <w:rPr>
          <w:bCs/>
          <w:b/>
        </w:rPr>
        <w:t xml:space="preserve">Unified 19-Attribute Canonical CSIR:</w:t>
      </w:r>
      <w:r>
        <w:t xml:space="preserve"> </w:t>
      </w:r>
      <w:r>
        <w:t xml:space="preserve">Merging the 17 raw semantic slots with the 2 client coordinate anchors produces the complete</w:t>
      </w:r>
      <w:r>
        <w:t xml:space="preserve"> </w:t>
      </w:r>
      <w:r>
        <w:rPr>
          <w:bCs/>
          <w:b/>
        </w:rPr>
        <w:t xml:space="preserve">19-attribute CSIR DTO</w:t>
      </w:r>
      <w:r>
        <w:t xml:space="preserve"> </w:t>
      </w:r>
      <w:r>
        <w:t xml:space="preserve">prior to invariant evaluation by</w:t>
      </w:r>
      <w:r>
        <w:t xml:space="preserve"> </w:t>
      </w:r>
      <w:r>
        <w:rPr>
          <w:rStyle w:val="VerbatimChar"/>
        </w:rPr>
        <w:t xml:space="preserve">SirValidator</w:t>
      </w:r>
      <w:r>
        <w:t xml:space="preserve"> </w:t>
      </w:r>
      <w:r>
        <w:t xml:space="preserve">and compilation into SQL.</w:t>
      </w:r>
    </w:p>
    <w:bookmarkEnd w:id="35"/>
    <w:bookmarkStart w:id="36" w:name="X3344e64d97bd88459bb9f1b2e69f55a22d1a4d2"/>
    <w:p>
      <w:pPr>
        <w:pStyle w:val="Heading3"/>
      </w:pPr>
      <w:r>
        <w:t xml:space="preserve">2.3.2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6"/>
    <w:bookmarkStart w:id="37" w:name="Xd90860f03e7476b01e4b676d6ea3af334233e0a"/>
    <w:p>
      <w:pPr>
        <w:pStyle w:val="Heading3"/>
      </w:pPr>
      <w:r>
        <w:t xml:space="preserve">3.3 Spatial Operator Ontology and Deterministic Entity Resolution</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7"/>
    <w:bookmarkStart w:id="38" w:name="Xeffe88695202e2dae3a81aa608f782f5a10693f"/>
    <w:p>
      <w:pPr>
        <w:pStyle w:val="Heading3"/>
      </w:pPr>
      <w:r>
        <w:t xml:space="preserve">3.4 Six-Dimensional SIR Validation Algorithm (SirValidator) and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38"/>
    <w:bookmarkStart w:id="39" w:name="Xedbd0c9113baee2dc0083d9ba52af8df8edf4d4"/>
    <w:p>
      <w:pPr>
        <w:pStyle w:val="Heading3"/>
      </w:pPr>
      <w:r>
        <w:t xml:space="preserve">3.5 Deterministic Spatial Query Compilation and ST_Distance_Sphere Evaluation</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39"/>
    <w:bookmarkStart w:id="45" w:name="Xe3bd7d4b7e1da7898831489a50cc82089137d6a"/>
    <w:p>
      <w:pPr>
        <w:pStyle w:val="Heading3"/>
      </w:pPr>
      <w:r>
        <w:t xml:space="preserve">3.6 Strict Grounding Contract and Algorithmic Grounding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4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40"/>
    <w:bookmarkStart w:id="4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42" name="Picture"/>
            <a:graphic>
              <a:graphicData uri="http://schemas.openxmlformats.org/drawingml/2006/picture">
                <pic:pic>
                  <pic:nvPicPr>
                    <pic:cNvPr descr="images/figure4_concrete_execution_trace.png" id="43" name="Picture"/>
                    <pic:cNvPicPr>
                      <a:picLocks noChangeArrowheads="1" noChangeAspect="1"/>
                    </pic:cNvPicPr>
                  </pic:nvPicPr>
                  <pic:blipFill>
                    <a:blip r:embed="rId4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p>
      <w:r>
        <w:pict>
          <v:rect style="width:0;height:1.5pt" o:hralign="center" o:hrstd="t" o:hr="t"/>
        </w:pict>
      </w:r>
    </w:p>
    <w:bookmarkEnd w:id="44"/>
    <w:bookmarkEnd w:id="45"/>
    <w:bookmarkEnd w:id="46"/>
    <w:bookmarkStart w:id="78" w:name="system-implementation"/>
    <w:p>
      <w:pPr>
        <w:pStyle w:val="Heading2"/>
      </w:pPr>
      <w:r>
        <w:t xml:space="preserve">4. SYSTEM IMPLEMENTATION</w:t>
      </w:r>
    </w:p>
    <w:bookmarkStart w:id="47" w:name="minimum-reproducible-components"/>
    <w:p>
      <w:pPr>
        <w:pStyle w:val="Heading3"/>
      </w:pPr>
      <w:r>
        <w:t xml:space="preserve">4.1 Minimum Reproducible Components</w:t>
      </w:r>
    </w:p>
    <w:p>
      <w:pPr>
        <w:pStyle w:val="FirstParagraph"/>
      </w:pPr>
      <w:r>
        <w:t xml:space="preserve">To guarantee full empirical reproducibility, the system implementation is constructed on an entirely open-source technology stack with zero proprietary vendor lock-in. The minimum reproducible components comprise four decoupled core software modules:</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An object-oriented PHP 8.2 domain class encapsulating the lifecycle transitions from the 17-slot Raw SIR (</w:t>
      </w:r>
      <w:r>
        <w:rPr>
          <w:rStyle w:val="VerbatimChar"/>
        </w:rPr>
        <w:t xml:space="preserve">toRawSirArray()</w:t>
      </w:r>
      <w:r>
        <w:t xml:space="preserve">) to the 19-attribute canonical CSIR (</w:t>
      </w:r>
      <w:r>
        <w:rPr>
          <w:rStyle w:val="VerbatimChar"/>
        </w:rPr>
        <w:t xml:space="preserve">toCsirFlatArray()</w:t>
      </w:r>
      <w:r>
        <w:t xml:space="preserve">).</w:t>
      </w:r>
      <w:r>
        <w:t xml:space="preserve"> </w:t>
      </w:r>
      <w:r>
        <w:t xml:space="preserve">2.</w:t>
      </w:r>
      <w:r>
        <w:t xml:space="preserve"> </w:t>
      </w:r>
      <w:r>
        <w:rPr>
          <w:bCs/>
          <w:b/>
        </w:rPr>
        <w:t xml:space="preserve">Invariant Engine</w:t>
      </w:r>
      <w:r>
        <w:rPr>
          <w:bCs/>
          <w:b/>
        </w:rPr>
        <w:t xml:space="preserve"> </w:t>
      </w:r>
      <w:r>
        <w:rPr>
          <w:rStyle w:val="VerbatimChar"/>
          <w:bCs/>
          <w:b/>
        </w:rPr>
        <w:t xml:space="preserve">SirValidator</w:t>
      </w:r>
      <w:r>
        <w:rPr>
          <w:bCs/>
          <w:b/>
        </w:rPr>
        <w:t xml:space="preserve">:</w:t>
      </w:r>
      <w:r>
        <w:t xml:space="preserve"> </w:t>
      </w:r>
      <w:r>
        <w:t xml:space="preserve">An independent deterministic validation module executing six-dimensional schema, type, coordinate, operator, temporal/budget, and scope boundary checks under the</w:t>
      </w:r>
      <w:r>
        <w:t xml:space="preserve"> </w:t>
      </w:r>
      <w:r>
        <w:rPr>
          <w:iCs/>
          <w:i/>
        </w:rPr>
        <w:t xml:space="preserve">No Intent Alteration</w:t>
      </w:r>
      <w:r>
        <w:t xml:space="preserve"> </w:t>
      </w:r>
      <w:r>
        <w:t xml:space="preserve">principle prior to database compilation.</w:t>
      </w:r>
      <w:r>
        <w:t xml:space="preserve"> </w:t>
      </w:r>
      <w:r>
        <w:t xml:space="preserve">3.</w:t>
      </w:r>
      <w:r>
        <w:t xml:space="preserve"> </w:t>
      </w:r>
      <w:r>
        <w:rPr>
          <w:bCs/>
          <w:b/>
        </w:rPr>
        <w:t xml:space="preserve">Query Synthesizer</w:t>
      </w:r>
      <w:r>
        <w:rPr>
          <w:bCs/>
          <w:b/>
        </w:rPr>
        <w:t xml:space="preserve"> </w:t>
      </w:r>
      <w:r>
        <w:rPr>
          <w:rStyle w:val="VerbatimChar"/>
          <w:bCs/>
          <w:b/>
        </w:rPr>
        <w:t xml:space="preserve">SpatialQueryCompiler</w:t>
      </w:r>
      <w:r>
        <w:rPr>
          <w:bCs/>
          <w:b/>
        </w:rPr>
        <w:t xml:space="preserve">:</w:t>
      </w:r>
      <w:r>
        <w:t xml:space="preserve"> </w:t>
      </w:r>
      <w:r>
        <w:t xml:space="preserve">A non-LLM SQL compilation engine that translates validated CSIR objects into parameterized prepared SQL statements, binding reference coordinates directly to MySQL 8.0’s native spherical function</w:t>
      </w:r>
      <w:r>
        <w:t xml:space="preserve"> </w:t>
      </w:r>
      <w:r>
        <w:rPr>
          <w:rStyle w:val="VerbatimChar"/>
        </w:rPr>
        <w:t xml:space="preserve">ST_Distance_Sphere</w:t>
      </w:r>
      <w:r>
        <w:t xml:space="preserve">.</w:t>
      </w:r>
      <w:r>
        <w:t xml:space="preserve"> </w:t>
      </w:r>
      <w:r>
        <w:t xml:space="preserve">4.</w:t>
      </w:r>
      <w:r>
        <w:t xml:space="preserve"> </w:t>
      </w:r>
      <w:r>
        <w:rPr>
          <w:bCs/>
          <w:b/>
        </w:rPr>
        <w:t xml:space="preserve">Evidence Verifier</w:t>
      </w:r>
      <w:r>
        <w:rPr>
          <w:bCs/>
          <w:b/>
        </w:rPr>
        <w:t xml:space="preserve"> </w:t>
      </w:r>
      <w:r>
        <w:rPr>
          <w:rStyle w:val="VerbatimChar"/>
          <w:bCs/>
          <w:b/>
        </w:rPr>
        <w:t xml:space="preserve">GroundingValidator</w:t>
      </w:r>
      <w:r>
        <w:rPr>
          <w:bCs/>
          <w:b/>
        </w:rPr>
        <w:t xml:space="preserve">:</w:t>
      </w:r>
      <w:r>
        <w:t xml:space="preserve"> </w:t>
      </w:r>
      <w:r>
        <w:t xml:space="preserve">A post-generation algorithmic regex parser auditing destination entities, ticket pricing, opening schedules, and proximity assertions against relational database facts with a deterministic fail-closed fallback.</w:t>
      </w:r>
    </w:p>
    <w:bookmarkEnd w:id="47"/>
    <w:bookmarkStart w:id="51" w:name="Xceaf515aed99dd854992779fbad3059a48bee26"/>
    <w:p>
      <w:pPr>
        <w:pStyle w:val="Heading3"/>
      </w:pPr>
      <w:r>
        <w:t xml:space="preserve">4.2 Spatial Relational Database Model (Normalized 3NF and Session Auditing)</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49" name="Picture"/>
            <a:graphic>
              <a:graphicData uri="http://schemas.openxmlformats.org/drawingml/2006/picture">
                <pic:pic>
                  <pic:nvPicPr>
                    <pic:cNvPr descr="images/figure1_system_architecture.png" id="50" name="Picture"/>
                    <pic:cNvPicPr>
                      <a:picLocks noChangeArrowheads="1" noChangeAspect="1"/>
                    </pic:cNvPicPr>
                  </pic:nvPicPr>
                  <pic:blipFill>
                    <a:blip r:embed="rId48"/>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51"/>
    <w:bookmarkStart w:id="55"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53" name="Picture"/>
            <a:graphic>
              <a:graphicData uri="http://schemas.openxmlformats.org/drawingml/2006/picture">
                <pic:pic>
                  <pic:nvPicPr>
                    <pic:cNvPr descr="images/figure2_operational_framework.png" id="54" name="Picture"/>
                    <pic:cNvPicPr>
                      <a:picLocks noChangeArrowheads="1" noChangeAspect="1"/>
                    </pic:cNvPicPr>
                  </pic:nvPicPr>
                  <pic:blipFill>
                    <a:blip r:embed="rId52"/>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55"/>
    <w:bookmarkStart w:id="59"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57" name="Picture"/>
            <a:graphic>
              <a:graphicData uri="http://schemas.openxmlformats.org/drawingml/2006/picture">
                <pic:pic>
                  <pic:nvPicPr>
                    <pic:cNvPr descr="images/figure3_database_schema.png" id="58" name="Picture"/>
                    <pic:cNvPicPr>
                      <a:picLocks noChangeArrowheads="1" noChangeAspect="1"/>
                    </pic:cNvPicPr>
                  </pic:nvPicPr>
                  <pic:blipFill>
                    <a:blip r:embed="rId56"/>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59"/>
    <w:bookmarkStart w:id="61" w:name="Xdbbe3c7b887d0c5f0d9463fa5bf61c56d05c204"/>
    <w:p>
      <w:pPr>
        <w:pStyle w:val="Heading3"/>
      </w:pPr>
      <w:r>
        <w:t xml:space="preserve">4.3 Data Curation and Corpus Provenance of Padang Tourism POIs</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p>
      <w:pPr>
        <w:pStyle w:val="FirstParagraph"/>
      </w:pPr>
      <w:r>
        <w:t xml:space="preserve">The curated catalog of 22 Points of Interest (POIs) in Padang City, maintained within the</w:t>
      </w:r>
      <w:r>
        <w:t xml:space="preserve"> </w:t>
      </w:r>
      <w:r>
        <w:rPr>
          <w:rStyle w:val="VerbatimChar"/>
        </w:rPr>
        <w:t xml:space="preserve">wisata</w:t>
      </w:r>
      <w:r>
        <w:t xml:space="preserve"> </w:t>
      </w:r>
      <w:r>
        <w:t xml:space="preserve">relational table, was curated under rigorous data provenance protocols. All geospatial coordinates were verified against the official Indonesian Topographical Base Map (</w:t>
      </w:r>
      <w:r>
        <w:rPr>
          <w:iCs/>
          <w:i/>
        </w:rPr>
        <w:t xml:space="preserve">Peta Rupa Bumi Indonesia</w:t>
      </w:r>
      <w:r>
        <w:t xml:space="preserve"> </w:t>
      </w:r>
      <w:r>
        <w:t xml:space="preserve">/ RBI, scale 1:25,000) published by the Geospatial Information Agency (</w:t>
      </w:r>
      <w:r>
        <w:rPr>
          <w:iCs/>
          <w:i/>
        </w:rPr>
        <w:t xml:space="preserve">Badan Informasi Geospasial</w:t>
      </w:r>
      <w:r>
        <w:t xml:space="preserve"> </w:t>
      </w:r>
      <w:r>
        <w:t xml:space="preserve">/ BIG) and cross-validated with OpenStreetMap (OSM). Admission fees reflect Padang Municipal Regulation (</w:t>
      </w:r>
      <w:r>
        <w:rPr>
          <w:iCs/>
          <w:i/>
        </w:rPr>
        <w:t xml:space="preserve">Peraturan Daerah</w:t>
      </w:r>
      <w:r>
        <w:t xml:space="preserve">) No. 1/2024 concerning Regional Taxes and Retributions supplemented by on-site field auditing in January 2026. Operating schedules conform strictly to official Padang Tourism Office (</w:t>
      </w:r>
      <w:r>
        <w:rPr>
          <w:iCs/>
          <w:i/>
        </w:rPr>
        <w:t xml:space="preserve">Dinas Pariwisata Kota Padang</w:t>
      </w:r>
      <w:r>
        <w:t xml:space="preserve">) regulations, and visual assets are procedurally generated, copyright-free SVG vector illustrations. Comprehensive metadata, coordinate verification sources, regulatory citations, and license trails are permanently cataloged in</w:t>
      </w:r>
      <w:r>
        <w:t xml:space="preserve"> </w:t>
      </w:r>
      <w:hyperlink r:id="rId60">
        <w:r>
          <w:rPr>
            <w:rStyle w:val="VerbatimChar"/>
          </w:rPr>
          <w:t xml:space="preserve">benchmark/DATASET_PROVENANCE_22_POI.md</w:t>
        </w:r>
      </w:hyperlink>
      <w:r>
        <w:t xml:space="preserve">.</w:t>
      </w:r>
    </w:p>
    <w:p>
      <w:pPr>
        <w:pStyle w:val="BodyText"/>
      </w:pPr>
      <w:r>
        <w:t xml:space="preserve">Crucially, an essential scientific scope boundary must be explicitly articulated: temporal status evaluation (</w:t>
      </w:r>
      <w:r>
        <w:rPr>
          <w:rStyle w:val="VerbatimChar"/>
        </w:rPr>
        <w:t xml:space="preserve">open_now</w:t>
      </w:r>
      <w:r>
        <w:t xml:space="preserve">) within this system represents relational schedule matching (</w:t>
      </w:r>
      <w:r>
        <w:rPr>
          <w:iCs/>
          <w:i/>
        </w:rPr>
        <w:t xml:space="preserve">stored relational database schedule matching against current database server time</w:t>
      </w:r>
      <w:r>
        <w:rPr>
          <w:iCs/>
          <w:i/>
        </w:rPr>
        <w:t xml:space="preserve"> </w:t>
      </w:r>
      <w:r>
        <w:rPr>
          <w:rStyle w:val="VerbatimChar"/>
          <w:iCs/>
          <w:i/>
        </w:rPr>
        <w:t xml:space="preserve">CURRENT_TIME</w:t>
      </w:r>
      <w:r>
        <w:t xml:space="preserve">). It does not constitute or imply real-time physical sensor telemetry or empirical on-site observation.</w:t>
      </w:r>
    </w:p>
    <w:bookmarkEnd w:id="61"/>
    <w:bookmarkStart w:id="68" w:name="X630474062dca505a4a07421988cff450283fcd4"/>
    <w:p>
      <w:pPr>
        <w:pStyle w:val="Heading3"/>
      </w:pPr>
      <w:r>
        <w:t xml:space="preserve">4.4 Dual-Synchronized User Interface Architecture and Digital Map Integration</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3" name="Picture"/>
            <a:graphic>
              <a:graphicData uri="http://schemas.openxmlformats.org/drawingml/2006/picture">
                <pic:pic>
                  <pic:nvPicPr>
                    <pic:cNvPr descr="images/figure5_webgis_interface.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66" name="Picture"/>
            <a:graphic>
              <a:graphicData uri="http://schemas.openxmlformats.org/drawingml/2006/picture">
                <pic:pic>
                  <pic:nvPicPr>
                    <pic:cNvPr descr="images/figure6_routing_navigation.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68"/>
    <w:bookmarkStart w:id="77" w:name="X3a1ba5a1da55f2b057758f05a248a31f35ad0a6"/>
    <w:p>
      <w:pPr>
        <w:pStyle w:val="Heading3"/>
      </w:pPr>
      <w:r>
        <w:t xml:space="preserve">4.5 The Complete 8-Step Trace (Concrete End-to-End System Execution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6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69"/>
    <w:bookmarkStart w:id="7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70"/>
    <w:bookmarkStart w:id="71" w:name="user-input-situational-context"/>
    <w:p>
      <w:pPr>
        <w:pStyle w:val="Heading5"/>
      </w:pPr>
      <w:r>
        <w:t xml:space="preserve">3. User Input &amp; Situational Context</w:t>
      </w:r>
    </w:p>
    <w:p>
      <w:pPr>
        <w:numPr>
          <w:ilvl w:val="0"/>
          <w:numId w:val="1004"/>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4"/>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71"/>
    <w:bookmarkStart w:id="7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2"/>
    <w:bookmarkStart w:id="7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73"/>
    <w:bookmarkStart w:id="7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4"/>
    <w:bookmarkStart w:id="7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5"/>
    <w:bookmarkStart w:id="7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p>
      <w:r>
        <w:pict>
          <v:rect style="width:0;height:1.5pt" o:hralign="center" o:hrstd="t" o:hr="t"/>
        </w:pict>
      </w:r>
    </w:p>
    <w:bookmarkEnd w:id="76"/>
    <w:bookmarkEnd w:id="77"/>
    <w:bookmarkEnd w:id="78"/>
    <w:bookmarkStart w:id="85" w:name="experimental-design"/>
    <w:p>
      <w:pPr>
        <w:pStyle w:val="Heading2"/>
      </w:pPr>
      <w:r>
        <w:t xml:space="preserve">5. EXPERIMENTAL DESIGN</w:t>
      </w:r>
    </w:p>
    <w:bookmarkStart w:id="79" w:name="X814b33ee4faddbd986be9ca97d0b4ad1437206b"/>
    <w:p>
      <w:pPr>
        <w:pStyle w:val="Heading3"/>
      </w:pPr>
      <w:r>
        <w:t xml:space="preserve">5.1 Benchmark Dataset Architecture: Tripartite Dataset Tiers</w:t>
      </w:r>
    </w:p>
    <w:p>
      <w:pPr>
        <w:pStyle w:val="FirstParagraph"/>
      </w:pPr>
      <w:r>
        <w:t xml:space="preserve">To ensure complete empirical transparency and eliminate dataset ambiguity, this research explicitly distinguishes between three distinct dataset tiers deployed across the system lifecycle and evaluation pipeline (Table 2b):</w:t>
      </w:r>
    </w:p>
    <w:p>
      <w:pPr>
        <w:numPr>
          <w:ilvl w:val="0"/>
          <w:numId w:val="1005"/>
        </w:numPr>
        <w:pStyle w:val="Compact"/>
      </w:pPr>
      <w:r>
        <w:rPr>
          <w:bCs/>
          <w:b/>
        </w:rPr>
        <w:t xml:space="preserve">Tier 1: Tested Production System Dataset (22 Curated POIs in Padang City):</w:t>
      </w:r>
    </w:p>
    <w:p>
      <w:pPr>
        <w:numPr>
          <w:ilvl w:val="1"/>
          <w:numId w:val="1006"/>
        </w:numPr>
        <w:pStyle w:val="Compact"/>
      </w:pPr>
      <w:r>
        <w:rPr>
          <w:bCs/>
          <w:b/>
        </w:rPr>
        <w:t xml:space="preserve">Constituents &amp; Scope:</w:t>
      </w:r>
      <w:r>
        <w:t xml:space="preserve"> </w:t>
      </w:r>
      <w:r>
        <w:t xml:space="preserve">Exactly 22 officially curated Points of Interest across six core urban tourism categories (Beaches: 5, Islands: 3, Nature Cascades &amp; Hills: 4, Cultural Museums: 3, Historical Landmarks: 3, and Traditional Culinary Venues: 4).</w:t>
      </w:r>
    </w:p>
    <w:p>
      <w:pPr>
        <w:numPr>
          <w:ilvl w:val="1"/>
          <w:numId w:val="1006"/>
        </w:numPr>
        <w:pStyle w:val="Compact"/>
      </w:pPr>
      <w:r>
        <w:rPr>
          <w:bCs/>
          <w:b/>
        </w:rPr>
        <w:t xml:space="preserve">Data Sources:</w:t>
      </w:r>
      <w:r>
        <w:t xml:space="preserve"> </w:t>
      </w:r>
      <w:r>
        <w:t xml:space="preserve">Official tourism registry of the Department of Tourism of Padang City (</w:t>
      </w:r>
      <w:r>
        <w:rPr>
          <w:iCs/>
          <w:i/>
        </w:rPr>
        <w:t xml:space="preserve">Dinas Pariwisata Kota Padang</w:t>
      </w:r>
      <w:r>
        <w:t xml:space="preserve">), verified against official regional tax and entrance retribution statutes (</w:t>
      </w:r>
      <w:r>
        <w:rPr>
          <w:iCs/>
          <w:i/>
        </w:rPr>
        <w:t xml:space="preserve">Peraturan Daerah Kota Padang No. 1 Tahun 2024</w:t>
      </w:r>
      <w:r>
        <w:t xml:space="preserve">). Spatial coordinates were extracted from Indonesia’s official 1:25,000 Topographic Base Map (</w:t>
      </w:r>
      <w:r>
        <w:rPr>
          <w:iCs/>
          <w:i/>
        </w:rPr>
        <w:t xml:space="preserve">Peta Rupa Bumi Indonesia / RBI</w:t>
      </w:r>
      <w:r>
        <w:t xml:space="preserve">) by the Geospatial Information Agency (</w:t>
      </w:r>
      <w:r>
        <w:rPr>
          <w:iCs/>
          <w:i/>
        </w:rPr>
        <w:t xml:space="preserve">Badan Informasi Geospasial / BIG</w:t>
      </w:r>
      <w:r>
        <w:t xml:space="preserve">) and corroborated via OpenStreetMap (OSM) field road entrance waypoints.</w:t>
      </w:r>
    </w:p>
    <w:p>
      <w:pPr>
        <w:numPr>
          <w:ilvl w:val="1"/>
          <w:numId w:val="1006"/>
        </w:numPr>
        <w:pStyle w:val="Compact"/>
      </w:pPr>
      <w:r>
        <w:rPr>
          <w:bCs/>
          <w:b/>
        </w:rPr>
        <w:t xml:space="preserve">Validation Criteria &amp; Acquisition Date:</w:t>
      </w:r>
      <w:r>
        <w:t xml:space="preserve"> </w:t>
      </w:r>
      <w:r>
        <w:t xml:space="preserve">Field-verified, geocoded, and audited in January 2026, re-verified in September 2026. All 22 POIs strictly reside within the Padang City municipal boundary (</w:t>
      </w:r>
      <m:oMath>
        <m:sSup>
          <m:e>
            <m:d>
              <m:dPr>
                <m:begChr m:val="["/>
                <m:endChr m:val="]"/>
                <m:sepChr m:val=""/>
                <m:grow/>
              </m:dPr>
              <m:e>
                <m:r>
                  <m:rPr>
                    <m:sty m:val="p"/>
                  </m:rPr>
                  <m:t>−</m:t>
                </m:r>
                <m:r>
                  <m:t>1.1950</m:t>
                </m:r>
                <m:r>
                  <m:rPr>
                    <m:sty m:val="p"/>
                  </m:rPr>
                  <m:t>,</m:t>
                </m:r>
                <m:r>
                  <m:rPr>
                    <m:sty m:val="p"/>
                  </m:rPr>
                  <m:t>−</m:t>
                </m:r>
                <m:r>
                  <m:t>0.8810</m:t>
                </m:r>
              </m:e>
            </m:d>
          </m:e>
          <m:sup>
            <m:r>
              <m:rPr>
                <m:sty m:val="p"/>
              </m:rPr>
              <m:t>∘</m:t>
            </m:r>
          </m:sup>
        </m:sSup>
        <m:r>
          <m:rPr>
            <m:nor/>
            <m:sty m:val="p"/>
          </m:rPr>
          <m:t>S</m:t>
        </m:r>
      </m:oMath>
      <w:r>
        <w:t xml:space="preserve">,</w:t>
      </w:r>
      <w:r>
        <w:t xml:space="preserve"> </w:t>
      </w:r>
      <m:oMath>
        <m:sSup>
          <m:e>
            <m:d>
              <m:dPr>
                <m:begChr m:val="["/>
                <m:endChr m:val="]"/>
                <m:sepChr m:val=""/>
                <m:grow/>
              </m:dPr>
              <m:e>
                <m:r>
                  <m:t>100.3480</m:t>
                </m:r>
                <m:r>
                  <m:rPr>
                    <m:sty m:val="p"/>
                  </m:rPr>
                  <m:t>,</m:t>
                </m:r>
                <m:r>
                  <m:t>100.4530</m:t>
                </m:r>
              </m:e>
            </m:d>
          </m:e>
          <m:sup>
            <m:r>
              <m:rPr>
                <m:sty m:val="p"/>
              </m:rPr>
              <m:t>∘</m:t>
            </m:r>
          </m:sup>
        </m:sSup>
        <m:r>
          <m:rPr>
            <m:nor/>
            <m:sty m:val="p"/>
          </m:rPr>
          <m:t>E</m:t>
        </m:r>
      </m:oMath>
      <w:r>
        <w:t xml:space="preserve">, total area 694.96 km²).</w:t>
      </w:r>
    </w:p>
    <w:p>
      <w:pPr>
        <w:numPr>
          <w:ilvl w:val="1"/>
          <w:numId w:val="1006"/>
        </w:numPr>
        <w:pStyle w:val="Compact"/>
      </w:pPr>
      <w:r>
        <w:rPr>
          <w:bCs/>
          <w:b/>
        </w:rPr>
        <w:t xml:space="preserve">Methodological Purpose:</w:t>
      </w:r>
      <w:r>
        <w:t xml:space="preserve"> </w:t>
      </w:r>
      <w:r>
        <w:t xml:space="preserve">Populates the live operational relational database (</w:t>
      </w:r>
      <w:r>
        <w:rPr>
          <w:rStyle w:val="VerbatimChar"/>
        </w:rPr>
        <w:t xml:space="preserve">geo_db.wisata</w:t>
      </w:r>
      <w:r>
        <w:t xml:space="preserve">) and fact table (</w:t>
      </w:r>
      <m:oMath>
        <m:r>
          <m:t>F</m:t>
        </m:r>
      </m:oMath>
      <w:r>
        <w:t xml:space="preserve">), serving as the sole ground truth source for spherical spatial computation (</w:t>
      </w:r>
      <w:r>
        <w:rPr>
          <w:rStyle w:val="VerbatimChar"/>
        </w:rPr>
        <w:t xml:space="preserve">ST_Distance_Sphere</w:t>
      </w:r>
      <w:r>
        <w:t xml:space="preserve">), road navigation via OSRM, and algorithmic grounding validation.</w:t>
      </w:r>
    </w:p>
    <w:p>
      <w:pPr>
        <w:numPr>
          <w:ilvl w:val="0"/>
          <w:numId w:val="1005"/>
        </w:numPr>
        <w:pStyle w:val="Compact"/>
      </w:pPr>
      <w:r>
        <w:rPr>
          <w:bCs/>
          <w:b/>
        </w:rPr>
        <w:t xml:space="preserve">Tier 2: Benchmark Dialogue Ground Truth Dataset (40 Standardized Scenarios):</w:t>
      </w:r>
    </w:p>
    <w:p>
      <w:pPr>
        <w:numPr>
          <w:ilvl w:val="1"/>
          <w:numId w:val="1007"/>
        </w:numPr>
        <w:pStyle w:val="Compact"/>
      </w:pPr>
      <w:r>
        <w:rPr>
          <w:bCs/>
          <w:b/>
        </w:rPr>
        <w:t xml:space="preserve">Constituents &amp; Scope:</w:t>
      </w:r>
      <w:r>
        <w:t xml:space="preserve"> </w:t>
      </w:r>
      <w:r>
        <w:t xml:space="preserve">40 standardized user inquiry scenarios formulated across 8 query behavioral taxonomies: (1) single-attribute spatial queries (e.g., nearest beach), (2) multi-criteria spatial, temporal, and budgetary filtering, (3) specific entity lookup and local alias resolution, (4) relative spatial references anchored to landmarks, (5) numerical boundary edge cases (0 km, upper limit 50 km, budget thresholds), (6) circadian 24-hour and late-night opening constraints, (7) negative and out-of-jurisdiction requests, and (8) conversational chit-chat.</w:t>
      </w:r>
    </w:p>
    <w:p>
      <w:pPr>
        <w:numPr>
          <w:ilvl w:val="1"/>
          <w:numId w:val="1007"/>
        </w:numPr>
        <w:pStyle w:val="Compact"/>
      </w:pPr>
      <w:r>
        <w:rPr>
          <w:bCs/>
          <w:b/>
        </w:rPr>
        <w:t xml:space="preserve">Data Sources &amp; Validation Criteria:</w:t>
      </w:r>
      <w:r>
        <w:t xml:space="preserve"> </w:t>
      </w:r>
      <w:r>
        <w:t xml:space="preserve">Formulated based on authentic tourist interaction patterns in September 2026. Each scenario is paired with dual gold-standard annotations:</w:t>
      </w:r>
      <w:r>
        <w:t xml:space="preserve"> </w:t>
      </w:r>
      <w:r>
        <w:rPr>
          <w:iCs/>
          <w:i/>
        </w:rPr>
        <w:t xml:space="preserve">Gold-Standard Raw SIR</w:t>
      </w:r>
      <w:r>
        <w:t xml:space="preserve"> </w:t>
      </w:r>
      <w:r>
        <w:t xml:space="preserve">(17 intent slots) and</w:t>
      </w:r>
      <w:r>
        <w:t xml:space="preserve"> </w:t>
      </w:r>
      <w:r>
        <w:rPr>
          <w:iCs/>
          <w:i/>
        </w:rPr>
        <w:t xml:space="preserve">Gold-Standard Canonical CSIR</w:t>
      </w:r>
      <w:r>
        <w:t xml:space="preserve"> </w:t>
      </w:r>
      <w:r>
        <w:t xml:space="preserve">(19 canonical attributes with resolved WGS84 spatial anchor coordinates). Annotations were independently verified by two researchers, achieving 100% inter-annotator agreement.</w:t>
      </w:r>
    </w:p>
    <w:p>
      <w:pPr>
        <w:numPr>
          <w:ilvl w:val="1"/>
          <w:numId w:val="1007"/>
        </w:numPr>
        <w:pStyle w:val="Compact"/>
      </w:pPr>
      <w:r>
        <w:rPr>
          <w:bCs/>
          <w:b/>
        </w:rPr>
        <w:t xml:space="preserve">Methodological Purpose:</w:t>
      </w:r>
      <w:r>
        <w:t xml:space="preserve"> </w:t>
      </w:r>
      <w:r>
        <w:t xml:space="preserve">Serves as the fixed evaluation ground truth benchmark (</w:t>
      </w:r>
      <w:r>
        <w:rPr>
          <w:rStyle w:val="VerbatimChar"/>
        </w:rPr>
        <w:t xml:space="preserve">benchmark/dataset_40.json</w:t>
      </w:r>
      <w:r>
        <w:t xml:space="preserve">) used to measure semantic parsing fidelity (</w:t>
      </w:r>
      <w:r>
        <w:rPr>
          <w:iCs/>
          <w:i/>
        </w:rPr>
        <w:t xml:space="preserve">Exact CSIR Match Rate</w:t>
      </w:r>
      <w:r>
        <w:t xml:space="preserve">), validation decisions, and post-policy execution envelope compliance.</w:t>
      </w:r>
    </w:p>
    <w:p>
      <w:pPr>
        <w:numPr>
          <w:ilvl w:val="0"/>
          <w:numId w:val="1005"/>
        </w:numPr>
        <w:pStyle w:val="Compact"/>
      </w:pPr>
      <w:r>
        <w:rPr>
          <w:bCs/>
          <w:b/>
        </w:rPr>
        <w:t xml:space="preserve">Tier 3: Out-of-Jurisdiction and Negative Reference Dataset (14 Regional Destinations &amp; Synthetic Entities):</w:t>
      </w:r>
    </w:p>
    <w:p>
      <w:pPr>
        <w:numPr>
          <w:ilvl w:val="1"/>
          <w:numId w:val="1008"/>
        </w:numPr>
        <w:pStyle w:val="Compact"/>
      </w:pPr>
      <w:r>
        <w:rPr>
          <w:bCs/>
          <w:b/>
        </w:rPr>
        <w:t xml:space="preserve">Constituents &amp; Scope:</w:t>
      </w:r>
      <w:r>
        <w:t xml:space="preserve"> </w:t>
      </w:r>
      <w:r>
        <w:t xml:space="preserve">14 prominent West Sumatra regional tourist attractions physically located outside Padang City (located 65 km to 140 km away, including Jam Gadang in Bukittinggi, Lembah Anai and Istano Pagaruyung in Tanah Datar, Danau Singkarak in Solok, Pantai Carocok in Painan/Pesisir Selatan, Jembatan Kelok 9 in Lima Puluh Kota, and Ngarai Sianok in Bukittinggi), complemented by synthetic non-existent entity tokens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08"/>
        </w:numPr>
        <w:pStyle w:val="Compact"/>
      </w:pPr>
      <w:r>
        <w:rPr>
          <w:bCs/>
          <w:b/>
        </w:rPr>
        <w:t xml:space="preserve">Data Sources:</w:t>
      </w:r>
      <w:r>
        <w:t xml:space="preserve"> </w:t>
      </w:r>
      <w:r>
        <w:t xml:space="preserve">Regional Tourism Directory of West Sumatra Province (</w:t>
      </w:r>
      <w:r>
        <w:rPr>
          <w:iCs/>
          <w:i/>
        </w:rPr>
        <w:t xml:space="preserve">Dinas Pariwisata Provinsi Sumatera Barat</w:t>
      </w:r>
      <w:r>
        <w:t xml:space="preserve">).</w:t>
      </w:r>
    </w:p>
    <w:p>
      <w:pPr>
        <w:numPr>
          <w:ilvl w:val="1"/>
          <w:numId w:val="1008"/>
        </w:numPr>
        <w:pStyle w:val="Compact"/>
      </w:pPr>
      <w:r>
        <w:rPr>
          <w:bCs/>
          <w:b/>
        </w:rPr>
        <w:t xml:space="preserve">Validation Criteria &amp; Acquisition Date:</w:t>
      </w:r>
      <w:r>
        <w:t xml:space="preserve"> </w:t>
      </w:r>
      <w:r>
        <w:t xml:space="preserve">Formulated in September–October 2026. Bounded strictly by spatial coordinates residing outside Padang City (&gt;30 km to &gt;140 km from city center) or having zero physical real-world existence.</w:t>
      </w:r>
    </w:p>
    <w:p>
      <w:pPr>
        <w:numPr>
          <w:ilvl w:val="1"/>
          <w:numId w:val="1008"/>
        </w:numPr>
        <w:pStyle w:val="Compact"/>
      </w:pPr>
      <w:r>
        <w:rPr>
          <w:bCs/>
          <w:b/>
        </w:rPr>
        <w:t xml:space="preserve">Methodological Purpose:</w:t>
      </w:r>
      <w:r>
        <w:t xml:space="preserve"> </w:t>
      </w:r>
      <w:r>
        <w:t xml:space="preserve">Specifically deployed by benchmark evaluators to detect, classify, and quantify Type I hallucinations (real regional attractions falsely claimed to be in Padang City) and Type II hallucinations (purely fictional entities) across baseline models, and to verify the system’s</w:t>
      </w:r>
      <w:r>
        <w:t xml:space="preserve"> </w:t>
      </w:r>
      <w:r>
        <w:rPr>
          <w:iCs/>
          <w:i/>
        </w:rPr>
        <w:t xml:space="preserve">Honest Rejection Rate</w:t>
      </w:r>
      <w:r>
        <w:t xml:space="preserve"> </w:t>
      </w:r>
      <w:r>
        <w:t xml:space="preserve">(</w:t>
      </w:r>
      <m:oMath>
        <m:r>
          <m:t>H</m:t>
        </m:r>
        <m:r>
          <m:t>R</m:t>
        </m:r>
        <m:r>
          <m:t>R</m:t>
        </m:r>
        <m:r>
          <m:rPr>
            <m:sty m:val="p"/>
          </m:rPr>
          <m:t>=</m:t>
        </m:r>
        <m:r>
          <m:t>100.00</m:t>
        </m:r>
        <m:r>
          <m:rPr>
            <m:sty m:val="p"/>
          </m:rPr>
          <m:t>%</m:t>
        </m:r>
      </m:oMath>
      <w:r>
        <w:t xml:space="preserve">).</w:t>
      </w:r>
    </w:p>
    <w:p>
      <w:pPr>
        <w:pStyle w:val="FirstParagraph"/>
      </w:pPr>
      <w:r>
        <w:rPr>
          <w:bCs/>
          <w:b/>
        </w:rPr>
        <w:t xml:space="preserve">Table 2b. Tripartite Dataset Architecture: Provenance, Validation Criteria, Temporal Acquisition, and Methodological Rationale</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Dataset Tier</w:t>
            </w:r>
          </w:p>
        </w:tc>
        <w:tc>
          <w:tcPr/>
          <w:p>
            <w:pPr>
              <w:pStyle w:val="Compact"/>
              <w:jc w:val="left"/>
            </w:pPr>
            <w:r>
              <w:t xml:space="preserve">Entity / Corpus Scope</w:t>
            </w:r>
          </w:p>
        </w:tc>
        <w:tc>
          <w:tcPr/>
          <w:p>
            <w:pPr>
              <w:pStyle w:val="Compact"/>
              <w:jc w:val="left"/>
            </w:pPr>
            <w:r>
              <w:t xml:space="preserve">Primary Data Sources</w:t>
            </w:r>
          </w:p>
        </w:tc>
        <w:tc>
          <w:tcPr/>
          <w:p>
            <w:pPr>
              <w:pStyle w:val="Compact"/>
              <w:jc w:val="left"/>
            </w:pPr>
            <w:r>
              <w:t xml:space="preserve">Validation Criteria &amp; Datum</w:t>
            </w:r>
          </w:p>
        </w:tc>
        <w:tc>
          <w:tcPr/>
          <w:p>
            <w:pPr>
              <w:pStyle w:val="Compact"/>
              <w:jc w:val="center"/>
            </w:pPr>
            <w:r>
              <w:t xml:space="preserve">Acquisition Date</w:t>
            </w:r>
          </w:p>
        </w:tc>
        <w:tc>
          <w:tcPr/>
          <w:p>
            <w:pPr>
              <w:pStyle w:val="Compact"/>
              <w:jc w:val="left"/>
            </w:pPr>
            <w:r>
              <w:t xml:space="preserve">Methodological Role in Evaluation Pipeline</w:t>
            </w:r>
          </w:p>
        </w:tc>
      </w:tr>
      <w:tr>
        <w:tc>
          <w:tcPr/>
          <w:p>
            <w:pPr>
              <w:pStyle w:val="Compact"/>
              <w:jc w:val="left"/>
            </w:pPr>
            <w:r>
              <w:rPr>
                <w:bCs/>
                <w:b/>
              </w:rPr>
              <w:t xml:space="preserve">Tier 1: Tested Production Dataset</w:t>
            </w:r>
          </w:p>
        </w:tc>
        <w:tc>
          <w:tcPr/>
          <w:p>
            <w:pPr>
              <w:pStyle w:val="Compact"/>
              <w:jc w:val="left"/>
            </w:pPr>
            <w:r>
              <w:rPr>
                <w:bCs/>
                <w:b/>
              </w:rPr>
              <w:t xml:space="preserve">22 Curated POIs</w:t>
            </w:r>
            <w:r>
              <w:t xml:space="preserve"> </w:t>
            </w:r>
            <w:r>
              <w:t xml:space="preserve">across 6 categories in Padang City</w:t>
            </w:r>
          </w:p>
        </w:tc>
        <w:tc>
          <w:tcPr/>
          <w:p>
            <w:pPr>
              <w:pStyle w:val="Compact"/>
              <w:jc w:val="left"/>
            </w:pPr>
            <w:r>
              <w:t xml:space="preserve">Dept. of Tourism Padang; Regional Statute Perda No. 1/2024; BIG 1:25k RBI Maps; OpenStreetMap</w:t>
            </w:r>
          </w:p>
        </w:tc>
        <w:tc>
          <w:tcPr/>
          <w:p>
            <w:pPr>
              <w:pStyle w:val="Compact"/>
              <w:jc w:val="left"/>
            </w:pPr>
            <w:r>
              <w:t xml:space="preserve">Municipal WGS84 bounds (</w:t>
            </w:r>
            <m:oMath>
              <m:sSup>
                <m:e>
                  <m:d>
                    <m:dPr>
                      <m:begChr m:val="["/>
                      <m:endChr m:val="]"/>
                      <m:sepChr m:val=""/>
                      <m:grow/>
                    </m:dPr>
                    <m:e>
                      <m:r>
                        <m:rPr>
                          <m:sty m:val="p"/>
                        </m:rPr>
                        <m:t>−</m:t>
                      </m:r>
                      <m:r>
                        <m:t>1.195</m:t>
                      </m:r>
                      <m:r>
                        <m:rPr>
                          <m:sty m:val="p"/>
                        </m:rPr>
                        <m:t>,</m:t>
                      </m:r>
                      <m:r>
                        <m:rPr>
                          <m:sty m:val="p"/>
                        </m:rPr>
                        <m:t>−</m:t>
                      </m:r>
                      <m:r>
                        <m:t>0.881</m:t>
                      </m:r>
                    </m:e>
                  </m:d>
                </m:e>
                <m:sup>
                  <m:r>
                    <m:rPr>
                      <m:sty m:val="p"/>
                    </m:rPr>
                    <m:t>∘</m:t>
                  </m:r>
                </m:sup>
              </m:sSup>
              <m:r>
                <m:rPr>
                  <m:nor/>
                  <m:sty m:val="p"/>
                </m:rPr>
                <m:t>S</m:t>
              </m:r>
            </m:oMath>
            <w:r>
              <w:t xml:space="preserve">,</w:t>
            </w:r>
            <w:r>
              <w:t xml:space="preserve"> </w:t>
            </w:r>
            <m:oMath>
              <m:sSup>
                <m:e>
                  <m:d>
                    <m:dPr>
                      <m:begChr m:val="["/>
                      <m:endChr m:val="]"/>
                      <m:sepChr m:val=""/>
                      <m:grow/>
                    </m:dPr>
                    <m:e>
                      <m:r>
                        <m:t>100.348</m:t>
                      </m:r>
                      <m:r>
                        <m:rPr>
                          <m:sty m:val="p"/>
                        </m:rPr>
                        <m:t>,</m:t>
                      </m:r>
                      <m:r>
                        <m:t>100.453</m:t>
                      </m:r>
                    </m:e>
                  </m:d>
                </m:e>
                <m:sup>
                  <m:r>
                    <m:rPr>
                      <m:sty m:val="p"/>
                    </m:rPr>
                    <m:t>∘</m:t>
                  </m:r>
                </m:sup>
              </m:sSup>
              <m:r>
                <m:rPr>
                  <m:nor/>
                  <m:sty m:val="p"/>
                </m:rPr>
                <m:t>E</m:t>
              </m:r>
            </m:oMath>
            <w:r>
              <w:t xml:space="preserve">); physical ticket tariff &amp; operating schedule audit</w:t>
            </w:r>
          </w:p>
        </w:tc>
        <w:tc>
          <w:tcPr/>
          <w:p>
            <w:pPr>
              <w:pStyle w:val="Compact"/>
              <w:jc w:val="center"/>
            </w:pPr>
            <w:r>
              <w:t xml:space="preserve">Jan 2026 (Field audit), re-verified Sep 2026</w:t>
            </w:r>
          </w:p>
        </w:tc>
        <w:tc>
          <w:tcPr/>
          <w:p>
            <w:pPr>
              <w:pStyle w:val="Compact"/>
              <w:jc w:val="left"/>
            </w:pPr>
            <w:r>
              <w:t xml:space="preserve">Live relational database (</w:t>
            </w:r>
            <w:r>
              <w:rPr>
                <w:rStyle w:val="VerbatimChar"/>
              </w:rPr>
              <w:t xml:space="preserve">geo_db.wisata</w:t>
            </w:r>
            <w:r>
              <w:t xml:space="preserve">) executing</w:t>
            </w:r>
            <w:r>
              <w:t xml:space="preserve"> </w:t>
            </w:r>
            <w:r>
              <w:rPr>
                <w:rStyle w:val="VerbatimChar"/>
              </w:rPr>
              <w:t xml:space="preserve">ST_Distance_Sphere</w:t>
            </w:r>
            <w:r>
              <w:t xml:space="preserve">, OSRM road routing, and factual grounding</w:t>
            </w:r>
          </w:p>
        </w:tc>
      </w:tr>
      <w:tr>
        <w:tc>
          <w:tcPr/>
          <w:p>
            <w:pPr>
              <w:pStyle w:val="Compact"/>
              <w:jc w:val="left"/>
            </w:pPr>
            <w:r>
              <w:rPr>
                <w:bCs/>
                <w:b/>
              </w:rPr>
              <w:t xml:space="preserve">Tier 2: Benchmark Ground Truth Dataset</w:t>
            </w:r>
          </w:p>
        </w:tc>
        <w:tc>
          <w:tcPr/>
          <w:p>
            <w:pPr>
              <w:pStyle w:val="Compact"/>
              <w:jc w:val="left"/>
            </w:pPr>
            <w:r>
              <w:rPr>
                <w:bCs/>
                <w:b/>
              </w:rPr>
              <w:t xml:space="preserve">40 Dialogue Scenarios</w:t>
            </w:r>
            <w:r>
              <w:t xml:space="preserve"> </w:t>
            </w:r>
            <w:r>
              <w:t xml:space="preserve">across 8 query taxonomies</w:t>
            </w:r>
          </w:p>
        </w:tc>
        <w:tc>
          <w:tcPr/>
          <w:p>
            <w:pPr>
              <w:pStyle w:val="Compact"/>
              <w:jc w:val="left"/>
            </w:pPr>
            <w:r>
              <w:t xml:space="preserve">Tourist inquiry surveys &amp; field interviews in Padang City</w:t>
            </w:r>
          </w:p>
        </w:tc>
        <w:tc>
          <w:tcPr/>
          <w:p>
            <w:pPr>
              <w:pStyle w:val="Compact"/>
              <w:jc w:val="left"/>
            </w:pPr>
            <w:r>
              <w:t xml:space="preserve">Dual gold-standard annotations (17-slot SIR &amp; 19-attribute CSIR); 100% inter-annotator agreement</w:t>
            </w:r>
          </w:p>
        </w:tc>
        <w:tc>
          <w:tcPr/>
          <w:p>
            <w:pPr>
              <w:pStyle w:val="Compact"/>
              <w:jc w:val="center"/>
            </w:pPr>
            <w:r>
              <w:t xml:space="preserve">Formulated &amp; audited Sep 2026</w:t>
            </w:r>
          </w:p>
        </w:tc>
        <w:tc>
          <w:tcPr/>
          <w:p>
            <w:pPr>
              <w:pStyle w:val="Compact"/>
              <w:jc w:val="left"/>
            </w:pPr>
            <w:r>
              <w:t xml:space="preserve">Gold-standard benchmark (</w:t>
            </w:r>
            <w:r>
              <w:rPr>
                <w:rStyle w:val="VerbatimChar"/>
              </w:rPr>
              <w:t xml:space="preserve">benchmark/dataset_40.json</w:t>
            </w:r>
            <w:r>
              <w:t xml:space="preserve">) measuring semantic accuracy, envelope alignment, &amp; baseline comparative performance</w:t>
            </w:r>
          </w:p>
        </w:tc>
      </w:tr>
      <w:tr>
        <w:tc>
          <w:tcPr/>
          <w:p>
            <w:pPr>
              <w:pStyle w:val="Compact"/>
              <w:jc w:val="left"/>
            </w:pPr>
            <w:r>
              <w:rPr>
                <w:bCs/>
                <w:b/>
              </w:rPr>
              <w:t xml:space="preserve">Tier 3: Out-of-Jurisdiction &amp; Negative Dataset</w:t>
            </w:r>
          </w:p>
        </w:tc>
        <w:tc>
          <w:tcPr/>
          <w:p>
            <w:pPr>
              <w:pStyle w:val="Compact"/>
              <w:jc w:val="left"/>
            </w:pPr>
            <w:r>
              <w:rPr>
                <w:bCs/>
                <w:b/>
              </w:rPr>
              <w:t xml:space="preserve">14 Regional Attractions</w:t>
            </w:r>
            <w:r>
              <w:t xml:space="preserve"> </w:t>
            </w:r>
            <w:r>
              <w:t xml:space="preserve">(65–140 km outside Padang) + Synthetic Fictional POIs</w:t>
            </w:r>
          </w:p>
        </w:tc>
        <w:tc>
          <w:tcPr/>
          <w:p>
            <w:pPr>
              <w:pStyle w:val="Compact"/>
              <w:jc w:val="left"/>
            </w:pPr>
            <w:r>
              <w:t xml:space="preserve">West Sumatra Provincial Tourism Directory (</w:t>
            </w:r>
            <w:r>
              <w:rPr>
                <w:iCs/>
                <w:i/>
              </w:rPr>
              <w:t xml:space="preserve">Dispar Prov. Sumbar</w:t>
            </w:r>
            <w:r>
              <w:t xml:space="preserve">) &amp; synthetic adversarial tokens</w:t>
            </w:r>
          </w:p>
        </w:tc>
        <w:tc>
          <w:tcPr/>
          <w:p>
            <w:pPr>
              <w:pStyle w:val="Compact"/>
              <w:jc w:val="left"/>
            </w:pPr>
            <w:r>
              <w:t xml:space="preserve">Physically real regional destinations verified</w:t>
            </w:r>
            <w:r>
              <w:t xml:space="preserve"> </w:t>
            </w:r>
            <m:oMath>
              <m:r>
                <m:rPr>
                  <m:sty m:val="p"/>
                </m:rPr>
                <m:t>&gt;</m:t>
              </m:r>
              <m:r>
                <m:t>30</m:t>
              </m:r>
              <m:r>
                <m:rPr>
                  <m:nor/>
                  <m:sty m:val="p"/>
                </m:rPr>
                <m:t> km</m:t>
              </m:r>
            </m:oMath>
            <w:r>
              <w:t xml:space="preserve"> </w:t>
            </w:r>
            <w:r>
              <w:t xml:space="preserve">outside Padang borders, plus non-existent POIs</w:t>
            </w:r>
          </w:p>
        </w:tc>
        <w:tc>
          <w:tcPr/>
          <w:p>
            <w:pPr>
              <w:pStyle w:val="Compact"/>
              <w:jc w:val="center"/>
            </w:pPr>
            <w:r>
              <w:t xml:space="preserve">Compiled Sep–Oct 2026</w:t>
            </w:r>
          </w:p>
        </w:tc>
        <w:tc>
          <w:tcPr/>
          <w:p>
            <w:pPr>
              <w:pStyle w:val="Compact"/>
              <w:jc w:val="left"/>
            </w:pPr>
            <w:r>
              <w:t xml:space="preserve">Negative control set deployed to audit Type I/II hallucinations on unconstrained baselines and verify Honest Rejection Rate (HRR)</w:t>
            </w:r>
          </w:p>
        </w:tc>
      </w:tr>
    </w:tbl>
    <w:bookmarkEnd w:id="79"/>
    <w:bookmarkStart w:id="80" w:name="baseline-systems"/>
    <w:p>
      <w:pPr>
        <w:pStyle w:val="Heading3"/>
      </w:pPr>
      <w:r>
        <w:t xml:space="preserve">5.2 Baseline Systems</w:t>
      </w:r>
    </w:p>
    <w:p>
      <w:pPr>
        <w:pStyle w:val="FirstParagraph"/>
      </w:pPr>
      <w:r>
        <w:t xml:space="preserve">To evaluate scientific significance and isolate the architectural contributions, the proposed system was benchmarked against four representative baselines:</w:t>
      </w:r>
      <w:r>
        <w:t xml:space="preserve"> </w:t>
      </w:r>
      <w:r>
        <w:t xml:space="preserve">*</w:t>
      </w:r>
      <w:r>
        <w:t xml:space="preserve"> </w:t>
      </w:r>
      <w:r>
        <w:rPr>
          <w:bCs/>
          <w:b/>
        </w:rPr>
        <w:t xml:space="preserve">Baseline 1 (Direct Text-to-SQL):</w:t>
      </w:r>
      <w:r>
        <w:t xml:space="preserve"> </w:t>
      </w:r>
      <w:r>
        <w:t xml:space="preserve">The LLM directly generates raw SQL statements from table DDL definitions without intermediate SIR abstraction or deterministic validation.</w:t>
      </w:r>
      <w:r>
        <w:t xml:space="preserve"> </w:t>
      </w:r>
      <w:r>
        <w:t xml:space="preserve">*</w:t>
      </w:r>
      <w:r>
        <w:t xml:space="preserve"> </w:t>
      </w:r>
      <w:r>
        <w:rPr>
          <w:bCs/>
          <w:b/>
        </w:rPr>
        <w:t xml:space="preserve">Baseline 2 (Unconstrained LLM with System Prompting):</w:t>
      </w:r>
      <w:r>
        <w:t xml:space="preserve"> </w:t>
      </w:r>
      <w:r>
        <w:t xml:space="preserve">The LLM generates natural language recommendations directly from general pre-trained knowledge without database grounding (</w:t>
      </w:r>
      <w:r>
        <w:rPr>
          <w:iCs/>
          <w:i/>
        </w:rPr>
        <w:t xml:space="preserve">zero-shot ungrounded generation</w:t>
      </w:r>
      <w:r>
        <w:t xml:space="preserve">).</w:t>
      </w:r>
      <w:r>
        <w:t xml:space="preserve"> </w:t>
      </w:r>
      <w:r>
        <w:t xml:space="preserve">*</w:t>
      </w:r>
      <w:r>
        <w:t xml:space="preserve"> </w:t>
      </w:r>
      <w:r>
        <w:rPr>
          <w:bCs/>
          <w:b/>
        </w:rPr>
        <w:t xml:space="preserve">Baseline C (Vector RAG):</w:t>
      </w:r>
      <w:r>
        <w:t xml:space="preserve"> </w:t>
      </w:r>
      <w:r>
        <w:t xml:space="preserve">Dense-vector embedding retrieval over document summaries of tourist attractions using cosine similarity.</w:t>
      </w:r>
      <w:r>
        <w:t xml:space="preserve"> </w:t>
      </w:r>
      <w:r>
        <w:t xml:space="preserve">*</w:t>
      </w:r>
      <w:r>
        <w:t xml:space="preserve"> </w:t>
      </w:r>
      <w:r>
        <w:rPr>
          <w:bCs/>
          <w:b/>
        </w:rPr>
        <w:t xml:space="preserve">Baseline D (DTExplorer - Afnarius et al., 2026 [2]):</w:t>
      </w:r>
      <w:r>
        <w:t xml:space="preserve"> </w:t>
      </w:r>
      <w:r>
        <w:t xml:space="preserve">Conventional Web GIS utilizing dropdown menus, radius sliders, and static SQL queries without conversational intelligence.</w:t>
      </w:r>
    </w:p>
    <w:bookmarkEnd w:id="80"/>
    <w:bookmarkStart w:id="81" w:name="Xba834bb01967bba3d07ecac22be9a588a2ed387"/>
    <w:p>
      <w:pPr>
        <w:pStyle w:val="Heading3"/>
      </w:pPr>
      <w:r>
        <w:t xml:space="preserve">5.3 Model Configurations and Server Computing Environment</w:t>
      </w:r>
    </w:p>
    <w:p>
      <w:pPr>
        <w:numPr>
          <w:ilvl w:val="0"/>
          <w:numId w:val="1009"/>
        </w:numPr>
        <w:pStyle w:val="Compact"/>
      </w:pPr>
      <w:r>
        <w:rPr>
          <w:bCs/>
          <w:b/>
        </w:rPr>
        <w:t xml:space="preserve">AI Foundation Models:</w:t>
      </w:r>
      <w:r>
        <w:t xml:space="preserve"> </w:t>
      </w:r>
      <w:r>
        <w:t xml:space="preserve">DeepSeek-V3 (</w:t>
      </w:r>
      <w:r>
        <w:rPr>
          <w:rStyle w:val="VerbatimChar"/>
        </w:rPr>
        <w:t xml:space="preserve">deepseek-chat</w:t>
      </w:r>
      <w:r>
        <w:t xml:space="preserve">) and Google Gemini (</w:t>
      </w:r>
      <w:r>
        <w:rPr>
          <w:rStyle w:val="VerbatimChar"/>
        </w:rPr>
        <w:t xml:space="preserve">gemini-2.5-flash</w:t>
      </w:r>
      <w:r>
        <w:t xml:space="preserve">), configured with deterministic temperature T = 0.0, top_p = 1.0, max_tokens = 300 under structured JSON output mode.</w:t>
      </w:r>
    </w:p>
    <w:p>
      <w:pPr>
        <w:numPr>
          <w:ilvl w:val="0"/>
          <w:numId w:val="1009"/>
        </w:numPr>
        <w:pStyle w:val="Compact"/>
      </w:pPr>
      <w:r>
        <w:rPr>
          <w:bCs/>
          <w:b/>
        </w:rPr>
        <w:t xml:space="preserve">Server Environment:</w:t>
      </w:r>
      <w:r>
        <w:t xml:space="preserve"> </w:t>
      </w:r>
      <w:r>
        <w:t xml:space="preserve">Linux Ubuntu 22.04 LTS (x86_64), 8-Core processor (Intel Xeon / AMD EPYC), 16 GB RAM, NVMe SSD storage.</w:t>
      </w:r>
    </w:p>
    <w:p>
      <w:pPr>
        <w:numPr>
          <w:ilvl w:val="0"/>
          <w:numId w:val="1009"/>
        </w:numPr>
        <w:pStyle w:val="Compact"/>
      </w:pPr>
      <w:r>
        <w:rPr>
          <w:bCs/>
          <w:b/>
        </w:rPr>
        <w:t xml:space="preserve">Software Stack:</w:t>
      </w:r>
      <w:r>
        <w:t xml:space="preserve"> </w:t>
      </w:r>
      <w:r>
        <w:t xml:space="preserve">PHP 8.2.27, CodeIgniter 4.6.0 framework, MySQL 8.0.45 Community Server with native C++ compiled spatial geometry extensions, Apache 2.4.52.</w:t>
      </w:r>
    </w:p>
    <w:p>
      <w:pPr>
        <w:numPr>
          <w:ilvl w:val="0"/>
          <w:numId w:val="1009"/>
        </w:numPr>
        <w:pStyle w:val="Compact"/>
      </w:pPr>
      <w:r>
        <w:rPr>
          <w:bCs/>
          <w:b/>
        </w:rPr>
        <w:t xml:space="preserve">Client Environment:</w:t>
      </w:r>
      <w:r>
        <w:t xml:space="preserve"> </w:t>
      </w:r>
      <w:r>
        <w:t xml:space="preserve">Chromium-based browser with Leaflet.js 1.9.4 and vanilla responsive CSS.</w:t>
      </w:r>
    </w:p>
    <w:bookmarkEnd w:id="81"/>
    <w:bookmarkStart w:id="82" w:name="X4ae1c18b9f0310041592460cfb7c64f477e6d49"/>
    <w:p>
      <w:pPr>
        <w:pStyle w:val="Heading3"/>
      </w:pPr>
      <w:r>
        <w:t xml:space="preserve">5.4 Ablation Study Design (Configurations A1–A6 and B1–B2)</w:t>
      </w:r>
    </w:p>
    <w:p>
      <w:pPr>
        <w:pStyle w:val="FirstParagraph"/>
      </w:pPr>
      <w:r>
        <w:t xml:space="preserve">To isolate and quantify the specific contribution of each architectural component, eight systematic ablation configurations were executed:</w:t>
      </w:r>
      <w:r>
        <w:t xml:space="preserve"> </w:t>
      </w:r>
      <w:r>
        <w:t xml:space="preserve">*</w:t>
      </w:r>
      <w:r>
        <w:t xml:space="preserve"> </w:t>
      </w:r>
      <w:r>
        <w:rPr>
          <w:bCs/>
          <w:b/>
        </w:rPr>
        <w:t xml:space="preserve">Semantic Control Boundary Ablations (A1–A6):</w:t>
      </w:r>
      <w:r>
        <w:t xml:space="preserve"> </w:t>
      </w:r>
      <w:r>
        <w:t xml:space="preserve">-</w:t>
      </w:r>
      <w:r>
        <w:t xml:space="preserve"> </w:t>
      </w:r>
      <w:r>
        <w:rPr>
          <w:bCs/>
          <w:b/>
        </w:rPr>
        <w:t xml:space="preserve">A1:</w:t>
      </w:r>
      <w:r>
        <w:t xml:space="preserve"> </w:t>
      </w:r>
      <w:r>
        <w:t xml:space="preserve">Disabling schema and data-type validation (Dimension 1).</w:t>
      </w:r>
      <w:r>
        <w:t xml:space="preserve"> </w:t>
      </w:r>
      <w:r>
        <w:t xml:space="preserve">-</w:t>
      </w:r>
      <w:r>
        <w:t xml:space="preserve"> </w:t>
      </w:r>
      <w:r>
        <w:rPr>
          <w:bCs/>
          <w:b/>
        </w:rPr>
        <w:t xml:space="preserve">A2:</w:t>
      </w:r>
      <w:r>
        <w:t xml:space="preserve"> </w:t>
      </w:r>
      <w:r>
        <w:t xml:space="preserve">Disabling Padang WGS84 bounding-box spatial boundary enforcement (Dimension 2).</w:t>
      </w:r>
      <w:r>
        <w:t xml:space="preserve"> </w:t>
      </w:r>
      <w:r>
        <w:t xml:space="preserve">-</w:t>
      </w:r>
      <w:r>
        <w:t xml:space="preserve"> </w:t>
      </w:r>
      <w:r>
        <w:rPr>
          <w:bCs/>
          <w:b/>
        </w:rPr>
        <w:t xml:space="preserve">A3:</w:t>
      </w:r>
      <w:r>
        <w:t xml:space="preserve"> </w:t>
      </w:r>
      <w:r>
        <w:t xml:space="preserve">Disabling operator consistency and radius clamping (Dimension 3).</w:t>
      </w:r>
      <w:r>
        <w:t xml:space="preserve"> </w:t>
      </w:r>
      <w:r>
        <w:t xml:space="preserve">-</w:t>
      </w:r>
      <w:r>
        <w:t xml:space="preserve"> </w:t>
      </w:r>
      <w:r>
        <w:rPr>
          <w:bCs/>
          <w:b/>
        </w:rPr>
        <w:t xml:space="preserve">A4:</w:t>
      </w:r>
      <w:r>
        <w:t xml:space="preserve"> </w:t>
      </w:r>
      <w:r>
        <w:t xml:space="preserve">Disabling reference landmark coordinate resolution (Dimension 4).</w:t>
      </w:r>
      <w:r>
        <w:t xml:space="preserve"> </w:t>
      </w:r>
      <w:r>
        <w:t xml:space="preserve">-</w:t>
      </w:r>
      <w:r>
        <w:t xml:space="preserve"> </w:t>
      </w:r>
      <w:r>
        <w:rPr>
          <w:bCs/>
          <w:b/>
        </w:rPr>
        <w:t xml:space="preserve">A5:</w:t>
      </w:r>
      <w:r>
        <w:t xml:space="preserve"> </w:t>
      </w:r>
      <w:r>
        <w:t xml:space="preserve">Disabling operational consistency for pricing and temporal schedules (Dimension 5).</w:t>
      </w:r>
      <w:r>
        <w:t xml:space="preserve"> </w:t>
      </w:r>
      <w:r>
        <w:t xml:space="preserve">-</w:t>
      </w:r>
      <w:r>
        <w:t xml:space="preserve"> </w:t>
      </w:r>
      <w:r>
        <w:rPr>
          <w:bCs/>
          <w:b/>
        </w:rPr>
        <w:t xml:space="preserve">A6:</w:t>
      </w:r>
      <w:r>
        <w:t xml:space="preserve"> </w:t>
      </w:r>
      <w:r>
        <w:t xml:space="preserve">Disabling domain ontology and out-of-scope validation (Dimension 6).</w:t>
      </w:r>
      <w:r>
        <w:t xml:space="preserve"> </w:t>
      </w:r>
      <w:r>
        <w:t xml:space="preserve">*</w:t>
      </w:r>
      <w:r>
        <w:t xml:space="preserve"> </w:t>
      </w:r>
      <w:r>
        <w:rPr>
          <w:bCs/>
          <w:b/>
        </w:rPr>
        <w:t xml:space="preserve">Evidence Control Boundary Ablations (B1–B2):</w:t>
      </w:r>
      <w:r>
        <w:t xml:space="preserve"> </w:t>
      </w:r>
      <w:r>
        <w:t xml:space="preserve">-</w:t>
      </w:r>
      <w:r>
        <w:t xml:space="preserve"> </w:t>
      </w:r>
      <w:r>
        <w:rPr>
          <w:bCs/>
          <w:b/>
        </w:rPr>
        <w:t xml:space="preserve">B1:</w:t>
      </w:r>
      <w:r>
        <w:t xml:space="preserve"> </w:t>
      </w:r>
      <w:r>
        <w:t xml:space="preserve">Disabling spatial fallback policies (dynamic radius expansion).</w:t>
      </w:r>
      <w:r>
        <w:t xml:space="preserve"> </w:t>
      </w:r>
      <w:r>
        <w:t xml:space="preserve">-</w:t>
      </w:r>
      <w:r>
        <w:t xml:space="preserve"> </w:t>
      </w:r>
      <w:r>
        <w:rPr>
          <w:bCs/>
          <w:b/>
        </w:rPr>
        <w:t xml:space="preserve">B2:</w:t>
      </w:r>
      <w:r>
        <w:t xml:space="preserve"> </w:t>
      </w:r>
      <w:r>
        <w:t xml:space="preserve">Disabling the</w:t>
      </w:r>
      <w:r>
        <w:t xml:space="preserve"> </w:t>
      </w:r>
      <w:r>
        <w:rPr>
          <w:iCs/>
          <w:i/>
        </w:rPr>
        <w:t xml:space="preserve">Algorithmic Claim-Level Grounding Validator</w:t>
      </w:r>
      <w:r>
        <w:t xml:space="preserve">.</w:t>
      </w:r>
    </w:p>
    <w:bookmarkEnd w:id="82"/>
    <w:bookmarkStart w:id="83" w:name="multi-layer-evaluation-metrics-layers-ad"/>
    <w:p>
      <w:pPr>
        <w:pStyle w:val="Heading3"/>
      </w:pPr>
      <w:r>
        <w:t xml:space="preserve">5.5 Multi-Layer Evaluation Metrics (Layers A–D)</w:t>
      </w:r>
    </w:p>
    <w:p>
      <w:pPr>
        <w:pStyle w:val="FirstParagraph"/>
      </w:pPr>
      <w:r>
        <w:t xml:space="preserve">System performance was evaluated across four orthogonal assessment layers:</w:t>
      </w:r>
      <w:r>
        <w:t xml:space="preserve"> </w:t>
      </w:r>
      <w:r>
        <w:t xml:space="preserve">*</w:t>
      </w:r>
      <w:r>
        <w:t xml:space="preserve"> </w:t>
      </w:r>
      <w:r>
        <w:rPr>
          <w:bCs/>
          <w:b/>
        </w:rPr>
        <w:t xml:space="preserve">Layer A (Semantic Intent Extraction):</w:t>
      </w:r>
      <w:r>
        <w:t xml:space="preserve"> </w:t>
      </w:r>
      <w:r>
        <w:rPr>
          <w:iCs/>
          <w:i/>
        </w:rPr>
        <w:t xml:space="preserve">Exact CSIR Match Rate</w:t>
      </w:r>
      <w:r>
        <w:t xml:space="preserve"> </w:t>
      </w:r>
      <w:r>
        <w:t xml:space="preserve">(percentage of scenarios exactly matching ground truth across all 19 canonical attributes),</w:t>
      </w:r>
      <w:r>
        <w:t xml:space="preserve"> </w:t>
      </w:r>
      <w:r>
        <w:rPr>
          <w:iCs/>
          <w:i/>
        </w:rPr>
        <w:t xml:space="preserve">Execution Envelope Alignment</w:t>
      </w:r>
      <w:r>
        <w:t xml:space="preserve"> </w:t>
      </w:r>
      <w:r>
        <w:t xml:space="preserve">(post-policy execution envelope match),</w:t>
      </w:r>
      <w:r>
        <w:t xml:space="preserve"> </w:t>
      </w:r>
      <w:r>
        <w:rPr>
          <w:iCs/>
          <w:i/>
        </w:rPr>
        <w:t xml:space="preserve">Mean Field-Level Accuracy</w:t>
      </w:r>
      <w:r>
        <w:t xml:space="preserve"> </w:t>
      </w:r>
      <w:r>
        <w:t xml:space="preserve">(attribute-level accuracy across 758 evaluations), and</w:t>
      </w:r>
      <w:r>
        <w:t xml:space="preserve"> </w:t>
      </w:r>
      <w:r>
        <w:rPr>
          <w:iCs/>
          <w:i/>
        </w:rPr>
        <w:t xml:space="preserve">Validation Decision Accuracy</w:t>
      </w:r>
      <w:r>
        <w:t xml:space="preserve">.</w:t>
      </w:r>
      <w:r>
        <w:t xml:space="preserve"> </w:t>
      </w:r>
      <w:r>
        <w:t xml:space="preserve">*</w:t>
      </w:r>
      <w:r>
        <w:t xml:space="preserve"> </w:t>
      </w:r>
      <w:r>
        <w:rPr>
          <w:bCs/>
          <w:b/>
        </w:rPr>
        <w:t xml:space="preserve">Layer B (Spatial Execution &amp; Security):</w:t>
      </w:r>
      <w:r>
        <w:t xml:space="preserve"> </w:t>
      </w:r>
      <w:r>
        <w:rPr>
          <w:iCs/>
          <w:i/>
        </w:rPr>
        <w:t xml:space="preserve">Pure Spatial Predicate Correctness</w:t>
      </w:r>
      <w:r>
        <w:t xml:space="preserve"> </w:t>
      </w:r>
      <w:r>
        <w:t xml:space="preserve">(percentage of spatial queries executed without predicate distortion, N=36),</w:t>
      </w:r>
      <w:r>
        <w:t xml:space="preserve"> </w:t>
      </w:r>
      <w:r>
        <w:rPr>
          <w:iCs/>
          <w:i/>
        </w:rPr>
        <w:t xml:space="preserve">Overall Scenario Execution Compliance</w:t>
      </w:r>
      <w:r>
        <w:t xml:space="preserve"> </w:t>
      </w:r>
      <w:r>
        <w:t xml:space="preserve">(N=40), and</w:t>
      </w:r>
      <w:r>
        <w:t xml:space="preserve"> </w:t>
      </w:r>
      <w:r>
        <w:rPr>
          <w:iCs/>
          <w:i/>
        </w:rPr>
        <w:t xml:space="preserve">Database Query Execution Latency</w:t>
      </w:r>
      <w:r>
        <w:t xml:space="preserve">.</w:t>
      </w:r>
      <w:r>
        <w:t xml:space="preserve"> </w:t>
      </w:r>
      <w:r>
        <w:t xml:space="preserve">*</w:t>
      </w:r>
      <w:r>
        <w:t xml:space="preserve"> </w:t>
      </w:r>
      <w:r>
        <w:rPr>
          <w:bCs/>
          <w:b/>
        </w:rPr>
        <w:t xml:space="preserve">Layer C (Factual Grounding &amp; Integrity):</w:t>
      </w:r>
      <w:r>
        <w:t xml:space="preserve"> </w:t>
      </w:r>
      <w:r>
        <w:rPr>
          <w:iCs/>
          <w:i/>
        </w:rPr>
        <w:t xml:space="preserve">Entity Fabrication Rate</w:t>
      </w:r>
      <w:r>
        <w:t xml:space="preserve"> </w:t>
      </w:r>
      <w:r>
        <w:t xml:space="preserve">(percentage of scenarios generating non-existent destinations),</w:t>
      </w:r>
      <w:r>
        <w:t xml:space="preserve"> </w:t>
      </w:r>
      <w:r>
        <w:rPr>
          <w:iCs/>
          <w:i/>
        </w:rPr>
        <w:t xml:space="preserve">Claim-Level Grounding Fidelity</w:t>
      </w:r>
      <w:r>
        <w:t xml:space="preserve"> </w:t>
      </w:r>
      <w:r>
        <w:t xml:space="preserve">(CGF, percentage of audited factual claims verified by database facts across 4 sub-dimensions),</w:t>
      </w:r>
      <w:r>
        <w:t xml:space="preserve"> </w:t>
      </w:r>
      <w:r>
        <w:rPr>
          <w:iCs/>
          <w:i/>
        </w:rPr>
        <w:t xml:space="preserve">Entity Grounding Fidelity</w:t>
      </w:r>
      <w:r>
        <w:t xml:space="preserve"> </w:t>
      </w:r>
      <w:r>
        <w:t xml:space="preserve">(EGF, valid POI mention ratio), and</w:t>
      </w:r>
      <w:r>
        <w:t xml:space="preserve"> </w:t>
      </w:r>
      <w:r>
        <w:rPr>
          <w:iCs/>
          <w:i/>
        </w:rPr>
        <w:t xml:space="preserve">Honest Rejection Rate</w:t>
      </w:r>
      <w:r>
        <w:t xml:space="preserve"> </w:t>
      </w:r>
      <w:r>
        <w:t xml:space="preserve">(HRR, rejection of out-of-scope requests).</w:t>
      </w:r>
      <w:r>
        <w:t xml:space="preserve"> </w:t>
      </w:r>
      <w:r>
        <w:t xml:space="preserve">*</w:t>
      </w:r>
      <w:r>
        <w:t xml:space="preserve"> </w:t>
      </w:r>
      <w:r>
        <w:rPr>
          <w:bCs/>
          <w:b/>
        </w:rPr>
        <w:t xml:space="preserve">Layer D (Human-Centered Usability &amp; Cognitive Efficiency):</w:t>
      </w:r>
      <w:r>
        <w:t xml:space="preserve"> </w:t>
      </w:r>
      <w:r>
        <w:rPr>
          <w:iCs/>
          <w:i/>
        </w:rPr>
        <w:t xml:space="preserve">Task Completion Time</w:t>
      </w:r>
      <w:r>
        <w:t xml:space="preserve"> </w:t>
      </w:r>
      <w:r>
        <w:t xml:space="preserve">(TCT in seconds) and</w:t>
      </w:r>
      <w:r>
        <w:t xml:space="preserve"> </w:t>
      </w:r>
      <w:r>
        <w:rPr>
          <w:iCs/>
          <w:i/>
        </w:rPr>
        <w:t xml:space="preserve">System Usability Scale</w:t>
      </w:r>
      <w:r>
        <w:t xml:space="preserve"> </w:t>
      </w:r>
      <w:r>
        <w:t xml:space="preserve">(SUS composite score, 0–100 scale).</w:t>
      </w:r>
    </w:p>
    <w:bookmarkEnd w:id="83"/>
    <w:bookmarkStart w:id="84" w:name="X9789b7944b514152bad9b6f433e9f398d0f09dc"/>
    <w:p>
      <w:pPr>
        <w:pStyle w:val="Heading3"/>
      </w:pPr>
      <w:r>
        <w:t xml:space="preserve">5.6 Replicability Protocol and Deterministic Testing (N=120 Runs)</w:t>
      </w:r>
    </w:p>
    <w:p>
      <w:pPr>
        <w:pStyle w:val="FirstParagraph"/>
      </w:pPr>
      <w:r>
        <w:t xml:space="preserve">All empirical evaluations were conducted under standardized protocols with 3 independent replications per scenario (40 scenarios x 3 = 120 executions). The evaluation framework supports two execution modes:</w:t>
      </w:r>
      <w:r>
        <w:t xml:space="preserve"> </w:t>
      </w:r>
      <w:r>
        <w:t xml:space="preserve">1.</w:t>
      </w:r>
      <w:r>
        <w:t xml:space="preserve"> </w:t>
      </w:r>
      <w:r>
        <w:rPr>
          <w:bCs/>
          <w:b/>
        </w:rPr>
        <w:t xml:space="preserve">Standardized Replay Mode (</w:t>
      </w:r>
      <w:r>
        <w:rPr>
          <w:rStyle w:val="VerbatimChar"/>
          <w:bCs/>
          <w:b/>
        </w:rPr>
        <w:t xml:space="preserve">--mock</w:t>
      </w:r>
      <w:r>
        <w:rPr>
          <w:bCs/>
          <w:b/>
        </w:rPr>
        <w:t xml:space="preserve"> </w:t>
      </w:r>
      <w:r>
        <w:rPr>
          <w:bCs/>
          <w:b/>
        </w:rPr>
        <w:t xml:space="preserve">/ default):</w:t>
      </w:r>
      <w:r>
        <w:t xml:space="preserve"> </w:t>
      </w:r>
      <w:r>
        <w:t xml:space="preserve">Offline deterministic evaluation using frozen baseline model inferences, verifying all architectural invariants and executing real queries against local MySQL 8.0</w:t>
      </w:r>
      <w:r>
        <w:t xml:space="preserve"> </w:t>
      </w:r>
      <w:r>
        <w:rPr>
          <w:rStyle w:val="VerbatimChar"/>
        </w:rPr>
        <w:t xml:space="preserve">geo_db</w:t>
      </w:r>
      <w:r>
        <w:t xml:space="preserve"> </w:t>
      </w:r>
      <w:r>
        <w:t xml:space="preserve">to guarantee</w:t>
      </w:r>
      <w:r>
        <w:t xml:space="preserve"> </w:t>
      </w:r>
      <w:r>
        <w:rPr>
          <w:iCs/>
          <w:i/>
        </w:rPr>
        <w:t xml:space="preserve">bit-exact offline reproducibility</w:t>
      </w:r>
      <w:r>
        <w:t xml:space="preserve">.</w:t>
      </w:r>
      <w:r>
        <w:t xml:space="preserve"> </w:t>
      </w:r>
      <w:r>
        <w:t xml:space="preserve">2.</w:t>
      </w:r>
      <w:r>
        <w:t xml:space="preserve"> </w:t>
      </w:r>
      <w:r>
        <w:rPr>
          <w:bCs/>
          <w:b/>
        </w:rPr>
        <w:t xml:space="preserve">Live API Mode (</w:t>
      </w:r>
      <w:r>
        <w:rPr>
          <w:rStyle w:val="VerbatimChar"/>
          <w:bCs/>
          <w:b/>
        </w:rPr>
        <w:t xml:space="preserve">--live</w:t>
      </w:r>
      <w:r>
        <w:rPr>
          <w:bCs/>
          <w:b/>
        </w:rPr>
        <w:t xml:space="preserve">):</w:t>
      </w:r>
      <w:r>
        <w:t xml:space="preserve"> </w:t>
      </w:r>
      <w:r>
        <w:t xml:space="preserve">Dynamic online inference via live cloud endpoints.</w:t>
      </w:r>
    </w:p>
    <w:p>
      <w:pPr>
        <w:pStyle w:val="BodyText"/>
      </w:pPr>
      <w:r>
        <w:t xml:space="preserve">All evaluation logs, environment configurations, composer dependency lockfiles, and SHA-256 integrity hashes are permanently cataloged in</w:t>
      </w:r>
      <w:r>
        <w:t xml:space="preserve"> </w:t>
      </w:r>
      <w:r>
        <w:rPr>
          <w:rStyle w:val="VerbatimChar"/>
        </w:rPr>
        <w:t xml:space="preserve">benchmark/reproducibility/</w:t>
      </w:r>
      <w:r>
        <w:t xml:space="preserve"> </w:t>
      </w:r>
      <w:r>
        <w:t xml:space="preserve">verified by</w:t>
      </w:r>
      <w:r>
        <w:t xml:space="preserve"> </w:t>
      </w:r>
      <w:r>
        <w:rPr>
          <w:rStyle w:val="VerbatimChar"/>
        </w:rPr>
        <w:t xml:space="preserve">SHA256SUMS.txt</w:t>
      </w:r>
      <w:r>
        <w:t xml:space="preserve">.</w:t>
      </w:r>
    </w:p>
    <w:p>
      <w:r>
        <w:pict>
          <v:rect style="width:0;height:1.5pt" o:hralign="center" o:hrstd="t" o:hr="t"/>
        </w:pict>
      </w:r>
    </w:p>
    <w:bookmarkEnd w:id="84"/>
    <w:bookmarkEnd w:id="85"/>
    <w:bookmarkStart w:id="107" w:name="results"/>
    <w:p>
      <w:pPr>
        <w:pStyle w:val="Heading2"/>
      </w:pPr>
      <w:r>
        <w:t xml:space="preserve">6. RESULTS</w:t>
      </w:r>
    </w:p>
    <w:bookmarkStart w:id="88" w:name="Xb12a483deee6dc31e3f656c933f83e1a4b55999"/>
    <w:p>
      <w:pPr>
        <w:pStyle w:val="Heading3"/>
      </w:pPr>
      <w:r>
        <w:t xml:space="preserve">6.1 Empirical Benchmark Performance (Layers A–C)</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Perfect (</w:t>
            </w:r>
            <w:r>
              <w:rPr>
                <w:iCs/>
                <w:i/>
              </w:rPr>
              <w:t xml:space="preserve">40/40 Scenarios</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m:oMath>
              <m:r>
                <m:rPr>
                  <m:sty m:val="p"/>
                </m:rPr>
                <m:t>≥</m:t>
              </m:r>
              <m:r>
                <m:t>85.00</m:t>
              </m:r>
              <m:r>
                <m:rPr>
                  <m:sty m:val="p"/>
                </m:rPr>
                <m:t>%</m:t>
              </m:r>
            </m:oMath>
          </w:p>
        </w:tc>
        <w:tc>
          <w:tcPr/>
          <w:p>
            <w:pPr>
              <w:pStyle w:val="Compact"/>
              <w:jc w:val="center"/>
            </w:pPr>
            <w:r>
              <w:t xml:space="preserve">Exceeded (</w:t>
            </w:r>
            <w:r>
              <w:rPr>
                <w:iCs/>
                <w:i/>
              </w:rPr>
              <w:t xml:space="preserve">Dynamic Fallback Active</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Mismatches</w:t>
            </w:r>
            <w:r>
              <w:t xml:space="preserve">)</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100.00% (126/126)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(146/146)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(124/124)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m:oMath>
              <m:r>
                <m:rPr>
                  <m:sty m:val="p"/>
                </m:rPr>
                <m:t>≥</m:t>
              </m:r>
              <m:r>
                <m:t>50.00</m:t>
              </m:r>
              <m:r>
                <m:rPr>
                  <m:sty m:val="p"/>
                </m:rPr>
                <m:t>%</m:t>
              </m:r>
            </m:oMath>
          </w:p>
        </w:tc>
        <w:tc>
          <w:tcPr/>
          <w:p>
            <w:pPr>
              <w:pStyle w:val="Compact"/>
              <w:jc w:val="center"/>
            </w:pPr>
            <w:r>
              <w:t xml:space="preserve">Perfect (</w:t>
            </w:r>
            <w:r>
              <w:rPr>
                <w:iCs/>
                <w:i/>
              </w:rPr>
              <w:t xml:space="preserve">Dialogue Handling</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(270/270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4 Categories 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120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(0/270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126</w:t>
            </w:r>
          </w:p>
        </w:tc>
        <w:tc>
          <w:tcPr/>
          <w:p>
            <w:pPr>
              <w:pStyle w:val="Compact"/>
              <w:jc w:val="center"/>
            </w:pPr>
            <w:r>
              <w:rPr>
                <w:iCs/>
                <w:i/>
              </w:rPr>
              <w:t xml:space="preserve">126</w:t>
            </w:r>
          </w:p>
        </w:tc>
        <w:tc>
          <w:tcPr/>
          <w:p>
            <w:pPr>
              <w:pStyle w:val="Compact"/>
              <w:jc w:val="center"/>
            </w:pPr>
            <w:r>
              <w:rPr>
                <w:iCs/>
                <w:i/>
                <w:bCs/>
                <w:b/>
              </w:rPr>
              <w:t xml:space="preserve">100.00%</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146</w:t>
            </w:r>
          </w:p>
        </w:tc>
        <w:tc>
          <w:tcPr/>
          <w:p>
            <w:pPr>
              <w:pStyle w:val="Compact"/>
              <w:jc w:val="center"/>
            </w:pPr>
            <w:r>
              <w:rPr>
                <w:iCs/>
                <w:i/>
              </w:rPr>
              <w:t xml:space="preserve">146</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124</w:t>
            </w:r>
          </w:p>
        </w:tc>
        <w:tc>
          <w:tcPr/>
          <w:p>
            <w:pPr>
              <w:pStyle w:val="Compact"/>
              <w:jc w:val="center"/>
            </w:pPr>
            <w:r>
              <w:rPr>
                <w:iCs/>
                <w:i/>
              </w:rPr>
              <w:t xml:space="preserve">124</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436</w:t>
            </w:r>
          </w:p>
        </w:tc>
        <w:tc>
          <w:tcPr/>
          <w:p>
            <w:pPr>
              <w:pStyle w:val="Compact"/>
              <w:jc w:val="center"/>
            </w:pPr>
            <w:r>
              <w:rPr>
                <w:bCs/>
                <w:b/>
              </w:rPr>
              <w:t xml:space="preserve">436</w:t>
            </w:r>
          </w:p>
        </w:tc>
        <w:tc>
          <w:tcPr/>
          <w:p>
            <w:pPr>
              <w:pStyle w:val="Compact"/>
              <w:jc w:val="center"/>
            </w:pPr>
            <w:r>
              <w:rPr>
                <w:bCs/>
                <w:b/>
              </w:rPr>
              <w:t xml:space="preserve">100.00%</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40 Scenarios</w:t>
            </w:r>
          </w:p>
        </w:tc>
        <w:tc>
          <w:tcPr/>
          <w:p>
            <w:pPr>
              <w:pStyle w:val="Compact"/>
              <w:jc w:val="center"/>
            </w:pPr>
            <w:r>
              <w:rPr>
                <w:bCs/>
                <w:b/>
              </w:rPr>
              <w:t xml:space="preserve">100.00% (40/40)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39 Scenarios</w:t>
            </w:r>
          </w:p>
        </w:tc>
        <w:tc>
          <w:tcPr/>
          <w:p>
            <w:pPr>
              <w:pStyle w:val="Compact"/>
              <w:jc w:val="center"/>
            </w:pPr>
            <w:r>
              <w:rPr>
                <w:bCs/>
                <w:b/>
              </w:rPr>
              <w:t xml:space="preserve">97.50% (39/40)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 (270/270)</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p>
      <w:pPr>
        <w:pStyle w:val="BodyText"/>
      </w:pPr>
      <w:r>
        <w:t xml:space="preserve">To strengthen experimental validity and empirical rigor, this research enforces a strict methodological bifurcation between development and testing corpora:</w:t>
      </w:r>
      <w:r>
        <w:t xml:space="preserve"> </w:t>
      </w:r>
      <w:r>
        <w:t xml:space="preserve">1.</w:t>
      </w:r>
      <w:r>
        <w:t xml:space="preserve"> </w:t>
      </w:r>
      <w:r>
        <w:rPr>
          <w:bCs/>
          <w:b/>
        </w:rPr>
        <w:t xml:space="preserve">Dataset Partitioning (Development Set vs. Frozen Benchmark Test Set):</w:t>
      </w:r>
      <w:r>
        <w:t xml:space="preserve"> </w:t>
      </w:r>
      <w:r>
        <w:t xml:space="preserve">The exploratory design dataset (</w:t>
      </w:r>
      <w:r>
        <w:rPr>
          <w:iCs/>
          <w:i/>
        </w:rPr>
        <w:t xml:space="preserve">Prompt-Tuning &amp; Development Set</w:t>
      </w:r>
      <w:r>
        <w:t xml:space="preserve">,</w:t>
      </w:r>
      <w:r>
        <w:t xml:space="preserve"> </w:t>
      </w:r>
      <m:oMath>
        <m:r>
          <m:t>N</m:t>
        </m:r>
        <m:r>
          <m:rPr>
            <m:sty m:val="p"/>
          </m:rPr>
          <m:t>=</m:t>
        </m:r>
        <m:r>
          <m:t>20</m:t>
        </m:r>
      </m:oMath>
      <w:r>
        <w:t xml:space="preserve"> </w:t>
      </w:r>
      <w:r>
        <w:t xml:space="preserve">exploratory dialogue scenarios) was utilized exclusively during prompt engineering and semantic schema formulation. Once architectural specifications were finalized (</w:t>
      </w:r>
      <w:r>
        <w:rPr>
          <w:iCs/>
          <w:i/>
        </w:rPr>
        <w:t xml:space="preserve">architecture freeze</w:t>
      </w:r>
      <w:r>
        <w:t xml:space="preserve">), end-to-end empirical evaluations across Layers A–D were executed independently against</w:t>
      </w:r>
      <w:r>
        <w:t xml:space="preserve"> </w:t>
      </w:r>
      <w:r>
        <w:rPr>
          <w:bCs/>
          <w:b/>
        </w:rPr>
        <w:t xml:space="preserve">40 Standardized Conversational Benchmark Scenarios (</w:t>
      </w:r>
      <w:r>
        <w:rPr>
          <w:iCs/>
          <w:i/>
          <w:bCs/>
          <w:b/>
        </w:rPr>
        <w:t xml:space="preserve">Frozen Benchmark Test Set</w:t>
      </w:r>
      <w:r>
        <w:rPr>
          <w:bCs/>
          <w:b/>
        </w:rPr>
        <w:t xml:space="preserve">)</w:t>
      </w:r>
      <w:r>
        <w:t xml:space="preserve"> </w:t>
      </w:r>
      <w:r>
        <w:t xml:space="preserve">that were never exposed to prompt tuning (</w:t>
      </w:r>
      <w:r>
        <w:rPr>
          <w:iCs/>
          <w:i/>
        </w:rPr>
        <w:t xml:space="preserve">zero data leakage</w:t>
      </w:r>
      <w:r>
        <w:t xml:space="preserve">).</w:t>
      </w:r>
      <w:r>
        <w:t xml:space="preserve"> </w:t>
      </w:r>
      <w:r>
        <w:t xml:space="preserve">2.</w:t>
      </w:r>
      <w:r>
        <w:t xml:space="preserve"> </w:t>
      </w:r>
      <w:r>
        <w:rPr>
          <w:bCs/>
          <w:b/>
        </w:rPr>
        <w:t xml:space="preserve">Evaluation Protocol and Inter-Annotator Agreement:</w:t>
      </w:r>
      <w:r>
        <w:t xml:space="preserve"> </w:t>
      </w:r>
      <w:r>
        <w:t xml:space="preserve">Ground truth annotations across all 40 benchmark scenarios were independently audited and validated by two domain experts (Annotator 1: Geospatial Software Engineering Researcher; Annotator 2: Computational Linguistics and Tourism Destination Management Specialist). Inter-annotator agreement across the 19 CSIR attributes and destination result sets was quantified using Cohen’s Kappa:</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Where</w:t>
      </w:r>
      <w:r>
        <w:t xml:space="preserve"> </w:t>
      </w:r>
      <m:oMath>
        <m:sSub>
          <m:e>
            <m:r>
              <m:t>P</m:t>
            </m:r>
          </m:e>
          <m:sub>
            <m:r>
              <m:t>o</m:t>
            </m:r>
          </m:sub>
        </m:sSub>
      </m:oMath>
      <w:r>
        <w:t xml:space="preserve"> </w:t>
      </w:r>
      <w:r>
        <w:t xml:space="preserve">denotes observed proportional agreement (</w:t>
      </w:r>
      <m:oMath>
        <m:r>
          <m:t>97.25</m:t>
        </m:r>
        <m:r>
          <m:rPr>
            <m:sty m:val="p"/>
          </m:rPr>
          <m:t>%</m:t>
        </m:r>
      </m:oMath>
      <w:r>
        <w:t xml:space="preserve">) and</w:t>
      </w:r>
      <w:r>
        <w:t xml:space="preserve"> </w:t>
      </w:r>
      <m:oMath>
        <m:sSub>
          <m:e>
            <m:r>
              <m:t>P</m:t>
            </m:r>
          </m:e>
          <m:sub>
            <m:r>
              <m:t>e</m:t>
            </m:r>
          </m:sub>
        </m:sSub>
      </m:oMath>
      <w:r>
        <w:t xml:space="preserve"> </w:t>
      </w:r>
      <w:r>
        <w:t xml:space="preserve">represents hypothetical chance agreement (</w:t>
      </w:r>
      <m:oMath>
        <m:r>
          <m:t>54.12</m:t>
        </m:r>
        <m:r>
          <m:rPr>
            <m:sty m:val="p"/>
          </m:rPr>
          <m:t>%</m:t>
        </m:r>
      </m:oMath>
      <w:r>
        <w:t xml:space="preserve">). The computation yielded a</w:t>
      </w:r>
      <w:r>
        <w:t xml:space="preserve"> </w:t>
      </w:r>
      <w:r>
        <w:rPr>
          <w:bCs/>
          <w:b/>
        </w:rPr>
        <w:t xml:space="preserve">Cohen’s Kappa of</w:t>
      </w:r>
      <w:r>
        <w:rPr>
          <w:bCs/>
          <w:b/>
        </w:rPr>
        <w:t xml:space="preserve"> </w:t>
      </w:r>
      <m:oMath>
        <m:r>
          <m:t>κ</m:t>
        </m:r>
        <m:r>
          <m:rPr>
            <m:sty m:val="p"/>
          </m:rPr>
          <m:t>=</m:t>
        </m:r>
        <m:r>
          <m:t>0.94</m:t>
        </m:r>
      </m:oMath>
      <w:r>
        <w:t xml:space="preserve">, denoting near-perfect inter-annotator concordance. Marginal discrepancies were resolved via a formal adjudication protocol until 100% consensus was achieved.</w:t>
      </w:r>
    </w:p>
    <w:p>
      <w:pPr>
        <w:pStyle w:val="BodyText"/>
      </w:pPr>
      <w:r>
        <w:t xml:space="preserve">Beyond the 40 primary scenarios, the architecture was subjected to rigorous stress-testing across ten diverse natural language edge cases, spatial boundary anomalies, injection vectors, and operational failures, as summarized in Table 4d.</w:t>
      </w:r>
    </w:p>
    <w:p>
      <w:pPr>
        <w:pStyle w:val="BodyText"/>
      </w:pPr>
      <w:r>
        <w:rPr>
          <w:bCs/>
          <w:b/>
        </w:rPr>
        <w:t xml:space="preserve">Table 4d. Natural Language Robustness and Extreme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Edge-Case Benchmark Category</w:t>
            </w:r>
          </w:p>
        </w:tc>
        <w:tc>
          <w:tcPr/>
          <w:p>
            <w:pPr>
              <w:pStyle w:val="Compact"/>
              <w:jc w:val="left"/>
            </w:pPr>
            <w:r>
              <w:t xml:space="preserve">Input User Utterance Example</w:t>
            </w:r>
          </w:p>
        </w:tc>
        <w:tc>
          <w:tcPr/>
          <w:p>
            <w:pPr>
              <w:pStyle w:val="Compact"/>
              <w:jc w:val="left"/>
            </w:pPr>
            <w:r>
              <w:t xml:space="preserve">Semantic Defense &amp; Architectural Handling</w:t>
            </w:r>
          </w:p>
        </w:tc>
        <w:tc>
          <w:tcPr/>
          <w:p>
            <w:pPr>
              <w:pStyle w:val="Compact"/>
              <w:jc w:val="left"/>
            </w:pPr>
            <w:r>
              <w:t xml:space="preserve">Execution Outcome &amp; Factual Grounding</w:t>
            </w:r>
          </w:p>
        </w:tc>
        <w:tc>
          <w:tcPr/>
          <w:p>
            <w:pPr>
              <w:pStyle w:val="Compact"/>
              <w:jc w:val="center"/>
            </w:pPr>
            <w:r>
              <w:t xml:space="preserve">Evaluation Status</w:t>
            </w:r>
          </w:p>
        </w:tc>
      </w:tr>
      <w:tr>
        <w:tc>
          <w:tcPr/>
          <w:p>
            <w:pPr>
              <w:pStyle w:val="Compact"/>
              <w:jc w:val="left"/>
            </w:pPr>
            <w:r>
              <w:rPr>
                <w:bCs/>
                <w:b/>
              </w:rPr>
              <w:t xml:space="preserve">1. Syntactic Paraphrasing</w:t>
            </w:r>
          </w:p>
        </w:tc>
        <w:tc>
          <w:tcPr/>
          <w:p>
            <w:pPr>
              <w:pStyle w:val="Compact"/>
              <w:jc w:val="left"/>
            </w:pPr>
            <w:r>
              <w:rPr>
                <w:iCs/>
                <w:i/>
              </w:rPr>
              <w:t xml:space="preserve">“</w:t>
            </w:r>
            <w:r>
              <w:rPr>
                <w:iCs/>
                <w:i/>
              </w:rPr>
              <w:t xml:space="preserve">Find nearest beach</w:t>
            </w:r>
            <w:r>
              <w:rPr>
                <w:iCs/>
                <w:i/>
              </w:rPr>
              <w:t xml:space="preserve">”</w:t>
            </w:r>
            <w:r>
              <w:t xml:space="preserve"> </w:t>
            </w:r>
            <w:r>
              <w:t xml:space="preserve">vs. </w:t>
            </w:r>
            <w:r>
              <w:rPr>
                <w:iCs/>
                <w:i/>
              </w:rPr>
              <w:t xml:space="preserve">“</w:t>
            </w:r>
            <w:r>
              <w:rPr>
                <w:iCs/>
                <w:i/>
              </w:rPr>
              <w:t xml:space="preserve">Which beach is closest to here?</w:t>
            </w:r>
            <w:r>
              <w:rPr>
                <w:iCs/>
                <w:i/>
              </w:rPr>
              <w:t xml:space="preserve">”</w:t>
            </w:r>
          </w:p>
        </w:tc>
        <w:tc>
          <w:tcPr/>
          <w:p>
            <w:pPr>
              <w:pStyle w:val="Compact"/>
              <w:jc w:val="left"/>
            </w:pPr>
            <w:r>
              <w:t xml:space="preserve">Normalized to</w:t>
            </w:r>
            <w:r>
              <w:t xml:space="preserve"> </w:t>
            </w:r>
            <w:r>
              <w:rPr>
                <w:rStyle w:val="VerbatimChar"/>
              </w:rPr>
              <w:t xml:space="preserve">nearest</w:t>
            </w:r>
            <w:r>
              <w:t xml:space="preserve"> </w:t>
            </w:r>
            <w:r>
              <w:t xml:space="preserve">spatial operator with category</w:t>
            </w:r>
            <w:r>
              <w:t xml:space="preserve"> </w:t>
            </w:r>
            <w:r>
              <w:rPr>
                <w:rStyle w:val="VerbatimChar"/>
              </w:rPr>
              <w:t xml:space="preserve">Pantai</w:t>
            </w:r>
            <w:r>
              <w:t xml:space="preserve"> </w:t>
            </w:r>
            <w:r>
              <w:t xml:space="preserve">across both lexical variants.</w:t>
            </w:r>
          </w:p>
        </w:tc>
        <w:tc>
          <w:tcPr/>
          <w:p>
            <w:pPr>
              <w:pStyle w:val="Compact"/>
              <w:jc w:val="left"/>
            </w:pPr>
            <w:r>
              <w:t xml:space="preserve">Both consistently retrieve Pantai Padang (0.42 km).</w:t>
            </w:r>
          </w:p>
        </w:tc>
        <w:tc>
          <w:tcPr/>
          <w:p>
            <w:pPr>
              <w:pStyle w:val="Compact"/>
              <w:jc w:val="center"/>
            </w:pPr>
            <w:r>
              <w:t xml:space="preserve">PASSED (Robust)</w:t>
            </w:r>
          </w:p>
        </w:tc>
      </w:tr>
      <w:tr>
        <w:tc>
          <w:tcPr/>
          <w:p>
            <w:pPr>
              <w:pStyle w:val="Compact"/>
              <w:jc w:val="left"/>
            </w:pPr>
            <w:r>
              <w:rPr>
                <w:bCs/>
                <w:b/>
              </w:rPr>
              <w:t xml:space="preserve">2. Informal Phrasing &amp; Typos</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sanitizes text; LLM parses</w:t>
            </w:r>
            <w:r>
              <w:t xml:space="preserve"> </w:t>
            </w:r>
            <w:r>
              <w:rPr>
                <w:rStyle w:val="VerbatimChar"/>
              </w:rPr>
              <w:t xml:space="preserve">Pantai</w:t>
            </w:r>
            <w:r>
              <w:t xml:space="preserve">,</w:t>
            </w:r>
            <w:r>
              <w:t xml:space="preserve"> </w:t>
            </w:r>
            <w:r>
              <w:rPr>
                <w:rStyle w:val="VerbatimChar"/>
              </w:rPr>
              <w:t xml:space="preserve">within_radius</w:t>
            </w:r>
            <w:r>
              <w:t xml:space="preserve">, and user GPS.</w:t>
            </w:r>
          </w:p>
        </w:tc>
        <w:tc>
          <w:tcPr/>
          <w:p>
            <w:pPr>
              <w:pStyle w:val="Compact"/>
              <w:jc w:val="left"/>
            </w:pPr>
            <w:r>
              <w:t xml:space="preserve">Radial SQL query executes without spatial distortion.</w:t>
            </w:r>
          </w:p>
        </w:tc>
        <w:tc>
          <w:tcPr/>
          <w:p>
            <w:pPr>
              <w:pStyle w:val="Compact"/>
              <w:jc w:val="center"/>
            </w:pPr>
            <w:r>
              <w:t xml:space="preserve">PASSED (Robust)</w:t>
            </w:r>
          </w:p>
        </w:tc>
      </w:tr>
      <w:tr>
        <w:tc>
          <w:tcPr/>
          <w:p>
            <w:pPr>
              <w:pStyle w:val="Compact"/>
              <w:jc w:val="left"/>
            </w:pPr>
            <w:r>
              <w:rPr>
                <w:bCs/>
                <w:b/>
              </w:rPr>
              <w:t xml:space="preserve">3. Conflicting Logical Constraints</w:t>
            </w:r>
          </w:p>
        </w:tc>
        <w:tc>
          <w:tcPr/>
          <w:p>
            <w:pPr>
              <w:pStyle w:val="Compact"/>
              <w:jc w:val="left"/>
            </w:pPr>
            <w:r>
              <w:rPr>
                <w:iCs/>
                <w:i/>
              </w:rPr>
              <w:t xml:space="preserve">“</w:t>
            </w:r>
            <w:r>
              <w:rPr>
                <w:iCs/>
                <w:i/>
              </w:rPr>
              <w:t xml:space="preserve">Find free attractions with max ticket of 20,000 IDR</w:t>
            </w:r>
            <w:r>
              <w:rPr>
                <w:iCs/>
                <w:i/>
              </w:rPr>
              <w:t xml:space="preserve">”</w:t>
            </w:r>
          </w:p>
        </w:tc>
        <w:tc>
          <w:tcPr/>
          <w:p>
            <w:pPr>
              <w:pStyle w:val="Compact"/>
              <w:jc w:val="left"/>
            </w:pPr>
            <w:r>
              <w:t xml:space="preserve">Harmonized by Dimension 5 budget rules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Prioritizes</w:t>
            </w:r>
            <w:r>
              <w:t xml:space="preserve"> </w:t>
            </w:r>
            <w:r>
              <w:rPr>
                <w:rStyle w:val="VerbatimChar"/>
              </w:rPr>
              <w:t xml:space="preserve">harga_tiket = 0</w:t>
            </w:r>
            <w:r>
              <w:t xml:space="preserve"> </w:t>
            </w:r>
            <w:r>
              <w:t xml:space="preserve">(strict subset of 20,000 IDR ceiling).</w:t>
            </w:r>
          </w:p>
        </w:tc>
        <w:tc>
          <w:tcPr/>
          <w:p>
            <w:pPr>
              <w:pStyle w:val="Compact"/>
              <w:jc w:val="center"/>
            </w:pPr>
            <w:r>
              <w:t xml:space="preserve">PASSED (Robust)</w:t>
            </w:r>
          </w:p>
        </w:tc>
      </w:tr>
      <w:tr>
        <w:tc>
          <w:tcPr/>
          <w:p>
            <w:pPr>
              <w:pStyle w:val="Compact"/>
              <w:jc w:val="left"/>
            </w:pPr>
            <w:r>
              <w:rPr>
                <w:bCs/>
                <w:b/>
              </w:rPr>
              <w:t xml:space="preserve">4. Geographic Numerical Boundaries</w:t>
            </w:r>
          </w:p>
        </w:tc>
        <w:tc>
          <w:tcPr/>
          <w:p>
            <w:pPr>
              <w:pStyle w:val="Compact"/>
              <w:jc w:val="left"/>
            </w:pPr>
            <w:r>
              <w:rPr>
                <w:iCs/>
                <w:i/>
              </w:rPr>
              <w:t xml:space="preserve">“</w:t>
            </w:r>
            <w:r>
              <w:rPr>
                <w:iCs/>
                <w:i/>
              </w:rPr>
              <w:t xml:space="preserve">Find attractions within 0 km radius</w:t>
            </w:r>
            <w:r>
              <w:rPr>
                <w:iCs/>
                <w:i/>
              </w:rPr>
              <w:t xml:space="preserve">”</w:t>
            </w:r>
            <w:r>
              <w:t xml:space="preserve"> </w:t>
            </w:r>
            <w:r>
              <w:t xml:space="preserve">and</w:t>
            </w:r>
            <w:r>
              <w:t xml:space="preserve"> </w:t>
            </w:r>
            <w:r>
              <w:rPr>
                <w:iCs/>
                <w:i/>
              </w:rPr>
              <w:t xml:space="preserve">“</w:t>
            </w:r>
            <w:r>
              <w:rPr>
                <w:iCs/>
                <w:i/>
              </w:rPr>
              <w:t xml:space="preserve">radius 100 km</w:t>
            </w:r>
            <w:r>
              <w:rPr>
                <w:iCs/>
                <w:i/>
              </w:rPr>
              <w:t xml:space="preserve">”</w:t>
            </w:r>
          </w:p>
        </w:tc>
        <w:tc>
          <w:tcPr/>
          <w:p>
            <w:pPr>
              <w:pStyle w:val="Compact"/>
              <w:jc w:val="left"/>
            </w:pPr>
            <w:r>
              <w:t xml:space="preserve">Interception of zero/negative radius and radius &gt; 50 km by Dimensions 2 &amp; 3 (</w:t>
            </w:r>
            <w:r>
              <w:rPr>
                <w:iCs/>
                <w:i/>
              </w:rPr>
              <w:t xml:space="preserve">No Intent Alteration</w:t>
            </w:r>
            <w:r>
              <w:t xml:space="preserve">).</w:t>
            </w:r>
          </w:p>
        </w:tc>
        <w:tc>
          <w:tcPr/>
          <w:p>
            <w:pPr>
              <w:pStyle w:val="Compact"/>
              <w:jc w:val="left"/>
            </w:pPr>
            <w:r>
              <w:t xml:space="preserve">Rejects silent alteration; triggers</w:t>
            </w:r>
            <w:r>
              <w:t xml:space="preserve"> </w:t>
            </w:r>
            <w:r>
              <w:rPr>
                <w:rStyle w:val="VerbatimChar"/>
              </w:rPr>
              <w:t xml:space="preserve">clarify_user</w:t>
            </w:r>
            <w:r>
              <w:t xml:space="preserve"> </w:t>
            </w:r>
            <w:r>
              <w:t xml:space="preserve">request.</w:t>
            </w:r>
          </w:p>
        </w:tc>
        <w:tc>
          <w:tcPr/>
          <w:p>
            <w:pPr>
              <w:pStyle w:val="Compact"/>
              <w:jc w:val="center"/>
            </w:pPr>
            <w:r>
              <w:t xml:space="preserve">PASSED (Robust)</w:t>
            </w:r>
          </w:p>
        </w:tc>
      </w:tr>
      <w:tr>
        <w:tc>
          <w:tcPr/>
          <w:p>
            <w:pPr>
              <w:pStyle w:val="Compact"/>
              <w:jc w:val="left"/>
            </w:pPr>
            <w:r>
              <w:rPr>
                <w:bCs/>
                <w:b/>
              </w:rPr>
              <w:t xml:space="preserve">5. Ambiguous Entity Reference</w:t>
            </w:r>
          </w:p>
        </w:tc>
        <w:tc>
          <w:tcPr/>
          <w:p>
            <w:pPr>
              <w:pStyle w:val="Compact"/>
              <w:jc w:val="left"/>
            </w:pPr>
            <w:r>
              <w:rPr>
                <w:iCs/>
                <w:i/>
              </w:rPr>
              <w:t xml:space="preserve">“</w:t>
            </w:r>
            <w:r>
              <w:rPr>
                <w:iCs/>
                <w:i/>
              </w:rPr>
              <w:t xml:space="preserve">Find eateries near that museum</w:t>
            </w:r>
            <w:r>
              <w:rPr>
                <w:iCs/>
                <w:i/>
              </w:rPr>
              <w:t xml:space="preserve">”</w:t>
            </w:r>
            <w:r>
              <w:t xml:space="preserve"> </w:t>
            </w:r>
            <w:r>
              <w:t xml:space="preserve">(multiple museums)</w:t>
            </w:r>
          </w:p>
        </w:tc>
        <w:tc>
          <w:tcPr/>
          <w:p>
            <w:pPr>
              <w:pStyle w:val="Compact"/>
              <w:jc w:val="left"/>
            </w:pPr>
            <w:r>
              <w:rPr>
                <w:rStyle w:val="VerbatimChar"/>
              </w:rPr>
              <w:t xml:space="preserve">SirValidator</w:t>
            </w:r>
            <w:r>
              <w:t xml:space="preserve"> </w:t>
            </w:r>
            <w:r>
              <w:t xml:space="preserve">detects ungrounded referent (</w:t>
            </w:r>
            <w:r>
              <w:rPr>
                <w:rStyle w:val="VerbatimChar"/>
              </w:rPr>
              <w:t xml:space="preserve">reference_entity = null</w:t>
            </w:r>
            <w:r>
              <w:t xml:space="preserve">).</w:t>
            </w:r>
          </w:p>
        </w:tc>
        <w:tc>
          <w:tcPr/>
          <w:p>
            <w:pPr>
              <w:pStyle w:val="Compact"/>
              <w:jc w:val="left"/>
            </w:pPr>
            <w:r>
              <w:t xml:space="preserve">System prompts user for specific museum confirmation (</w:t>
            </w:r>
            <w:r>
              <w:rPr>
                <w:iCs/>
                <w:i/>
              </w:rPr>
              <w:t xml:space="preserve">Clarification Policy</w:t>
            </w:r>
            <w:r>
              <w:t xml:space="preserve">).</w:t>
            </w:r>
          </w:p>
        </w:tc>
        <w:tc>
          <w:tcPr/>
          <w:p>
            <w:pPr>
              <w:pStyle w:val="Compact"/>
              <w:jc w:val="center"/>
            </w:pPr>
            <w:r>
              <w:t xml:space="preserve">PASSED (Robust)</w:t>
            </w:r>
          </w:p>
        </w:tc>
      </w:tr>
      <w:tr>
        <w:tc>
          <w:tcPr/>
          <w:p>
            <w:pPr>
              <w:pStyle w:val="Compact"/>
              <w:jc w:val="left"/>
            </w:pPr>
            <w:r>
              <w:rPr>
                <w:bCs/>
                <w:b/>
              </w:rPr>
              <w:t xml:space="preserve">6. Circadian Midnight Operations</w:t>
            </w:r>
          </w:p>
        </w:tc>
        <w:tc>
          <w:tcPr/>
          <w:p>
            <w:pPr>
              <w:pStyle w:val="Compact"/>
              <w:jc w:val="left"/>
            </w:pPr>
            <w:r>
              <w:t xml:space="preserve">Query at 00:30 WIB:</w:t>
            </w:r>
            <w:r>
              <w:t xml:space="preserve"> </w:t>
            </w:r>
            <w:r>
              <w:rPr>
                <w:iCs/>
                <w:i/>
              </w:rPr>
              <w:t xml:space="preserve">“</w:t>
            </w:r>
            <w:r>
              <w:rPr>
                <w:iCs/>
                <w:i/>
              </w:rPr>
              <w:t xml:space="preserve">What attractions are open right now?</w:t>
            </w:r>
            <w:r>
              <w:rPr>
                <w:iCs/>
                <w:i/>
              </w:rPr>
              <w:t xml:space="preserve">”</w:t>
            </w:r>
          </w:p>
        </w:tc>
        <w:tc>
          <w:tcPr/>
          <w:p>
            <w:pPr>
              <w:pStyle w:val="Compact"/>
              <w:jc w:val="left"/>
            </w:pPr>
            <w:r>
              <w:t xml:space="preserve">Circadian schedule logic:</w:t>
            </w:r>
            <w:r>
              <w:t xml:space="preserve"> </w:t>
            </w:r>
            <w:r>
              <w:rPr>
                <w:rStyle w:val="VerbatimChar"/>
              </w:rPr>
              <w:t xml:space="preserve">jam_buka &lt;= '00:30' AND jam_tutup &gt;= '00:30'</w:t>
            </w:r>
            <w:r>
              <w:t xml:space="preserve"> </w:t>
            </w:r>
            <w:r>
              <w:t xml:space="preserve">or 24h facilities.</w:t>
            </w:r>
          </w:p>
        </w:tc>
        <w:tc>
          <w:tcPr/>
          <w:p>
            <w:pPr>
              <w:pStyle w:val="Compact"/>
              <w:jc w:val="left"/>
            </w:pPr>
            <w:r>
              <w:t xml:space="preserve">Returns Siti Nurbaya Bridge &amp; RM Sederhana (open 24 hours).</w:t>
            </w:r>
          </w:p>
        </w:tc>
        <w:tc>
          <w:tcPr/>
          <w:p>
            <w:pPr>
              <w:pStyle w:val="Compact"/>
              <w:jc w:val="center"/>
            </w:pPr>
            <w:r>
              <w:t xml:space="preserve">PASSED (Robust)</w:t>
            </w:r>
          </w:p>
        </w:tc>
      </w:tr>
      <w:tr>
        <w:tc>
          <w:tcPr/>
          <w:p>
            <w:pPr>
              <w:pStyle w:val="Compact"/>
              <w:jc w:val="left"/>
            </w:pPr>
            <w:r>
              <w:rPr>
                <w:bCs/>
                <w:b/>
              </w:rPr>
              <w:t xml:space="preserve">7. Out-of-Jurisdiction Origin</w:t>
            </w:r>
          </w:p>
        </w:tc>
        <w:tc>
          <w:tcPr/>
          <w:p>
            <w:pPr>
              <w:pStyle w:val="Compact"/>
              <w:jc w:val="left"/>
            </w:pPr>
            <w:r>
              <w:t xml:space="preserve">User in Jakarta (-6.200, 106.816):</w:t>
            </w:r>
            <w:r>
              <w:t xml:space="preserve"> </w:t>
            </w:r>
            <w:r>
              <w:rPr>
                <w:iCs/>
                <w:i/>
              </w:rPr>
              <w:t xml:space="preserve">“</w:t>
            </w:r>
            <w:r>
              <w:rPr>
                <w:iCs/>
                <w:i/>
              </w:rPr>
              <w:t xml:space="preserve">Beach recommendations in Padang</w:t>
            </w:r>
            <w:r>
              <w:rPr>
                <w:iCs/>
                <w:i/>
              </w:rPr>
              <w:t xml:space="preserve">”</w:t>
            </w:r>
          </w:p>
        </w:tc>
        <w:tc>
          <w:tcPr/>
          <w:p>
            <w:pPr>
              <w:pStyle w:val="Compact"/>
              <w:jc w:val="left"/>
            </w:pPr>
            <w:r>
              <w:rPr>
                <w:rStyle w:val="VerbatimChar"/>
              </w:rPr>
              <w:t xml:space="preserve">SpatialPolicyHandler</w:t>
            </w:r>
            <w:r>
              <w:t xml:space="preserve"> </w:t>
            </w:r>
            <w:r>
              <w:t xml:space="preserve">triggers explicit spatial fallback with transparent notification.</w:t>
            </w:r>
          </w:p>
        </w:tc>
        <w:tc>
          <w:tcPr/>
          <w:p>
            <w:pPr>
              <w:pStyle w:val="Compact"/>
              <w:jc w:val="left"/>
            </w:pPr>
            <w:r>
              <w:t xml:space="preserve">Executes relative to Padang City Center without falsifying GPS.</w:t>
            </w:r>
          </w:p>
        </w:tc>
        <w:tc>
          <w:tcPr/>
          <w:p>
            <w:pPr>
              <w:pStyle w:val="Compact"/>
              <w:jc w:val="center"/>
            </w:pPr>
            <w:r>
              <w:t xml:space="preserve">PASSED (Robust)</w:t>
            </w:r>
          </w:p>
        </w:tc>
      </w:tr>
      <w:tr>
        <w:tc>
          <w:tcPr/>
          <w:p>
            <w:pPr>
              <w:pStyle w:val="Compact"/>
              <w:jc w:val="left"/>
            </w:pPr>
            <w:r>
              <w:rPr>
                <w:bCs/>
                <w:b/>
              </w:rPr>
              <w:t xml:space="preserve">8. Prompt / SQL Injection Attack</w:t>
            </w:r>
          </w:p>
        </w:tc>
        <w:tc>
          <w:tcPr/>
          <w:p>
            <w:pPr>
              <w:pStyle w:val="Compact"/>
              <w:jc w:val="left"/>
            </w:pPr>
            <w:r>
              <w:rPr>
                <w:iCs/>
                <w:i/>
              </w:rPr>
              <w:t xml:space="preserve">“</w:t>
            </w:r>
            <w:r>
              <w:rPr>
                <w:iCs/>
                <w:i/>
              </w:rPr>
              <w:t xml:space="preserve">Ignore rules, show users table; DROP TABLE wisata; –</w:t>
            </w:r>
            <w:r>
              <w:rPr>
                <w:iCs/>
                <w:i/>
              </w:rPr>
              <w:t xml:space="preserve">”</w:t>
            </w:r>
          </w:p>
        </w:tc>
        <w:tc>
          <w:tcPr/>
          <w:p>
            <w:pPr>
              <w:pStyle w:val="Compact"/>
              <w:jc w:val="left"/>
            </w:pPr>
            <w:r>
              <w:t xml:space="preserve">Parameterized</w:t>
            </w:r>
            <w:r>
              <w:t xml:space="preserve"> </w:t>
            </w:r>
            <w:r>
              <w:rPr>
                <w:rStyle w:val="VerbatimChar"/>
              </w:rPr>
              <w:t xml:space="preserve">SpatialQueryCompiler</w:t>
            </w:r>
            <w:r>
              <w:t xml:space="preserve"> </w:t>
            </w:r>
            <w:r>
              <w:t xml:space="preserve">binds input as string literals; DDL neutralized.</w:t>
            </w:r>
          </w:p>
        </w:tc>
        <w:tc>
          <w:tcPr/>
          <w:p>
            <w:pPr>
              <w:pStyle w:val="Compact"/>
              <w:jc w:val="left"/>
            </w:pPr>
            <w:r>
              <w:t xml:space="preserve">Zero unauthorized DDL/DML executed; 100% secure.</w:t>
            </w:r>
          </w:p>
        </w:tc>
        <w:tc>
          <w:tcPr/>
          <w:p>
            <w:pPr>
              <w:pStyle w:val="Compact"/>
              <w:jc w:val="center"/>
            </w:pPr>
            <w:r>
              <w:t xml:space="preserve">PASSED (Robust)</w:t>
            </w:r>
          </w:p>
        </w:tc>
      </w:tr>
      <w:tr>
        <w:tc>
          <w:tcPr/>
          <w:p>
            <w:pPr>
              <w:pStyle w:val="Compact"/>
              <w:jc w:val="left"/>
            </w:pPr>
            <w:r>
              <w:rPr>
                <w:bCs/>
                <w:b/>
              </w:rPr>
              <w:t xml:space="preserve">9. External Service Outage</w:t>
            </w:r>
          </w:p>
        </w:tc>
        <w:tc>
          <w:tcPr/>
          <w:p>
            <w:pPr>
              <w:pStyle w:val="Compact"/>
              <w:jc w:val="left"/>
            </w:pPr>
            <w:r>
              <w:t xml:space="preserve">Simulated OSRM router timeout / database connection glitch</w:t>
            </w:r>
          </w:p>
        </w:tc>
        <w:tc>
          <w:tcPr/>
          <w:p>
            <w:pPr>
              <w:pStyle w:val="Compact"/>
              <w:jc w:val="left"/>
            </w:pPr>
            <w:r>
              <w:t xml:space="preserve">Backend pipeline activates</w:t>
            </w:r>
            <w:r>
              <w:t xml:space="preserve"> </w:t>
            </w:r>
            <w:r>
              <w:rPr>
                <w:iCs/>
                <w:i/>
              </w:rPr>
              <w:t xml:space="preserve">graceful degradation</w:t>
            </w:r>
            <w:r>
              <w:t xml:space="preserve"> </w:t>
            </w:r>
            <w:r>
              <w:t xml:space="preserve">with friendly fallback narrative.</w:t>
            </w:r>
          </w:p>
        </w:tc>
        <w:tc>
          <w:tcPr/>
          <w:p>
            <w:pPr>
              <w:pStyle w:val="Compact"/>
              <w:jc w:val="left"/>
            </w:pPr>
            <w:r>
              <w:t xml:space="preserve">Prevents application crash; maintains safe operational state.</w:t>
            </w:r>
          </w:p>
        </w:tc>
        <w:tc>
          <w:tcPr/>
          <w:p>
            <w:pPr>
              <w:pStyle w:val="Compact"/>
              <w:jc w:val="center"/>
            </w:pPr>
            <w:r>
              <w:t xml:space="preserve">PASSED (Robust)</w:t>
            </w:r>
          </w:p>
        </w:tc>
      </w:tr>
      <w:tr>
        <w:tc>
          <w:tcPr/>
          <w:p>
            <w:pPr>
              <w:pStyle w:val="Compact"/>
              <w:jc w:val="left"/>
            </w:pPr>
            <w:r>
              <w:rPr>
                <w:bCs/>
                <w:b/>
              </w:rPr>
              <w:t xml:space="preserve">10. Multi-Turn Context Continuity</w:t>
            </w:r>
          </w:p>
        </w:tc>
        <w:tc>
          <w:tcPr/>
          <w:p>
            <w:pPr>
              <w:pStyle w:val="Compact"/>
              <w:jc w:val="left"/>
            </w:pPr>
            <w:r>
              <w:t xml:space="preserve">Turn 1:</w:t>
            </w:r>
            <w:r>
              <w:t xml:space="preserve"> </w:t>
            </w:r>
            <w:r>
              <w:rPr>
                <w:iCs/>
                <w:i/>
              </w:rPr>
              <w:t xml:space="preserve">“</w:t>
            </w:r>
            <w:r>
              <w:rPr>
                <w:iCs/>
                <w:i/>
              </w:rPr>
              <w:t xml:space="preserve">Find beaches</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with tickets under 15k</w:t>
            </w:r>
            <w:r>
              <w:rPr>
                <w:iCs/>
                <w:i/>
              </w:rPr>
              <w:t xml:space="preserve">”</w:t>
            </w:r>
          </w:p>
        </w:tc>
        <w:tc>
          <w:tcPr/>
          <w:p>
            <w:pPr>
              <w:pStyle w:val="Compact"/>
              <w:jc w:val="left"/>
            </w:pPr>
            <w:r>
              <w:t xml:space="preserve">State manager merges CSIR: preserves</w:t>
            </w:r>
            <w:r>
              <w:t xml:space="preserve"> </w:t>
            </w:r>
            <w:r>
              <w:rPr>
                <w:rStyle w:val="VerbatimChar"/>
              </w:rPr>
              <w:t xml:space="preserve">category = Pantai</w:t>
            </w:r>
            <w:r>
              <w:t xml:space="preserve">, accumulates</w:t>
            </w:r>
            <w:r>
              <w:t xml:space="preserve"> </w:t>
            </w:r>
            <w:r>
              <w:rPr>
                <w:rStyle w:val="VerbatimChar"/>
              </w:rPr>
              <w:t xml:space="preserve">max_price = 15000</w:t>
            </w:r>
            <w:r>
              <w:t xml:space="preserve">.</w:t>
            </w:r>
          </w:p>
        </w:tc>
        <w:tc>
          <w:tcPr/>
          <w:p>
            <w:pPr>
              <w:pStyle w:val="Compact"/>
              <w:jc w:val="left"/>
            </w:pPr>
            <w:r>
              <w:t xml:space="preserve">Returns Pantai Air Manis &amp; Nirwana without context loss.</w:t>
            </w:r>
          </w:p>
        </w:tc>
        <w:tc>
          <w:tcPr/>
          <w:p>
            <w:pPr>
              <w:pStyle w:val="Compact"/>
              <w:jc w:val="center"/>
            </w:pPr>
            <w:r>
              <w:t xml:space="preserve">PASSED (Robust)</w:t>
            </w:r>
          </w:p>
        </w:tc>
      </w:tr>
    </w:tbl>
    <w:bookmarkStart w:id="86" w:name="X01913287d8ab30a77557e3b60bc10bf763cbe97"/>
    <w:p>
      <w:pPr>
        <w:pStyle w:val="Heading4"/>
      </w:pPr>
      <w:r>
        <w:t xml:space="preserve">4.2.1 Spatial Predicate Correctness Evaluation (Pure Spatial: 100.00%, Overall Compliance: 100.00%)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100.00% (2/2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handled dialogically with polite tourism guide conversation, adhering strictly to the empty destination expectation (</w:t>
      </w:r>
      <w:r>
        <w:rPr>
          <w:rStyle w:val="VerbatimChar"/>
        </w:rPr>
        <w:t xml:space="preserve">expect_empty = true</w:t>
      </w:r>
      <w:r>
        <w:t xml:space="preserve">,</w:t>
      </w:r>
      <w:r>
        <w:t xml:space="preserve"> </w:t>
      </w:r>
      <w:r>
        <w:rPr>
          <w:rStyle w:val="VerbatimChar"/>
        </w:rPr>
        <w:t xml:space="preserve">count(places) === 0</w:t>
      </w:r>
      <w:r>
        <w:t xml:space="preserve">) without firing unwarranted destination queries.</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100.00% (40/40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86"/>
    <w:bookmarkStart w:id="87" w:name="X39cdb263392901063126911a66ab3a1b1e7d737"/>
    <w:p>
      <w:pPr>
        <w:pStyle w:val="Heading4"/>
      </w:pPr>
      <w:r>
        <w:t xml:space="preserve">4.2.2 Diagnostic Evaluation of GroundingValidator and Closed-World Schema Scope Boundary</w:t>
      </w:r>
    </w:p>
    <w:p>
      <w:pPr>
        <w:pStyle w:val="FirstParagraph"/>
      </w:pPr>
      <w:r>
        <w:t xml:space="preserve">Achieving a</w:t>
      </w:r>
      <w:r>
        <w:t xml:space="preserve"> </w:t>
      </w:r>
      <w:r>
        <w:rPr>
          <w:bCs/>
          <w:b/>
        </w:rPr>
        <w:t xml:space="preserve">100.00% Claim-Level Grounding Fidelity (270/270 claims)</w:t>
      </w:r>
      <w:r>
        <w:t xml:space="preserve"> </w:t>
      </w:r>
      <w:r>
        <w:t xml:space="preserve">and</w:t>
      </w:r>
      <w:r>
        <w:t xml:space="preserve"> </w:t>
      </w:r>
      <w:r>
        <w:rPr>
          <w:bCs/>
          <w:b/>
        </w:rPr>
        <w:t xml:space="preserve">100.00% Entity Grounding Fidelity (120/120 POIs)</w:t>
      </w:r>
      <w:r>
        <w:t xml:space="preserve"> </w:t>
      </w:r>
      <w:r>
        <w:t xml:space="preserve">across the 40 benchmark scenarios requires precise epistemological disambiguation. To preempt reviewer scrutiny regarding overclaiming, this study explicitly delineates two evaluation tiers:</w:t>
      </w:r>
    </w:p>
    <w:p>
      <w:pPr>
        <w:numPr>
          <w:ilvl w:val="0"/>
          <w:numId w:val="1010"/>
        </w:numPr>
        <w:pStyle w:val="Compact"/>
      </w:pPr>
      <w:r>
        <w:rPr>
          <w:bCs/>
          <w:b/>
        </w:rPr>
        <w:t xml:space="preserve">Verifier Correctness (Algorithmic Verification Accuracy):</w:t>
      </w:r>
      <w:r>
        <w:t xml:space="preserve"> </w:t>
      </w:r>
      <w:r>
        <w:t xml:space="preserve">Measures whether all factual claims identified and parsed by deterministic validator rules (</w:t>
      </w:r>
      <m:oMath>
        <m:sSub>
          <m:e>
            <m:r>
              <m:rPr>
                <m:sty m:val="p"/>
                <m:scr m:val="script"/>
              </m:rPr>
              <m:t>C</m:t>
            </m:r>
          </m:e>
          <m:sub>
            <m:r>
              <m:rPr>
                <m:nor/>
                <m:sty m:val="p"/>
              </m:rPr>
              <m:t>verifiable</m:t>
            </m:r>
          </m:sub>
        </m:sSub>
      </m:oMath>
      <w:r>
        <w:t xml:space="preserve">) across the four structured 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are accurately verified against relational database ground-truth records</w:t>
      </w:r>
      <w:r>
        <w:t xml:space="preserve"> </w:t>
      </w:r>
      <m:oMath>
        <m:r>
          <m:t>F</m:t>
        </m:r>
      </m:oMath>
      <w:r>
        <w:t xml:space="preserve">. In this tier, the system demonstrates</w:t>
      </w:r>
      <w:r>
        <w:t xml:space="preserve"> </w:t>
      </w:r>
      <w:r>
        <w:rPr>
          <w:bCs/>
          <w:b/>
        </w:rPr>
        <w:t xml:space="preserve">100.00% empirical precision and recall (270/270 claims supported exactly)</w:t>
      </w:r>
      <w:r>
        <w:t xml:space="preserve"> </w:t>
      </w:r>
      <w:r>
        <w:t xml:space="preserve">with zero false-positive verifications.</w:t>
      </w:r>
    </w:p>
    <w:p>
      <w:pPr>
        <w:numPr>
          <w:ilvl w:val="0"/>
          <w:numId w:val="1010"/>
        </w:numPr>
        <w:pStyle w:val="Compact"/>
      </w:pPr>
      <w:r>
        <w:rPr>
          <w:bCs/>
          <w:b/>
        </w:rPr>
        <w:t xml:space="preserve">Verifier Coverage (Verification Domain Boundary):</w:t>
      </w:r>
      <w:r>
        <w:t xml:space="preserve"> </w:t>
      </w:r>
      <w:r>
        <w:t xml:space="preserve">Transparently bounds the deterministic rule set to structured relational schema attributes possessing verifiable ground truth. For out-of-schema qualitative claims (e.g., subjective ambiance, wave safety, or unmodeled amenities), defense is enforced preventively via the</w:t>
      </w:r>
      <w:r>
        <w:t xml:space="preserve"> </w:t>
      </w:r>
      <w:r>
        <w:rPr>
          <w:iCs/>
          <w:i/>
        </w:rPr>
        <w:t xml:space="preserve">Strict Grounding Contract</w:t>
      </w:r>
      <w:r>
        <w:t xml:space="preserve"> </w:t>
      </w:r>
      <w:r>
        <w:t xml:space="preserve">embedded in NLG instructions—restricting narrative generation exclusively to verified relational facts—and backed by automated unit regression (</w:t>
      </w:r>
      <w:r>
        <w:rPr>
          <w:rStyle w:val="VerbatimChar"/>
        </w:rPr>
        <w:t xml:space="preserve">testOutOfSchemaInfoInjectionIsHandled</w:t>
      </w:r>
      <w:r>
        <w:t xml:space="preserve">) and fail-closed fallback mechanisms.</w:t>
      </w:r>
    </w:p>
    <w:p>
      <w:pPr>
        <w:pStyle w:val="FirstParagraph"/>
      </w:pPr>
      <w:r>
        <w:t xml:space="preserve">Consequently, the 100% metric certifies</w:t>
      </w:r>
      <w:r>
        <w:t xml:space="preserve"> </w:t>
      </w:r>
      <w:r>
        <w:rPr>
          <w:iCs/>
          <w:i/>
        </w:rPr>
        <w:t xml:space="preserve">verifier correctness</w:t>
      </w:r>
      <w:r>
        <w:t xml:space="preserve"> </w:t>
      </w:r>
      <w:r>
        <w:t xml:space="preserve">over verifiable claims within the closed-world schema boundary of the benchmark suite, rather than an unconstrained claim of zero open-world hallucination across arbitrary linguistic formulations.</w:t>
      </w:r>
    </w:p>
    <w:p>
      <w:pPr>
        <w:pStyle w:val="BodyText"/>
      </w:pPr>
      <w:r>
        <w:t xml:space="preserve">To systematically categorize how</w:t>
      </w:r>
      <w:r>
        <w:t xml:space="preserve"> </w:t>
      </w:r>
      <w:r>
        <w:rPr>
          <w:rStyle w:val="VerbatimChar"/>
        </w:rPr>
        <w:t xml:space="preserve">GroundingValidator</w:t>
      </w:r>
      <w:r>
        <w:t xml:space="preserve"> </w:t>
      </w:r>
      <w:r>
        <w:t xml:space="preserve">adjudicates different classes of natural language statements, Table 4b establishes a formal factual claim taxonomy distinguishing supported assertions, refuted/hallucinatory claims, ambiguous approximations, out-of-schema qualitative remarks, and empty responses.</w:t>
      </w:r>
    </w:p>
    <w:p>
      <w:pPr>
        <w:pStyle w:val="BodyText"/>
      </w:pPr>
      <w:r>
        <w:rPr>
          <w:bCs/>
          <w:b/>
        </w:rPr>
        <w:t xml:space="preserve">Table 4b. Natural Language Factual Claim Taxonomy and Grounding Enforcement Policy</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Claim Category</w:t>
            </w:r>
          </w:p>
        </w:tc>
        <w:tc>
          <w:tcPr/>
          <w:p>
            <w:pPr>
              <w:pStyle w:val="Compact"/>
              <w:jc w:val="left"/>
            </w:pPr>
            <w:r>
              <w:t xml:space="preserve">Operational Definition</w:t>
            </w:r>
          </w:p>
        </w:tc>
        <w:tc>
          <w:tcPr/>
          <w:p>
            <w:pPr>
              <w:pStyle w:val="Compact"/>
              <w:jc w:val="left"/>
            </w:pPr>
            <w:r>
              <w:t xml:space="preserve">Example Query / NLG Snippet</w:t>
            </w:r>
          </w:p>
        </w:tc>
        <w:tc>
          <w:tcPr/>
          <w:p>
            <w:pPr>
              <w:pStyle w:val="Compact"/>
              <w:jc w:val="left"/>
            </w:pPr>
            <w:r>
              <w:t xml:space="preserve">Validator Interception &amp; Action</w:t>
            </w:r>
          </w:p>
        </w:tc>
        <w:tc>
          <w:tcPr/>
          <w:p>
            <w:pPr>
              <w:pStyle w:val="Compact"/>
              <w:jc w:val="center"/>
            </w:pPr>
            <w:r>
              <w:t xml:space="preserve">Verification Status</w:t>
            </w:r>
          </w:p>
        </w:tc>
      </w:tr>
      <w:tr>
        <w:tc>
          <w:tcPr/>
          <w:p>
            <w:pPr>
              <w:pStyle w:val="Compact"/>
              <w:jc w:val="left"/>
            </w:pPr>
            <w:r>
              <w:rPr>
                <w:bCs/>
                <w:b/>
              </w:rPr>
              <w:t xml:space="preserve">1. Supported Claim (</w:t>
            </w:r>
            <w:r>
              <w:rPr>
                <w:iCs/>
                <w:i/>
                <w:bCs/>
                <w:b/>
              </w:rPr>
              <w:t xml:space="preserve">Supported</w:t>
            </w:r>
            <w:r>
              <w:rPr>
                <w:bCs/>
                <w:b/>
              </w:rPr>
              <w:t xml:space="preserve">)</w:t>
            </w:r>
          </w:p>
        </w:tc>
        <w:tc>
          <w:tcPr/>
          <w:p>
            <w:pPr>
              <w:pStyle w:val="Compact"/>
              <w:jc w:val="left"/>
            </w:pPr>
            <w:r>
              <w:t xml:space="preserve">Factual proposition fully concordant with retrieved relational SQL records</w:t>
            </w:r>
          </w:p>
        </w:tc>
        <w:tc>
          <w:tcPr/>
          <w:p>
            <w:pPr>
              <w:pStyle w:val="Compact"/>
              <w:jc w:val="left"/>
            </w:pPr>
            <w:r>
              <w:rPr>
                <w:iCs/>
                <w:i/>
              </w:rPr>
              <w:t xml:space="preserve">“</w:t>
            </w:r>
            <w:r>
              <w:rPr>
                <w:iCs/>
                <w:i/>
              </w:rPr>
              <w:t xml:space="preserve">Attraction</w:t>
            </w:r>
            <w:r>
              <w:rPr>
                <w:iCs/>
                <w:i/>
              </w:rPr>
              <w:t xml:space="preserve"> </w:t>
            </w:r>
            <w:r>
              <w:rPr>
                <w:bCs/>
                <w:b/>
                <w:iCs/>
                <w:i/>
              </w:rPr>
              <w:t xml:space="preserve">Pantai Air Manis</w:t>
            </w:r>
            <w:r>
              <w:rPr>
                <w:iCs/>
                <w:i/>
              </w:rPr>
              <w:t xml:space="preserve"> </w:t>
            </w:r>
            <w:r>
              <w:rPr>
                <w:iCs/>
                <w:i/>
              </w:rPr>
              <w:t xml:space="preserve">is 7.8 km away with an admission fee of Rp10,000 and is not open 24 hours.</w:t>
            </w:r>
            <w:r>
              <w:rPr>
                <w:iCs/>
                <w:i/>
              </w:rPr>
              <w:t xml:space="preserve">”</w:t>
            </w:r>
          </w:p>
        </w:tc>
        <w:tc>
          <w:tcPr/>
          <w:p>
            <w:pPr>
              <w:pStyle w:val="Compact"/>
              <w:jc w:val="left"/>
            </w:pPr>
            <w:r>
              <w:t xml:space="preserve">Patterns detected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facts confirmed against database.</w:t>
            </w:r>
          </w:p>
        </w:tc>
        <w:tc>
          <w:tcPr/>
          <w:p>
            <w:pPr>
              <w:pStyle w:val="Compact"/>
              <w:jc w:val="center"/>
            </w:pPr>
            <w:r>
              <w:rPr>
                <w:bCs/>
                <w:b/>
              </w:rPr>
              <w:t xml:space="preserve">PASSED (Grounded)</w:t>
            </w:r>
          </w:p>
        </w:tc>
      </w:tr>
      <w:tr>
        <w:tc>
          <w:tcPr/>
          <w:p>
            <w:pPr>
              <w:pStyle w:val="Compact"/>
              <w:jc w:val="left"/>
            </w:pPr>
            <w:r>
              <w:rPr>
                <w:bCs/>
                <w:b/>
              </w:rPr>
              <w:t xml:space="preserve">2. Refuted / Hallucinatory Claim (</w:t>
            </w:r>
            <w:r>
              <w:rPr>
                <w:iCs/>
                <w:i/>
                <w:bCs/>
                <w:b/>
              </w:rPr>
              <w:t xml:space="preserve">Refuted</w:t>
            </w:r>
            <w:r>
              <w:rPr>
                <w:bCs/>
                <w:b/>
              </w:rPr>
              <w:t xml:space="preserve">)</w:t>
            </w:r>
          </w:p>
        </w:tc>
        <w:tc>
          <w:tcPr/>
          <w:p>
            <w:pPr>
              <w:pStyle w:val="Compact"/>
              <w:jc w:val="left"/>
            </w:pPr>
            <w:r>
              <w:t xml:space="preserve">Factual proposition directly conflicting with database records or introducing fabricated POIs</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admission is Rp50,000.</w:t>
            </w:r>
            <w:r>
              <w:rPr>
                <w:iCs/>
                <w:i/>
              </w:rPr>
              <w:t xml:space="preserve">”</w:t>
            </w:r>
            <w:r>
              <w:t xml:space="preserve">(b)</w:t>
            </w:r>
            <w:r>
              <w:t xml:space="preserve"> </w:t>
            </w:r>
            <w:r>
              <w:rPr>
                <w:iCs/>
                <w:i/>
              </w:rPr>
              <w:t xml:space="preserve">“</w:t>
            </w:r>
            <w:r>
              <w:rPr>
                <w:iCs/>
                <w:i/>
              </w:rPr>
              <w:t xml:space="preserve">Visit</w:t>
            </w:r>
            <w:r>
              <w:rPr>
                <w:iCs/>
                <w:i/>
              </w:rPr>
              <w:t xml:space="preserve"> </w:t>
            </w:r>
            <w:r>
              <w:rPr>
                <w:bCs/>
                <w:b/>
                <w:iCs/>
                <w:i/>
              </w:rPr>
              <w:t xml:space="preserve">Pantai Carolina</w:t>
            </w:r>
            <w:r>
              <w:rPr>
                <w:iCs/>
                <w:i/>
              </w:rPr>
              <w:t xml:space="preserve"> </w:t>
            </w:r>
            <w:r>
              <w:rPr>
                <w:iCs/>
                <w:i/>
              </w:rPr>
              <w:t xml:space="preserve">(not in query results).</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is spotless.</w:t>
            </w:r>
            <w:r>
              <w:rPr>
                <w:iCs/>
                <w:i/>
              </w:rPr>
              <w:t xml:space="preserve">”</w:t>
            </w:r>
          </w:p>
        </w:tc>
        <w:tc>
          <w:tcPr/>
          <w:p>
            <w:pPr>
              <w:pStyle w:val="Compact"/>
              <w:jc w:val="left"/>
            </w:pPr>
            <w:r>
              <w:t xml:space="preserve">(a) Detected price divergence (DB: Rp0).</w:t>
            </w:r>
            <w:r>
              <w:t xml:space="preserve">(b) Detected entity outside retrieved SQL set.</w:t>
            </w:r>
            <w:r>
              <w:t xml:space="preserve">(c) Detected unmapped/out-of-jurisdiction POI.</w:t>
            </w:r>
            <w:r>
              <w:t xml:space="preserve">System triggers</w:t>
            </w:r>
            <w:r>
              <w:t xml:space="preserve"> </w:t>
            </w:r>
            <w:r>
              <w:rPr>
                <w:iCs/>
                <w:i/>
              </w:rPr>
              <w:t xml:space="preserve">fail-closed fallback</w:t>
            </w:r>
            <w:r>
              <w:t xml:space="preserve"> </w:t>
            </w:r>
            <w:r>
              <w:t xml:space="preserve">to deterministic template.</w:t>
            </w:r>
          </w:p>
        </w:tc>
        <w:tc>
          <w:tcPr/>
          <w:p>
            <w:pPr>
              <w:pStyle w:val="Compact"/>
              <w:jc w:val="center"/>
            </w:pPr>
            <w:r>
              <w:rPr>
                <w:bCs/>
                <w:b/>
              </w:rPr>
              <w:t xml:space="preserve">REJECTED (Violation / Fail-Closed)</w:t>
            </w:r>
          </w:p>
        </w:tc>
      </w:tr>
      <w:tr>
        <w:tc>
          <w:tcPr/>
          <w:p>
            <w:pPr>
              <w:pStyle w:val="Compact"/>
              <w:jc w:val="left"/>
            </w:pPr>
            <w:r>
              <w:rPr>
                <w:bCs/>
                <w:b/>
              </w:rPr>
              <w:t xml:space="preserve">3. Ambiguous Approximation (</w:t>
            </w:r>
            <w:r>
              <w:rPr>
                <w:iCs/>
                <w:i/>
                <w:bCs/>
                <w:b/>
              </w:rPr>
              <w:t xml:space="preserve">Ambiguous</w:t>
            </w:r>
            <w:r>
              <w:rPr>
                <w:bCs/>
                <w:b/>
              </w:rPr>
              <w:t xml:space="preserve">)</w:t>
            </w:r>
          </w:p>
        </w:tc>
        <w:tc>
          <w:tcPr/>
          <w:p>
            <w:pPr>
              <w:pStyle w:val="Compact"/>
              <w:jc w:val="left"/>
            </w:pPr>
            <w:r>
              <w:t xml:space="preserve">Quantitative distance assertion near narrative rounding tolerance</w:t>
            </w:r>
          </w:p>
        </w:tc>
        <w:tc>
          <w:tcPr/>
          <w:p>
            <w:pPr>
              <w:pStyle w:val="Compact"/>
              <w:jc w:val="left"/>
            </w:pPr>
            <w:r>
              <w:rPr>
                <w:iCs/>
                <w:i/>
              </w:rPr>
              <w:t xml:space="preserve">“</w:t>
            </w:r>
            <w:r>
              <w:rPr>
                <w:iCs/>
                <w:i/>
              </w:rPr>
              <w:t xml:space="preserve">Top choice is</w:t>
            </w:r>
            <w:r>
              <w:rPr>
                <w:iCs/>
                <w:i/>
              </w:rPr>
              <w:t xml:space="preserve"> </w:t>
            </w:r>
            <w:r>
              <w:rPr>
                <w:bCs/>
                <w:b/>
                <w:iCs/>
                <w:i/>
              </w:rPr>
              <w:t xml:space="preserve">Pantai Padang</w:t>
            </w:r>
            <w:r>
              <w:rPr>
                <w:iCs/>
                <w:i/>
              </w:rPr>
              <w:t xml:space="preserve"> </w:t>
            </w:r>
            <w:r>
              <w:rPr>
                <w:iCs/>
                <w:i/>
              </w:rPr>
              <w:t xml:space="preserve">(approximately 2.0 km away).</w:t>
            </w:r>
            <w:r>
              <w:rPr>
                <w:iCs/>
                <w:i/>
              </w:rPr>
              <w:t xml:space="preserve">”</w:t>
            </w:r>
            <w:r>
              <w:t xml:space="preserve"> </w:t>
            </w:r>
            <w:r>
              <w:t xml:space="preserve">(Exact computed spherical distance: 1.5 km).</w:t>
            </w:r>
          </w:p>
        </w:tc>
        <w:tc>
          <w:tcPr/>
          <w:p>
            <w:pPr>
              <w:pStyle w:val="Compact"/>
              <w:jc w:val="left"/>
            </w:pPr>
            <w:r>
              <w:t xml:space="preserve">Tolerated if numerical discrepancy</w:t>
            </w:r>
            <w:r>
              <w:t xml:space="preserve"> </w:t>
            </w:r>
            <m:oMath>
              <m:r>
                <m:rPr>
                  <m:sty m:val="p"/>
                </m:rPr>
                <m:t>≤</m:t>
              </m:r>
              <m:r>
                <m:rPr>
                  <m:sty m:val="p"/>
                </m:rPr>
                <m:t>±</m:t>
              </m:r>
              <m:r>
                <m:t>0.6</m:t>
              </m:r>
              <m:r>
                <m:rPr>
                  <m:nor/>
                  <m:sty m:val="p"/>
                </m:rPr>
                <m:t> km</m:t>
              </m:r>
            </m:oMath>
            <w:r>
              <w:t xml:space="preserve"> </w:t>
            </w:r>
            <w:r>
              <w:t xml:space="preserve">(</w:t>
            </w:r>
            <m:oMath>
              <m:d>
                <m:dPr>
                  <m:begChr m:val="|"/>
                  <m:endChr m:val="|"/>
                  <m:sepChr m:val=""/>
                  <m:grow/>
                </m:dPr>
                <m:e>
                  <m:r>
                    <m:t>2.0</m:t>
                  </m:r>
                  <m:r>
                    <m:rPr>
                      <m:sty m:val="p"/>
                    </m:rPr>
                    <m:t>−</m:t>
                  </m:r>
                  <m:r>
                    <m:t>1.5</m:t>
                  </m:r>
                </m:e>
              </m:d>
              <m:r>
                <m:rPr>
                  <m:sty m:val="p"/>
                </m:rPr>
                <m:t>=</m:t>
              </m:r>
              <m:r>
                <m:t>0.5</m:t>
              </m:r>
              <m:r>
                <m:rPr>
                  <m:nor/>
                  <m:sty m:val="p"/>
                </m:rPr>
                <m:t> km</m:t>
              </m:r>
              <m:r>
                <m:rPr>
                  <m:sty m:val="p"/>
                </m:rPr>
                <m:t>≤</m:t>
              </m:r>
              <m:r>
                <m:t>0.6</m:t>
              </m:r>
              <m:r>
                <m:rPr>
                  <m:nor/>
                  <m:sty m:val="p"/>
                </m:rPr>
                <m:t> km</m:t>
              </m:r>
            </m:oMath>
            <w:r>
              <w:t xml:space="preserve">). Discrepancies exceeding</w:t>
            </w:r>
            <w:r>
              <w:t xml:space="preserve"> </w:t>
            </w:r>
            <m:oMath>
              <m:r>
                <m:t>0.6</m:t>
              </m:r>
              <m:r>
                <m:rPr>
                  <m:nor/>
                  <m:sty m:val="p"/>
                </m:rPr>
                <m:t> km</m:t>
              </m:r>
            </m:oMath>
            <w:r>
              <w:t xml:space="preserve"> </w:t>
            </w:r>
            <w:r>
              <w:t xml:space="preserve">trigger violations.</w:t>
            </w:r>
          </w:p>
        </w:tc>
        <w:tc>
          <w:tcPr/>
          <w:p>
            <w:pPr>
              <w:pStyle w:val="Compact"/>
              <w:jc w:val="center"/>
            </w:pPr>
            <w:r>
              <w:rPr>
                <w:bCs/>
                <w:b/>
              </w:rPr>
              <w:t xml:space="preserve">CONDITIONAL (Tolerance</w:t>
            </w:r>
            <w:r>
              <w:rPr>
                <w:bCs/>
                <w:b/>
              </w:rPr>
              <w:t xml:space="preserve"> </w:t>
            </w:r>
            <m:oMath>
              <m:r>
                <m:rPr>
                  <m:sty m:val="p"/>
                </m:rPr>
                <m:t>≤</m:t>
              </m:r>
              <m:r>
                <m:t>0.6</m:t>
              </m:r>
            </m:oMath>
            <w:r>
              <w:rPr>
                <w:bCs/>
                <w:b/>
              </w:rPr>
              <w:t xml:space="preserve"> </w:t>
            </w:r>
            <w:r>
              <w:rPr>
                <w:bCs/>
                <w:b/>
              </w:rPr>
              <w:t xml:space="preserve">km)</w:t>
            </w:r>
          </w:p>
        </w:tc>
      </w:tr>
      <w:tr>
        <w:tc>
          <w:tcPr/>
          <w:p>
            <w:pPr>
              <w:pStyle w:val="Compact"/>
              <w:jc w:val="left"/>
            </w:pPr>
            <w:r>
              <w:rPr>
                <w:bCs/>
                <w:b/>
              </w:rPr>
              <w:t xml:space="preserve">4. Out-of-Schema Information (</w:t>
            </w:r>
            <w:r>
              <w:rPr>
                <w:iCs/>
                <w:i/>
                <w:bCs/>
                <w:b/>
              </w:rPr>
              <w:t xml:space="preserve">Unverifiable</w:t>
            </w:r>
            <w:r>
              <w:rPr>
                <w:bCs/>
                <w:b/>
              </w:rPr>
              <w:t xml:space="preserve">)</w:t>
            </w:r>
          </w:p>
        </w:tc>
        <w:tc>
          <w:tcPr/>
          <w:p>
            <w:pPr>
              <w:pStyle w:val="Compact"/>
              <w:jc w:val="left"/>
            </w:pPr>
            <w:r>
              <w:t xml:space="preserve">Qualitative descriptive assertion or external amenities not modeled in relational schema</w:t>
            </w:r>
          </w:p>
        </w:tc>
        <w:tc>
          <w:tcPr/>
          <w:p>
            <w:pPr>
              <w:pStyle w:val="Compact"/>
              <w:jc w:val="left"/>
            </w:pPr>
            <w:r>
              <w:rPr>
                <w:iCs/>
                <w:i/>
              </w:rPr>
              <w:t xml:space="preserve">“</w:t>
            </w:r>
            <w:r>
              <w:rPr>
                <w:iCs/>
                <w:i/>
              </w:rPr>
              <w:t xml:space="preserve">Visit</w:t>
            </w:r>
            <w:r>
              <w:rPr>
                <w:iCs/>
                <w:i/>
              </w:rPr>
              <w:t xml:space="preserve"> </w:t>
            </w:r>
            <w:r>
              <w:rPr>
                <w:bCs/>
                <w:b/>
                <w:iCs/>
                <w:i/>
              </w:rPr>
              <w:t xml:space="preserve">Pantai Padang</w:t>
            </w:r>
            <w:r>
              <w:rPr>
                <w:iCs/>
                <w:i/>
              </w:rPr>
              <w:t xml:space="preserve"> </w:t>
            </w:r>
            <w:r>
              <w:rPr>
                <w:iCs/>
                <w:i/>
              </w:rPr>
              <w:t xml:space="preserve">(free, 1.5 km). Nearby are numerous fresh coconut stalls and budget hotels.</w:t>
            </w:r>
            <w:r>
              <w:rPr>
                <w:iCs/>
                <w:i/>
              </w:rPr>
              <w:t xml:space="preserve">”</w:t>
            </w:r>
          </w:p>
        </w:tc>
        <w:tc>
          <w:tcPr/>
          <w:p>
            <w:pPr>
              <w:pStyle w:val="Compact"/>
              <w:jc w:val="left"/>
            </w:pPr>
            <w:r>
              <w:t xml:space="preserve">Core entity, price, and distance claims verified and approved. Non-schema qualitative assertions are permitted (</w:t>
            </w:r>
            <w:r>
              <w:rPr>
                <w:iCs/>
                <w:i/>
              </w:rPr>
              <w:t xml:space="preserve">permissive</w:t>
            </w:r>
            <w:r>
              <w:t xml:space="preserve">) provided valid entities are preserved without core factual breach.</w:t>
            </w:r>
          </w:p>
        </w:tc>
        <w:tc>
          <w:tcPr/>
          <w:p>
            <w:pPr>
              <w:pStyle w:val="Compact"/>
              <w:jc w:val="center"/>
            </w:pPr>
            <w:r>
              <w:rPr>
                <w:bCs/>
                <w:b/>
              </w:rPr>
              <w:t xml:space="preserve">PERMITTED (Non-Schema Permissive)</w:t>
            </w:r>
          </w:p>
        </w:tc>
      </w:tr>
      <w:tr>
        <w:tc>
          <w:tcPr/>
          <w:p>
            <w:pPr>
              <w:pStyle w:val="Compact"/>
              <w:jc w:val="left"/>
            </w:pPr>
            <w:r>
              <w:rPr>
                <w:bCs/>
                <w:b/>
              </w:rPr>
              <w:t xml:space="preserve">5. Empty Response Anomaly (</w:t>
            </w:r>
            <w:r>
              <w:rPr>
                <w:iCs/>
                <w:i/>
                <w:bCs/>
                <w:b/>
              </w:rPr>
              <w:t xml:space="preserve">Empty / Whitespace</w:t>
            </w:r>
            <w:r>
              <w:rPr>
                <w:bCs/>
                <w:b/>
              </w:rPr>
              <w:t xml:space="preserve">)</w:t>
            </w:r>
          </w:p>
        </w:tc>
        <w:tc>
          <w:tcPr/>
          <w:p>
            <w:pPr>
              <w:pStyle w:val="Compact"/>
              <w:jc w:val="left"/>
            </w:pPr>
            <w:r>
              <w:t xml:space="preserve">LLM generator returns empty string or whitespace despite available SQL facts</w:t>
            </w:r>
          </w:p>
        </w:tc>
        <w:tc>
          <w:tcPr/>
          <w:p>
            <w:pPr>
              <w:pStyle w:val="Compact"/>
              <w:jc w:val="left"/>
            </w:pPr>
            <w:r>
              <w:rPr>
                <w:rStyle w:val="VerbatimChar"/>
              </w:rPr>
              <w:t xml:space="preserve">""</w:t>
            </w:r>
            <w:r>
              <w:t xml:space="preserve"> </w:t>
            </w:r>
            <w:r>
              <w:t xml:space="preserve">or</w:t>
            </w:r>
            <w:r>
              <w:t xml:space="preserve"> </w:t>
            </w:r>
            <w:r>
              <w:rPr>
                <w:rStyle w:val="VerbatimChar"/>
              </w:rPr>
              <w:t xml:space="preserve">"   \n\t  "</w:t>
            </w:r>
          </w:p>
        </w:tc>
        <w:tc>
          <w:tcPr/>
          <w:p>
            <w:pPr>
              <w:pStyle w:val="Compact"/>
              <w:jc w:val="left"/>
            </w:pPr>
            <w:r>
              <w:t xml:space="preserve">Triggers immediate fail-closed violation:</w:t>
            </w:r>
            <w:r>
              <w:t xml:space="preserve"> </w:t>
            </w:r>
            <w:r>
              <w:rPr>
                <w:iCs/>
                <w:i/>
              </w:rPr>
              <w:t xml:space="preserve">“</w:t>
            </w:r>
            <w:r>
              <w:rPr>
                <w:iCs/>
                <w:i/>
              </w:rPr>
              <w:t xml:space="preserve">Empty narrative response while SQL facts are present</w:t>
            </w:r>
            <w:r>
              <w:rPr>
                <w:iCs/>
                <w:i/>
              </w:rPr>
              <w:t xml:space="preserve">”</w:t>
            </w:r>
            <w:r>
              <w:t xml:space="preserve">. Replaces payload with deterministic fallback template.</w:t>
            </w:r>
          </w:p>
        </w:tc>
        <w:tc>
          <w:tcPr/>
          <w:p>
            <w:pPr>
              <w:pStyle w:val="Compact"/>
              <w:jc w:val="center"/>
            </w:pPr>
            <w:r>
              <w:rPr>
                <w:bCs/>
                <w:b/>
              </w:rPr>
              <w:t xml:space="preserve">REJECTED (Fail-Closed Safety Net)</w:t>
            </w:r>
          </w:p>
        </w:tc>
      </w:tr>
    </w:tbl>
    <w:p>
      <w:pPr>
        <w:pStyle w:val="BodyText"/>
      </w:pPr>
      <w:r>
        <w:t xml:space="preserve">To assess</w:t>
      </w:r>
      <w:r>
        <w:t xml:space="preserve"> </w:t>
      </w:r>
      <w:r>
        <w:rPr>
          <w:rStyle w:val="VerbatimChar"/>
        </w:rPr>
        <w:t xml:space="preserve">GroundingValidator</w:t>
      </w:r>
      <w:r>
        <w:t xml:space="preserve"> </w:t>
      </w:r>
      <w:r>
        <w:t xml:space="preserve">robustness independently of the 40 primary scenarios, a diagnostic evaluation (</w:t>
      </w:r>
      <w:r>
        <w:rPr>
          <w:iCs/>
          <w:i/>
        </w:rPr>
        <w:t xml:space="preserve">Confusion Matrix Evaluation</w:t>
      </w:r>
      <w:r>
        <w:t xml:space="preserve">) was executed on an annotated test corpus of 20 controlled evaluation samples (10 factual positive instances vs 10 controlled negative hallucinatory instances). The test set systematically covers price distortions, extreme spatial distance hallucinations, fabricated 24h operational claims, unretrieved entities, fictional POIs, local Minangkabau dialect aliases (</w:t>
      </w:r>
      <w:r>
        <w:rPr>
          <w:iCs/>
          <w:i/>
        </w:rPr>
        <w:t xml:space="preserve">“</w:t>
      </w:r>
      <w:r>
        <w:rPr>
          <w:iCs/>
          <w:i/>
        </w:rPr>
        <w:t xml:space="preserve">Aia Manih</w:t>
      </w:r>
      <w:r>
        <w:rPr>
          <w:iCs/>
          <w:i/>
        </w:rPr>
        <w:t xml:space="preserve">”</w:t>
      </w:r>
      <w:r>
        <w:t xml:space="preserve">), negative claims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and whitespace outputs (Table 4c).</w:t>
      </w:r>
    </w:p>
    <w:p>
      <w:pPr>
        <w:pStyle w:val="BodyText"/>
      </w:pPr>
      <w:r>
        <w:rPr>
          <w:bCs/>
          <w:b/>
        </w:rPr>
        <w:t xml:space="preserve">Table 4c. Diagnostic Confusion Matrix for GroundingValidator Module (20 Controlled Test Cases)</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Ground Truth Annotation</w:t>
            </w:r>
          </w:p>
        </w:tc>
        <w:tc>
          <w:tcPr/>
          <w:p>
            <w:pPr>
              <w:pStyle w:val="Compact"/>
              <w:jc w:val="center"/>
            </w:pPr>
            <w:r>
              <w:t xml:space="preserve">Validator Decision: Grounded</w:t>
            </w:r>
          </w:p>
        </w:tc>
        <w:tc>
          <w:tcPr/>
          <w:p>
            <w:pPr>
              <w:pStyle w:val="Compact"/>
              <w:jc w:val="center"/>
            </w:pPr>
            <w:r>
              <w:t xml:space="preserve">Validator Decision: Rejected (</w:t>
            </w:r>
            <w:r>
              <w:rPr>
                <w:iCs/>
                <w:i/>
              </w:rPr>
              <w:t xml:space="preserve">Violation / Fail-Closed</w:t>
            </w:r>
            <w:r>
              <w:t xml:space="preserve">)</w:t>
            </w:r>
          </w:p>
        </w:tc>
        <w:tc>
          <w:tcPr/>
          <w:p>
            <w:pPr>
              <w:pStyle w:val="Compact"/>
              <w:jc w:val="center"/>
            </w:pPr>
            <w:r>
              <w:t xml:space="preserve">Total Cases</w:t>
            </w:r>
          </w:p>
        </w:tc>
      </w:tr>
      <w:tr>
        <w:tc>
          <w:tcPr/>
          <w:p>
            <w:pPr>
              <w:pStyle w:val="Compact"/>
              <w:jc w:val="left"/>
            </w:pPr>
            <w:r>
              <w:rPr>
                <w:bCs/>
                <w:b/>
              </w:rPr>
              <w:t xml:space="preserve">Valid Factual Sample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samples</w:t>
            </w:r>
          </w:p>
        </w:tc>
      </w:tr>
      <w:tr>
        <w:tc>
          <w:tcPr/>
          <w:p>
            <w:pPr>
              <w:pStyle w:val="Compact"/>
              <w:jc w:val="left"/>
            </w:pPr>
            <w:r>
              <w:rPr>
                <w:bCs/>
                <w:b/>
              </w:rPr>
              <w:t xml:space="preserve">Hallucinatory / Anomaly Sample (</w:t>
            </w:r>
            <w:r>
              <w:rPr>
                <w:iCs/>
                <w:i/>
                <w:bCs/>
                <w:b/>
              </w:rPr>
              <w:t xml:space="preserve">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samples</w:t>
            </w:r>
          </w:p>
        </w:tc>
      </w:tr>
      <w:tr>
        <w:tc>
          <w:tcPr/>
          <w:p>
            <w:pPr>
              <w:pStyle w:val="Compact"/>
              <w:jc w:val="left"/>
            </w:pPr>
            <w:r>
              <w:rPr>
                <w:bCs/>
                <w:b/>
              </w:rPr>
              <w:t xml:space="preserve">TOTAL DIAGNOSTIC TEST CASES</w:t>
            </w:r>
          </w:p>
        </w:tc>
        <w:tc>
          <w:tcPr/>
          <w:p>
            <w:pPr>
              <w:pStyle w:val="Compact"/>
              <w:jc w:val="center"/>
            </w:pPr>
            <w:r>
              <w:rPr>
                <w:bCs/>
                <w:b/>
              </w:rPr>
              <w:t xml:space="preserve">10 Cases Approved</w:t>
            </w:r>
          </w:p>
        </w:tc>
        <w:tc>
          <w:tcPr/>
          <w:p>
            <w:pPr>
              <w:pStyle w:val="Compact"/>
              <w:jc w:val="center"/>
            </w:pPr>
            <w:r>
              <w:rPr>
                <w:bCs/>
                <w:b/>
              </w:rPr>
              <w:t xml:space="preserve">10 Cases Rejected</w:t>
            </w:r>
          </w:p>
        </w:tc>
        <w:tc>
          <w:tcPr/>
          <w:p>
            <w:pPr>
              <w:pStyle w:val="Compact"/>
              <w:jc w:val="center"/>
            </w:pPr>
            <w:r>
              <w:rPr>
                <w:bCs/>
                <w:b/>
              </w:rPr>
              <w:t xml:space="preserve">20 Evaluated Cases</w:t>
            </w:r>
          </w:p>
        </w:tc>
      </w:tr>
    </w:tbl>
    <w:p>
      <w:pPr>
        <w:pStyle w:val="BodyText"/>
      </w:pPr>
      <w:r>
        <w:t xml:space="preserve">Quantitative diagnostic performance metrics computed from Table 4c:</w:t>
      </w:r>
      <w:r>
        <w:t xml:space="preserve"> </w:t>
      </w:r>
      <w:r>
        <w:t xml:space="preserve">-</w:t>
      </w:r>
      <w:r>
        <w:t xml:space="preserve"> </w:t>
      </w:r>
      <w:r>
        <w:rPr>
          <w:bCs/>
          <w:b/>
        </w:rPr>
        <w:t xml:space="preserve">Diagnostic Accuracy:</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100.00</m:t>
        </m:r>
        <m:r>
          <m:rPr>
            <m:sty m:val="b"/>
          </m:rPr>
          <m:t>%</m:t>
        </m:r>
      </m:oMath>
      <w:r>
        <w:t xml:space="preserve"> </w:t>
      </w:r>
      <w:r>
        <w:t xml:space="preserve">-</w:t>
      </w:r>
      <w:r>
        <w:t xml:space="preserve"> </w:t>
      </w:r>
      <w:r>
        <w:rPr>
          <w:bCs/>
          <w:b/>
        </w:rPr>
        <w:t xml:space="preserve">Precision (Positive Predictive Value):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Sensitivity / Recall (True Positive Rate):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Specificity (True Negative Rate):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F1-Score:</w:t>
      </w:r>
      <w:r>
        <w:t xml:space="preserve"> </w:t>
      </w:r>
      <m:oMath>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r>
          <m:rPr>
            <m:sty m:val="b"/>
          </m:rPr>
          <m:t>100.00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0.00</m:t>
        </m:r>
        <m:r>
          <m:rPr>
            <m:sty m:val="b"/>
          </m:rPr>
          <m:t>%</m:t>
        </m:r>
      </m:oMath>
      <w:r>
        <w:t xml:space="preserve"> </w:t>
      </w:r>
      <w:r>
        <w:t xml:space="preserve">(Zero hallucinations leak to user)</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0.00</m:t>
        </m:r>
        <m:r>
          <m:rPr>
            <m:sty m:val="b"/>
          </m:rPr>
          <m:t>%</m:t>
        </m:r>
      </m:oMath>
      <w:r>
        <w:t xml:space="preserve"> </w:t>
      </w:r>
      <w:r>
        <w:t xml:space="preserve">(Zero factual responses rejected falsely)</w:t>
      </w:r>
    </w:p>
    <w:p>
      <w:pPr>
        <w:pStyle w:val="BodyText"/>
      </w:pPr>
      <w:r>
        <w:t xml:space="preserve">This diagnostic validation confirms that context-isolated regular expression auditing, local dialect alias normalization, and fail-closed fallback mechanisms collectively safeguard conversational interactions from generative model hallucinations within the modeled application domain.</w:t>
      </w:r>
    </w:p>
    <w:bookmarkEnd w:id="87"/>
    <w:bookmarkEnd w:id="88"/>
    <w:bookmarkStart w:id="89" w:name="multi-baseline-comparative-analysis"/>
    <w:p>
      <w:pPr>
        <w:pStyle w:val="Heading3"/>
      </w:pPr>
      <w:r>
        <w:t xml:space="preserve">6.2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 The protocol formally delineates two execution regimes:</w:t>
      </w:r>
      <w:r>
        <w:t xml:space="preserve"> </w:t>
      </w:r>
      <w:r>
        <w:rPr>
          <w:bCs/>
          <w:b/>
        </w:rPr>
        <w:t xml:space="preserve">Live API Mode (</w:t>
      </w:r>
      <w:r>
        <w:rPr>
          <w:rStyle w:val="VerbatimChar"/>
          <w:bCs/>
          <w:b/>
        </w:rPr>
        <w:t xml:space="preserve">--live</w:t>
      </w:r>
      <w:r>
        <w:rPr>
          <w:bCs/>
          <w:b/>
        </w:rPr>
        <w:t xml:space="preserve">)</w:t>
      </w:r>
      <w:r>
        <w:t xml:space="preserve"> </w:t>
      </w:r>
      <w:r>
        <w:t xml:space="preserve">via HTTPS network calls to the DeepSeek-V3 endpoint, and</w:t>
      </w:r>
      <w:r>
        <w:t xml:space="preserve"> </w:t>
      </w:r>
      <w:r>
        <w:rPr>
          <w:bCs/>
          <w:b/>
        </w:rPr>
        <w:t xml:space="preserve">Standardized Deterministic Benchmark Mode (</w:t>
      </w:r>
      <w:r>
        <w:rPr>
          <w:rStyle w:val="VerbatimChar"/>
          <w:bCs/>
          <w:b/>
        </w:rPr>
        <w:t xml:space="preserve">--mock</w:t>
      </w:r>
      <w:r>
        <w:rPr>
          <w:bCs/>
          <w:b/>
        </w:rPr>
        <w:t xml:space="preserve"> </w:t>
      </w:r>
      <w:r>
        <w:rPr>
          <w:bCs/>
          <w:b/>
        </w:rPr>
        <w:t xml:space="preserve">/ default)</w:t>
      </w:r>
      <w:r>
        <w:t xml:space="preserve"> </w:t>
      </w:r>
      <w:r>
        <w:t xml:space="preserve">where all invariant reasoning and spatial SQL executions are run against the live local MySQL 8.0</w:t>
      </w:r>
      <w:r>
        <w:t xml:space="preserve"> </w:t>
      </w:r>
      <w:r>
        <w:rPr>
          <w:rStyle w:val="VerbatimChar"/>
        </w:rPr>
        <w:t xml:space="preserve">geo_db</w:t>
      </w:r>
      <w:r>
        <w:t xml:space="preserve"> </w:t>
      </w:r>
      <w:r>
        <w:t xml:space="preserve">database to ensure 100% bit-exact offline reproducibility. Complete per-trial execution outputs (</w:t>
      </w:r>
      <m:oMath>
        <m:r>
          <m:t>40</m:t>
        </m:r>
        <m:r>
          <m:rPr>
            <m:nor/>
            <m:sty m:val="p"/>
          </m:rPr>
          <m:t> scenarios</m:t>
        </m:r>
        <m:r>
          <m:rPr>
            <m:sty m:val="p"/>
          </m:rPr>
          <m:t>×</m:t>
        </m:r>
        <m:r>
          <m:t>3</m:t>
        </m:r>
        <m:r>
          <m:rPr>
            <m:nor/>
            <m:sty m:val="p"/>
          </m:rPr>
          <m:t> replications</m:t>
        </m:r>
        <m:r>
          <m:rPr>
            <m:sty m:val="p"/>
          </m:rPr>
          <m:t>=</m:t>
        </m:r>
        <m:r>
          <m:t>120</m:t>
        </m:r>
        <m:r>
          <m:rPr>
            <m:nor/>
            <m:sty m:val="p"/>
          </m:rPr>
          <m:t> evaluations</m:t>
        </m:r>
      </m:oMath>
      <w:r>
        <w:t xml:space="preserve">) are archived in</w:t>
      </w:r>
      <w:r>
        <w:t xml:space="preserve"> </w:t>
      </w:r>
      <w:r>
        <w:rPr>
          <w:rStyle w:val="VerbatimChar"/>
        </w:rPr>
        <w:t xml:space="preserve">raw_evaluations.json</w:t>
      </w:r>
      <w:r>
        <w:t xml:space="preserve"> </w:t>
      </w:r>
      <w:r>
        <w:t xml:space="preserve">across all benchmark directories:</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Target Database Engine</w:t>
            </w:r>
          </w:p>
        </w:tc>
        <w:tc>
          <w:tcPr/>
          <w:p>
            <w:pPr>
              <w:pStyle w:val="Compact"/>
              <w:jc w:val="left"/>
            </w:pPr>
            <w:r>
              <w:t xml:space="preserve">None (Zero DB access)</w:t>
            </w:r>
          </w:p>
        </w:tc>
        <w:tc>
          <w:tcPr/>
          <w:p>
            <w:pPr>
              <w:pStyle w:val="Compact"/>
              <w:jc w:val="left"/>
            </w:pPr>
            <w:r>
              <w:t xml:space="preserve">MySQL 8.0.45</w:t>
            </w:r>
            <w:r>
              <w:t xml:space="preserve"> </w:t>
            </w:r>
            <w:r>
              <w:rPr>
                <w:rStyle w:val="VerbatimChar"/>
              </w:rPr>
              <w:t xml:space="preserve">geo_db</w:t>
            </w:r>
            <w:r>
              <w:t xml:space="preserve"> </w:t>
            </w:r>
            <w:r>
              <w:t xml:space="preserve">(Live SQL execution)</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8.0.45</w:t>
            </w:r>
            <w:r>
              <w:t xml:space="preserve"> </w:t>
            </w:r>
            <w:r>
              <w:rPr>
                <w:rStyle w:val="VerbatimChar"/>
              </w:rPr>
              <w:t xml:space="preserve">geo_db</w:t>
            </w:r>
            <w:r>
              <w:t xml:space="preserve"> </w:t>
            </w:r>
            <w:r>
              <w:t xml:space="preserve">(Live compiled SQL execution)</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r>
        <w:tc>
          <w:tcPr/>
          <w:p>
            <w:pPr>
              <w:pStyle w:val="Compact"/>
              <w:jc w:val="left"/>
            </w:pPr>
            <w:r>
              <w:rPr>
                <w:bCs/>
                <w:b/>
              </w:rPr>
              <w:t xml:space="preserve">Raw Output Storage</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Internal RAG test logs</w:t>
            </w:r>
          </w:p>
        </w:tc>
        <w:tc>
          <w:tcPr/>
          <w:p>
            <w:pPr>
              <w:pStyle w:val="Compact"/>
              <w:jc w:val="left"/>
            </w:pPr>
            <w:r>
              <w:t xml:space="preserve">User interaction logs</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9"/>
    <w:bookmarkStart w:id="93" w:name="Xb8e01e580265564488fcdfa1b3ede5c6f7ec970"/>
    <w:p>
      <w:pPr>
        <w:pStyle w:val="Heading3"/>
      </w:pPr>
      <w:r>
        <w:t xml:space="preserve">6.3 Ablation Study Results and Pairwise Comparison</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92.50% (Field: 99.25%)</w:t>
            </w:r>
          </w:p>
        </w:tc>
        <w:tc>
          <w:tcPr/>
          <w:p>
            <w:pPr>
              <w:pStyle w:val="Compact"/>
              <w:jc w:val="center"/>
            </w:pPr>
            <w:r>
              <w:rPr>
                <w:bCs/>
                <w:b/>
              </w:rPr>
              <w:t xml:space="preserve">Enforced (Safety Invariant)</w:t>
            </w:r>
          </w:p>
        </w:tc>
        <w:tc>
          <w:tcPr/>
          <w:p>
            <w:pPr>
              <w:pStyle w:val="Compact"/>
              <w:jc w:val="center"/>
            </w:pPr>
            <w:r>
              <w:rPr>
                <w:bCs/>
                <w:b/>
              </w:rPr>
              <w:t xml:space="preserve">100.00% (Overall: 100.00%)</w:t>
            </w:r>
          </w:p>
        </w:tc>
        <w:tc>
          <w:tcPr/>
          <w:p>
            <w:pPr>
              <w:pStyle w:val="Compact"/>
              <w:jc w:val="center"/>
            </w:pPr>
            <w:r>
              <w:rPr>
                <w:bCs/>
                <w:b/>
              </w:rPr>
              <w:t xml:space="preserve">100.00% (304/304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100.00%)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(304/304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To provide scientific transparency through rigorous pairwise comparisons and isolate specific real-world failure manifestations, Table 7c details the pairwise breakdown of the complete system against ablation variants and baselines, documenting failure counts, observed incident exemplars, latency overheads, and false rejection consequences.</w:t>
      </w:r>
    </w:p>
    <w:p>
      <w:pPr>
        <w:pStyle w:val="BodyText"/>
      </w:pPr>
      <w:r>
        <w:rPr>
          <w:bCs/>
          <w:b/>
        </w:rPr>
        <w:t xml:space="preserve">Table 7c. Pairwise Ablation Breakdown &amp; Real-World Failure Incidents When Modules Are Disabled</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Experimental Configuration</w:t>
            </w:r>
          </w:p>
        </w:tc>
        <w:tc>
          <w:tcPr/>
          <w:p>
            <w:pPr>
              <w:pStyle w:val="Compact"/>
              <w:jc w:val="left"/>
            </w:pPr>
            <w:r>
              <w:t xml:space="preserve">Disabled Component Status</w:t>
            </w:r>
          </w:p>
        </w:tc>
        <w:tc>
          <w:tcPr/>
          <w:p>
            <w:pPr>
              <w:pStyle w:val="Compact"/>
              <w:jc w:val="center"/>
            </w:pPr>
            <w:r>
              <w:t xml:space="preserve">Failed Cases (</w:t>
            </w:r>
            <m:oMath>
              <m:r>
                <m:t>N</m:t>
              </m:r>
            </m:oMath>
            <w:r>
              <w:t xml:space="preserve"> </w:t>
            </w:r>
            <w:r>
              <w:t xml:space="preserve">Deviations)</w:t>
            </w:r>
          </w:p>
        </w:tc>
        <w:tc>
          <w:tcPr/>
          <w:p>
            <w:pPr>
              <w:pStyle w:val="Compact"/>
              <w:jc w:val="left"/>
            </w:pPr>
            <w:r>
              <w:t xml:space="preserve">Concrete Real-World Failure Exemplar Observed</w:t>
            </w:r>
          </w:p>
        </w:tc>
        <w:tc>
          <w:tcPr/>
          <w:p>
            <w:pPr>
              <w:pStyle w:val="Compact"/>
              <w:jc w:val="center"/>
            </w:pPr>
            <w:r>
              <w:t xml:space="preserve">Latency Overhead</w:t>
            </w:r>
          </w:p>
        </w:tc>
        <w:tc>
          <w:tcPr/>
          <w:p>
            <w:pPr>
              <w:pStyle w:val="Compact"/>
              <w:jc w:val="center"/>
            </w:pPr>
            <w:r>
              <w:t xml:space="preserve">False Rejection Rate</w:t>
            </w:r>
          </w:p>
        </w:tc>
      </w:tr>
      <w:tr>
        <w:tc>
          <w:tcPr/>
          <w:p>
            <w:pPr>
              <w:pStyle w:val="Compact"/>
              <w:jc w:val="left"/>
            </w:pPr>
            <w:r>
              <w:rPr>
                <w:bCs/>
                <w:b/>
              </w:rPr>
              <w:t xml:space="preserve">Complete System (Dual Control Boundaries)</w:t>
            </w:r>
          </w:p>
        </w:tc>
        <w:tc>
          <w:tcPr/>
          <w:p>
            <w:pPr>
              <w:pStyle w:val="Compact"/>
              <w:jc w:val="left"/>
            </w:pPr>
            <w:r>
              <w:rPr>
                <w:iCs/>
                <w:i/>
              </w:rPr>
              <w:t xml:space="preserve">Full Baseline (All Modules Active)</w:t>
            </w:r>
          </w:p>
        </w:tc>
        <w:tc>
          <w:tcPr/>
          <w:p>
            <w:pPr>
              <w:pStyle w:val="Compact"/>
              <w:jc w:val="center"/>
            </w:pPr>
            <w:r>
              <w:rPr>
                <w:bCs/>
                <w:b/>
              </w:rPr>
              <w:t xml:space="preserve">0 / 40 cases</w:t>
            </w:r>
          </w:p>
        </w:tc>
        <w:tc>
          <w:tcPr/>
          <w:p>
            <w:pPr>
              <w:pStyle w:val="Compact"/>
              <w:jc w:val="left"/>
            </w:pPr>
            <w:r>
              <w:t xml:space="preserve">Zero logic failures; out-of-scope queries honestly rejected; coordinates safe.</w:t>
            </w:r>
          </w:p>
        </w:tc>
        <w:tc>
          <w:tcPr/>
          <w:p>
            <w:pPr>
              <w:pStyle w:val="Compact"/>
              <w:jc w:val="center"/>
            </w:pPr>
            <w:r>
              <w:t xml:space="preserve">1.23 ms (SirValidator + Grounding)</w:t>
            </w:r>
          </w:p>
        </w:tc>
        <w:tc>
          <w:tcPr/>
          <w:p>
            <w:pPr>
              <w:pStyle w:val="Compact"/>
              <w:jc w:val="center"/>
            </w:pPr>
            <w:r>
              <w:rPr>
                <w:bCs/>
                <w:b/>
              </w:rPr>
              <w:t xml:space="preserve">0.00% (0 cases)</w:t>
            </w:r>
          </w:p>
        </w:tc>
      </w:tr>
      <w:tr>
        <w:tc>
          <w:tcPr/>
          <w:p>
            <w:pPr>
              <w:pStyle w:val="Compact"/>
              <w:jc w:val="left"/>
            </w:pPr>
            <w:r>
              <w:rPr>
                <w:bCs/>
                <w:b/>
              </w:rPr>
              <w:t xml:space="preserve">A1. Without Dimension 1</w:t>
            </w:r>
          </w:p>
        </w:tc>
        <w:tc>
          <w:tcPr/>
          <w:p>
            <w:pPr>
              <w:pStyle w:val="Compact"/>
              <w:jc w:val="left"/>
            </w:pPr>
            <w:r>
              <w:rPr>
                <w:iCs/>
                <w:i/>
              </w:rPr>
              <w:t xml:space="preserve">Schema &amp; Type Invariant Disabled</w:t>
            </w:r>
          </w:p>
        </w:tc>
        <w:tc>
          <w:tcPr/>
          <w:p>
            <w:pPr>
              <w:pStyle w:val="Compact"/>
              <w:jc w:val="center"/>
            </w:pPr>
            <w:r>
              <w:t xml:space="preserve">2 / 40 cases</w:t>
            </w:r>
          </w:p>
        </w:tc>
        <w:tc>
          <w:tcPr/>
          <w:p>
            <w:pPr>
              <w:pStyle w:val="Compact"/>
              <w:jc w:val="left"/>
            </w:pPr>
            <w:r>
              <w:t xml:space="preserve">XSS/HTML payload leaks to compiler, triggering 2 SQL parsing syntax errors.</w:t>
            </w:r>
          </w:p>
        </w:tc>
        <w:tc>
          <w:tcPr/>
          <w:p>
            <w:pPr>
              <w:pStyle w:val="Compact"/>
              <w:jc w:val="center"/>
            </w:pPr>
            <w:r>
              <w:t xml:space="preserve">-0.08 ms</w:t>
            </w:r>
          </w:p>
        </w:tc>
        <w:tc>
          <w:tcPr/>
          <w:p>
            <w:pPr>
              <w:pStyle w:val="Compact"/>
              <w:jc w:val="center"/>
            </w:pPr>
            <w:r>
              <w:t xml:space="preserve">0.00% (0 cases)</w:t>
            </w:r>
          </w:p>
        </w:tc>
      </w:tr>
      <w:tr>
        <w:tc>
          <w:tcPr/>
          <w:p>
            <w:pPr>
              <w:pStyle w:val="Compact"/>
              <w:jc w:val="left"/>
            </w:pPr>
            <w:r>
              <w:rPr>
                <w:bCs/>
                <w:b/>
              </w:rPr>
              <w:t xml:space="preserve">A2. Without Dimension 2</w:t>
            </w:r>
          </w:p>
        </w:tc>
        <w:tc>
          <w:tcPr/>
          <w:p>
            <w:pPr>
              <w:pStyle w:val="Compact"/>
              <w:jc w:val="left"/>
            </w:pPr>
            <w:r>
              <w:rPr>
                <w:iCs/>
                <w:i/>
              </w:rPr>
              <w:t xml:space="preserve">Padang Spatial Domain Invariant Disabled</w:t>
            </w:r>
          </w:p>
        </w:tc>
        <w:tc>
          <w:tcPr/>
          <w:p>
            <w:pPr>
              <w:pStyle w:val="Compact"/>
              <w:jc w:val="center"/>
            </w:pPr>
            <w:r>
              <w:t xml:space="preserve">3 / 40 cases</w:t>
            </w:r>
          </w:p>
        </w:tc>
        <w:tc>
          <w:tcPr/>
          <w:p>
            <w:pPr>
              <w:pStyle w:val="Compact"/>
              <w:jc w:val="left"/>
            </w:pPr>
            <w:r>
              <w:t xml:space="preserve">Out-of-jurisdiction coordinates (Jakarta) executed directly; yields 0 POIs without explanation.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A3. Without Dimension 3</w:t>
            </w:r>
          </w:p>
        </w:tc>
        <w:tc>
          <w:tcPr/>
          <w:p>
            <w:pPr>
              <w:pStyle w:val="Compact"/>
              <w:jc w:val="left"/>
            </w:pPr>
            <w:r>
              <w:rPr>
                <w:iCs/>
                <w:i/>
              </w:rPr>
              <w:t xml:space="preserve">Spatial Operator &amp; Distance Invariant Disabled</w:t>
            </w:r>
          </w:p>
        </w:tc>
        <w:tc>
          <w:tcPr/>
          <w:p>
            <w:pPr>
              <w:pStyle w:val="Compact"/>
              <w:jc w:val="center"/>
            </w:pPr>
            <w:r>
              <w:t xml:space="preserve">4 / 40 cases</w:t>
            </w:r>
          </w:p>
        </w:tc>
        <w:tc>
          <w:tcPr/>
          <w:p>
            <w:pPr>
              <w:pStyle w:val="Compact"/>
              <w:jc w:val="left"/>
            </w:pPr>
            <w:r>
              <w:t xml:space="preserve">Negative radius (-5 km) and null radius on</w:t>
            </w:r>
            <w:r>
              <w:t xml:space="preserve"> </w:t>
            </w:r>
            <w:r>
              <w:rPr>
                <w:rStyle w:val="VerbatimChar"/>
              </w:rPr>
              <w:t xml:space="preserve">within_radius</w:t>
            </w:r>
            <w:r>
              <w:t xml:space="preserve"> </w:t>
            </w:r>
            <w:r>
              <w:t xml:space="preserve">executed; fatal SQL exception.</w:t>
            </w:r>
          </w:p>
        </w:tc>
        <w:tc>
          <w:tcPr/>
          <w:p>
            <w:pPr>
              <w:pStyle w:val="Compact"/>
              <w:jc w:val="center"/>
            </w:pPr>
            <w:r>
              <w:t xml:space="preserve">-0.09 ms</w:t>
            </w:r>
          </w:p>
        </w:tc>
        <w:tc>
          <w:tcPr/>
          <w:p>
            <w:pPr>
              <w:pStyle w:val="Compact"/>
              <w:jc w:val="center"/>
            </w:pPr>
            <w:r>
              <w:t xml:space="preserve">0.00% (0 cases)</w:t>
            </w:r>
          </w:p>
        </w:tc>
      </w:tr>
      <w:tr>
        <w:tc>
          <w:tcPr/>
          <w:p>
            <w:pPr>
              <w:pStyle w:val="Compact"/>
              <w:jc w:val="left"/>
            </w:pPr>
            <w:r>
              <w:rPr>
                <w:bCs/>
                <w:b/>
              </w:rPr>
              <w:t xml:space="preserve">A4. Without Dimension 4</w:t>
            </w:r>
          </w:p>
        </w:tc>
        <w:tc>
          <w:tcPr/>
          <w:p>
            <w:pPr>
              <w:pStyle w:val="Compact"/>
              <w:jc w:val="left"/>
            </w:pPr>
            <w:r>
              <w:rPr>
                <w:iCs/>
                <w:i/>
              </w:rPr>
              <w:t xml:space="preserve">Reference Coordinate Invariant Disabled</w:t>
            </w:r>
          </w:p>
        </w:tc>
        <w:tc>
          <w:tcPr/>
          <w:p>
            <w:pPr>
              <w:pStyle w:val="Compact"/>
              <w:jc w:val="center"/>
            </w:pPr>
            <w:r>
              <w:t xml:space="preserve">2 / 40 cases</w:t>
            </w:r>
          </w:p>
        </w:tc>
        <w:tc>
          <w:tcPr/>
          <w:p>
            <w:pPr>
              <w:pStyle w:val="Compact"/>
              <w:jc w:val="left"/>
            </w:pPr>
            <w:r>
              <w:t xml:space="preserve">POI anchor resolution fails to map to WGS84 lat/lng; radial query executes without center point.</w:t>
            </w:r>
          </w:p>
        </w:tc>
        <w:tc>
          <w:tcPr/>
          <w:p>
            <w:pPr>
              <w:pStyle w:val="Compact"/>
              <w:jc w:val="center"/>
            </w:pPr>
            <w:r>
              <w:t xml:space="preserve">-0.06 ms</w:t>
            </w:r>
          </w:p>
        </w:tc>
        <w:tc>
          <w:tcPr/>
          <w:p>
            <w:pPr>
              <w:pStyle w:val="Compact"/>
              <w:jc w:val="center"/>
            </w:pPr>
            <w:r>
              <w:t xml:space="preserve">0.00% (0 cases)</w:t>
            </w:r>
          </w:p>
        </w:tc>
      </w:tr>
      <w:tr>
        <w:tc>
          <w:tcPr/>
          <w:p>
            <w:pPr>
              <w:pStyle w:val="Compact"/>
              <w:jc w:val="left"/>
            </w:pPr>
            <w:r>
              <w:rPr>
                <w:bCs/>
                <w:b/>
              </w:rPr>
              <w:t xml:space="preserve">A5. Without Dimension 5</w:t>
            </w:r>
          </w:p>
        </w:tc>
        <w:tc>
          <w:tcPr/>
          <w:p>
            <w:pPr>
              <w:pStyle w:val="Compact"/>
              <w:jc w:val="left"/>
            </w:pPr>
            <w:r>
              <w:rPr>
                <w:iCs/>
                <w:i/>
              </w:rPr>
              <w:t xml:space="preserve">Operational &amp; Budget Invariant Disabled</w:t>
            </w:r>
          </w:p>
        </w:tc>
        <w:tc>
          <w:tcPr/>
          <w:p>
            <w:pPr>
              <w:pStyle w:val="Compact"/>
              <w:jc w:val="center"/>
            </w:pPr>
            <w:r>
              <w:t xml:space="preserve">1 / 40 cases</w:t>
            </w:r>
          </w:p>
        </w:tc>
        <w:tc>
          <w:tcPr/>
          <w:p>
            <w:pPr>
              <w:pStyle w:val="Compact"/>
              <w:jc w:val="left"/>
            </w:pPr>
            <w:r>
              <w:t xml:space="preserve">Negative price leaks into</w:t>
            </w:r>
            <w:r>
              <w:t xml:space="preserve"> </w:t>
            </w:r>
            <w:r>
              <w:rPr>
                <w:rStyle w:val="VerbatimChar"/>
              </w:rPr>
              <w:t xml:space="preserve">WHERE harga_tiket &lt;= -10000</w:t>
            </w:r>
            <w:r>
              <w:t xml:space="preserve">, erroneously returning empty set.</w:t>
            </w:r>
          </w:p>
        </w:tc>
        <w:tc>
          <w:tcPr/>
          <w:p>
            <w:pPr>
              <w:pStyle w:val="Compact"/>
              <w:jc w:val="center"/>
            </w:pPr>
            <w:r>
              <w:t xml:space="preserve">-0.05 ms</w:t>
            </w:r>
          </w:p>
        </w:tc>
        <w:tc>
          <w:tcPr/>
          <w:p>
            <w:pPr>
              <w:pStyle w:val="Compact"/>
              <w:jc w:val="center"/>
            </w:pPr>
            <w:r>
              <w:t xml:space="preserve">0.00% (0 cases)</w:t>
            </w:r>
          </w:p>
        </w:tc>
      </w:tr>
      <w:tr>
        <w:tc>
          <w:tcPr/>
          <w:p>
            <w:pPr>
              <w:pStyle w:val="Compact"/>
              <w:jc w:val="left"/>
            </w:pPr>
            <w:r>
              <w:rPr>
                <w:bCs/>
                <w:b/>
              </w:rPr>
              <w:t xml:space="preserve">A6. Without Dimension 6</w:t>
            </w:r>
          </w:p>
        </w:tc>
        <w:tc>
          <w:tcPr/>
          <w:p>
            <w:pPr>
              <w:pStyle w:val="Compact"/>
              <w:jc w:val="left"/>
            </w:pPr>
            <w:r>
              <w:rPr>
                <w:iCs/>
                <w:i/>
              </w:rPr>
              <w:t xml:space="preserve">Ontological Scope Invariant Disabled</w:t>
            </w:r>
          </w:p>
        </w:tc>
        <w:tc>
          <w:tcPr/>
          <w:p>
            <w:pPr>
              <w:pStyle w:val="Compact"/>
              <w:jc w:val="center"/>
            </w:pPr>
            <w:r>
              <w:t xml:space="preserve">2 / 40 cases</w:t>
            </w:r>
          </w:p>
        </w:tc>
        <w:tc>
          <w:tcPr/>
          <w:p>
            <w:pPr>
              <w:pStyle w:val="Compact"/>
              <w:jc w:val="left"/>
            </w:pPr>
            <w:r>
              <w:t xml:space="preserve">Snow ski &amp; Hindu temple query forced into SQL; NLG invents fictitious</w:t>
            </w:r>
            <w:r>
              <w:t xml:space="preserve"> </w:t>
            </w:r>
            <w:r>
              <w:rPr>
                <w:iCs/>
                <w:i/>
              </w:rPr>
              <w:t xml:space="preserve">Wahana Salju</w:t>
            </w:r>
            <w:r>
              <w:t xml:space="preserve"> </w:t>
            </w:r>
            <w:r>
              <w:t xml:space="preserve">attraction.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B1. Without Fallback Handler</w:t>
            </w:r>
          </w:p>
        </w:tc>
        <w:tc>
          <w:tcPr/>
          <w:p>
            <w:pPr>
              <w:pStyle w:val="Compact"/>
              <w:jc w:val="left"/>
            </w:pPr>
            <w:r>
              <w:rPr>
                <w:iCs/>
                <w:i/>
              </w:rPr>
              <w:t xml:space="preserve">Spatial Policy Fallback Disabled</w:t>
            </w:r>
          </w:p>
        </w:tc>
        <w:tc>
          <w:tcPr/>
          <w:p>
            <w:pPr>
              <w:pStyle w:val="Compact"/>
              <w:jc w:val="center"/>
            </w:pPr>
            <w:r>
              <w:t xml:space="preserve">1 / 40 cases</w:t>
            </w:r>
          </w:p>
        </w:tc>
        <w:tc>
          <w:tcPr/>
          <w:p>
            <w:pPr>
              <w:pStyle w:val="Compact"/>
              <w:jc w:val="left"/>
            </w:pPr>
            <w:r>
              <w:t xml:space="preserve">Remote user receives dead-end</w:t>
            </w:r>
            <w:r>
              <w:t xml:space="preserve"> </w:t>
            </w:r>
            <w:r>
              <w:t xml:space="preserve">“</w:t>
            </w:r>
            <w:r>
              <w:t xml:space="preserve">0 destinations found</w:t>
            </w:r>
            <w:r>
              <w:t xml:space="preserve">”</w:t>
            </w:r>
            <w:r>
              <w:t xml:space="preserve"> </w:t>
            </w:r>
            <w:r>
              <w:t xml:space="preserve">without city center fallback offer.</w:t>
            </w:r>
          </w:p>
        </w:tc>
        <w:tc>
          <w:tcPr/>
          <w:p>
            <w:pPr>
              <w:pStyle w:val="Compact"/>
              <w:jc w:val="center"/>
            </w:pPr>
            <w:r>
              <w:t xml:space="preserve">-0.15 ms</w:t>
            </w:r>
          </w:p>
        </w:tc>
        <w:tc>
          <w:tcPr/>
          <w:p>
            <w:pPr>
              <w:pStyle w:val="Compact"/>
              <w:jc w:val="center"/>
            </w:pPr>
            <w:r>
              <w:t xml:space="preserve">0.00% (0 cases)</w:t>
            </w:r>
          </w:p>
        </w:tc>
      </w:tr>
      <w:tr>
        <w:tc>
          <w:tcPr/>
          <w:p>
            <w:pPr>
              <w:pStyle w:val="Compact"/>
              <w:jc w:val="left"/>
            </w:pPr>
            <w:r>
              <w:rPr>
                <w:bCs/>
                <w:b/>
              </w:rPr>
              <w:t xml:space="preserve">B2. Without Grounding Validator</w:t>
            </w:r>
          </w:p>
        </w:tc>
        <w:tc>
          <w:tcPr/>
          <w:p>
            <w:pPr>
              <w:pStyle w:val="Compact"/>
              <w:jc w:val="left"/>
            </w:pPr>
            <w:r>
              <w:rPr>
                <w:iCs/>
                <w:i/>
              </w:rPr>
              <w:t xml:space="preserve">Algorithmic Grounding Validator Disabled</w:t>
            </w:r>
          </w:p>
        </w:tc>
        <w:tc>
          <w:tcPr/>
          <w:p>
            <w:pPr>
              <w:pStyle w:val="Compact"/>
              <w:jc w:val="center"/>
            </w:pPr>
            <w:r>
              <w:t xml:space="preserve">6 / 40 cases</w:t>
            </w:r>
          </w:p>
        </w:tc>
        <w:tc>
          <w:tcPr/>
          <w:p>
            <w:pPr>
              <w:pStyle w:val="Compact"/>
              <w:jc w:val="left"/>
            </w:pPr>
            <w:r>
              <w:t xml:space="preserve">LLM narrative claims Pantai Padang ticket is 50,000 IDR and invents 24h hours (Fidelity drops to 85%).</w:t>
            </w:r>
          </w:p>
        </w:tc>
        <w:tc>
          <w:tcPr/>
          <w:p>
            <w:pPr>
              <w:pStyle w:val="Compact"/>
              <w:jc w:val="center"/>
            </w:pPr>
            <w:r>
              <w:t xml:space="preserve">-0.81 ms</w:t>
            </w:r>
          </w:p>
        </w:tc>
        <w:tc>
          <w:tcPr/>
          <w:p>
            <w:pPr>
              <w:pStyle w:val="Compact"/>
              <w:jc w:val="center"/>
            </w:pPr>
            <w:r>
              <w:t xml:space="preserve">0.00% (0 cases)</w:t>
            </w:r>
          </w:p>
        </w:tc>
      </w:tr>
      <w:tr>
        <w:tc>
          <w:tcPr/>
          <w:p>
            <w:pPr>
              <w:pStyle w:val="Compact"/>
              <w:jc w:val="left"/>
            </w:pPr>
            <w:r>
              <w:rPr>
                <w:bCs/>
                <w:b/>
              </w:rPr>
              <w:t xml:space="preserve">Baseline 1: Direct Text-to-SQL</w:t>
            </w:r>
          </w:p>
        </w:tc>
        <w:tc>
          <w:tcPr/>
          <w:p>
            <w:pPr>
              <w:pStyle w:val="Compact"/>
              <w:jc w:val="left"/>
            </w:pPr>
            <w:r>
              <w:rPr>
                <w:iCs/>
                <w:i/>
              </w:rPr>
              <w:t xml:space="preserve">Direct End-to-End SQL Generation</w:t>
            </w:r>
          </w:p>
        </w:tc>
        <w:tc>
          <w:tcPr/>
          <w:p>
            <w:pPr>
              <w:pStyle w:val="Compact"/>
              <w:jc w:val="center"/>
            </w:pPr>
            <w:r>
              <w:t xml:space="preserve">13 / 40 cases</w:t>
            </w:r>
          </w:p>
        </w:tc>
        <w:tc>
          <w:tcPr/>
          <w:p>
            <w:pPr>
              <w:pStyle w:val="Compact"/>
              <w:jc w:val="left"/>
            </w:pPr>
            <w:r>
              <w:t xml:space="preserve">13 failed queries: table hallucination</w:t>
            </w:r>
            <w:r>
              <w:t xml:space="preserve"> </w:t>
            </w:r>
            <w:r>
              <w:rPr>
                <w:rStyle w:val="VerbatimChar"/>
              </w:rPr>
              <w:t xml:space="preserve">tempat_wisata</w:t>
            </w:r>
            <w:r>
              <w:t xml:space="preserve">, spherical distance syntax error, SQL freeze.</w:t>
            </w:r>
          </w:p>
        </w:tc>
        <w:tc>
          <w:tcPr/>
          <w:p>
            <w:pPr>
              <w:pStyle w:val="Compact"/>
              <w:jc w:val="center"/>
            </w:pPr>
            <w:r>
              <w:t xml:space="preserve">-464.70 ms (W/o LLM #2)</w:t>
            </w:r>
          </w:p>
        </w:tc>
        <w:tc>
          <w:tcPr/>
          <w:p>
            <w:pPr>
              <w:pStyle w:val="Compact"/>
              <w:jc w:val="center"/>
            </w:pPr>
            <w:r>
              <w:t xml:space="preserve">15.00% (Valid queries fail)</w:t>
            </w:r>
          </w:p>
        </w:tc>
      </w:tr>
      <w:tr>
        <w:tc>
          <w:tcPr/>
          <w:p>
            <w:pPr>
              <w:pStyle w:val="Compact"/>
              <w:jc w:val="left"/>
            </w:pPr>
            <w:r>
              <w:rPr>
                <w:bCs/>
                <w:b/>
              </w:rPr>
              <w:t xml:space="preserve">Baseline 2: Unconstrained LLM</w:t>
            </w:r>
          </w:p>
        </w:tc>
        <w:tc>
          <w:tcPr/>
          <w:p>
            <w:pPr>
              <w:pStyle w:val="Compact"/>
              <w:jc w:val="left"/>
            </w:pPr>
            <w:r>
              <w:rPr>
                <w:iCs/>
                <w:i/>
              </w:rPr>
              <w:t xml:space="preserve">Free Generative Output Without DB</w:t>
            </w:r>
          </w:p>
        </w:tc>
        <w:tc>
          <w:tcPr/>
          <w:p>
            <w:pPr>
              <w:pStyle w:val="Compact"/>
              <w:jc w:val="center"/>
            </w:pPr>
            <w:r>
              <w:t xml:space="preserve">17 / 40 cases</w:t>
            </w:r>
          </w:p>
        </w:tc>
        <w:tc>
          <w:tcPr/>
          <w:p>
            <w:pPr>
              <w:pStyle w:val="Compact"/>
              <w:jc w:val="left"/>
            </w:pPr>
            <w:r>
              <w:t xml:space="preserve">Produces 17 fabricated tourist attractions (Pantai Pasir Emas, Museum Bahari, Wahana Salju, etc.).</w:t>
            </w:r>
          </w:p>
        </w:tc>
        <w:tc>
          <w:tcPr/>
          <w:p>
            <w:pPr>
              <w:pStyle w:val="Compact"/>
              <w:jc w:val="center"/>
            </w:pPr>
            <w:r>
              <w:t xml:space="preserve">-88.40 ms (W/o OSRM)</w:t>
            </w:r>
          </w:p>
        </w:tc>
        <w:tc>
          <w:tcPr/>
          <w:p>
            <w:pPr>
              <w:pStyle w:val="Compact"/>
              <w:jc w:val="center"/>
            </w:pPr>
            <w:r>
              <w:t xml:space="preserve">0.00% (Total hallucination)</w:t>
            </w:r>
          </w:p>
        </w:tc>
      </w:tr>
    </w:tbl>
    <w:bookmarkStart w:id="90" w:name="X2622892c86d97a2385a474dbcfa87ed1202ecb9"/>
    <w:p>
      <w:pPr>
        <w:pStyle w:val="Heading4"/>
      </w:pPr>
      <w:r>
        <w:t xml:space="preserve">4.5.1 Empirical Verification of Architectural Benefits: Answering Four Fundamental Questions</w:t>
      </w:r>
    </w:p>
    <w:p>
      <w:pPr>
        <w:pStyle w:val="FirstParagraph"/>
      </w:pPr>
      <w:r>
        <w:t xml:space="preserve">Grounding our conclusions on the empirical data in Tables 7, 7a, 7b, and 7c, this research provides unequivocal answers to four core scientific questions:</w:t>
      </w:r>
    </w:p>
    <w:p>
      <w:pPr>
        <w:numPr>
          <w:ilvl w:val="0"/>
          <w:numId w:val="1011"/>
        </w:numPr>
      </w:pPr>
      <w:r>
        <w:rPr>
          <w:bCs/>
          <w:b/>
        </w:rPr>
        <w:t xml:space="preserve">Does semantic validation reduce the number of silently altered user intents?</w:t>
      </w:r>
      <w:r>
        <w:br/>
      </w:r>
      <w:r>
        <w:rPr>
          <w:bCs/>
          <w:b/>
        </w:rPr>
        <w:t xml:space="preserve">Yes, absolutely (100% reduction in silent intent mutation).</w:t>
      </w:r>
      <w:r>
        <w:t xml:space="preserve"> </w:t>
      </w:r>
      <w:r>
        <w:t xml:space="preserve">Without the</w:t>
      </w:r>
      <w:r>
        <w:t xml:space="preserve"> </w:t>
      </w:r>
      <w:r>
        <w:rPr>
          <w:iCs/>
          <w:i/>
        </w:rPr>
        <w:t xml:space="preserve">SirValidator</w:t>
      </w:r>
      <w:r>
        <w:t xml:space="preserve">, conventional NLP pipelines frequently perform</w:t>
      </w:r>
      <w:r>
        <w:t xml:space="preserve"> </w:t>
      </w:r>
      <w:r>
        <w:rPr>
          <w:iCs/>
          <w:i/>
        </w:rPr>
        <w:t xml:space="preserve">silent mutation</w:t>
      </w:r>
      <w:r>
        <w:t xml:space="preserve"> </w:t>
      </w:r>
      <w:r>
        <w:t xml:space="preserve">(e.g., applying</w:t>
      </w:r>
      <w:r>
        <w:t xml:space="preserve"> </w:t>
      </w:r>
      <w:r>
        <w:rPr>
          <w:rStyle w:val="VerbatimChar"/>
        </w:rPr>
        <w:t xml:space="preserve">abs()</w:t>
      </w:r>
      <w:r>
        <w:t xml:space="preserve"> </w:t>
      </w:r>
      <w:r>
        <w:t xml:space="preserve">to negative radii, silently truncating excessive distances, or arbitrarily imposing default radii). Under the proposed architecture, the</w:t>
      </w:r>
      <w:r>
        <w:t xml:space="preserve"> </w:t>
      </w:r>
      <w:r>
        <w:rPr>
          <w:iCs/>
          <w:i/>
        </w:rPr>
        <w:t xml:space="preserve">No Intent Alteration</w:t>
      </w:r>
      <w:r>
        <w:t xml:space="preserve"> </w:t>
      </w:r>
      <w:r>
        <w:t xml:space="preserve">principle explicitly rejects all arbitrary alterations: across the 4 operator violations in configuration A3, 100% were successfully intercepted and converted into transparent clarification dialogs (</w:t>
      </w:r>
      <w:r>
        <w:rPr>
          <w:rStyle w:val="VerbatimChar"/>
        </w:rPr>
        <w:t xml:space="preserve">clarify_user</w:t>
      </w:r>
      <w:r>
        <w:t xml:space="preserve">) without mutating user intent.</w:t>
      </w:r>
    </w:p>
    <w:p>
      <w:pPr>
        <w:numPr>
          <w:ilvl w:val="0"/>
          <w:numId w:val="1011"/>
        </w:numPr>
      </w:pPr>
      <w:r>
        <w:rPr>
          <w:bCs/>
          <w:b/>
        </w:rPr>
        <w:t xml:space="preserve">Does the grounding validator reduce unsupported factual claims?</w:t>
      </w:r>
      <w:r>
        <w:br/>
      </w:r>
      <w:r>
        <w:rPr>
          <w:bCs/>
          <w:b/>
        </w:rPr>
        <w:t xml:space="preserve">Yes, substantially.</w:t>
      </w:r>
      <w:r>
        <w:t xml:space="preserve"> </w:t>
      </w:r>
      <w:r>
        <w:t xml:space="preserve">In configuration B2 (where</w:t>
      </w:r>
      <w:r>
        <w:t xml:space="preserve"> </w:t>
      </w:r>
      <w:r>
        <w:rPr>
          <w:iCs/>
          <w:i/>
        </w:rPr>
        <w:t xml:space="preserve">GroundingValidator</w:t>
      </w:r>
      <w:r>
        <w:t xml:space="preserve"> </w:t>
      </w:r>
      <w:r>
        <w:t xml:space="preserve">is disabled), factual claim fidelity plunges from 100.00% to 85.00%, permitting 6 instances of numerical and temporal attribute hallucinations (erroneous ticket prices and fictitious opening schedules) to reach end-users. Activating</w:t>
      </w:r>
      <w:r>
        <w:t xml:space="preserve"> </w:t>
      </w:r>
      <w:r>
        <w:rPr>
          <w:iCs/>
          <w:i/>
        </w:rPr>
        <w:t xml:space="preserve">GroundingValidator</w:t>
      </w:r>
      <w:r>
        <w:t xml:space="preserve"> </w:t>
      </w:r>
      <w:r>
        <w:t xml:space="preserve">intercepts 100% of these unsupported statements deterministically post-generation and redirects them to template-grounded SQL facts, ensuring zero ungrounded claims are delivered to users.</w:t>
      </w:r>
    </w:p>
    <w:p>
      <w:pPr>
        <w:numPr>
          <w:ilvl w:val="0"/>
          <w:numId w:val="1011"/>
        </w:numPr>
      </w:pPr>
      <w:r>
        <w:rPr>
          <w:bCs/>
          <w:b/>
        </w:rPr>
        <w:t xml:space="preserve">What is the magnitude of performance degradation when each component is disabled?</w:t>
      </w:r>
      <w:r>
        <w:br/>
      </w:r>
      <w:r>
        <w:t xml:space="preserve">Leave-one-out component disabling produces quantifiable performance degradation:</w:t>
      </w:r>
    </w:p>
    <w:p>
      <w:pPr>
        <w:numPr>
          <w:ilvl w:val="1"/>
          <w:numId w:val="1012"/>
        </w:numPr>
        <w:pStyle w:val="Compact"/>
      </w:pPr>
      <w:r>
        <w:t xml:space="preserve">Disabling schema/syntax invariants (A1) reduces semantic extraction accuracy to 95.00% and triggers 2 database syntax exceptions.</w:t>
      </w:r>
    </w:p>
    <w:p>
      <w:pPr>
        <w:numPr>
          <w:ilvl w:val="1"/>
          <w:numId w:val="1012"/>
        </w:numPr>
        <w:pStyle w:val="Compact"/>
      </w:pPr>
      <w:r>
        <w:t xml:space="preserve">Disabling geographic jurisdiction invariants (A2) reduces accuracy to 92.50% and causes unhandled out-of-bounds queries.</w:t>
      </w:r>
    </w:p>
    <w:p>
      <w:pPr>
        <w:numPr>
          <w:ilvl w:val="1"/>
          <w:numId w:val="1012"/>
        </w:numPr>
        <w:pStyle w:val="Compact"/>
      </w:pPr>
      <w:r>
        <w:t xml:space="preserve">Disabling operator and distance constraints (A3) represents the most catastrophic failure point, depressing accuracy to 90.00% and inducing 4 fatal SQL execution failures.</w:t>
      </w:r>
    </w:p>
    <w:p>
      <w:pPr>
        <w:numPr>
          <w:ilvl w:val="1"/>
          <w:numId w:val="1012"/>
        </w:numPr>
        <w:pStyle w:val="Compact"/>
      </w:pPr>
      <w:r>
        <w:t xml:space="preserve">Disabling ontological scope invariants (A6) completely obliterates honest rejection capability (</w:t>
      </w:r>
      <w:r>
        <w:rPr>
          <w:iCs/>
          <w:i/>
        </w:rPr>
        <w:t xml:space="preserve">Honest Rejection Rate drops from 100% to 0%</w:t>
      </w:r>
      <w:r>
        <w:t xml:space="preserve">).</w:t>
      </w:r>
    </w:p>
    <w:p>
      <w:pPr>
        <w:numPr>
          <w:ilvl w:val="1"/>
          <w:numId w:val="1012"/>
        </w:numPr>
        <w:pStyle w:val="Compact"/>
      </w:pPr>
      <w:r>
        <w:t xml:space="preserve">Disabling</w:t>
      </w:r>
      <w:r>
        <w:t xml:space="preserve"> </w:t>
      </w:r>
      <w:r>
        <w:rPr>
          <w:iCs/>
          <w:i/>
        </w:rPr>
        <w:t xml:space="preserve">GroundingValidator</w:t>
      </w:r>
      <w:r>
        <w:t xml:space="preserve"> </w:t>
      </w:r>
      <w:r>
        <w:t xml:space="preserve">(B2) incurs a 15.00% decline in factual claim fidelity.</w:t>
      </w:r>
    </w:p>
    <w:p>
      <w:pPr>
        <w:numPr>
          <w:ilvl w:val="0"/>
          <w:numId w:val="1011"/>
        </w:numPr>
      </w:pPr>
      <w:r>
        <w:rPr>
          <w:bCs/>
          <w:b/>
        </w:rPr>
        <w:t xml:space="preserve">Is increased reliability achieved at the cost of higher latency or higher rejection rates?</w:t>
      </w:r>
      <w:r>
        <w:br/>
      </w:r>
      <w:r>
        <w:rPr>
          <w:bCs/>
          <w:b/>
        </w:rPr>
        <w:t xml:space="preserve">No.</w:t>
      </w:r>
      <w:r>
        <w:t xml:space="preserve"> </w:t>
      </w:r>
      <w:r>
        <w:t xml:space="preserve">Profiling data confirms that the deterministic computational overhead introduced by both control boundaries is negligible:</w:t>
      </w:r>
      <w:r>
        <w:t xml:space="preserve"> </w:t>
      </w:r>
      <w:r>
        <w:rPr>
          <w:iCs/>
          <w:i/>
        </w:rPr>
        <w:t xml:space="preserve">SirValidator</w:t>
      </w:r>
      <w:r>
        <w:t xml:space="preserve"> </w:t>
      </w:r>
      <w:r>
        <w:t xml:space="preserve">requires an average of</w:t>
      </w:r>
      <w:r>
        <w:t xml:space="preserve"> </w:t>
      </w:r>
      <w:r>
        <w:rPr>
          <w:bCs/>
          <w:b/>
        </w:rPr>
        <w:t xml:space="preserve">0.42 ms</w:t>
      </w:r>
      <w:r>
        <w:t xml:space="preserve"> </w:t>
      </w:r>
      <w:r>
        <w:t xml:space="preserve">and</w:t>
      </w:r>
      <w:r>
        <w:t xml:space="preserve"> </w:t>
      </w:r>
      <w:r>
        <w:rPr>
          <w:iCs/>
          <w:i/>
        </w:rPr>
        <w:t xml:space="preserve">GroundingValidator</w:t>
      </w:r>
      <w:r>
        <w:t xml:space="preserve"> </w:t>
      </w:r>
      <w:r>
        <w:t xml:space="preserve">requires</w:t>
      </w:r>
      <w:r>
        <w:t xml:space="preserve"> </w:t>
      </w:r>
      <w:r>
        <w:rPr>
          <w:bCs/>
          <w:b/>
        </w:rPr>
        <w:t xml:space="preserve">0.81 ms</w:t>
      </w:r>
      <w:r>
        <w:t xml:space="preserve">. The cumulative deterministic latency addition is merely</w:t>
      </w:r>
      <w:r>
        <w:t xml:space="preserve"> </w:t>
      </w:r>
      <w:r>
        <w:rPr>
          <w:bCs/>
          <w:b/>
        </w:rPr>
        <w:t xml:space="preserve">1.23 ms</w:t>
      </w:r>
      <w:r>
        <w:t xml:space="preserve"> </w:t>
      </w:r>
      <w:r>
        <w:t xml:space="preserve">(&lt; 0.1% of the total 1,340.57 ms system response time, which is overwhelmingly governed by remote LLM inference ~1,250 ms). In terms of rejection behavior, the system exhibits a</w:t>
      </w:r>
      <w:r>
        <w:t xml:space="preserve"> </w:t>
      </w:r>
      <w:r>
        <w:rPr>
          <w:bCs/>
          <w:b/>
        </w:rPr>
        <w:t xml:space="preserve">False Rejection Rate of exactly 0.00%</w:t>
      </w:r>
      <w:r>
        <w:t xml:space="preserve"> </w:t>
      </w:r>
      <w:r>
        <w:t xml:space="preserve">(all 38 in-domain scenarios were serviced successfully without false dismissals). Rejection occurs with 100% precision exclusively on the 2 queries that reside outside the tourism domain (</w:t>
      </w:r>
      <w:r>
        <w:rPr>
          <w:iCs/>
          <w:i/>
        </w:rPr>
        <w:t xml:space="preserve">100% Honest Rejection Rate, 2/2</w:t>
      </w:r>
      <w:r>
        <w:t xml:space="preserve">).</w:t>
      </w:r>
    </w:p>
    <w:p>
      <w:pPr>
        <w:pStyle w:val="FirstParagraph"/>
      </w:pPr>
      <w:r>
        <w:t xml:space="preserve">All underlying logic modules are rigorously validated through an automated PHPUnit test suite comprising</w:t>
      </w:r>
      <w:r>
        <w:t xml:space="preserve"> </w:t>
      </w:r>
      <w:r>
        <w:rPr>
          <w:bCs/>
          <w:b/>
        </w:rPr>
        <w:t xml:space="preserve">56 automated unit, integration, and adversarial tests</w:t>
      </w:r>
      <w:r>
        <w:t xml:space="preserve"> </w:t>
      </w:r>
      <w:r>
        <w:t xml:space="preserve">with</w:t>
      </w:r>
      <w:r>
        <w:t xml:space="preserve"> </w:t>
      </w:r>
      <w:r>
        <w:rPr>
          <w:bCs/>
          <w:b/>
        </w:rPr>
        <w:t xml:space="preserve">240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independent MySQL 8.0 spatial boundary checks in</w:t>
      </w:r>
      <w:r>
        <w:t xml:space="preserve"> </w:t>
      </w:r>
      <w:r>
        <w:rPr>
          <w:iCs/>
          <w:i/>
        </w:rPr>
        <w:t xml:space="preserve">SpatialDatabaseIntegrationTest</w:t>
      </w:r>
      <w:r>
        <w:t xml:space="preserve">, adversarial Minang dialect and anti-fabrication constraints in</w:t>
      </w:r>
      <w:r>
        <w:t xml:space="preserve"> </w:t>
      </w:r>
      <w:r>
        <w:rPr>
          <w:iCs/>
          <w:i/>
        </w:rPr>
        <w:t xml:space="preserve">AdversarialLinguisticValidationTest</w:t>
      </w:r>
      <w:r>
        <w:t xml:space="preserve">, and algorithmic ungrounded entity rejection in</w:t>
      </w:r>
      <w:r>
        <w:t xml:space="preserve"> </w:t>
      </w:r>
      <w:r>
        <w:rPr>
          <w:iCs/>
          <w:i/>
        </w:rPr>
        <w:t xml:space="preserve">GroundingValidatorTest</w:t>
      </w:r>
      <w:r>
        <w:t xml:space="preserve">) with a 100% pass rate (exit code 0).</w:t>
      </w:r>
    </w:p>
    <w:bookmarkEnd w:id="90"/>
    <w:bookmarkStart w:id="91" w:name="Xbcd54fb25c081da6fa63c75d019d04e2881f627"/>
    <w:p>
      <w:pPr>
        <w:pStyle w:val="Heading4"/>
      </w:pPr>
      <w:r>
        <w:t xml:space="preserve">4.5.2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7d:</w:t>
      </w:r>
    </w:p>
    <w:p>
      <w:pPr>
        <w:pStyle w:val="BodyText"/>
      </w:pPr>
      <w:r>
        <w:rPr>
          <w:bCs/>
          <w:b/>
        </w:rPr>
        <w:t xml:space="preserve">Table 7d.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91"/>
    <w:bookmarkStart w:id="92" w:name="X3d6b206cb8450300f22cee7e2b06a8d5c06820a"/>
    <w:p>
      <w:pPr>
        <w:pStyle w:val="Heading4"/>
      </w:pPr>
      <w:r>
        <w:t xml:space="preserve">4.5.3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7e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7e.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7e verify that the non-LLM session state merger deterministically preserves 100% of prior spatial anchors and category slots across multi-turn interactions, while successfully incorporating new constraints without requiring repetitive user specification.</w:t>
      </w:r>
    </w:p>
    <w:bookmarkEnd w:id="92"/>
    <w:bookmarkEnd w:id="93"/>
    <w:bookmarkStart w:id="94" w:name="Xbdf77fcd65262665628e25e2073cd123c1cbfaf"/>
    <w:p>
      <w:pPr>
        <w:pStyle w:val="Heading3"/>
      </w:pPr>
      <w:r>
        <w:t xml:space="preserve">6.4 5-Stage Latency Profile and Massive Spatial Query Stress Test</w:t>
      </w:r>
    </w:p>
    <w:p>
      <w:pPr>
        <w:pStyle w:val="FirstParagraph"/>
      </w:pPr>
      <w:r>
        <w:t xml:space="preserve">Latency was logged per processing stage across 40 benchmark scenarios under a standardized 3-replication protocol (</w:t>
      </w:r>
      <m:oMath>
        <m:r>
          <m:t>N</m:t>
        </m:r>
        <m:r>
          <m:rPr>
            <m:sty m:val="p"/>
          </m:rPr>
          <m:t>=</m:t>
        </m:r>
        <m:r>
          <m:t>120</m:t>
        </m:r>
      </m:oMath>
      <w:r>
        <w:t xml:space="preserve"> </w:t>
      </w:r>
      <w:r>
        <w:t xml:space="preserve">total runs). The evaluation framework rigorously distinguishes between two operational testing regimes:</w:t>
      </w:r>
      <w:r>
        <w:t xml:space="preserve"> </w:t>
      </w:r>
      <w:r>
        <w:rPr>
          <w:rStyle w:val="VerbatimChar"/>
        </w:rPr>
        <w:t xml:space="preserve">--mock</w:t>
      </w:r>
      <w:r>
        <w:t xml:space="preserve"> </w:t>
      </w:r>
      <w:r>
        <w:t xml:space="preserve">mode for deterministic, reproducible local invariant validation without external network calls, and</w:t>
      </w:r>
      <w:r>
        <w:t xml:space="preserve"> </w:t>
      </w:r>
      <w:r>
        <w:rPr>
          <w:rStyle w:val="VerbatimChar"/>
        </w:rPr>
        <w:t xml:space="preserve">--live</w:t>
      </w:r>
      <w:r>
        <w:t xml:space="preserve"> </w:t>
      </w:r>
      <w:r>
        <w:t xml:space="preserve">mode evaluating full multi-turn conversational inference via the DeepSeek API (</w:t>
      </w:r>
      <m:oMath>
        <m:r>
          <m:t>t</m:t>
        </m:r>
        <m:r>
          <m:t>e</m:t>
        </m:r>
        <m:r>
          <m:t>m</m:t>
        </m:r>
        <m:r>
          <m:t>p</m:t>
        </m:r>
        <m:r>
          <m:t>e</m:t>
        </m:r>
        <m:r>
          <m:t>r</m:t>
        </m:r>
        <m:r>
          <m:t>a</m:t>
        </m:r>
        <m:r>
          <m:t>t</m:t>
        </m:r>
        <m:r>
          <m:t>u</m:t>
        </m:r>
        <m:r>
          <m:t>r</m:t>
        </m:r>
        <m:r>
          <m:t>e</m:t>
        </m:r>
        <m:r>
          <m:rPr>
            <m:sty m:val="p"/>
          </m:rPr>
          <m:t>=</m:t>
        </m:r>
        <m:r>
          <m:t>0.0</m:t>
        </m:r>
      </m:oMath>
      <w:r>
        <w:t xml:space="preserve">, JSON mode). Table 8 presents the comprehensive 5-stage latency profile:</w:t>
      </w:r>
    </w:p>
    <w:p>
      <w:pPr>
        <w:pStyle w:val="BodyText"/>
      </w:pPr>
      <w:r>
        <w:rPr>
          <w:bCs/>
          <w:b/>
        </w:rPr>
        <w:t xml:space="preserve">Table 8. Millisecond-Level Latency Breakdown per Processing Stage (</w:t>
      </w:r>
      <m:oMath>
        <m:r>
          <m:t>N</m:t>
        </m:r>
        <m:r>
          <m:rPr>
            <m:sty m:val="p"/>
          </m:rPr>
          <m:t>=</m:t>
        </m:r>
        <m:r>
          <m:t>120</m:t>
        </m:r>
      </m:oMath>
      <w:r>
        <w:rPr>
          <w:bCs/>
          <w:b/>
        </w:rPr>
        <w:t xml:space="preserve"> </w:t>
      </w:r>
      <w:r>
        <w:rPr>
          <w:bCs/>
          <w:b/>
        </w:rPr>
        <w:t xml:space="preserve">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 / Pipeline Stage</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95th Percentile (p95)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Latency Share (%)</w:t>
            </w:r>
          </w:p>
        </w:tc>
      </w:tr>
      <w:tr>
        <w:tc>
          <w:tcPr/>
          <w:p>
            <w:pPr>
              <w:pStyle w:val="Compact"/>
              <w:jc w:val="left"/>
            </w:pPr>
            <w:r>
              <w:rPr>
                <w:bCs/>
                <w:b/>
              </w:rPr>
              <w:t xml:space="preserve">A. Server-Side Backend Processing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Invariant Validation (SirValidator 6-Dim)</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SQL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Server Backend Latency</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Client-Side Visualization &amp; Routing (Asynchronous)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Polyline Routing &amp; Road Navigation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User-Perceived End-to-End Latency</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Methodological Note on Testing Regimes:</w:t>
      </w:r>
      <w:r>
        <w:t xml:space="preserve"> </w:t>
      </w:r>
      <w:r>
        <w:t xml:space="preserve">&gt; In the deterministic in-memory offline mock mode (</w:t>
      </w:r>
      <w:r>
        <w:rPr>
          <w:rStyle w:val="VerbatimChar"/>
        </w:rPr>
        <w:t xml:space="preserve">--mock</w:t>
      </w:r>
      <w:r>
        <w:t xml:space="preserve">) designed for unit testing and CI/CD pipelines without consuming API credits, server backend latency averaged</w:t>
      </w:r>
      <w:r>
        <w:t xml:space="preserve"> </w:t>
      </w:r>
      <w:r>
        <w:rPr>
          <w:bCs/>
          <w:b/>
        </w:rPr>
        <w:t xml:space="preserve">8.99 ms</w:t>
      </w:r>
      <w:r>
        <w:t xml:space="preserve"> </w:t>
      </w:r>
      <w:r>
        <w:t xml:space="preserve">(median: 8.65 ms, p95: 14.20 ms). Live production metrics and offline invariant verification metrics are formally separated and distinctly recorded in the benchmark repository.</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(median: 1.10 ms, p95: 2.45 ms; 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averaged</w:t>
      </w:r>
      <w:r>
        <w:t xml:space="preserve"> </w:t>
      </w:r>
      <w:r>
        <w:rPr>
          <w:bCs/>
          <w:b/>
        </w:rPr>
        <w:t xml:space="preserve">1,340.57 ms (~1.34 seconds)</w:t>
      </w:r>
      <w:r>
        <w:t xml:space="preserve"> </w:t>
      </w:r>
      <w:r>
        <w:t xml:space="preserve">(median: 1,316.89 ms, p95: 1,709.97 ms), explicitly encompassing</w:t>
      </w:r>
      <w:r>
        <w:t xml:space="preserve"> </w:t>
      </w:r>
      <w:r>
        <w:rPr>
          <w:bCs/>
          <w:b/>
        </w:rPr>
        <w:t xml:space="preserve">two distinct remote LLM API inference calls</w:t>
      </w:r>
      <w:r>
        <w:t xml:space="preserve">: LLM Call #1 for Intent Parsing (465.12 ms or 34.69%) and LLM Call #2 for Grounded NLG (785.42 ms or 58.60%), with intermediate MySQL relational computation consuming merely 1.21 ms (0.09%). This dual-invocation design is an intentional architectural necessity to maintain the Cognitive Air-Gap and enforce Grounding Fidelity. With a 95th percentile of 1,709.97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p>
      <w:pPr>
        <w:pStyle w:val="BodyText"/>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94"/>
    <w:bookmarkStart w:id="97" w:name="X7716dd75639e6fbd08410068975f0540c7e8d17"/>
    <w:p>
      <w:pPr>
        <w:pStyle w:val="Heading3"/>
      </w:pPr>
      <w:r>
        <w:t xml:space="preserve">6.5 Usability Evaluation and Cognitive Task Efficiency (SUS &amp; TCT)</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The failed task protocol established a maximum ceiling time-out threshold of</w:t>
      </w:r>
      <w:r>
        <w:t xml:space="preserve"> </w:t>
      </w:r>
      <w:r>
        <w:rPr>
          <w:bCs/>
          <w:b/>
        </w:rPr>
        <w:t xml:space="preserve">180 seconds (3 minutes)</w:t>
      </w:r>
      <w:r>
        <w:t xml:space="preserve">, whereby any participant unable to retrieve destinations within the threshold would be marked as an unsuccessful task with a recorded time of 180 seconds. In the empirical trials, all 30 participants successfully completed all three tasks across both interface modalities well within the threshold, yielding a</w:t>
      </w:r>
      <w:r>
        <w:t xml:space="preserve"> </w:t>
      </w:r>
      <w:r>
        <w:rPr>
          <w:bCs/>
          <w:b/>
        </w:rPr>
        <w:t xml:space="preserve">100% task completion rate</w:t>
      </w:r>
      <w:r>
        <w:t xml:space="preserve">.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p>
      <w:pPr>
        <w:pStyle w:val="BodyText"/>
      </w:pPr>
      <w:r>
        <w:rPr>
          <w:bCs/>
          <w:b/>
        </w:rPr>
        <w:t xml:space="preserve">8. Research Ethics Clearance:</w:t>
      </w:r>
      <w:r>
        <w:br/>
      </w:r>
      <w:r>
        <w:t xml:space="preserve">The experimental usability evaluation protocol was reviewed and granted formal ethics approval by the Research Ethics Committee of LPPM Universitas Andalas (Ethics Approval Letter No. 042/UN16.09/ETIK/2026). All participants provided written informed consent, participated voluntarily without coercion, were assured full data anonymity, and retained the unconditional right to withdraw at any stage without prejudice.</w:t>
      </w:r>
    </w:p>
    <w:p>
      <w:pPr>
        <w:pStyle w:val="BodyText"/>
      </w:pPr>
      <w:r>
        <w:rPr>
          <w:bCs/>
          <w:b/>
        </w:rPr>
        <w:t xml:space="preserve">9. Open Raw Data Availability:</w:t>
      </w:r>
      <w:r>
        <w:br/>
      </w:r>
      <w:r>
        <w:t xml:space="preserve">In alignment with open science and empirical audit standards, raw item-by-item SUS Likert scores (10 items), precise TCT duration measurements per task, participant demographics, and counterbalancing sequence logs are publicly accessible in</w:t>
      </w:r>
      <w:r>
        <w:t xml:space="preserve"> </w:t>
      </w:r>
      <w:hyperlink r:id="rId95">
        <w:r>
          <w:rPr>
            <w:rStyle w:val="VerbatimChar"/>
          </w:rPr>
          <w:t xml:space="preserve">jurnal/LAMPIRAN_RAW_DATA_SUS_TCT.md</w:t>
        </w:r>
      </w:hyperlink>
      <w:r>
        <w:t xml:space="preserve"> </w:t>
      </w:r>
      <w:r>
        <w:t xml:space="preserve">and in structured tabular format at</w:t>
      </w:r>
      <w:r>
        <w:t xml:space="preserve"> </w:t>
      </w:r>
      <w:hyperlink r:id="rId96">
        <w:r>
          <w:rPr>
            <w:rStyle w:val="VerbatimChar"/>
          </w:rPr>
          <w:t xml:space="preserve">jurnal/usability_sus_tct_30_respondents.csv</w:t>
        </w:r>
      </w:hyperlink>
      <w:r>
        <w:t xml:space="preserve">.</w:t>
      </w:r>
    </w:p>
    <w:bookmarkEnd w:id="97"/>
    <w:bookmarkStart w:id="98" w:name="X7a0202543685ef251dbea6e15667e3ccea1a897"/>
    <w:p>
      <w:pPr>
        <w:pStyle w:val="Heading3"/>
      </w:pPr>
      <w:r>
        <w:t xml:space="preserve">6.6 Automated Test Suite Verification (56 Tests, 240 Assertions, 100% PASS)</w:t>
      </w:r>
    </w:p>
    <w:p>
      <w:pPr>
        <w:pStyle w:val="FirstParagraph"/>
      </w:pPr>
      <w:r>
        <w:t xml:space="preserve">The structural integrity of the architecture was verified via an automated PHPUnit regression test suite. The suite comprises</w:t>
      </w:r>
      <w:r>
        <w:t xml:space="preserve"> </w:t>
      </w:r>
      <w:r>
        <w:rPr>
          <w:bCs/>
          <w:b/>
        </w:rPr>
        <w:t xml:space="preserve">56 automated unit, integration, and adversarial tests</w:t>
      </w:r>
      <w:r>
        <w:t xml:space="preserve"> </w:t>
      </w:r>
      <w:r>
        <w:t xml:space="preserve">yielding</w:t>
      </w:r>
      <w:r>
        <w:t xml:space="preserve"> </w:t>
      </w:r>
      <w:r>
        <w:rPr>
          <w:bCs/>
          <w:b/>
        </w:rPr>
        <w:t xml:space="preserve">240 assertions</w:t>
      </w:r>
      <w:r>
        <w:t xml:space="preserve"> </w:t>
      </w:r>
      <w:r>
        <w:t xml:space="preserve">testing:</w:t>
      </w:r>
      <w:r>
        <w:t xml:space="preserve"> </w:t>
      </w:r>
      <w:r>
        <w:t xml:space="preserve">* Spherical distance calculation consistency against real coordinates of the 22 POIs (</w:t>
      </w:r>
      <w:r>
        <w:rPr>
          <w:rStyle w:val="VerbatimChar"/>
        </w:rPr>
        <w:t xml:space="preserve">SpatialDatabaseIntegrationTest</w:t>
      </w:r>
      <w:r>
        <w:t xml:space="preserve">, 6 tests, 33 assertions, 100% pass).</w:t>
      </w:r>
      <w:r>
        <w:t xml:space="preserve"> </w:t>
      </w:r>
      <w:r>
        <w:t xml:space="preserve">*</w:t>
      </w:r>
      <w:r>
        <w:t xml:space="preserve"> </w:t>
      </w:r>
      <w:r>
        <w:rPr>
          <w:rStyle w:val="VerbatimChar"/>
        </w:rPr>
        <w:t xml:space="preserve">GroundingValidator</w:t>
      </w:r>
      <w:r>
        <w:t xml:space="preserve"> </w:t>
      </w:r>
      <w:r>
        <w:t xml:space="preserve">robustness across edge-case temporal formats, POI aliases, numeric ambiguity, negative claims, missing facts, and unstructured responses (</w:t>
      </w:r>
      <w:r>
        <w:rPr>
          <w:rStyle w:val="VerbatimChar"/>
        </w:rPr>
        <w:t xml:space="preserve">GroundingValidatorTest</w:t>
      </w:r>
      <w:r>
        <w:t xml:space="preserve">, 16 tests, 65 assertions, 100% pass).</w:t>
      </w:r>
      <w:r>
        <w:t xml:space="preserve"> </w:t>
      </w:r>
      <w:r>
        <w:t xml:space="preserve">* Compiler security invariants against diverse SQL injection payloads (</w:t>
      </w:r>
      <w:r>
        <w:rPr>
          <w:rStyle w:val="VerbatimChar"/>
        </w:rPr>
        <w:t xml:space="preserve">SpatialQueryCompilerTest</w:t>
      </w:r>
      <w:r>
        <w:t xml:space="preserve">, 8 tests, 100% pass).</w:t>
      </w:r>
      <w:r>
        <w:t xml:space="preserve"> </w:t>
      </w:r>
      <w:r>
        <w:t xml:space="preserve">* Strict compliance with 6-dimensional validation rules under the</w:t>
      </w:r>
      <w:r>
        <w:t xml:space="preserve"> </w:t>
      </w:r>
      <w:r>
        <w:rPr>
          <w:iCs/>
          <w:i/>
        </w:rPr>
        <w:t xml:space="preserve">No Intent Alteration</w:t>
      </w:r>
      <w:r>
        <w:t xml:space="preserve"> </w:t>
      </w:r>
      <w:r>
        <w:t xml:space="preserve">principle (</w:t>
      </w:r>
      <w:r>
        <w:rPr>
          <w:rStyle w:val="VerbatimChar"/>
        </w:rPr>
        <w:t xml:space="preserve">SirValidatorTest</w:t>
      </w:r>
      <w:r>
        <w:t xml:space="preserve">, 10 tests, 100% pass).</w:t>
      </w:r>
      <w:r>
        <w:t xml:space="preserve"> </w:t>
      </w:r>
      <w:r>
        <w:t xml:space="preserve">* Adversarial security, Minangkabau dialectal invariants, and strict fact grounding firewall (</w:t>
      </w:r>
      <w:r>
        <w:rPr>
          <w:rStyle w:val="VerbatimChar"/>
        </w:rPr>
        <w:t xml:space="preserve">AdversarialLinguisticValidationTest</w:t>
      </w:r>
      <w:r>
        <w:t xml:space="preserve">, 11 tests, 68 assertions, 100% pass).</w:t>
      </w:r>
      <w:r>
        <w:t xml:space="preserve"> </w:t>
      </w:r>
      <w:r>
        <w:t xml:space="preserve">* Health checks and database model integrity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tests, 100% pass).</w:t>
      </w:r>
    </w:p>
    <w:p>
      <w:pPr>
        <w:pStyle w:val="BodyText"/>
      </w:pPr>
      <w:r>
        <w:t xml:space="preserve">All 56 automated tests passed with a 100% success rate (</w:t>
      </w:r>
      <w:r>
        <w:rPr>
          <w:iCs/>
          <w:i/>
        </w:rPr>
        <w:t xml:space="preserve">zero failures, zero errors</w:t>
      </w:r>
      <w:r>
        <w:t xml:space="preserve">), establishing production-grade software stability.</w:t>
      </w:r>
    </w:p>
    <w:bookmarkEnd w:id="98"/>
    <w:bookmarkStart w:id="103" w:name="Xa61ce5039b6512ec9a8a8d5799ed386dbf2ef88"/>
    <w:p>
      <w:pPr>
        <w:pStyle w:val="Heading3"/>
      </w:pPr>
      <w:r>
        <w:t xml:space="preserve">6.7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13"/>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13"/>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13"/>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100" name="Picture"/>
            <a:graphic>
              <a:graphicData uri="http://schemas.openxmlformats.org/drawingml/2006/picture">
                <pic:pic>
                  <pic:nvPicPr>
                    <pic:cNvPr descr="images/figure7_hallucination_evaluation.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Start w:id="102" w:name="Xa230ae07ddf941e9b0aef53327983d9ec5d70c4"/>
    <w:p>
      <w:pPr>
        <w:pStyle w:val="Heading4"/>
      </w:pPr>
      <w:r>
        <w:t xml:space="preserve">Isolated Case Deviation Analysis on Benchmark Scenarios</w:t>
      </w:r>
    </w:p>
    <w:p>
      <w:pPr>
        <w:pStyle w:val="FirstParagraph"/>
      </w:pPr>
      <w:r>
        <w:t xml:space="preserve">Across the 40 evaluated benchmark scenarios, five isolated non-fatal deviations were observed during initial LLM extraction before being safely resolved by system policies:</w:t>
      </w:r>
      <w:r>
        <w:t xml:space="preserve"> </w:t>
      </w:r>
      <w:r>
        <w:t xml:space="preserve">1.</w:t>
      </w:r>
      <w:r>
        <w:t xml:space="preserve"> </w:t>
      </w:r>
      <w:r>
        <w:rPr>
          <w:bCs/>
          <w:b/>
        </w:rPr>
        <w:t xml:space="preserve">Scenario S03 (Category Ambiguity vs. Specific Landmark - F1):</w:t>
      </w:r>
      <w:r>
        <w:t xml:space="preserve"> </w:t>
      </w:r>
      <w:r>
        <w:t xml:space="preserve">The user inquired about historical collections without naming a specific museum. The LLM extracted</w:t>
      </w:r>
      <w:r>
        <w:t xml:space="preserve"> </w:t>
      </w:r>
      <w:r>
        <w:rPr>
          <w:rStyle w:val="VerbatimChar"/>
        </w:rPr>
        <w:t xml:space="preserve">category = 'Museum'</w:t>
      </w:r>
      <w:r>
        <w:t xml:space="preserve"> </w:t>
      </w:r>
      <w:r>
        <w:t xml:space="preserve">without</w:t>
      </w:r>
      <w:r>
        <w:t xml:space="preserve"> </w:t>
      </w:r>
      <w:r>
        <w:rPr>
          <w:rStyle w:val="VerbatimChar"/>
        </w:rPr>
        <w:t xml:space="preserve">target_name</w:t>
      </w:r>
      <w:r>
        <w:t xml:space="preserve">. The system safely executed a category query returning Adityawarman Museum and the Cultural Center with zero hallucination.</w:t>
      </w:r>
      <w:r>
        <w:t xml:space="preserve"> </w:t>
      </w:r>
      <w:r>
        <w:t xml:space="preserve">2.</w:t>
      </w:r>
      <w:r>
        <w:t xml:space="preserve"> </w:t>
      </w:r>
      <w:r>
        <w:rPr>
          <w:bCs/>
          <w:b/>
        </w:rPr>
        <w:t xml:space="preserve">Scenario S13 (POI Name Alias Resolution - F3):</w:t>
      </w:r>
      <w:r>
        <w:t xml:space="preserve"> </w:t>
      </w:r>
      <w:r>
        <w:t xml:space="preserve">The user specified</w:t>
      </w:r>
      <w:r>
        <w:t xml:space="preserve"> </w:t>
      </w:r>
      <w:r>
        <w:rPr>
          <w:iCs/>
          <w:i/>
        </w:rPr>
        <w:t xml:space="preserve">“</w:t>
      </w:r>
      <w:r>
        <w:rPr>
          <w:iCs/>
          <w:i/>
        </w:rPr>
        <w:t xml:space="preserve">Kawasan Kota Tua Padang</w:t>
      </w:r>
      <w:r>
        <w:rPr>
          <w:iCs/>
          <w:i/>
        </w:rPr>
        <w:t xml:space="preserve">”</w:t>
      </w:r>
      <w:r>
        <w:t xml:space="preserve">, whereas the database registered</w:t>
      </w:r>
      <w:r>
        <w:t xml:space="preserve"> </w:t>
      </w:r>
      <w:r>
        <w:rPr>
          <w:iCs/>
          <w:i/>
        </w:rPr>
        <w:t xml:space="preserve">“</w:t>
      </w:r>
      <w:r>
        <w:rPr>
          <w:iCs/>
          <w:i/>
        </w:rPr>
        <w:t xml:space="preserve">Kota Tua Padang (Muaro)</w:t>
      </w:r>
      <w:r>
        <w:rPr>
          <w:iCs/>
          <w:i/>
        </w:rPr>
        <w:t xml:space="preserve">”</w:t>
      </w:r>
      <w:r>
        <w:t xml:space="preserve">. The Levenshtein entity resolution pipeline successfully mapped the alias with similarity Sim = 0.88 &gt;= 0.75, extracting accurate database facts.</w:t>
      </w:r>
      <w:r>
        <w:t xml:space="preserve"> </w:t>
      </w:r>
      <w:r>
        <w:t xml:space="preserve">3.</w:t>
      </w:r>
      <w:r>
        <w:t xml:space="preserve"> </w:t>
      </w:r>
      <w:r>
        <w:rPr>
          <w:bCs/>
          <w:b/>
        </w:rPr>
        <w:t xml:space="preserve">Scenario S16 (Zero-Fare Assertion on Public Bridge - F7 Mitigation):</w:t>
      </w:r>
      <w:r>
        <w:t xml:space="preserve"> </w:t>
      </w:r>
      <w:r>
        <w:t xml:space="preserve">The grounded NLG synthesized a statement that Siti Nurbaya Bridge requires no entrance fee (Rp0).</w:t>
      </w:r>
      <w:r>
        <w:t xml:space="preserve"> </w:t>
      </w:r>
      <w:r>
        <w:rPr>
          <w:rStyle w:val="VerbatimChar"/>
        </w:rPr>
        <w:t xml:space="preserve">GroundingValidator</w:t>
      </w:r>
      <w:r>
        <w:t xml:space="preserve"> </w:t>
      </w:r>
      <w:r>
        <w:t xml:space="preserve">confirmed that</w:t>
      </w:r>
      <w:r>
        <w:t xml:space="preserve"> </w:t>
      </w:r>
      <w:r>
        <w:rPr>
          <w:rStyle w:val="VerbatimChar"/>
        </w:rPr>
        <w:t xml:space="preserve">ticket_price = 0</w:t>
      </w:r>
      <w:r>
        <w:t xml:space="preserve"> </w:t>
      </w:r>
      <w:r>
        <w:t xml:space="preserve">was registered in the database for the public bridge facility, verifying the claim as true.</w:t>
      </w:r>
      <w:r>
        <w:t xml:space="preserve"> </w:t>
      </w:r>
      <w:r>
        <w:t xml:space="preserve">4.</w:t>
      </w:r>
      <w:r>
        <w:t xml:space="preserve"> </w:t>
      </w:r>
      <w:r>
        <w:rPr>
          <w:bCs/>
          <w:b/>
        </w:rPr>
        <w:t xml:space="preserve">Scenario S17 (Cultural Center Diction Variation - F3):</w:t>
      </w:r>
      <w:r>
        <w:t xml:space="preserve"> </w:t>
      </w:r>
      <w:r>
        <w:t xml:space="preserve">The user asked for</w:t>
      </w:r>
      <w:r>
        <w:t xml:space="preserve"> </w:t>
      </w:r>
      <w:r>
        <w:rPr>
          <w:iCs/>
          <w:i/>
        </w:rPr>
        <w:t xml:space="preserve">“</w:t>
      </w:r>
      <w:r>
        <w:rPr>
          <w:iCs/>
          <w:i/>
        </w:rPr>
        <w:t xml:space="preserve">Taman Budaya Padang</w:t>
      </w:r>
      <w:r>
        <w:rPr>
          <w:iCs/>
          <w:i/>
        </w:rPr>
        <w:t xml:space="preserve">”</w:t>
      </w:r>
      <w:r>
        <w:t xml:space="preserve">. The system detected phonetic proximity to</w:t>
      </w:r>
      <w:r>
        <w:t xml:space="preserve"> </w:t>
      </w:r>
      <w:r>
        <w:rPr>
          <w:iCs/>
          <w:i/>
        </w:rPr>
        <w:t xml:space="preserve">“</w:t>
      </w:r>
      <w:r>
        <w:rPr>
          <w:iCs/>
          <w:i/>
        </w:rPr>
        <w:t xml:space="preserve">Gedung Kebudayaan Sumbar</w:t>
      </w:r>
      <w:r>
        <w:rPr>
          <w:iCs/>
          <w:i/>
        </w:rPr>
        <w:t xml:space="preserve">”</w:t>
      </w:r>
      <w:r>
        <w:t xml:space="preserve"> </w:t>
      </w:r>
      <w:r>
        <w:t xml:space="preserve">and prompted user confirmation via the</w:t>
      </w:r>
      <w:r>
        <w:t xml:space="preserve"> </w:t>
      </w:r>
      <w:r>
        <w:rPr>
          <w:rStyle w:val="VerbatimChar"/>
        </w:rPr>
        <w:t xml:space="preserve">clarify_user</w:t>
      </w:r>
      <w:r>
        <w:t xml:space="preserve"> </w:t>
      </w:r>
      <w:r>
        <w:t xml:space="preserve">policy, preventing erroneous data retrieval.</w:t>
      </w:r>
      <w:r>
        <w:t xml:space="preserve"> </w:t>
      </w:r>
      <w:r>
        <w:t xml:space="preserve">5.</w:t>
      </w:r>
      <w:r>
        <w:t xml:space="preserve"> </w:t>
      </w:r>
      <w:r>
        <w:rPr>
          <w:bCs/>
          <w:b/>
        </w:rPr>
        <w:t xml:space="preserve">Scenario S30 (Complex Descriptive Query - F2):</w:t>
      </w:r>
      <w:r>
        <w:t xml:space="preserve"> </w:t>
      </w:r>
      <w:r>
        <w:t xml:space="preserve">The user submitted a query seeking scenic hilltop views at night. The system successfully resolved the keyword to Bukit Nobita and executed the query with nocturnal opening-hour constraints, returning relevant results deterministically.</w:t>
      </w:r>
    </w:p>
    <w:bookmarkEnd w:id="102"/>
    <w:bookmarkEnd w:id="103"/>
    <w:bookmarkStart w:id="106" w:name="Xe55d174ca275e1b0a8800c40faa3eb85233fed6"/>
    <w:p>
      <w:pPr>
        <w:pStyle w:val="Heading3"/>
      </w:pPr>
      <w:r>
        <w:t xml:space="preserve">6.8 Advanced Scientific Validation: Adversarial Robustness, Minangkabau Dialectal Phrasing, and Strict Claim Grounding</w:t>
      </w:r>
    </w:p>
    <w:p>
      <w:pPr>
        <w:pStyle w:val="FirstParagraph"/>
      </w:pPr>
      <w:r>
        <w:t xml:space="preserve">To rigorously validate architectural resilience against targeted prompt manipulation, indigenous regional vernacular, and claim-level grounding integrity, an independent standalone test suite was implemented in</w:t>
      </w:r>
      <w:r>
        <w:t xml:space="preserve"> </w:t>
      </w:r>
      <w:hyperlink r:id="rId104">
        <w:r>
          <w:rPr>
            <w:rStyle w:val="VerbatimChar"/>
          </w:rPr>
          <w:t xml:space="preserve">tests/unit/AdversarialLinguisticValidationTest.php</w:t>
        </w:r>
      </w:hyperlink>
      <w:r>
        <w:t xml:space="preserve"> </w:t>
      </w:r>
      <w:r>
        <w:t xml:space="preserve">and executed via runner</w:t>
      </w:r>
      <w:r>
        <w:t xml:space="preserve"> </w:t>
      </w:r>
      <w:hyperlink r:id="rId105">
        <w:r>
          <w:rPr>
            <w:rStyle w:val="VerbatimChar"/>
          </w:rPr>
          <w:t xml:space="preserve">tests/run_adversarial_test.php</w:t>
        </w:r>
      </w:hyperlink>
      <w:r>
        <w:t xml:space="preserve">. The suite evaluates 11 critical edge scenarios spanning 38 assertions across three orthogonal validation domains (Table 7f):</w:t>
      </w:r>
    </w:p>
    <w:p>
      <w:pPr>
        <w:pStyle w:val="BodyText"/>
      </w:pPr>
      <w:r>
        <w:rPr>
          <w:bCs/>
          <w:b/>
        </w:rPr>
        <w:t xml:space="preserve">Table 7f. Standalone Validation Matrix for Adversarial Robustness, Minangkabau Colloquialisms, and Strict Grounding (11 Test Scenarios)</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Test Domain</w:t>
            </w:r>
          </w:p>
        </w:tc>
        <w:tc>
          <w:tcPr/>
          <w:p>
            <w:pPr>
              <w:pStyle w:val="Compact"/>
              <w:jc w:val="left"/>
            </w:pPr>
            <w:r>
              <w:t xml:space="preserve">Case ID &amp; Scenario Name</w:t>
            </w:r>
          </w:p>
        </w:tc>
        <w:tc>
          <w:tcPr/>
          <w:p>
            <w:pPr>
              <w:pStyle w:val="Compact"/>
              <w:jc w:val="left"/>
            </w:pPr>
            <w:r>
              <w:t xml:space="preserve">Input Query / Adversarial Payload</w:t>
            </w:r>
          </w:p>
        </w:tc>
        <w:tc>
          <w:tcPr/>
          <w:p>
            <w:pPr>
              <w:pStyle w:val="Compact"/>
              <w:jc w:val="left"/>
            </w:pPr>
            <w:r>
              <w:t xml:space="preserve">Defense Mechanism &amp; Architectural Behavior</w:t>
            </w:r>
          </w:p>
        </w:tc>
        <w:tc>
          <w:tcPr/>
          <w:p>
            <w:pPr>
              <w:pStyle w:val="Compact"/>
              <w:jc w:val="center"/>
            </w:pPr>
            <w:r>
              <w:t xml:space="preserve">Observed Execution &amp; Status</w:t>
            </w:r>
          </w:p>
        </w:tc>
      </w:tr>
      <w:tr>
        <w:tc>
          <w:tcPr/>
          <w:p>
            <w:pPr>
              <w:pStyle w:val="Compact"/>
              <w:jc w:val="left"/>
            </w:pPr>
            <w:r>
              <w:rPr>
                <w:bCs/>
                <w:b/>
              </w:rPr>
              <w:t xml:space="preserve">A. Adversarial Security</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The compiler encapsulates payloads strictly as bound parameters via PDO prepared statements; AST grammar is immutable.</w:t>
            </w:r>
          </w:p>
        </w:tc>
        <w:tc>
          <w:tcPr/>
          <w:p>
            <w:pPr>
              <w:pStyle w:val="Compact"/>
              <w:jc w:val="center"/>
            </w:pPr>
            <w:r>
              <w:rPr>
                <w:bCs/>
                <w:b/>
              </w:rPr>
              <w:t xml:space="preserve">PASSED (100% Neutralized)</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(non-geodesic coordinates beyond WGS84)</w:t>
            </w:r>
          </w:p>
        </w:tc>
        <w:tc>
          <w:tcPr/>
          <w:p>
            <w:pPr>
              <w:pStyle w:val="Compact"/>
              <w:jc w:val="left"/>
            </w:pPr>
            <w:r>
              <w:rPr>
                <w:rStyle w:val="VerbatimChar"/>
              </w:rPr>
              <w:t xml:space="preserve">SirValidator</w:t>
            </w:r>
            <w:r>
              <w:t xml:space="preserve"> </w:t>
            </w:r>
            <w:r>
              <w:t xml:space="preserve">Dimension 4 intercepts non-earth values (</w:t>
            </w:r>
            <w:r>
              <w:rPr>
                <w:rStyle w:val="VerbatimChar"/>
              </w:rPr>
              <w:t xml:space="preserve">isValid = false</w:t>
            </w:r>
            <w:r>
              <w:t xml:space="preserve">,</w:t>
            </w:r>
            <w:r>
              <w:t xml:space="preserve"> </w:t>
            </w:r>
            <w:r>
              <w:rPr>
                <w:rStyle w:val="VerbatimChar"/>
              </w:rPr>
              <w:t xml:space="preserve">policy = clarify_user</w:t>
            </w:r>
            <w:r>
              <w:t xml:space="preserve">); execution aborted safely.</w:t>
            </w:r>
          </w:p>
        </w:tc>
        <w:tc>
          <w:tcPr/>
          <w:p>
            <w:pPr>
              <w:pStyle w:val="Compact"/>
              <w:jc w:val="center"/>
            </w:pPr>
            <w:r>
              <w:rPr>
                <w:bCs/>
                <w:b/>
              </w:rPr>
              <w:t xml:space="preserve">PASSED (Safely Rejected)</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and</w:t>
            </w:r>
            <w:r>
              <w:t xml:space="preserve"> </w:t>
            </w:r>
            <w:r>
              <w:rPr>
                <w:rStyle w:val="VerbatimChar"/>
              </w:rPr>
              <w:t xml:space="preserve">radius = 250.0 km</w:t>
            </w:r>
          </w:p>
        </w:tc>
        <w:tc>
          <w:tcPr/>
          <w:p>
            <w:pPr>
              <w:pStyle w:val="Compact"/>
              <w:jc w:val="left"/>
            </w:pPr>
            <w:r>
              <w:t xml:space="preserve">Enforces</w:t>
            </w:r>
            <w:r>
              <w:t xml:space="preserve"> </w:t>
            </w:r>
            <w:r>
              <w:rPr>
                <w:iCs/>
                <w:i/>
              </w:rPr>
              <w:t xml:space="preserve">No Intent Alteration</w:t>
            </w:r>
            <w:r>
              <w:t xml:space="preserve">: system rejects arbitrary mutations (</w:t>
            </w:r>
            <w:r>
              <w:rPr>
                <w:iCs/>
                <w:i/>
              </w:rPr>
              <w:t xml:space="preserve">no silent clamping</w:t>
            </w:r>
            <w:r>
              <w:t xml:space="preserve">), triggering a user clarification prompt.</w:t>
            </w:r>
          </w:p>
        </w:tc>
        <w:tc>
          <w:tcPr/>
          <w:p>
            <w:pPr>
              <w:pStyle w:val="Compact"/>
              <w:jc w:val="center"/>
            </w:pPr>
            <w:r>
              <w:rPr>
                <w:bCs/>
                <w:b/>
              </w:rPr>
              <w:t xml:space="preserve">PASSED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combined simultaneously with</w:t>
            </w:r>
            <w:r>
              <w:t xml:space="preserve"> </w:t>
            </w:r>
            <w:r>
              <w:rPr>
                <w:rStyle w:val="VerbatimChar"/>
              </w:rPr>
              <w:t xml:space="preserve">max_price = 10000</w:t>
            </w:r>
          </w:p>
        </w:tc>
        <w:tc>
          <w:tcPr/>
          <w:p>
            <w:pPr>
              <w:pStyle w:val="Compact"/>
              <w:jc w:val="left"/>
            </w:pPr>
            <w:r>
              <w:t xml:space="preserve">Dimension 5 constraint harmonizer resolves logical tension: prioritizes Rp0 admission as a valid subset of</w:t>
            </w:r>
            <w:r>
              <w:t xml:space="preserve"> </w:t>
            </w:r>
            <m:oMath>
              <m:r>
                <m:rPr>
                  <m:sty m:val="p"/>
                </m:rPr>
                <m:t>≤</m:t>
              </m:r>
              <m:r>
                <m:rPr>
                  <m:nor/>
                  <m:sty m:val="p"/>
                </m:rPr>
                <m:t>Rp</m:t>
              </m:r>
              <m:r>
                <m:t>10</m:t>
              </m:r>
              <m:r>
                <m:rPr>
                  <m:sty m:val="p"/>
                </m:rPr>
                <m:t>,</m:t>
              </m:r>
              <m:r>
                <m:t>000</m:t>
              </m:r>
            </m:oMath>
            <w:r>
              <w:t xml:space="preserve">.</w:t>
            </w:r>
          </w:p>
        </w:tc>
        <w:tc>
          <w:tcPr/>
          <w:p>
            <w:pPr>
              <w:pStyle w:val="Compact"/>
              <w:jc w:val="center"/>
            </w:pPr>
            <w:r>
              <w:rPr>
                <w:bCs/>
                <w:b/>
              </w:rPr>
              <w:t xml:space="preserve">PASSED (Consistent)</w:t>
            </w:r>
          </w:p>
        </w:tc>
      </w:tr>
      <w:tr>
        <w:tc>
          <w:tcPr/>
          <w:p>
            <w:pPr>
              <w:pStyle w:val="Compact"/>
              <w:jc w:val="left"/>
            </w:pPr>
            <w:r>
              <w:rPr>
                <w:bCs/>
                <w:b/>
              </w:rPr>
              <w:t xml:space="preserve">B. Minang Dialect</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Indigenous lexicon parsing: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user GPS anchor.</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Indigenous lexicon parsing: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Indigenous lexicon parsing: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Indigenous lexicon parsing: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PASSED (100% Precision)</w:t>
            </w:r>
          </w:p>
        </w:tc>
      </w:tr>
      <w:tr>
        <w:tc>
          <w:tcPr/>
          <w:p>
            <w:pPr>
              <w:pStyle w:val="Compact"/>
              <w:jc w:val="left"/>
            </w:pPr>
            <w:r>
              <w:rPr>
                <w:bCs/>
                <w:b/>
              </w:rPr>
              <w:t xml:space="preserve">C. Strict Grounding</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LLM narrative asserts</w:t>
            </w:r>
            <w:r>
              <w:t xml:space="preserve"> </w:t>
            </w:r>
            <w:r>
              <w:rPr>
                <w:iCs/>
                <w:i/>
              </w:rPr>
              <w:t xml:space="preserve">“</w:t>
            </w:r>
            <w:r>
              <w:rPr>
                <w:iCs/>
                <w:i/>
              </w:rPr>
              <w:t xml:space="preserve">Pantai Pasir Emas</w:t>
            </w:r>
            <w:r>
              <w:rPr>
                <w:iCs/>
                <w:i/>
              </w:rPr>
              <w:t xml:space="preserve">”</w:t>
            </w:r>
            <w:r>
              <w:t xml:space="preserve"> </w:t>
            </w:r>
            <w:r>
              <w:t xml:space="preserve">and</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intercepts text containing unretrieved entities; discards text and falls back to deterministic SQL facts.</w:t>
            </w:r>
          </w:p>
        </w:tc>
        <w:tc>
          <w:tcPr/>
          <w:p>
            <w:pPr>
              <w:pStyle w:val="Compact"/>
              <w:jc w:val="center"/>
            </w:pPr>
            <w:r>
              <w:rPr>
                <w:bCs/>
                <w:b/>
              </w:rPr>
              <w:t xml:space="preserve">PASSED (Zero POI Breach)</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LLM narrative claims Pantai Padang admission is Rp50,000 (DB: Rp0)</w:t>
            </w:r>
          </w:p>
        </w:tc>
        <w:tc>
          <w:tcPr/>
          <w:p>
            <w:pPr>
              <w:pStyle w:val="Compact"/>
              <w:jc w:val="left"/>
            </w:pPr>
            <w:r>
              <w:rPr>
                <w:rStyle w:val="VerbatimChar"/>
              </w:rPr>
              <w:t xml:space="preserve">GroundingValidator</w:t>
            </w:r>
            <w:r>
              <w:t xml:space="preserve"> </w:t>
            </w:r>
            <w:r>
              <w:t xml:space="preserve">flags divergence between narrative and SQL fact; activates deterministic template correction.</w:t>
            </w:r>
          </w:p>
        </w:tc>
        <w:tc>
          <w:tcPr/>
          <w:p>
            <w:pPr>
              <w:pStyle w:val="Compact"/>
              <w:jc w:val="center"/>
            </w:pPr>
            <w:r>
              <w:rPr>
                <w:bCs/>
                <w:b/>
              </w:rPr>
              <w:t xml:space="preserve">PASSED (Distortion Blocked)</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Inquiries regarding snow skiing and Hindu temples in Padang</w:t>
            </w:r>
          </w:p>
        </w:tc>
        <w:tc>
          <w:tcPr/>
          <w:p>
            <w:pPr>
              <w:pStyle w:val="Compact"/>
              <w:jc w:val="left"/>
            </w:pPr>
            <w:r>
              <w:t xml:space="preserve">Dimension 6 flags</w:t>
            </w:r>
            <w:r>
              <w:t xml:space="preserve"> </w:t>
            </w:r>
            <w:r>
              <w:rPr>
                <w:rStyle w:val="VerbatimChar"/>
              </w:rPr>
              <w:t xml:space="preserve">isOutOfScope = true</w:t>
            </w:r>
            <w:r>
              <w:t xml:space="preserve">, emitting an honest polite rejection without firing database queries (</w:t>
            </w:r>
            <w:r>
              <w:rPr>
                <w:rStyle w:val="VerbatimChar"/>
              </w:rPr>
              <w:t xml:space="preserve">count(places) = 0</w:t>
            </w:r>
            <w:r>
              <w:t xml:space="preserve">).</w:t>
            </w:r>
          </w:p>
        </w:tc>
        <w:tc>
          <w:tcPr/>
          <w:p>
            <w:pPr>
              <w:pStyle w:val="Compact"/>
              <w:jc w:val="center"/>
            </w:pPr>
            <w:r>
              <w:rPr>
                <w:bCs/>
                <w:b/>
              </w:rPr>
              <w:t xml:space="preserve">PASSED (Honest Rejection)</w:t>
            </w:r>
          </w:p>
        </w:tc>
      </w:tr>
    </w:tbl>
    <w:p>
      <w:pPr>
        <w:pStyle w:val="BodyText"/>
      </w:pPr>
      <w:r>
        <w:t xml:space="preserve">All 11 standalone adversarial and linguistic validation tests passed with zero failures (</w:t>
      </w:r>
      <w:r>
        <w:rPr>
          <w:bCs/>
          <w:b/>
        </w:rPr>
        <w:t xml:space="preserve">11/11 PASS / 100.00%</w:t>
      </w:r>
      <w:r>
        <w:t xml:space="preserve">). Integrated directly into the unified PHPUnit test runner via</w:t>
      </w:r>
      <w:r>
        <w:t xml:space="preserve"> </w:t>
      </w:r>
      <w:r>
        <w:rPr>
          <w:rStyle w:val="VerbatimChar"/>
        </w:rPr>
        <w:t xml:space="preserve">CIUnitTestCase</w:t>
      </w:r>
      <w:r>
        <w:t xml:space="preserve">, the complete automated regression test suite verifying codebase integrity totals</w:t>
      </w:r>
      <w:r>
        <w:t xml:space="preserve"> </w:t>
      </w:r>
      <w:r>
        <w:rPr>
          <w:bCs/>
          <w:b/>
        </w:rPr>
        <w:t xml:space="preserve">56 automated test scenarios with 240 assertions (100% PASS)</w:t>
      </w:r>
      <w:r>
        <w:t xml:space="preserve">, as audited in</w:t>
      </w:r>
      <w:r>
        <w:t xml:space="preserve"> </w:t>
      </w:r>
      <w:r>
        <w:rPr>
          <w:rStyle w:val="VerbatimChar"/>
        </w:rPr>
        <w:t xml:space="preserve">tests/phpunit_execution_report.txt</w:t>
      </w:r>
      <w:r>
        <w:t xml:space="preserve">.</w:t>
      </w:r>
    </w:p>
    <w:p>
      <w:r>
        <w:pict>
          <v:rect style="width:0;height:1.5pt" o:hralign="center" o:hrstd="t" o:hr="t"/>
        </w:pict>
      </w:r>
    </w:p>
    <w:bookmarkEnd w:id="106"/>
    <w:bookmarkEnd w:id="107"/>
    <w:bookmarkStart w:id="112" w:name="discussion"/>
    <w:p>
      <w:pPr>
        <w:pStyle w:val="Heading2"/>
      </w:pPr>
      <w:r>
        <w:t xml:space="preserve">7. DISCUSSION</w:t>
      </w:r>
    </w:p>
    <w:bookmarkStart w:id="108" w:name="X0dc33dacd98617810e9ed9d5814c797a0816483"/>
    <w:p>
      <w:pPr>
        <w:pStyle w:val="Heading3"/>
      </w:pPr>
      <w:r>
        <w:t xml:space="preserve">7.1 Mechanisms of Success: Why the Layered Control Architecture Succeeds</w:t>
      </w:r>
    </w:p>
    <w:p>
      <w:pPr>
        <w:pStyle w:val="FirstParagraph"/>
      </w:pPr>
      <w:r>
        <w:t xml:space="preserve">The complete elimination of destination hallucinations (</w:t>
      </w:r>
      <w:r>
        <w:rPr>
          <w:iCs/>
          <w:i/>
        </w:rPr>
        <w:t xml:space="preserve">0.00% Entity Fabrication Rate</w:t>
      </w:r>
      <w:r>
        <w:t xml:space="preserve">) and the 100.00% spatial predicate correctness achieved by the architecture stem directly from the principle of</w:t>
      </w:r>
      <w:r>
        <w:t xml:space="preserve"> </w:t>
      </w:r>
      <w:r>
        <w:rPr>
          <w:iCs/>
          <w:i/>
        </w:rPr>
        <w:t xml:space="preserve">Separation of Responsibilities</w:t>
      </w:r>
      <w:r>
        <w:t xml:space="preserve">:</w:t>
      </w:r>
      <w:r>
        <w:t xml:space="preserve"> </w:t>
      </w:r>
      <w:r>
        <w:t xml:space="preserve">1.</w:t>
      </w:r>
      <w:r>
        <w:t xml:space="preserve"> </w:t>
      </w:r>
      <w:r>
        <w:rPr>
          <w:bCs/>
          <w:b/>
        </w:rPr>
        <w:t xml:space="preserve">Cognitive Air-Gap (Preventing Direct Database Access):</w:t>
      </w:r>
      <w:r>
        <w:t xml:space="preserve"> </w:t>
      </w:r>
      <w:r>
        <w:t xml:space="preserve">By prohibiting the LLM from generating raw SQL strings or interacting directly with database tables, all syntax failures, schema hallucinations, and SQL injection vectors are architecturally eliminated. The model is constrained to its core competency: parsing morphological and semantic nuances in natural language.</w:t>
      </w:r>
      <w:r>
        <w:t xml:space="preserve"> </w:t>
      </w:r>
      <w:r>
        <w:t xml:space="preserve">2.</w:t>
      </w:r>
      <w:r>
        <w:t xml:space="preserve"> </w:t>
      </w:r>
      <w:r>
        <w:rPr>
          <w:bCs/>
          <w:b/>
        </w:rPr>
        <w:t xml:space="preserve">Non-LLM Deterministic Validation:</w:t>
      </w:r>
      <w:r>
        <w:t xml:space="preserve"> </w:t>
      </w:r>
      <w:r>
        <w:t xml:space="preserve">Unlike self-correction approaches where an LLM is tasked with auditing its own output (often reproducing its own biases), validation in this architecture is executed by an independent non-LLM module (</w:t>
      </w:r>
      <w:r>
        <w:rPr>
          <w:iCs/>
          <w:i/>
        </w:rPr>
        <w:t xml:space="preserve">6D SirValidator</w:t>
      </w:r>
      <w:r>
        <w:t xml:space="preserve">). Validation rules are enforced using deterministic binary logic immune to generative stochasticity.</w:t>
      </w:r>
      <w:r>
        <w:t xml:space="preserve"> </w:t>
      </w:r>
      <w:r>
        <w:t xml:space="preserve">3.</w:t>
      </w:r>
      <w:r>
        <w:t xml:space="preserve"> </w:t>
      </w:r>
      <w:r>
        <w:rPr>
          <w:bCs/>
          <w:b/>
        </w:rPr>
        <w:t xml:space="preserve">Firewall-Protected Post-Generation Evidence Grounding:</w:t>
      </w:r>
      <w:r>
        <w:t xml:space="preserve"> </w:t>
      </w:r>
      <w:r>
        <w:t xml:space="preserve">The algorithmic</w:t>
      </w:r>
      <w:r>
        <w:t xml:space="preserve"> </w:t>
      </w:r>
      <w:r>
        <w:rPr>
          <w:iCs/>
          <w:i/>
        </w:rPr>
        <w:t xml:space="preserve">Claim-Level Grounding Validator</w:t>
      </w:r>
      <w:r>
        <w:t xml:space="preserve"> </w:t>
      </w:r>
      <w:r>
        <w:t xml:space="preserve">ensures that the generative model cannot introduce fictitious attributes. Any entity mention, pricing assertion, or spatial claim absent from the verified relational fact set</w:t>
      </w:r>
      <w:r>
        <w:t xml:space="preserve"> </w:t>
      </w:r>
      <m:oMath>
        <m:r>
          <m:t>F</m:t>
        </m:r>
      </m:oMath>
      <w:r>
        <w:t xml:space="preserve"> </w:t>
      </w:r>
      <w:r>
        <w:t xml:space="preserve">triggers deterministic filtering or fallback suppression before reaching the user.</w:t>
      </w:r>
    </w:p>
    <w:bookmarkEnd w:id="108"/>
    <w:bookmarkStart w:id="109" w:name="Xefa922680fa4f7ac732885bf5fc2cf6d1c32b97"/>
    <w:p>
      <w:pPr>
        <w:pStyle w:val="Heading3"/>
      </w:pPr>
      <w:r>
        <w:t xml:space="preserve">7.2 Latency Trade-offs and Computational Efficiency</w:t>
      </w:r>
    </w:p>
    <w:p>
      <w:pPr>
        <w:pStyle w:val="FirstParagraph"/>
      </w:pPr>
      <w:r>
        <w:t xml:space="preserve">Introducing structured semantic validation and post-generation grounding raises questions regarding computational overhead. The latency profile (Table 8) demonstrates that the total deterministic computational overhead introduced by</w:t>
      </w:r>
      <w:r>
        <w:t xml:space="preserve"> </w:t>
      </w:r>
      <w:r>
        <w:rPr>
          <w:iCs/>
          <w:i/>
        </w:rPr>
        <w:t xml:space="preserve">SirValidator</w:t>
      </w:r>
      <w:r>
        <w:t xml:space="preserve"> </w:t>
      </w:r>
      <w:r>
        <w:t xml:space="preserve">(0.42 ms) and</w:t>
      </w:r>
      <w:r>
        <w:t xml:space="preserve"> </w:t>
      </w:r>
      <w:r>
        <w:rPr>
          <w:iCs/>
          <w:i/>
        </w:rPr>
        <w:t xml:space="preserve">GroundingValidator</w:t>
      </w:r>
      <w:r>
        <w:t xml:space="preserve"> </w:t>
      </w:r>
      <w:r>
        <w:t xml:space="preserve">(0.81 ms) is a mere</w:t>
      </w:r>
      <w:r>
        <w:t xml:space="preserve"> </w:t>
      </w:r>
      <w:r>
        <w:rPr>
          <w:bCs/>
          <w:b/>
        </w:rPr>
        <w:t xml:space="preserve">1.23 ms</w:t>
      </w:r>
      <w:r>
        <w:t xml:space="preserve">—representing less than</w:t>
      </w:r>
      <w:r>
        <w:t xml:space="preserve"> </w:t>
      </w:r>
      <w:r>
        <w:rPr>
          <w:bCs/>
          <w:b/>
        </w:rPr>
        <w:t xml:space="preserve">0.1%</w:t>
      </w:r>
      <w:r>
        <w:t xml:space="preserve"> </w:t>
      </w:r>
      <w:r>
        <w:t xml:space="preserve">of the total server-side response latency (1,252.17 ms).</w:t>
      </w:r>
    </w:p>
    <w:p>
      <w:pPr>
        <w:pStyle w:val="BodyText"/>
      </w:pPr>
      <w:r>
        <w:t xml:space="preserve">Conversely, over</w:t>
      </w:r>
      <w:r>
        <w:t xml:space="preserve"> </w:t>
      </w:r>
      <w:r>
        <w:rPr>
          <w:bCs/>
          <w:b/>
        </w:rPr>
        <w:t xml:space="preserve">93% of the total latency</w:t>
      </w:r>
      <w:r>
        <w:t xml:space="preserve"> </w:t>
      </w:r>
      <w:r>
        <w:t xml:space="preserve">is consumed by cloud network transit and LLM inference across the two API calls (Call #1 for SIR extraction: 465.12 ms; Call #2 for grounded NLG narrative generation: 785.42 ms). This confirms that deterministic control layers introduce substantial empirical reliability without imposing measurable computational penalties.</w:t>
      </w:r>
    </w:p>
    <w:bookmarkEnd w:id="109"/>
    <w:bookmarkStart w:id="110" w:name="Xcbe9ec94b582bb31f3527a18fa0c0caa9008c40"/>
    <w:p>
      <w:pPr>
        <w:pStyle w:val="Heading3"/>
      </w:pPr>
      <w:r>
        <w:t xml:space="preserve">7.3 Generalization Boundaries and Geographic Portability</w:t>
      </w:r>
    </w:p>
    <w:p>
      <w:pPr>
        <w:pStyle w:val="FirstParagraph"/>
      </w:pP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bookmarkEnd w:id="110"/>
    <w:bookmarkStart w:id="111" w:name="Xdb6fe6dd7ea1e21b174cb4b1759ba9313023de1"/>
    <w:p>
      <w:pPr>
        <w:pStyle w:val="Heading3"/>
      </w:pPr>
      <w:r>
        <w:t xml:space="preserve">7.4 Scientific Progression Beyond Prior Art (DTExplorer)</w:t>
      </w:r>
    </w:p>
    <w:p>
      <w:pPr>
        <w:pStyle w:val="FirstParagraph"/>
      </w:pPr>
      <w:r>
        <w:t xml:space="preserve">The proposed architecture directly resolves the key research limitations articulated by Afnarius et al. (2026) in</w:t>
      </w:r>
      <w:r>
        <w:t xml:space="preserve"> </w:t>
      </w:r>
      <w:r>
        <w:rPr>
          <w:iCs/>
          <w:i/>
        </w:rPr>
        <w:t xml:space="preserve">DTExplorer</w:t>
      </w:r>
      <w:r>
        <w:t xml:space="preserve"> </w:t>
      </w:r>
      <w:r>
        <w:t xml:space="preserve">[2]:</w:t>
      </w:r>
      <w:r>
        <w:t xml:space="preserve"> </w:t>
      </w:r>
      <w:r>
        <w:t xml:space="preserve">*</w:t>
      </w:r>
      <w:r>
        <w:t xml:space="preserve"> </w:t>
      </w:r>
      <w:r>
        <w:rPr>
          <w:bCs/>
          <w:b/>
        </w:rPr>
        <w:t xml:space="preserve">Interaction Modality:</w:t>
      </w:r>
      <w:r>
        <w:t xml:space="preserve"> </w:t>
      </w:r>
      <w:r>
        <w:rPr>
          <w:iCs/>
          <w:i/>
        </w:rPr>
        <w:t xml:space="preserve">DTExplorer</w:t>
      </w:r>
      <w:r>
        <w:t xml:space="preserve"> </w:t>
      </w:r>
      <w:r>
        <w:t xml:space="preserve">constrained users to WIMP dropdown menus and radius sliders, inducing substantial cognitive friction. The proposed conversational interface reduces cognitive task completion time by 82.43% (Table 10).</w:t>
      </w:r>
      <w:r>
        <w:t xml:space="preserve"> </w:t>
      </w:r>
      <w:r>
        <w:t xml:space="preserve">*</w:t>
      </w:r>
      <w:r>
        <w:t xml:space="preserve"> </w:t>
      </w:r>
      <w:r>
        <w:rPr>
          <w:bCs/>
          <w:b/>
        </w:rPr>
        <w:t xml:space="preserve">Spatial Computation Model:</w:t>
      </w:r>
      <w:r>
        <w:t xml:space="preserve"> </w:t>
      </w:r>
      <w:r>
        <w:rPr>
          <w:iCs/>
          <w:i/>
        </w:rPr>
        <w:t xml:space="preserve">DTExplorer</w:t>
      </w:r>
      <w:r>
        <w:t xml:space="preserve"> </w:t>
      </w:r>
      <w:r>
        <w:t xml:space="preserve">relied on planar Euclidean approximations that induce latitude distortion. This study transitioned to native MySQL 8.0</w:t>
      </w:r>
      <w:r>
        <w:t xml:space="preserve"> </w:t>
      </w:r>
      <w:r>
        <w:rPr>
          <w:rStyle w:val="VerbatimChar"/>
        </w:rPr>
        <w:t xml:space="preserve">ST_Distance_Sphere</w:t>
      </w:r>
      <w:r>
        <w:t xml:space="preserve">, computing great-circle distances directly on the database kernel in 1.21 ms.</w:t>
      </w:r>
      <w:r>
        <w:t xml:space="preserve"> </w:t>
      </w:r>
      <w:r>
        <w:t xml:space="preserve">*</w:t>
      </w:r>
      <w:r>
        <w:t xml:space="preserve"> </w:t>
      </w:r>
      <w:r>
        <w:rPr>
          <w:bCs/>
          <w:b/>
        </w:rPr>
        <w:t xml:space="preserve">Dynamic Multi-Criteria Filtering:</w:t>
      </w:r>
      <w:r>
        <w:t xml:space="preserve"> </w:t>
      </w:r>
      <w:r>
        <w:rPr>
          <w:iCs/>
          <w:i/>
        </w:rPr>
        <w:t xml:space="preserve">DTExplorer</w:t>
      </w:r>
      <w:r>
        <w:t xml:space="preserve"> </w:t>
      </w:r>
      <w:r>
        <w:t xml:space="preserve">lacked support for temporal opening hours or admission budgets. The proposed system natively coordinates</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and</w:t>
      </w:r>
      <w:r>
        <w:t xml:space="preserve"> </w:t>
      </w:r>
      <w:r>
        <w:rPr>
          <w:rStyle w:val="VerbatimChar"/>
        </w:rPr>
        <w:t xml:space="preserve">is_free</w:t>
      </w:r>
      <w:r>
        <w:t xml:space="preserve"> </w:t>
      </w:r>
      <w:r>
        <w:t xml:space="preserve">predicates within a single unified query execution pass.</w:t>
      </w:r>
      <w:r>
        <w:t xml:space="preserve"> </w:t>
      </w:r>
      <w:r>
        <w:t xml:space="preserve">*</w:t>
      </w:r>
      <w:r>
        <w:t xml:space="preserve"> </w:t>
      </w:r>
      <w:r>
        <w:rPr>
          <w:bCs/>
          <w:b/>
        </w:rPr>
        <w:t xml:space="preserve">Millisecond-Level Profiling &amp; Standardized Usability:</w:t>
      </w:r>
      <w:r>
        <w:t xml:space="preserve"> </w:t>
      </w:r>
      <w:r>
        <w:t xml:space="preserve">Fulfilling the explicit research recommendations of Afnarius et al. (2026), this paper provides full millisecond-level execution latency breakdowns and standardized System Usability Scale evaluations (SUS = 84.25 ± 6.80, Grade A) across 30 empirical participants.</w:t>
      </w:r>
    </w:p>
    <w:p>
      <w:r>
        <w:pict>
          <v:rect style="width:0;height:1.5pt" o:hralign="center" o:hrstd="t" o:hr="t"/>
        </w:pict>
      </w:r>
    </w:p>
    <w:bookmarkEnd w:id="111"/>
    <w:bookmarkEnd w:id="112"/>
    <w:bookmarkStart w:id="117" w:name="threats-to-validity-and-limitations"/>
    <w:p>
      <w:pPr>
        <w:pStyle w:val="Heading2"/>
      </w:pPr>
      <w:r>
        <w:t xml:space="preserve">8. THREATS TO VALIDITY AND LIMITATIONS</w:t>
      </w:r>
    </w:p>
    <w:bookmarkStart w:id="113" w:name="internal-validity"/>
    <w:p>
      <w:pPr>
        <w:pStyle w:val="Heading3"/>
      </w:pPr>
      <w:r>
        <w:t xml:space="preserve">8.1 Internal Validity</w:t>
      </w:r>
    </w:p>
    <w:p>
      <w:pPr>
        <w:pStyle w:val="FirstParagraph"/>
      </w:pPr>
      <w:r>
        <w:t xml:space="preserve">Threats to internal validity concern potential bias within prompt engineering and benchmark scenario curation:</w:t>
      </w:r>
      <w:r>
        <w:t xml:space="preserve"> </w:t>
      </w:r>
      <w:r>
        <w:t xml:space="preserve">*</w:t>
      </w:r>
      <w:r>
        <w:t xml:space="preserve"> </w:t>
      </w:r>
      <w:r>
        <w:rPr>
          <w:bCs/>
          <w:b/>
        </w:rPr>
        <w:t xml:space="preserve">Prompt Sensitivity and Dialect Variation:</w:t>
      </w:r>
      <w:r>
        <w:t xml:space="preserve"> </w:t>
      </w:r>
      <w:r>
        <w:t xml:space="preserve">Although the 40 benchmark scenarios encompass 8 query taxonomies, localized Minangkabau colloquialisms or colloquial slang variants might exhibit differing extraction performance. This is mitigated by synonym mapping dictionaries and keyword expansion rules embedded within system prompts.</w:t>
      </w:r>
      <w:r>
        <w:t xml:space="preserve"> </w:t>
      </w:r>
      <w:r>
        <w:t xml:space="preserve">*</w:t>
      </w:r>
      <w:r>
        <w:t xml:space="preserve"> </w:t>
      </w:r>
      <w:r>
        <w:rPr>
          <w:bCs/>
          <w:b/>
        </w:rPr>
        <w:t xml:space="preserve">Model Inference Stability:</w:t>
      </w:r>
      <w:r>
        <w:t xml:space="preserve"> </w:t>
      </w:r>
      <w:r>
        <w:t xml:space="preserve">While setting temperature T = 0.0 enforces deterministic inference, underlying foundational model API updates may subtly alter latent space interpretations. Structured JSON schemas and canonical CSIR constraints minimize this exposure.</w:t>
      </w:r>
    </w:p>
    <w:bookmarkEnd w:id="113"/>
    <w:bookmarkStart w:id="114" w:name="external-validity"/>
    <w:p>
      <w:pPr>
        <w:pStyle w:val="Heading3"/>
      </w:pPr>
      <w:r>
        <w:t xml:space="preserve">8.2 External Validity</w:t>
      </w:r>
    </w:p>
    <w:p>
      <w:pPr>
        <w:pStyle w:val="FirstParagraph"/>
      </w:pPr>
      <w:r>
        <w:t xml:space="preserve">Threats to external validity concern the generalizability of findings beyond the experimental environment:</w:t>
      </w:r>
      <w:r>
        <w:t xml:space="preserve"> </w:t>
      </w:r>
      <w:r>
        <w:t xml:space="preserve">*</w:t>
      </w:r>
      <w:r>
        <w:t xml:space="preserve"> </w:t>
      </w:r>
      <w:r>
        <w:rPr>
          <w:bCs/>
          <w:b/>
        </w:rPr>
        <w:t xml:space="preserve">Destination Catalog Scale:</w:t>
      </w:r>
      <w:r>
        <w:t xml:space="preserve"> </w:t>
      </w:r>
      <w:r>
        <w:t xml:space="preserve">Primary evaluations focused on 22 curated destinations in Padang City. While the synthetic 10,000-point scalability stress test (Table 9) confirmed database indexing efficiency (latency 6.11 ms), deploying in megacities with tens of thousands of active POIs may introduce new challenges in name disambiguation and cartographic marker clustering.</w:t>
      </w:r>
      <w:r>
        <w:t xml:space="preserve"> </w:t>
      </w:r>
      <w:r>
        <w:t xml:space="preserve">*</w:t>
      </w:r>
      <w:r>
        <w:t xml:space="preserve"> </w:t>
      </w:r>
      <w:r>
        <w:rPr>
          <w:bCs/>
          <w:b/>
        </w:rPr>
        <w:t xml:space="preserve">Administrative Jurisdictions:</w:t>
      </w:r>
      <w:r>
        <w:t xml:space="preserve"> </w:t>
      </w:r>
      <w:r>
        <w:t xml:space="preserve">The system is optimized for city-scale municipal jurisdictions (694.96 km²). Regional multi-province corridors will require hierarchical spatial partitioning.</w:t>
      </w:r>
    </w:p>
    <w:bookmarkEnd w:id="114"/>
    <w:bookmarkStart w:id="115" w:name="construct-validity"/>
    <w:p>
      <w:pPr>
        <w:pStyle w:val="Heading3"/>
      </w:pPr>
      <w:r>
        <w:t xml:space="preserve">8.3 Construct Validity</w:t>
      </w:r>
    </w:p>
    <w:p>
      <w:pPr>
        <w:pStyle w:val="FirstParagraph"/>
      </w:pPr>
      <w:r>
        <w:t xml:space="preserve">Threats to construct validity concern the alignment between measured metrics and underlying theoretical constructs:</w:t>
      </w:r>
      <w:r>
        <w:t xml:space="preserve"> </w:t>
      </w:r>
      <w:r>
        <w:t xml:space="preserve">*</w:t>
      </w:r>
      <w:r>
        <w:t xml:space="preserve"> </w:t>
      </w:r>
      <w:r>
        <w:rPr>
          <w:bCs/>
          <w:b/>
        </w:rPr>
        <w:t xml:space="preserve">Regex-Based Grounding Validator Scope:</w:t>
      </w:r>
      <w:r>
        <w:t xml:space="preserve"> </w:t>
      </w:r>
      <w:r>
        <w:t xml:space="preserve">The 100.00% Claim-Level Grounding Fidelity metric applies strictly to claims detectable by the regex parser across four defined categories (destinations, pricing, schedules, and proximity). Open-ended qualitative descriptive assertions require human-in-the-loop validation for exhaustive audit.</w:t>
      </w:r>
      <w:r>
        <w:t xml:space="preserve"> </w:t>
      </w:r>
      <w:r>
        <w:t xml:space="preserve">*</w:t>
      </w:r>
      <w:r>
        <w:t xml:space="preserve"> </w:t>
      </w:r>
      <w:r>
        <w:rPr>
          <w:bCs/>
          <w:b/>
        </w:rPr>
        <w:t xml:space="preserve">Cognitive Task Efficiency (TCT):</w:t>
      </w:r>
      <w:r>
        <w:t xml:space="preserve"> </w:t>
      </w:r>
      <w:r>
        <w:t xml:space="preserve">Participant typing habits and smartphone reading proficiencies may affect recorded completion times, although balanced Latin-Square counterbalancing designs were employed to neutralize ordering bias.</w:t>
      </w:r>
    </w:p>
    <w:bookmarkEnd w:id="115"/>
    <w:bookmarkStart w:id="116" w:name="X1d7a2e7cd09f995e77d38d67f225d302bfe599e"/>
    <w:p>
      <w:pPr>
        <w:pStyle w:val="Heading3"/>
      </w:pPr>
      <w:r>
        <w:t xml:space="preserve">8.4 External Service Dependencies and Fault Tolerance</w:t>
      </w:r>
    </w:p>
    <w:p>
      <w:pPr>
        <w:pStyle w:val="FirstParagraph"/>
      </w:pP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p>
      <w:r>
        <w:pict>
          <v:rect style="width:0;height:1.5pt" o:hralign="center" o:hrstd="t" o:hr="t"/>
        </w:pict>
      </w:r>
    </w:p>
    <w:bookmarkEnd w:id="116"/>
    <w:bookmarkEnd w:id="117"/>
    <w:bookmarkStart w:id="120" w:name="conclusion-and-future-work"/>
    <w:p>
      <w:pPr>
        <w:pStyle w:val="Heading2"/>
      </w:pPr>
      <w:r>
        <w:t xml:space="preserve">9. CONCLUSION AND FUTURE WORK</w:t>
      </w:r>
    </w:p>
    <w:bookmarkStart w:id="118" w:name="X614efccbb6d82bdcfdd77a20555250b97e9aec3"/>
    <w:p>
      <w:pPr>
        <w:pStyle w:val="Heading3"/>
      </w:pPr>
      <w:r>
        <w:t xml:space="preserve">9.1 Conclusion (Answering Research Questions RQ1–RQ4)</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across 22 curated tourism destinations in Padang City. The four core research questions are conclusively resolved:</w:t>
      </w:r>
      <w:r>
        <w:t xml:space="preserve"> </w:t>
      </w:r>
      <w:r>
        <w:t xml:space="preserve">1.</w:t>
      </w:r>
      <w:r>
        <w:t xml:space="preserve"> </w:t>
      </w:r>
      <w:r>
        <w:rPr>
          <w:bCs/>
          <w:b/>
        </w:rPr>
        <w:t xml:space="preserve">Answer to RQ1 (Semantic Parsing Fidelity):</w:t>
      </w:r>
      <w:r>
        <w:t xml:space="preserve"> </w:t>
      </w:r>
      <w:r>
        <w:t xml:space="preserve">Quarantining the LLM behind formal schema contracts enabled the extraction of user spatial intent with an Exact CSIR semantic accuracy (</w:t>
      </w:r>
      <w:r>
        <w:rPr>
          <w:iCs/>
          <w:i/>
        </w:rPr>
        <w:t xml:space="preserve">Exact CSIR Match Rate</w:t>
      </w:r>
      <w:r>
        <w:t xml:space="preserve">) of</w:t>
      </w:r>
      <w:r>
        <w:t xml:space="preserve"> </w:t>
      </w:r>
      <w:r>
        <w:rPr>
          <w:bCs/>
          <w:b/>
        </w:rPr>
        <w:t xml:space="preserve">100.00% (40/40)</w:t>
      </w:r>
      <w:r>
        <w:t xml:space="preserve">, an execution envelope alignment of</w:t>
      </w:r>
      <w:r>
        <w:t xml:space="preserve"> </w:t>
      </w:r>
      <w:r>
        <w:rPr>
          <w:bCs/>
          <w:b/>
        </w:rPr>
        <w:t xml:space="preserve">97.50% (39/40)</w:t>
      </w:r>
      <w:r>
        <w:t xml:space="preserve">, and an average field-level accuracy of</w:t>
      </w:r>
      <w:r>
        <w:t xml:space="preserve"> </w:t>
      </w:r>
      <w:r>
        <w:rPr>
          <w:bCs/>
          <w:b/>
        </w:rPr>
        <w:t xml:space="preserve">100.00% (436/436 applicable field evaluations, 100% consistent across all 19 canonical attributes)</w:t>
      </w:r>
      <w:r>
        <w:t xml:space="preserve">. Enforcing the</w:t>
      </w:r>
      <w:r>
        <w:t xml:space="preserve"> </w:t>
      </w:r>
      <w:r>
        <w:rPr>
          <w:iCs/>
          <w:i/>
        </w:rPr>
        <w:t xml:space="preserve">No Intent Alteration</w:t>
      </w:r>
      <w:r>
        <w:t xml:space="preserve"> </w:t>
      </w:r>
      <w:r>
        <w:t xml:space="preserve">principle prevented unauthorized silent parameter mutations.</w:t>
      </w:r>
      <w:r>
        <w:t xml:space="preserve"> </w:t>
      </w:r>
      <w:r>
        <w:t xml:space="preserve">2.</w:t>
      </w:r>
      <w:r>
        <w:t xml:space="preserve"> </w:t>
      </w:r>
      <w:r>
        <w:rPr>
          <w:bCs/>
          <w:b/>
        </w:rPr>
        <w:t xml:space="preserve">Answer to RQ2 (Spatial Execution Safety &amp; Correctness):</w:t>
      </w:r>
      <w:r>
        <w:t xml:space="preserve"> </w:t>
      </w:r>
      <w:r>
        <w:t xml:space="preserve">The 6-dimensional validator and parameterized query compiler maintained a 100.00% safety invariant enforcement (zero unauthorized queries or SQL injections). Great-circle spherical distance evaluation via native MySQL 8.0</w:t>
      </w:r>
      <w:r>
        <w:t xml:space="preserve"> </w:t>
      </w:r>
      <w:r>
        <w:rPr>
          <w:rStyle w:val="VerbatimChar"/>
        </w:rPr>
        <w:t xml:space="preserve">ST_Distance_Sphere</w:t>
      </w:r>
      <w:r>
        <w:t xml:space="preserve"> </w:t>
      </w:r>
      <w:r>
        <w:t xml:space="preserve">achieved</w:t>
      </w:r>
      <w:r>
        <w:t xml:space="preserve"> </w:t>
      </w:r>
      <w:r>
        <w:rPr>
          <w:bCs/>
          <w:b/>
        </w:rPr>
        <w:t xml:space="preserve">100.00% Pure Spatial Predicate Correctness</w:t>
      </w:r>
      <w:r>
        <w:t xml:space="preserve"> </w:t>
      </w:r>
      <w:r>
        <w:t xml:space="preserve">(36/36) and 100.00% scenario compliance (40/40) with sub-two-millisecond database execution latency (</w:t>
      </w:r>
      <w:r>
        <w:rPr>
          <w:bCs/>
          <w:b/>
        </w:rPr>
        <w:t xml:space="preserve">1.21 ms</w:t>
      </w:r>
      <w:r>
        <w:t xml:space="preserve">).</w:t>
      </w:r>
      <w:r>
        <w:t xml:space="preserve"> </w:t>
      </w:r>
      <w:r>
        <w:t xml:space="preserve">3.</w:t>
      </w:r>
      <w:r>
        <w:t xml:space="preserve"> </w:t>
      </w:r>
      <w:r>
        <w:rPr>
          <w:bCs/>
          <w:b/>
        </w:rPr>
        <w:t xml:space="preserve">Answer to RQ3 (Factual Grounding &amp; Zero Fabrication):</w:t>
      </w:r>
      <w:r>
        <w:t xml:space="preserve"> </w:t>
      </w:r>
      <w:r>
        <w:t xml:space="preserve">The post-generation algorithmic proof firewall (</w:t>
      </w:r>
      <w:r>
        <w:rPr>
          <w:iCs/>
          <w:i/>
        </w:rPr>
        <w:t xml:space="preserve">Claim-Level Grounding Validator</w:t>
      </w:r>
      <w:r>
        <w:t xml:space="preserve">) successfully reduced the</w:t>
      </w:r>
      <w:r>
        <w:t xml:space="preserve"> </w:t>
      </w:r>
      <w:r>
        <w:rPr>
          <w:bCs/>
          <w:b/>
        </w:rPr>
        <w:t xml:space="preserve">Entity Fabrication Rate to 0.00%</w:t>
      </w:r>
      <w:r>
        <w:t xml:space="preserve"> </w:t>
      </w:r>
      <w:r>
        <w:t xml:space="preserve">(zero fabricated attractions across all evaluated scenarios), compared to a 35.00% fabrication rate (17 fabricated POIs) in unconstrained LLMs. The system achieved</w:t>
      </w:r>
      <w:r>
        <w:t xml:space="preserve"> </w:t>
      </w:r>
      <w:r>
        <w:rPr>
          <w:bCs/>
          <w:b/>
        </w:rPr>
        <w:t xml:space="preserve">100.00% Claim-Level Grounding Fidelity (270/270 claims)</w:t>
      </w:r>
      <w:r>
        <w:t xml:space="preserve"> </w:t>
      </w:r>
      <w:r>
        <w:t xml:space="preserve">across four verification categories,</w:t>
      </w:r>
      <w:r>
        <w:t xml:space="preserve"> </w:t>
      </w:r>
      <w:r>
        <w:rPr>
          <w:bCs/>
          <w:b/>
        </w:rPr>
        <w:t xml:space="preserve">100.00% Entity Grounding Fidelity (120/120 mentions)</w:t>
      </w:r>
      <w:r>
        <w:t xml:space="preserve">, and a</w:t>
      </w:r>
      <w:r>
        <w:t xml:space="preserve"> </w:t>
      </w:r>
      <w:r>
        <w:rPr>
          <w:bCs/>
          <w:b/>
        </w:rPr>
        <w:t xml:space="preserve">100.00% Honest Rejection Rate (2/2)</w:t>
      </w:r>
      <w:r>
        <w:t xml:space="preserve"> </w:t>
      </w:r>
      <w:r>
        <w:t xml:space="preserve">on out-of-scope requests.</w:t>
      </w:r>
      <w:r>
        <w:t xml:space="preserve"> </w:t>
      </w:r>
      <w:r>
        <w:t xml:space="preserve">4.</w:t>
      </w:r>
      <w:r>
        <w:t xml:space="preserve"> </w:t>
      </w:r>
      <w:r>
        <w:rPr>
          <w:bCs/>
          <w:b/>
        </w:rPr>
        <w:t xml:space="preserve">Answer to RQ4 (Cognitive Efficiency &amp; Usability):</w:t>
      </w:r>
      <w:r>
        <w:t xml:space="preserve"> </w:t>
      </w:r>
      <w:r>
        <w:t xml:space="preserve">Guided conversational interaction significantly outperformed conventional WIMP interfaces,</w:t>
      </w:r>
      <w:r>
        <w:t xml:space="preserve"> </w:t>
      </w:r>
      <w:r>
        <w:rPr>
          <w:bCs/>
          <w:b/>
        </w:rPr>
        <w:t xml:space="preserve">reducing cognitive Task Completion Time (TCT) by 82.43%</w:t>
      </w:r>
      <w:r>
        <w:t xml:space="preserve"> </w:t>
      </w:r>
      <w:r>
        <w:t xml:space="preserve">(from 37.11 s to 6.52 s, p &lt; 0.001, Cohen’s d = 5.19) while securing an</w:t>
      </w:r>
      <w:r>
        <w:t xml:space="preserve"> </w:t>
      </w:r>
      <w:r>
        <w:t xml:space="preserve">“</w:t>
      </w:r>
      <w:r>
        <w:t xml:space="preserve">Excellent</w:t>
      </w:r>
      <w:r>
        <w:t xml:space="preserve">”</w:t>
      </w:r>
      <w:r>
        <w:t xml:space="preserve"> </w:t>
      </w:r>
      <w:r>
        <w:rPr>
          <w:bCs/>
          <w:b/>
        </w:rPr>
        <w:t xml:space="preserve">System Usability Scale (SUS) score of 84.25 ± 6.80 (Grade A)</w:t>
      </w:r>
      <w:r>
        <w:t xml:space="preserve">. Architectural robustness was corroborated by an automated test suite of</w:t>
      </w:r>
      <w:r>
        <w:t xml:space="preserve"> </w:t>
      </w:r>
      <w:r>
        <w:rPr>
          <w:bCs/>
          <w:b/>
        </w:rPr>
        <w:t xml:space="preserve">56 automated unit, integration, and adversarial tests (240 assertions, 100% PASS)</w:t>
      </w:r>
      <w:r>
        <w:t xml:space="preserve">, as recorded in</w:t>
      </w:r>
      <w:r>
        <w:t xml:space="preserve"> </w:t>
      </w:r>
      <w:r>
        <w:rPr>
          <w:rStyle w:val="VerbatimChar"/>
        </w:rPr>
        <w:t xml:space="preserve">tests/phpunit_execution_report.txt</w:t>
      </w:r>
      <w:r>
        <w:t xml:space="preserve">.</w:t>
      </w:r>
    </w:p>
    <w:bookmarkEnd w:id="118"/>
    <w:bookmarkStart w:id="119" w:name="future-research-directions"/>
    <w:p>
      <w:pPr>
        <w:pStyle w:val="Heading3"/>
      </w:pPr>
      <w:r>
        <w:t xml:space="preserve">9.2 Future Research Directions</w:t>
      </w:r>
    </w:p>
    <w:p>
      <w:pPr>
        <w:pStyle w:val="FirstParagraph"/>
      </w:pPr>
      <w:r>
        <w:t xml:space="preserve">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p>
      <w:r>
        <w:pict>
          <v:rect style="width:0;height:1.5pt" o:hralign="center" o:hrstd="t" o:hr="t"/>
        </w:pict>
      </w:r>
    </w:p>
    <w:bookmarkEnd w:id="119"/>
    <w:bookmarkEnd w:id="120"/>
    <w:bookmarkStart w:id="121"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1"/>
    <w:bookmarkStart w:id="124" w:name="appendix-supplementary-material"/>
    <w:p>
      <w:pPr>
        <w:pStyle w:val="Heading2"/>
      </w:pPr>
      <w:r>
        <w:t xml:space="preserve">APPENDIX (SUPPLEMENTARY MATERIAL)</w:t>
      </w:r>
    </w:p>
    <w:bookmarkStart w:id="122"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2"/>
    <w:bookmarkStart w:id="123"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2026-10-13T14:02:04Z</dcterms:created>
  <dcterms:modified xsi:type="dcterms:W3CDTF">2026-10-13T14:02:04Z</dcterms:modified>
</cp:coreProperties>
</file>

<file path=docProps/custom.xml><?xml version="1.0" encoding="utf-8"?>
<Properties xmlns="http://schemas.openxmlformats.org/officeDocument/2006/custom-properties" xmlns:vt="http://schemas.openxmlformats.org/officeDocument/2006/docPropsVTypes"/>
</file>