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61.png" ContentType="image/png"/>
  <Override PartName="/word/media/rId67.png" ContentType="image/png"/>
  <Override PartName="/word/media/rId7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To mitigate post-generation entity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27 unit tests (78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mitigating fabricated-entity hallucination under the evaluated benchmark conditions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(Intelligent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Structured Semantic Control</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transitioning from mechanical WIMP GUI parameterization to structured semantic control mediated by a layered architecture:</w:t>
      </w:r>
      <w:r>
        <w:t xml:space="preserve"> </w:t>
      </w:r>
      <w:r>
        <w:rPr>
          <w:bCs/>
          <w:b/>
        </w:rPr>
        <w:t xml:space="preserve">LLM</w:t>
      </w:r>
      <w:r>
        <w:rPr>
          <w:bCs/>
          <w:b/>
        </w:rPr>
        <w:t xml:space="preserve"> </w:t>
      </w:r>
      <m:oMath>
        <m:r>
          <m:rPr>
            <m:sty m:val="p"/>
          </m:rPr>
          <m:t>→</m:t>
        </m:r>
      </m:oMath>
      <w:r>
        <w:rPr>
          <w:bCs/>
          <w:b/>
        </w:rPr>
        <w:t xml:space="preserve"> </w:t>
      </w:r>
      <w:r>
        <w:rPr>
          <w:bCs/>
          <w:b/>
        </w:rPr>
        <w:t xml:space="preserve">Canonical SIR</w:t>
      </w:r>
      <w:r>
        <w:rPr>
          <w:bCs/>
          <w:b/>
        </w:rPr>
        <w:t xml:space="preserve"> </w:t>
      </w:r>
      <m:oMath>
        <m:r>
          <m:rPr>
            <m:sty m:val="p"/>
          </m:rPr>
          <m:t>→</m:t>
        </m:r>
      </m:oMath>
      <w:r>
        <w:rPr>
          <w:bCs/>
          <w:b/>
        </w:rPr>
        <w:t xml:space="preserve"> </w:t>
      </w:r>
      <w:r>
        <w:rPr>
          <w:bCs/>
          <w:b/>
        </w:rPr>
        <w:t xml:space="preserve">SirValidator</w:t>
      </w:r>
      <w:r>
        <w:rPr>
          <w:bCs/>
          <w:b/>
        </w:rPr>
        <w:t xml:space="preserve"> </w:t>
      </w:r>
      <m:oMath>
        <m:r>
          <m:rPr>
            <m:sty m:val="p"/>
          </m:rPr>
          <m:t>→</m:t>
        </m:r>
      </m:oMath>
      <w:r>
        <w:rPr>
          <w:bCs/>
          <w:b/>
        </w:rPr>
        <w:t xml:space="preserve"> </w:t>
      </w:r>
      <w:r>
        <w:rPr>
          <w:bCs/>
          <w:b/>
        </w:rPr>
        <w:t xml:space="preserve">Deterministic Spatial Query Compiler</w:t>
      </w:r>
      <w:r>
        <w:rPr>
          <w:bCs/>
          <w:b/>
        </w:rPr>
        <w:t xml:space="preserve"> </w:t>
      </w:r>
      <m:oMath>
        <m:r>
          <m:rPr>
            <m:sty m:val="p"/>
          </m:rPr>
          <m:t>→</m:t>
        </m:r>
      </m:oMath>
      <w:r>
        <w:rPr>
          <w:bCs/>
          <w:b/>
        </w:rPr>
        <w:t xml:space="preserve"> </w:t>
      </w:r>
      <w:r>
        <w:rPr>
          <w:bCs/>
          <w:b/>
        </w:rPr>
        <w:t xml:space="preserve">MySQL Spatial Engine (</w:t>
      </w:r>
      <w:r>
        <w:rPr>
          <w:rStyle w:val="VerbatimChar"/>
          <w:bCs/>
          <w:b/>
        </w:rPr>
        <w:t xml:space="preserve">ST_Distance_Sphere</w:t>
      </w:r>
      <w:r>
        <w:rPr>
          <w:bCs/>
          <w:b/>
        </w:rPr>
        <w:t xml:space="preserve">)</w:t>
      </w:r>
      <w:r>
        <w:t xml:space="preserve">.</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geodesic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designed to reject ungrounded entities, demonstrating that no fabricated POIs were observed across 40 evaluated benchmark scenarios, supported by an automated test suite of 17 unit tests (47 assertions), a spatial failure taxonomy (F1–F8), and multi-baseline ablation studies.</w:t>
      </w:r>
    </w:p>
    <w:p>
      <w:r>
        <w:pict>
          <v:rect style="width:0;height:1.5pt" o:hralign="center" o:hrstd="t" o:hr="t"/>
        </w:pict>
      </w:r>
    </w:p>
    <w:bookmarkEnd w:id="25"/>
    <w:bookmarkEnd w:id="26"/>
    <w:bookmarkStart w:id="34"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27"/>
    <w:bookmarkStart w:id="28"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8"/>
    <w:bookmarkStart w:id="29"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29"/>
    <w:bookmarkStart w:id="30"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CSIR schema across these four orthogonal partitions:</w:t>
      </w:r>
    </w:p>
    <w:p>
      <w:pPr>
        <w:pStyle w:val="BodyText"/>
      </w:pPr>
      <w:r>
        <w:rPr>
          <w:bCs/>
          <w:b/>
        </w:rPr>
        <w:t xml:space="preserve">Table 2. Formal Specification of the Canonical Spatial Intent Representation (CSIR) Schema Across 4 Orthogonal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0"/>
    <w:bookmarkStart w:id="31"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1"/>
    <w:bookmarkStart w:id="32" w:name="Xd98684af78990e2e0b3aaf2a58fadc5b2ee21c1"/>
    <w:p>
      <w:pPr>
        <w:pStyle w:val="Heading3"/>
      </w:pPr>
      <w:r>
        <w:t xml:space="preserve">2.4 Spatial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Standards:</w:t>
      </w:r>
      <w:r>
        <w:t xml:space="preserve"> </w:t>
      </w:r>
      <w:r>
        <w:t xml:space="preserve">Standardized</w:t>
      </w:r>
      <w:r>
        <w:t xml:space="preserve"> </w:t>
      </w:r>
      <w:r>
        <w:rPr>
          <w:rStyle w:val="VerbatimChar"/>
        </w:rPr>
        <w:t xml:space="preserve">POINT(longitude, latitude)</w:t>
      </w:r>
      <w:r>
        <w:t xml:space="preserve"> </w:t>
      </w:r>
      <w:r>
        <w:t xml:space="preserve">geometry objects ensure robust integration with spatial indexes and future GIS schema expansions.</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2"/>
    <w:bookmarkStart w:id="33"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3"/>
    <w:bookmarkEnd w:id="34"/>
    <w:bookmarkStart w:id="66" w:name="system-architecture-and-methodology"/>
    <w:p>
      <w:pPr>
        <w:pStyle w:val="Heading2"/>
      </w:pPr>
      <w:r>
        <w:t xml:space="preserve">3. SYSTEM ARCHITECTURE AND METHODOLOGY</w:t>
      </w:r>
    </w:p>
    <w:bookmarkStart w:id="38"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6" name="Picture"/>
            <a:graphic>
              <a:graphicData uri="http://schemas.openxmlformats.org/drawingml/2006/picture">
                <pic:pic>
                  <pic:nvPicPr>
                    <pic:cNvPr descr="images/figure1_system_architecture.png" id="37" name="Picture"/>
                    <pic:cNvPicPr>
                      <a:picLocks noChangeArrowheads="1" noChangeAspect="1"/>
                    </pic:cNvPicPr>
                  </pic:nvPicPr>
                  <pic:blipFill>
                    <a:blip r:embed="rId35"/>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8"/>
    <w:bookmarkStart w:id="42"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0" name="Picture"/>
            <a:graphic>
              <a:graphicData uri="http://schemas.openxmlformats.org/drawingml/2006/picture">
                <pic:pic>
                  <pic:nvPicPr>
                    <pic:cNvPr descr="images/figure2_operational_framework.png" id="41" name="Picture"/>
                    <pic:cNvPicPr>
                      <a:picLocks noChangeArrowheads="1" noChangeAspect="1"/>
                    </pic:cNvPicPr>
                  </pic:nvPicPr>
                  <pic:blipFill>
                    <a:blip r:embed="rId39"/>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42"/>
    <w:bookmarkStart w:id="46"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4" name="Picture"/>
            <a:graphic>
              <a:graphicData uri="http://schemas.openxmlformats.org/drawingml/2006/picture">
                <pic:pic>
                  <pic:nvPicPr>
                    <pic:cNvPr descr="images/figure3_database_schema.png" id="45" name="Picture"/>
                    <pic:cNvPicPr>
                      <a:picLocks noChangeArrowheads="1" noChangeAspect="1"/>
                    </pic:cNvPicPr>
                  </pic:nvPicPr>
                  <pic:blipFill>
                    <a:blip r:embed="rId43"/>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Geodesic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geodesic engine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6"/>
    <w:bookmarkStart w:id="47"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7"/>
    <w:bookmarkStart w:id="58"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8"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p>
      <w:pPr>
        <w:pStyle w:val="BodyText"/>
      </w:pPr>
      <w:r>
        <w:t xml:space="preserve">The architectural separation between Listing 1 and Listing 2 formalizes the</w:t>
      </w:r>
      <w:r>
        <w:t xml:space="preserve"> </w:t>
      </w:r>
      <w:r>
        <w:rPr>
          <w:bCs/>
          <w:b/>
        </w:rPr>
        <w:t xml:space="preserve">two distinct LLM inference calls</w:t>
      </w:r>
      <w:r>
        <w:t xml:space="preserve"> </w:t>
      </w:r>
      <w:r>
        <w:t xml:space="preserve">governing the proposed pipeline:</w:t>
      </w:r>
      <w:r>
        <w:t xml:space="preserve"> </w:t>
      </w:r>
      <w:r>
        <w:t xml:space="preserve">1.</w:t>
      </w:r>
      <w:r>
        <w:t xml:space="preserve"> </w:t>
      </w:r>
      <w:r>
        <w:rPr>
          <w:bCs/>
          <w:b/>
        </w:rPr>
        <w:t xml:space="preserve">LLM Inference Call #1 (Intent Parsing):</w:t>
      </w:r>
      <w:r>
        <w:t xml:space="preserve"> </w:t>
      </w:r>
      <w:r>
        <w:t xml:space="preserve">Transforms the user’s unstructured natural-language utterance into a typed SIR JSON document (Listing 1). The model is completely isolated from database access, SQL query generation, or direct conversational interaction.</w:t>
      </w:r>
      <w:r>
        <w:t xml:space="preserve"> </w:t>
      </w:r>
      <w:r>
        <w:t xml:space="preserve">2.</w:t>
      </w:r>
      <w:r>
        <w:t xml:space="preserve"> </w:t>
      </w:r>
      <w:r>
        <w:rPr>
          <w:bCs/>
          <w:b/>
        </w:rPr>
        <w:t xml:space="preserve">Deterministic Non-LLM Core:</w:t>
      </w:r>
      <w:r>
        <w:t xml:space="preserve"> </w:t>
      </w:r>
      <w:r>
        <w:t xml:space="preserve">The extracted SIR is verified by the</w:t>
      </w:r>
      <w:r>
        <w:t xml:space="preserve"> </w:t>
      </w:r>
      <w:r>
        <w:rPr>
          <w:iCs/>
          <w:i/>
        </w:rPr>
        <w:t xml:space="preserve">SIR Validator</w:t>
      </w:r>
      <w:r>
        <w:t xml:space="preserve"> </w:t>
      </w:r>
      <w:r>
        <w:t xml:space="preserve">(enforcing 6 safety dimensions), deterministically compiled into parameterized SQL executing the native</w:t>
      </w:r>
      <w:r>
        <w:t xml:space="preserve"> </w:t>
      </w:r>
      <w:r>
        <w:rPr>
          <w:rStyle w:val="VerbatimChar"/>
        </w:rPr>
        <w:t xml:space="preserve">ST_Distance_Sphere</w:t>
      </w:r>
      <w:r>
        <w:t xml:space="preserve"> </w:t>
      </w:r>
      <w:r>
        <w:t xml:space="preserve">spherical distance function on MySQL 8.0, and integrated with OSRM network routing. This yields an authenticated relational fact table</w:t>
      </w:r>
      <w:r>
        <w:t xml:space="preserve"> </w:t>
      </w:r>
      <m:oMath>
        <m:sSub>
          <m:e>
            <m:r>
              <m:t>F</m:t>
            </m:r>
          </m:e>
          <m:sub>
            <m:r>
              <m:t>S</m:t>
            </m:r>
            <m:r>
              <m:t>Q</m:t>
            </m:r>
            <m:r>
              <m:t>L</m:t>
            </m:r>
          </m:sub>
        </m:sSub>
      </m:oMath>
      <w:r>
        <w:t xml:space="preserve"> </w:t>
      </w:r>
      <w:r>
        <w:t xml:space="preserve">and spatial navigation geometries.</w:t>
      </w:r>
      <w:r>
        <w:t xml:space="preserve"> </w:t>
      </w:r>
      <w:r>
        <w:t xml:space="preserve">3.</w:t>
      </w:r>
      <w:r>
        <w:t xml:space="preserve"> </w:t>
      </w:r>
      <w:r>
        <w:rPr>
          <w:bCs/>
          <w:b/>
        </w:rPr>
        <w:t xml:space="preserve">LLM Inference Call #2 (Grounded NLG):</w:t>
      </w:r>
      <w:r>
        <w:t xml:space="preserve"> </w:t>
      </w:r>
      <w:r>
        <w:t xml:space="preserve">Synthesizes the verified relational facts</w:t>
      </w:r>
      <w:r>
        <w:t xml:space="preserve"> </w:t>
      </w:r>
      <m:oMath>
        <m:sSub>
          <m:e>
            <m:r>
              <m:t>F</m:t>
            </m:r>
          </m:e>
          <m:sub>
            <m:r>
              <m:t>S</m:t>
            </m:r>
            <m:r>
              <m:t>Q</m:t>
            </m:r>
            <m:r>
              <m:t>L</m:t>
            </m:r>
          </m:sub>
        </m:sSub>
      </m:oMath>
      <w:r>
        <w:t xml:space="preserve"> </w:t>
      </w:r>
      <w:r>
        <w:t xml:space="preserve">into a natural conversational dialogue response under the</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Deterministic Post-Generation Verification:</w:t>
      </w:r>
      <w:r>
        <w:t xml:space="preserve"> </w:t>
      </w:r>
      <w:r>
        <w:t xml:space="preserve">Before presentation to the user, the algorithmic</w:t>
      </w:r>
      <w:r>
        <w:t xml:space="preserve"> </w:t>
      </w:r>
      <w:r>
        <w:rPr>
          <w:iCs/>
          <w:i/>
        </w:rPr>
        <w:t xml:space="preserve">Grounding Validator</w:t>
      </w:r>
      <w:r>
        <w:t xml:space="preserve"> </w:t>
      </w:r>
      <w:r>
        <w:t xml:space="preserve">checks claimed entities, admission prices, spatial distances, and operating hours against</w:t>
      </w:r>
      <w:r>
        <w:t xml:space="preserve"> </w:t>
      </w:r>
      <m:oMath>
        <m:sSub>
          <m:e>
            <m:r>
              <m:t>F</m:t>
            </m:r>
          </m:e>
          <m:sub>
            <m:r>
              <m:t>S</m:t>
            </m:r>
            <m:r>
              <m:t>Q</m:t>
            </m:r>
            <m:r>
              <m:t>L</m:t>
            </m:r>
          </m:sub>
        </m:sSub>
      </m:oMath>
      <w:r>
        <w:t xml:space="preserve">.</w:t>
      </w:r>
    </w:p>
    <w:p>
      <w:pPr>
        <w:pStyle w:val="BodyText"/>
      </w:pPr>
      <w:r>
        <w:t xml:space="preserve">This dual-call architecture clarifies why total end-to-end response latency (~1,340 ms) is dominated by two remote cloud LLM network roundtrips (~473 ms and ~865 ms), while preserving 100% deterministic spatial computation and eliminating ungrounded hallucinations.</w:t>
      </w:r>
    </w:p>
    <w:bookmarkEnd w:id="48"/>
    <w:bookmarkStart w:id="57"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4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49"/>
    <w:bookmarkStart w:id="5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0"/>
    <w:bookmarkStart w:id="51"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1"/>
    <w:bookmarkStart w:id="5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2"/>
    <w:bookmarkStart w:id="5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3"/>
    <w:bookmarkStart w:id="5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4"/>
    <w:bookmarkStart w:id="5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5"/>
    <w:bookmarkStart w:id="5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6"/>
    <w:bookmarkEnd w:id="57"/>
    <w:bookmarkEnd w:id="58"/>
    <w:bookmarkStart w:id="59"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59"/>
    <w:bookmarkStart w:id="65"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6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0"/>
    <w:bookmarkStart w:id="6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2" name="Picture"/>
            <a:graphic>
              <a:graphicData uri="http://schemas.openxmlformats.org/drawingml/2006/picture">
                <pic:pic>
                  <pic:nvPicPr>
                    <pic:cNvPr descr="images/figure4_concrete_execution_trace.png" id="63" name="Picture"/>
                    <pic:cNvPicPr>
                      <a:picLocks noChangeArrowheads="1" noChangeAspect="1"/>
                    </pic:cNvPicPr>
                  </pic:nvPicPr>
                  <pic:blipFill>
                    <a:blip r:embed="rId6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4"/>
    <w:bookmarkEnd w:id="65"/>
    <w:bookmarkEnd w:id="66"/>
    <w:bookmarkStart w:id="86" w:name="empirical-results-and-discussion"/>
    <w:p>
      <w:pPr>
        <w:pStyle w:val="Heading2"/>
      </w:pPr>
      <w:r>
        <w:t xml:space="preserve">4. EMPIRICAL RESULTS AND DISCUSSION</w:t>
      </w:r>
    </w:p>
    <w:p>
      <w:pPr>
        <w:pStyle w:val="FirstParagraph"/>
      </w:pPr>
      <w:r>
        <w:t xml:space="preserve">In alignment with the core scientific novelty of the spatial-semantic control architecture, the empirical evaluation framework is prioritized across</w:t>
      </w:r>
      <w:r>
        <w:t xml:space="preserve"> </w:t>
      </w:r>
      <w:r>
        <w:rPr>
          <w:bCs/>
          <w:b/>
        </w:rPr>
        <w:t xml:space="preserve">Six Primary Scientific Evaluation Pillars</w:t>
      </w:r>
      <w:r>
        <w:t xml:space="preserve">:</w:t>
      </w:r>
      <w:r>
        <w:t xml:space="preserve"> </w:t>
      </w:r>
      <w:r>
        <w:t xml:space="preserve">1.</w:t>
      </w:r>
      <w:r>
        <w:t xml:space="preserve"> </w:t>
      </w:r>
      <w:r>
        <w:rPr>
          <w:bCs/>
          <w:b/>
        </w:rPr>
        <w:t xml:space="preserve">Semantic Accuracy:</w:t>
      </w:r>
      <w:r>
        <w:t xml:space="preserve"> </w:t>
      </w:r>
      <w:r>
        <w:t xml:space="preserve">Accuracy of 17-attribute CSIR slot parsing and category classification (Section 4.2).</w:t>
      </w:r>
      <w:r>
        <w:t xml:space="preserve"> </w:t>
      </w:r>
      <w:r>
        <w:t xml:space="preserve">2.</w:t>
      </w:r>
      <w:r>
        <w:t xml:space="preserve"> </w:t>
      </w:r>
      <w:r>
        <w:rPr>
          <w:bCs/>
          <w:b/>
        </w:rPr>
        <w:t xml:space="preserve">Spatial Correctness:</w:t>
      </w:r>
      <w:r>
        <w:t xml:space="preserve"> </w:t>
      </w:r>
      <w:r>
        <w:t xml:space="preserve">Precision of SQL spatial predicate execution via native</w:t>
      </w:r>
      <w:r>
        <w:t xml:space="preserve"> </w:t>
      </w:r>
      <w:r>
        <w:rPr>
          <w:rStyle w:val="VerbatimChar"/>
        </w:rPr>
        <w:t xml:space="preserve">ST_Distance_Sphere</w:t>
      </w:r>
      <w:r>
        <w:t xml:space="preserve"> </w:t>
      </w:r>
      <w:r>
        <w:t xml:space="preserve">spherical calculation (Sections 4.2 &amp; 4.3).</w:t>
      </w:r>
      <w:r>
        <w:t xml:space="preserve"> </w:t>
      </w:r>
      <w:r>
        <w:t xml:space="preserve">3.</w:t>
      </w:r>
      <w:r>
        <w:t xml:space="preserve"> </w:t>
      </w:r>
      <w:r>
        <w:rPr>
          <w:bCs/>
          <w:b/>
        </w:rPr>
        <w:t xml:space="preserve">Grounding Fidelity &amp; Factual Verification:</w:t>
      </w:r>
      <w:r>
        <w:t xml:space="preserve"> </w:t>
      </w:r>
      <w:r>
        <w:t xml:space="preserve">Integrity of claim-level factual verification, zero observed fabricated POIs, and honest rejection (Section 4.2).</w:t>
      </w:r>
      <w:r>
        <w:t xml:space="preserve"> </w:t>
      </w:r>
      <w:r>
        <w:t xml:space="preserve">4.</w:t>
      </w:r>
      <w:r>
        <w:t xml:space="preserve"> </w:t>
      </w:r>
      <w:r>
        <w:rPr>
          <w:bCs/>
          <w:b/>
        </w:rPr>
        <w:t xml:space="preserve">Comparative Multi-Baseline Evaluation:</w:t>
      </w:r>
      <w:r>
        <w:t xml:space="preserve"> </w:t>
      </w:r>
      <w:r>
        <w:t xml:space="preserve">Rigorous benchmarking against</w:t>
      </w:r>
      <w:r>
        <w:t xml:space="preserve"> </w:t>
      </w:r>
      <w:r>
        <w:rPr>
          <w:iCs/>
          <w:i/>
        </w:rPr>
        <w:t xml:space="preserve">Direct Text-to-SQL</w:t>
      </w:r>
      <w:r>
        <w:t xml:space="preserve"> </w:t>
      </w:r>
      <w:r>
        <w:t xml:space="preserve">and</w:t>
      </w:r>
      <w:r>
        <w:t xml:space="preserve"> </w:t>
      </w:r>
      <w:r>
        <w:rPr>
          <w:iCs/>
          <w:i/>
        </w:rPr>
        <w:t xml:space="preserve">Unconstrained LLM</w:t>
      </w:r>
      <w:r>
        <w:t xml:space="preserve"> </w:t>
      </w:r>
      <w:r>
        <w:t xml:space="preserve">under standardized protocol (Section 4.4).</w:t>
      </w:r>
      <w:r>
        <w:t xml:space="preserve"> </w:t>
      </w:r>
      <w:r>
        <w:t xml:space="preserve">5.</w:t>
      </w:r>
      <w:r>
        <w:t xml:space="preserve"> </w:t>
      </w:r>
      <w:r>
        <w:rPr>
          <w:bCs/>
          <w:b/>
        </w:rPr>
        <w:t xml:space="preserve">System Ablation Study:</w:t>
      </w:r>
      <w:r>
        <w:t xml:space="preserve"> </w:t>
      </w:r>
      <w:r>
        <w:t xml:space="preserve">Quantitative contribution of 6-dimensional validator invariants, system handling policies, and SQL injection security (Section 4.5).</w:t>
      </w:r>
      <w:r>
        <w:t xml:space="preserve"> </w:t>
      </w:r>
      <w:r>
        <w:t xml:space="preserve">6.</w:t>
      </w:r>
      <w:r>
        <w:t xml:space="preserve"> </w:t>
      </w:r>
      <w:r>
        <w:rPr>
          <w:bCs/>
          <w:b/>
        </w:rPr>
        <w:t xml:space="preserve">Two-Call Latency Profile &amp; Synthetic Scalability Feasibility:</w:t>
      </w:r>
      <w:r>
        <w:t xml:space="preserve"> </w:t>
      </w:r>
      <w:r>
        <w:t xml:space="preserve">Response time decomposition across two distinct LLM API calls and spatial database stress testing up to 10,000 synthetic POIs (Sections 4.6 &amp; 4.7).</w:t>
      </w:r>
    </w:p>
    <w:p>
      <w:pPr>
        <w:pStyle w:val="BodyText"/>
      </w:pPr>
      <w:r>
        <w:t xml:space="preserve">Subsequently, conversational interaction usability (</w:t>
      </w:r>
      <w:r>
        <w:rPr>
          <w:iCs/>
          <w:i/>
        </w:rPr>
        <w:t xml:space="preserve">System Usability Scale</w:t>
      </w:r>
      <w:r>
        <w:t xml:space="preserve"> </w:t>
      </w:r>
      <w:r>
        <w:t xml:space="preserve">/ SUS and cognitive Task Completion Time across</w:t>
      </w:r>
      <w:r>
        <w:t xml:space="preserve"> </w:t>
      </w:r>
      <m:oMath>
        <m:r>
          <m:t>N</m:t>
        </m:r>
        <m:r>
          <m:rPr>
            <m:sty m:val="p"/>
          </m:rPr>
          <m:t>=</m:t>
        </m:r>
        <m:r>
          <m:t>30</m:t>
        </m:r>
      </m:oMath>
      <w:r>
        <w:t xml:space="preserve"> </w:t>
      </w:r>
      <w:r>
        <w:t xml:space="preserve">participants) is documented in Section 4.8 as a</w:t>
      </w:r>
      <w:r>
        <w:t xml:space="preserve"> </w:t>
      </w:r>
      <w:r>
        <w:rPr>
          <w:bCs/>
          <w:b/>
        </w:rPr>
        <w:t xml:space="preserve">Secondary Evaluation</w:t>
      </w:r>
      <w:r>
        <w:t xml:space="preserve">, providing complementary evidence of end-user interaction adoption without overshadowing the technical AI-GIS architecture.</w:t>
      </w:r>
    </w:p>
    <w:bookmarkStart w:id="73"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8" name="Picture"/>
            <a:graphic>
              <a:graphicData uri="http://schemas.openxmlformats.org/drawingml/2006/picture">
                <pic:pic>
                  <pic:nvPicPr>
                    <pic:cNvPr descr="images/figure5_webgis_interface.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1" name="Picture"/>
            <a:graphic>
              <a:graphicData uri="http://schemas.openxmlformats.org/drawingml/2006/picture">
                <pic:pic>
                  <pic:nvPicPr>
                    <pic:cNvPr descr="images/figure6_routing_navigation.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3"/>
    <w:bookmarkStart w:id="74"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Fabricated POIs Observed</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bookmarkEnd w:id="74"/>
    <w:bookmarkStart w:id="78"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76" name="Picture"/>
            <a:graphic>
              <a:graphicData uri="http://schemas.openxmlformats.org/drawingml/2006/picture">
                <pic:pic>
                  <pic:nvPicPr>
                    <pic:cNvPr descr="images/figure7_hallucination_evaluation.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78"/>
    <w:bookmarkStart w:id="79"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Target Database</w:t>
            </w:r>
          </w:p>
        </w:tc>
        <w:tc>
          <w:tcPr/>
          <w:p>
            <w:pPr>
              <w:pStyle w:val="Compact"/>
              <w:jc w:val="left"/>
            </w:pPr>
            <w:r>
              <w:t xml:space="preserve">None (Zero DB access)</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79"/>
    <w:bookmarkStart w:id="81"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Precision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maintaining zero entity hallucinations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&amp; 0.00% Fabricated POIs</w:t>
            </w:r>
            <w:r>
              <w:t xml:space="preserve"> </w:t>
            </w:r>
            <w:r>
              <w:t xml:space="preserve">(Verifies price, hours, distance</w:t>
            </w:r>
            <w:r>
              <w:t xml:space="preserve"> </w:t>
            </w:r>
            <m:oMath>
              <m:r>
                <m:rPr>
                  <m:sty m:val="p"/>
                </m:rPr>
                <m:t>±</m:t>
              </m:r>
              <m:r>
                <m:t>0.6</m:t>
              </m:r>
            </m:oMath>
            <w:r>
              <w:t xml:space="preserve"> </w:t>
            </w:r>
            <w:r>
              <w:t xml:space="preserve">km, POIs)</w:t>
            </w:r>
          </w:p>
        </w:tc>
        <w:tc>
          <w:tcPr/>
          <w:p>
            <w:pPr>
              <w:pStyle w:val="Compact"/>
              <w:jc w:val="left"/>
            </w:pPr>
            <w:r>
              <w:t xml:space="preserve">Validates quantitative factual correctness before payload dispatch to browser client</w:t>
            </w:r>
          </w:p>
        </w:tc>
      </w:tr>
    </w:tbl>
    <w:p>
      <w:pPr>
        <w:pStyle w:val="BodyText"/>
      </w:pPr>
      <w:r>
        <w:t xml:space="preserve">All underlying logic modules are rigorously validated through an automated PHPUnit test suite comprising</w:t>
      </w:r>
      <w:r>
        <w:t xml:space="preserve"> </w:t>
      </w:r>
      <w:r>
        <w:rPr>
          <w:bCs/>
          <w:b/>
        </w:rPr>
        <w:t xml:space="preserve">27 unit tests</w:t>
      </w:r>
      <w:r>
        <w:t xml:space="preserve"> </w:t>
      </w:r>
      <w:r>
        <w:t xml:space="preserve">with</w:t>
      </w:r>
      <w:r>
        <w:t xml:space="preserve"> </w:t>
      </w:r>
      <w:r>
        <w:rPr>
          <w:bCs/>
          <w:b/>
        </w:rPr>
        <w:t xml:space="preserve">78 assertions</w:t>
      </w:r>
      <w:r>
        <w:t xml:space="preserve"> </w:t>
      </w:r>
      <w:r>
        <w:t xml:space="preserve">(verifying invariant enforcement in</w:t>
      </w:r>
      <w:r>
        <w:t xml:space="preserve"> </w:t>
      </w:r>
      <w:r>
        <w:rPr>
          <w:iCs/>
          <w:i/>
        </w:rPr>
        <w:t xml:space="preserve">SirValidatorTest</w:t>
      </w:r>
      <w:r>
        <w:t xml:space="preserve">, SQL injection and DDL resilience in</w:t>
      </w:r>
      <w:r>
        <w:t xml:space="preserve"> </w:t>
      </w:r>
      <w:r>
        <w:rPr>
          <w:iCs/>
          <w:i/>
        </w:rPr>
        <w:t xml:space="preserve">SpatialQueryCompilerTest</w:t>
      </w:r>
      <w:r>
        <w:t xml:space="preserve">, and algorithmic ungrounded entity rejection in</w:t>
      </w:r>
      <w:r>
        <w:t xml:space="preserve"> </w:t>
      </w:r>
      <w:r>
        <w:rPr>
          <w:iCs/>
          <w:i/>
        </w:rPr>
        <w:t xml:space="preserve">GroundingValidatorTest</w:t>
      </w:r>
      <w:r>
        <w:t xml:space="preserve">) with a 100% pass rate.</w:t>
      </w:r>
    </w:p>
    <w:bookmarkStart w:id="80" w:name="Xbcd54fb25c081da6fa63c75d019d04e2881f627"/>
    <w:p>
      <w:pPr>
        <w:pStyle w:val="Heading4"/>
      </w:pPr>
      <w:r>
        <w:t xml:space="preserve">4.5.1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proves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7c:</w:t>
      </w:r>
    </w:p>
    <w:p>
      <w:pPr>
        <w:pStyle w:val="BodyText"/>
      </w:pPr>
      <w:r>
        <w:rPr>
          <w:bCs/>
          <w:b/>
        </w:rPr>
        <w:t xml:space="preserve">Table 7c.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0"/>
    <w:bookmarkEnd w:id="81"/>
    <w:bookmarkStart w:id="82"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API Call #1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API Call #2 → Text) &amp; Grounding Validation</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of</w:t>
      </w:r>
      <w:r>
        <w:t xml:space="preserve"> </w:t>
      </w:r>
      <w:r>
        <w:rPr>
          <w:bCs/>
          <w:b/>
        </w:rPr>
        <w:t xml:space="preserve">1,340.57 ms (~1.34 seconds)</w:t>
      </w:r>
      <w:r>
        <w:t xml:space="preserve"> </w:t>
      </w:r>
      <w:r>
        <w:t xml:space="preserve">explicitly encompasses</w:t>
      </w:r>
      <w:r>
        <w:t xml:space="preserve"> </w:t>
      </w:r>
      <w:r>
        <w:rPr>
          <w:bCs/>
          <w:b/>
        </w:rPr>
        <w:t xml:space="preserve">two distinct remote LLM API inference calls</w:t>
      </w:r>
      <w:r>
        <w:t xml:space="preserve">: LLM Call #1 for Intent Parsing (473.65 ms or 35.33%) and LLM Call #2 for Grounded NLG (865.32 ms or 64.55%), with intermediate MySQL relational computation taking merely 1.21 ms (0.09%). This dual-invocation design is an intentional architectural necessity to maintain the Cognitive Air-Gap and enforce Grounding Fidelity. With a 95th percentile of 1,442.10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bookmarkEnd w:id="82"/>
    <w:bookmarkStart w:id="83"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83"/>
    <w:bookmarkStart w:id="84" w:name="X754ae1937806f8eeaa215b49ccb5e204f8dac59"/>
    <w:p>
      <w:pPr>
        <w:pStyle w:val="Heading3"/>
      </w:pPr>
      <w:r>
        <w:t xml:space="preserve">4.8 Secondary Evaluation: Human-Centered Usability and Conversational Interaction (SUS &amp;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bookmarkEnd w:id="84"/>
    <w:bookmarkStart w:id="85" w:name="X498549b5f8db90ebb9df17744a2512a78b37d1d"/>
    <w:p>
      <w:pPr>
        <w:pStyle w:val="Heading3"/>
      </w:pPr>
      <w:r>
        <w:t xml:space="preserve">4.9 Spatial Transferability, OSRM Service Provenance, and System Limitations</w:t>
      </w:r>
    </w:p>
    <w:p>
      <w:pPr>
        <w:pStyle w:val="FirstParagraph"/>
      </w:pPr>
      <w:r>
        <w:t xml:space="preserve">To address critical peer review criteria regarding geographic transferability and empirical reproducibility, architectural transferability and external service dependencies are detailed as follows:</w:t>
      </w:r>
    </w:p>
    <w:p>
      <w:pPr>
        <w:pStyle w:val="BodyText"/>
      </w:pPr>
      <w:r>
        <w:rPr>
          <w:bCs/>
          <w:b/>
        </w:rPr>
        <w:t xml:space="preserve">1. Geographic Portability with Limited Domain-Specific Reconfiguration:</w:t>
      </w:r>
      <w:r>
        <w:br/>
      </w: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p>
      <w:pPr>
        <w:pStyle w:val="BodyText"/>
      </w:pPr>
      <w:r>
        <w:rPr>
          <w:bCs/>
          <w:b/>
        </w:rPr>
        <w:t xml:space="preserve">2. Positioning of OSRM Service and External Computation Boundaries:</w:t>
      </w:r>
      <w:r>
        <w:br/>
      </w: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gracefully falling back to direct Euclidean vector rendering on the map interface.</w:t>
      </w:r>
    </w:p>
    <w:p>
      <w:r>
        <w:pict>
          <v:rect style="width:0;height:1.5pt" o:hralign="center" o:hrstd="t" o:hr="t"/>
        </w:pict>
      </w:r>
    </w:p>
    <w:bookmarkEnd w:id="85"/>
    <w:bookmarkEnd w:id="86"/>
    <w:bookmarkStart w:id="87" w:name="conclusion-and-future-work"/>
    <w:p>
      <w:pPr>
        <w:pStyle w:val="Heading2"/>
      </w:pPr>
      <w:r>
        <w:t xml:space="preserve">5. CONCLUSION AND FUTURE WORK</w:t>
      </w:r>
    </w:p>
    <w:p>
      <w:pPr>
        <w:pStyle w:val="FirstParagraph"/>
      </w:pPr>
      <w:r>
        <w:t xml:space="preserve">This study developed and evaluated a</w:t>
      </w:r>
      <w:r>
        <w:t xml:space="preserve"> </w:t>
      </w:r>
      <w:r>
        <w:rPr>
          <w:bCs/>
          <w:b/>
        </w:rPr>
        <w:t xml:space="preserve">Structured Semantic Control Layer for Reliable LLM-Mediated Spatial Querying in Web GIS</w:t>
      </w:r>
      <w:r>
        <w:t xml:space="preserve">, empirically validated in Padang City. Expanding upon the exploratory spatial interaction lineage of</w:t>
      </w:r>
      <w:r>
        <w:t xml:space="preserve"> </w:t>
      </w:r>
      <w:r>
        <w:rPr>
          <w:iCs/>
          <w:i/>
        </w:rPr>
        <w:t xml:space="preserve">DTExplorer</w:t>
      </w:r>
      <w:r>
        <w:t xml:space="preserve"> </w:t>
      </w:r>
      <w:r>
        <w:t xml:space="preserve">(Afnarius et al., 2026), the architecture decouples cognitive natural language interpretation from deterministic spatial computation, harnessing generative AI capabilities while preventing factual and spatial hallucinations.</w:t>
      </w:r>
    </w:p>
    <w:p>
      <w:pPr>
        <w:pStyle w:val="BodyText"/>
      </w:pPr>
      <w:r>
        <w:t xml:space="preserve">Empirical evaluation across 40 standardized conversational scenarios, 27 automated unit tests (78 assertions), a 10,000-POI scalability stress test, and an empirical usability trial (</w:t>
      </w:r>
      <m:oMath>
        <m:r>
          <m:t>N</m:t>
        </m:r>
        <m:r>
          <m:rPr>
            <m:sty m:val="p"/>
          </m:rPr>
          <m:t>=</m:t>
        </m:r>
        <m:r>
          <m:t>30</m:t>
        </m:r>
      </m:oMath>
      <w:r>
        <w:t xml:space="preserve">) yielded the following findings:</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 native</w:t>
      </w:r>
      <w:r>
        <w:t xml:space="preserve"> </w:t>
      </w:r>
      <w:r>
        <w:rPr>
          <w:rStyle w:val="VerbatimChar"/>
        </w:rPr>
        <w:t xml:space="preserve">ST_Distance_Sphere</w:t>
      </w:r>
      <w:r>
        <w:t xml:space="preserve"> </w:t>
      </w:r>
      <w:r>
        <w:t xml:space="preserve">spatial function,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Claim-Level Grounding Validator</w:t>
      </w:r>
      <w:r>
        <w:t xml:space="preserve"> </w:t>
      </w:r>
      <w:r>
        <w:t xml:space="preserve">and</w:t>
      </w:r>
      <w:r>
        <w:t xml:space="preserve"> </w:t>
      </w:r>
      <w:r>
        <w:rPr>
          <w:iCs/>
          <w:i/>
        </w:rPr>
        <w:t xml:space="preserve">Strict Grounding Contract</w:t>
      </w:r>
      <w:r>
        <w:t xml:space="preserve"> </w:t>
      </w:r>
      <w:r>
        <w:t xml:space="preserve">successfully prevented fabricated-entity hallucination under the evaluated benchmark conditions, yielding</w:t>
      </w:r>
      <w:r>
        <w:t xml:space="preserve"> </w:t>
      </w:r>
      <w:r>
        <w:rPr>
          <w:bCs/>
          <w:b/>
        </w:rPr>
        <w:t xml:space="preserve">0 observed fabricated POIs (0.00% Entity Fabrication Rate)</w:t>
      </w:r>
      <w:r>
        <w:t xml:space="preserve">,</w:t>
      </w:r>
      <w:r>
        <w:t xml:space="preserve"> </w:t>
      </w:r>
      <w:r>
        <w:rPr>
          <w:bCs/>
          <w:b/>
        </w:rPr>
        <w:t xml:space="preserve">100.00% Grounding Fidelity</w:t>
      </w:r>
      <w:r>
        <w:t xml:space="preserve">, and a</w:t>
      </w:r>
      <w:r>
        <w:t xml:space="preserve"> </w:t>
      </w:r>
      <w:r>
        <w:rPr>
          <w:bCs/>
          <w:b/>
        </w:rPr>
        <w:t xml:space="preserve">100.00% Honest Rejection Rate</w:t>
      </w:r>
      <w:r>
        <w:t xml:space="preserve"> </w:t>
      </w:r>
      <w:r>
        <w:t xml:space="preserve">on out-of-scope inquiries.</w:t>
      </w:r>
      <w:r>
        <w:t xml:space="preserve"> </w:t>
      </w:r>
      <w:r>
        <w:t xml:space="preserve">4. The system recorded an average end-to-end response latency of</w:t>
      </w:r>
      <w:r>
        <w:t xml:space="preserve"> </w:t>
      </w:r>
      <w:r>
        <w:rPr>
          <w:bCs/>
          <w:b/>
        </w:rPr>
        <w:t xml:space="preserve">1,340.57 ms</w:t>
      </w:r>
      <w:r>
        <w:t xml:space="preserve"> </w:t>
      </w:r>
      <w:r>
        <w:t xml:space="preserve">across two distinct LLM API calls, efficient relational database execution (1.21 ms) scaling moderately to 6.11 ms across 10,000 synthetic POIs, an</w:t>
      </w:r>
      <w:r>
        <w:t xml:space="preserve"> </w:t>
      </w:r>
      <w:r>
        <w:rPr>
          <w:bCs/>
          <w:b/>
        </w:rPr>
        <w:t xml:space="preserve">82.43% reduction in cognitive task completion time</w:t>
      </w:r>
      <w:r>
        <w:t xml:space="preserve"> </w:t>
      </w:r>
      <w:r>
        <w:t xml:space="preserve">over conventional WIMP interfaces (</w:t>
      </w:r>
      <m:oMath>
        <m:r>
          <m:t>t</m:t>
        </m:r>
        <m:d>
          <m:dPr>
            <m:begChr m:val="("/>
            <m:endChr m:val=")"/>
            <m:sepChr m:val=""/>
            <m:grow/>
          </m:dPr>
          <m:e>
            <m:r>
              <m:t>29</m:t>
            </m:r>
          </m:e>
        </m:d>
        <m:r>
          <m:rPr>
            <m:sty m:val="p"/>
          </m:rPr>
          <m:t>=</m:t>
        </m:r>
        <m:r>
          <m:t>28.42</m:t>
        </m:r>
        <m:r>
          <m:rPr>
            <m:sty m:val="p"/>
          </m:rPr>
          <m:t>,</m:t>
        </m:r>
        <m:r>
          <m:t>p</m:t>
        </m:r>
        <m:r>
          <m:rPr>
            <m:sty m:val="p"/>
          </m:rPr>
          <m:t>&lt;</m:t>
        </m:r>
        <m:r>
          <m:t>0.001</m:t>
        </m:r>
      </m:oMath>
      <w:r>
        <w:t xml:space="preserve">, Cohen’s</w:t>
      </w:r>
      <w:r>
        <w:t xml:space="preserve"> </w:t>
      </w:r>
      <m:oMath>
        <m:r>
          <m:t>d</m:t>
        </m:r>
        <m:r>
          <m:rPr>
            <m:sty m:val="p"/>
          </m:rPr>
          <m:t>=</m:t>
        </m:r>
        <m:r>
          <m:t>5.19</m:t>
        </m:r>
      </m:oMath>
      <w:r>
        <w:t xml:space="preserve">), and an</w:t>
      </w:r>
      <w:r>
        <w:t xml:space="preserve"> </w:t>
      </w:r>
      <w:r>
        <w:t xml:space="preserve">“</w:t>
      </w:r>
      <w:r>
        <w:t xml:space="preserve">Excellent</w:t>
      </w:r>
      <w:r>
        <w:t xml:space="preserve">”</w:t>
      </w:r>
      <w:r>
        <w:t xml:space="preserve"> </w:t>
      </w:r>
      <w:r>
        <w:rPr>
          <w:bCs/>
          <w:b/>
        </w:rPr>
        <w:t xml:space="preserve">System Usability Scale (SUS) score of 84.25 ± 6.80</w:t>
      </w:r>
      <w:r>
        <w:t xml:space="preserve">.</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87"/>
    <w:bookmarkStart w:id="88"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88"/>
    <w:bookmarkStart w:id="91" w:name="appendix-supplementary-material"/>
    <w:p>
      <w:pPr>
        <w:pStyle w:val="Heading2"/>
      </w:pPr>
      <w:r>
        <w:t xml:space="preserve">APPENDIX (SUPPLEMENTARY MATERIAL)</w:t>
      </w:r>
    </w:p>
    <w:bookmarkStart w:id="89"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89"/>
    <w:bookmarkStart w:id="90"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Jika fakta yang diminta pengguna tidak tercantum pada data FAKTA, nyatakan secara jujur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2026-09-27T08:47:49Z</dcterms:created>
  <dcterms:modified xsi:type="dcterms:W3CDTF">2026-09-27T08:47:49Z</dcterms:modified>
</cp:coreProperties>
</file>

<file path=docProps/custom.xml><?xml version="1.0" encoding="utf-8"?>
<Properties xmlns="http://schemas.openxmlformats.org/officeDocument/2006/custom-properties" xmlns:vt="http://schemas.openxmlformats.org/officeDocument/2006/docPropsVTypes"/>
</file>