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untuk memastikan tidak ada klaim tanpa bukti faktual yang sampai ke pengguna. Pengujian empiris 4-lapisan terhadap 40 skenario percakapan</w:t>
      </w:r>
      <w:r>
        <w:t xml:space="preserve"> </w:t>
      </w:r>
      <w:r>
        <w:rPr>
          <w:iCs/>
          <w:i/>
        </w:rPr>
        <w:t xml:space="preserve">benchmark</w:t>
      </w:r>
      <w:r>
        <w:t xml:space="preserve"> </w:t>
      </w:r>
      <w:r>
        <w:t xml:space="preserve">terstandarisasi pada 22 destinasi wisata Kota Padang, yang didukung oleh rangkaian pengujian otomatis sebanyak</w:t>
      </w:r>
      <w:r>
        <w:t xml:space="preserve"> </w:t>
      </w:r>
      <w:r>
        <w:rPr>
          <w:bCs/>
          <w:b/>
        </w:rPr>
        <w:t xml:space="preserve">56 skenario uji unit, integrasi, dan ketahanan adversarial (240 assertions, 100% PASS)</w:t>
      </w:r>
      <w:r>
        <w:t xml:space="preserve">, menunjukkan akurasi ekstraksi CSIR eksak niat murni (</w:t>
      </w:r>
      <w:r>
        <w:rPr>
          <w:iCs/>
          <w:i/>
        </w:rPr>
        <w:t xml:space="preserve">Exact CSIR Match Rate</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w:t>
      </w:r>
      <w:r>
        <w:t xml:space="preserve">)</w:t>
      </w:r>
      <w:r>
        <w:t xml:space="preserve"> </w:t>
      </w:r>
      <w:r>
        <w:rPr>
          <w:bCs/>
          <w:b/>
        </w:rPr>
        <w:t xml:space="preserve">100,00% (436/436)</w:t>
      </w:r>
      <w:r>
        <w:t xml:space="preserve">, akurasi keputusan validasi</w:t>
      </w:r>
      <w:r>
        <w:t xml:space="preserve"> </w:t>
      </w:r>
      <w:r>
        <w:rPr>
          <w:bCs/>
          <w:b/>
        </w:rPr>
        <w:t xml:space="preserve">100,00% (40/40)</w:t>
      </w:r>
      <w:r>
        <w:t xml:space="preserve">, kebenaran predikat spasial murni sebesar</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(270/270 klaim terverifikasi pada empat kategori pemeriksaan)</w:t>
      </w:r>
      <w:r>
        <w:t xml:space="preserve">,</w:t>
      </w:r>
      <w:r>
        <w:t xml:space="preserve"> </w:t>
      </w:r>
      <w:r>
        <w:rPr>
          <w:iCs/>
          <w:i/>
        </w:rPr>
        <w:t xml:space="preserve">Entity Grounding Fidelity</w:t>
      </w:r>
      <w:r>
        <w:t xml:space="preserve"> </w:t>
      </w:r>
      <w:r>
        <w:rPr>
          <w:bCs/>
          <w:b/>
        </w:rPr>
        <w:t xml:space="preserve">100,00% (120/120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270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120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d821c2d8d0f24488763f72b580e423ed917070b"/>
    <w:p>
      <w:pPr>
        <w:pStyle w:val="Heading3"/>
      </w:pPr>
      <w:r>
        <w:t xml:space="preserve">5.1 Arsitektur Dataset dan Spesifikasi Ground Truth: Tiga Tingkatan Dataset Acuan</w:t>
      </w:r>
    </w:p>
    <w:p>
      <w:pPr>
        <w:pStyle w:val="FirstParagraph"/>
      </w:pPr>
      <w:r>
        <w:t xml:space="preserve">Guna menjamin transparansi metodologis mutlak dan menghindari ketaksaan interpretasi dataset, penelitian ini membedakan secara eksplisit tiga tingkatan himpunan data (</w:t>
      </w:r>
      <w:r>
        <w:rPr>
          <w:iCs/>
          <w:i/>
        </w:rPr>
        <w:t xml:space="preserve">tripartite dataset tiers</w:t>
      </w:r>
      <w:r>
        <w:t xml:space="preserve">) yang memiliki fungsi, sumber, kriteria validasi, dan peran metodologis berbeda dalam pipeline evaluasi (Tabel 2b):</w:t>
      </w:r>
    </w:p>
    <w:p>
      <w:pPr>
        <w:numPr>
          <w:ilvl w:val="0"/>
          <w:numId w:val="1009"/>
        </w:numPr>
        <w:pStyle w:val="Compact"/>
      </w:pPr>
      <w:r>
        <w:rPr>
          <w:bCs/>
          <w:b/>
        </w:rPr>
        <w:t xml:space="preserve">Tingkat 1: Himpunan Data Sistem Operasional yang Diuji (22 POI Kurasi Resmi Kota Padang):</w:t>
      </w:r>
    </w:p>
    <w:p>
      <w:pPr>
        <w:numPr>
          <w:ilvl w:val="1"/>
          <w:numId w:val="1010"/>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10"/>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10"/>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10"/>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w:t>
      </w:r>
    </w:p>
    <w:p>
      <w:pPr>
        <w:numPr>
          <w:ilvl w:val="0"/>
          <w:numId w:val="1009"/>
        </w:numPr>
        <w:pStyle w:val="Compact"/>
      </w:pPr>
      <w:r>
        <w:rPr>
          <w:bCs/>
          <w:b/>
        </w:rPr>
        <w:t xml:space="preserve">Tingkat 2: Himpunan Data Ground Truth Benchmark Percakapan (40 Skenario Terstandarisasi):</w:t>
      </w:r>
    </w:p>
    <w:p>
      <w:pPr>
        <w:numPr>
          <w:ilvl w:val="1"/>
          <w:numId w:val="1011"/>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11"/>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w:t>
      </w:r>
    </w:p>
    <w:p>
      <w:pPr>
        <w:numPr>
          <w:ilvl w:val="1"/>
          <w:numId w:val="1011"/>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09"/>
        </w:numPr>
        <w:pStyle w:val="Compact"/>
      </w:pPr>
      <w:r>
        <w:rPr>
          <w:bCs/>
          <w:b/>
        </w:rPr>
        <w:t xml:space="preserve">Tingkat 3: Himpunan Data Referensi Entitas Luar Wilayah &amp; Negatif (14 Destinasi Regional Sumbar + Entitas Fiktif):</w:t>
      </w:r>
    </w:p>
    <w:p>
      <w:pPr>
        <w:numPr>
          <w:ilvl w:val="1"/>
          <w:numId w:val="1012"/>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12"/>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12"/>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12"/>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2b.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13"/>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13"/>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13"/>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13"/>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11"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 (</w:t>
            </w:r>
            <w:r>
              <w:rPr>
                <w:iCs/>
                <w:i/>
              </w:rPr>
              <w:t xml:space="preserve">Fallback Aktif</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(124/124)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(270/270)</w:t>
            </w:r>
          </w:p>
        </w:tc>
        <w:tc>
          <w:tcPr/>
          <w:p>
            <w:pPr>
              <w:pStyle w:val="Compact"/>
              <w:jc w:val="center"/>
            </w:pPr>
            <w:r>
              <w:rPr>
                <w:bCs/>
                <w:b/>
              </w:rPr>
              <w:t xml:space="preserve">100,00% (270/270)</w:t>
            </w:r>
          </w:p>
        </w:tc>
        <w:tc>
          <w:tcPr/>
          <w:p>
            <w:pPr>
              <w:pStyle w:val="Compact"/>
              <w:jc w:val="center"/>
            </w:pPr>
            <w:r>
              <w:t xml:space="preserve">≥ 97,50%</w:t>
            </w:r>
          </w:p>
        </w:tc>
        <w:tc>
          <w:tcPr/>
          <w:p>
            <w:pPr>
              <w:pStyle w:val="Compact"/>
              <w:jc w:val="center"/>
            </w:pPr>
            <w:r>
              <w:t xml:space="preserve">Sempurna (</w:t>
            </w:r>
            <w:r>
              <w:rPr>
                <w:iCs/>
                <w:i/>
              </w:rPr>
              <w:t xml:space="preserve">4 Kategori Teruji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w:t>
            </w:r>
          </w:p>
        </w:tc>
        <w:tc>
          <w:tcPr/>
          <w:p>
            <w:pPr>
              <w:pStyle w:val="Compact"/>
              <w:jc w:val="center"/>
            </w:pPr>
            <w:r>
              <w:rPr>
                <w:bCs/>
                <w:b/>
              </w:rPr>
              <w:t xml:space="preserve">100,00% (120/120)</w:t>
            </w:r>
          </w:p>
        </w:tc>
        <w:tc>
          <w:tcPr/>
          <w:p>
            <w:pPr>
              <w:pStyle w:val="Compact"/>
              <w:jc w:val="center"/>
            </w:pPr>
            <w:r>
              <w:t xml:space="preserve">100,00%</w:t>
            </w:r>
          </w:p>
        </w:tc>
        <w:tc>
          <w:tcPr/>
          <w:p>
            <w:pPr>
              <w:pStyle w:val="Compact"/>
              <w:jc w:val="center"/>
            </w:pPr>
            <w:r>
              <w:t xml:space="preserve">Sempurna (</w:t>
            </w:r>
            <w:r>
              <w:rPr>
                <w:iCs/>
                <w:i/>
              </w:rPr>
              <w:t xml:space="preserve">120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(270/270 klaim)</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POI)</w:t>
      </w:r>
      <w:r>
        <w:t xml:space="preserve"> </w:t>
      </w:r>
      <w:r>
        <w:t xml:space="preserve">pada 40 skenario pengujian utama memerlukan perumusan batasan epistemologis yang presisi. Angka 100% ini menegaskan bahwa</w:t>
      </w:r>
      <w:r>
        <w:t xml:space="preserve"> </w:t>
      </w:r>
      <w:r>
        <w:rPr>
          <w:bCs/>
          <w:b/>
        </w:rPr>
        <w:t xml:space="preserve">seluruh proposisi faktual yang dapat dikenali dan diverifikasi oleh aturan validator algoritmik (</w:t>
      </w:r>
      <m:oMath>
        <m:sSub>
          <m:e>
            <m:r>
              <m:rPr>
                <m:sty m:val="p"/>
                <m:scr m:val="script"/>
              </m:rPr>
              <m:t>C</m:t>
            </m:r>
          </m:e>
          <m:sub>
            <m:r>
              <m:rPr>
                <m:nor/>
                <m:sty m:val="p"/>
              </m:rPr>
              <m:t>verifiable</m:t>
            </m:r>
          </m:sub>
        </m:sSub>
      </m:oMath>
      <w:r>
        <w:rPr>
          <w:bCs/>
          <w:b/>
        </w:rPr>
        <w:t xml:space="preserve">) dalam batas skema tertutup (</w:t>
      </w:r>
      <w:r>
        <w:rPr>
          <w:iCs/>
          <w:i/>
          <w:bCs/>
          <w:b/>
        </w:rPr>
        <w:t xml:space="preserve">closed-world schema</w:t>
      </w:r>
      <w:r>
        <w:rPr>
          <w:bCs/>
          <w:b/>
        </w:rPr>
        <w:t xml:space="preserve">) benchmark terbukti selaras 100% dengan data relasional MySQL</w:t>
      </w:r>
      <w:r>
        <w:t xml:space="preserve">. Metrik ini tidak menyatakan bahwa aturan validator otomatis mendeteksi setiap variasi sintaksis kalimat bahasa alami terbuka (</w:t>
      </w:r>
      <w:r>
        <w:rPr>
          <w:iCs/>
          <w:i/>
        </w:rPr>
        <w:t xml:space="preserve">unconstrained open-world language</w:t>
      </w:r>
      <w:r>
        <w:t xml:space="preserve">) yang dapat dihasilkan LLM.</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22 POI resmi terkurasi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4"/>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4"/>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4"/>
        </w:numPr>
      </w:pPr>
      <w:r>
        <w:rPr>
          <w:bCs/>
          <w:b/>
        </w:rPr>
        <w:t xml:space="preserve">Berapa besar perubahan performa ketika tiap komponen dinonaktifkan?</w:t>
      </w:r>
      <w:r>
        <w:br/>
      </w:r>
      <w:r>
        <w:t xml:space="preserve">Penonaktifan masing-masing komponen memicu degradasi terukur:</w:t>
      </w:r>
    </w:p>
    <w:p>
      <w:pPr>
        <w:numPr>
          <w:ilvl w:val="1"/>
          <w:numId w:val="1015"/>
        </w:numPr>
        <w:pStyle w:val="Compact"/>
      </w:pPr>
      <w:r>
        <w:t xml:space="preserve">Penonaktifan invarian sintaks/skema (A1) menurunkan akurasi ekstraksi menjadi 95,00% dan memicu 2 insiden galat sintaks basis data.</w:t>
      </w:r>
    </w:p>
    <w:p>
      <w:pPr>
        <w:numPr>
          <w:ilvl w:val="1"/>
          <w:numId w:val="1015"/>
        </w:numPr>
        <w:pStyle w:val="Compact"/>
      </w:pPr>
      <w:r>
        <w:t xml:space="preserve">Penonaktifan batas wilayah yurisdiksi (A2) menurunkan akurasi menjadi 92,50% dan memicu kueri luar batas tanpa penanganan kontekstual.</w:t>
      </w:r>
    </w:p>
    <w:p>
      <w:pPr>
        <w:numPr>
          <w:ilvl w:val="1"/>
          <w:numId w:val="1015"/>
        </w:numPr>
        <w:pStyle w:val="Compact"/>
      </w:pPr>
      <w:r>
        <w:t xml:space="preserve">Penonaktifan batasan operator dan jarak (A3) merupakan komponen paling rapuh, menurunkan akurasi hingga 90,00% dan memicu 4 kegagalan fatal eksekusi SQL.</w:t>
      </w:r>
    </w:p>
    <w:p>
      <w:pPr>
        <w:numPr>
          <w:ilvl w:val="1"/>
          <w:numId w:val="1015"/>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5"/>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4"/>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56 pengujian unit, integrasi, dan ketahanan adversarial otomatis</w:t>
      </w:r>
      <w:r>
        <w:t xml:space="preserve"> </w:t>
      </w:r>
      <w:r>
        <w:t xml:space="preserve">dengan total</w:t>
      </w:r>
      <w:r>
        <w:t xml:space="preserve"> </w:t>
      </w:r>
      <w:r>
        <w:rPr>
          <w:bCs/>
          <w:b/>
        </w:rPr>
        <w:t xml:space="preserve">240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AdversarialLinguisticValidationTest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b1e8b8278e22c7c2f1969f8d1a001722ee674d5"/>
    <w:p>
      <w:pPr>
        <w:pStyle w:val="Heading3"/>
      </w:pPr>
      <w:r>
        <w:t xml:space="preserve">6.6 Pembuktian Integrasi Database dan Rangkaian Uji Otomatis (56 Tests, 240 Assertions, 100% PASS)</w:t>
      </w:r>
    </w:p>
    <w:p>
      <w:pPr>
        <w:pStyle w:val="FirstParagraph"/>
      </w:pPr>
      <w:r>
        <w:t xml:space="preserve">Keandalan arsitektur diuji secara independen melalui rangkaian pengujian unit, integrasi, dan ketahanan adversarial otomatis (</w:t>
      </w:r>
      <w:r>
        <w:rPr>
          <w:iCs/>
          <w:i/>
        </w:rPr>
        <w:t xml:space="preserve">automated test suite</w:t>
      </w:r>
      <w:r>
        <w:t xml:space="preserve">) berbasis PHPUnit. Rangkaian uji ini mencakup</w:t>
      </w:r>
      <w:r>
        <w:t xml:space="preserve"> </w:t>
      </w:r>
      <w:r>
        <w:rPr>
          <w:bCs/>
          <w:b/>
        </w:rPr>
        <w:t xml:space="preserve">56 pengujian otomatis</w:t>
      </w:r>
      <w:r>
        <w:t xml:space="preserve"> </w:t>
      </w:r>
      <w:r>
        <w:t xml:space="preserve">dengan total</w:t>
      </w:r>
      <w:r>
        <w:t xml:space="preserve"> </w:t>
      </w:r>
      <w:r>
        <w:rPr>
          <w:bCs/>
          <w:b/>
        </w:rPr>
        <w:t xml:space="preserve">240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8 pengujian,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 pengujian, 100% PASS).</w:t>
      </w:r>
      <w:r>
        <w:t xml:space="preserve"> </w:t>
      </w:r>
      <w:r>
        <w:t xml:space="preserve">* Verifikasi ketahanan adversarial, invarian dialek Minangkabau, dan firewall grounding fakta (</w:t>
      </w:r>
      <w:r>
        <w:rPr>
          <w:rStyle w:val="VerbatimChar"/>
        </w:rPr>
        <w:t xml:space="preserve">AdversarialLinguisticValidationTest</w:t>
      </w:r>
      <w:r>
        <w:t xml:space="preserve">, 11 pengujian, 68 assertions, 100% PASS).</w:t>
      </w:r>
      <w:r>
        <w:t xml:space="preserve"> </w:t>
      </w:r>
      <w:r>
        <w:t xml:space="preserve">* Verifikasi konektivitas sistem dan model basis data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pengujian, 100% PASS).</w:t>
      </w:r>
    </w:p>
    <w:p>
      <w:pPr>
        <w:pStyle w:val="BodyText"/>
      </w:pPr>
      <w:r>
        <w:t xml:space="preserve">Seluruh 56 pengujian lulus dengan tingkat keberhasilan 100% (</w:t>
      </w:r>
      <w:r>
        <w:rPr>
          <w:iCs/>
          <w:i/>
        </w:rPr>
        <w:t xml:space="preserve">zero failures, zero errors</w:t>
      </w:r>
      <w:r>
        <w:t xml:space="preserve">), sebagaimana diaudit resmi pada berkas</w:t>
      </w:r>
      <w:r>
        <w:t xml:space="preserve"> </w:t>
      </w:r>
      <w:r>
        <w:rPr>
          <w:rStyle w:val="VerbatimChar"/>
        </w:rPr>
        <w:t xml:space="preserve">tests/phpunit_execution_report.txt</w:t>
      </w:r>
      <w:r>
        <w:t xml:space="preserve">.</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6"/>
        </w:numPr>
        <w:pStyle w:val="Compact"/>
      </w:pPr>
      <w:r>
        <w:rPr>
          <w:bCs/>
          <w:b/>
        </w:rPr>
        <w:t xml:space="preserve">F1 (Semantic Parsing Failure):</w:t>
      </w:r>
      <w:r>
        <w:t xml:space="preserve"> </w:t>
      </w:r>
      <w:r>
        <w:t xml:space="preserve">LLM salah mengekstrak maksud pengguna.</w:t>
      </w:r>
    </w:p>
    <w:p>
      <w:pPr>
        <w:numPr>
          <w:ilvl w:val="0"/>
          <w:numId w:val="1016"/>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6"/>
        </w:numPr>
        <w:pStyle w:val="Compact"/>
      </w:pPr>
      <w:r>
        <w:rPr>
          <w:bCs/>
          <w:b/>
        </w:rPr>
        <w:t xml:space="preserve">F3 (Entity Resolution Failure):</w:t>
      </w:r>
      <w:r>
        <w:t xml:space="preserve"> </w:t>
      </w:r>
      <w:r>
        <w:t xml:space="preserve">Diksi nama pengguna berbeda dari entitas resmi basis data.</w:t>
      </w:r>
    </w:p>
    <w:p>
      <w:pPr>
        <w:numPr>
          <w:ilvl w:val="0"/>
          <w:numId w:val="1016"/>
        </w:numPr>
        <w:pStyle w:val="Compact"/>
      </w:pPr>
      <w:r>
        <w:rPr>
          <w:bCs/>
          <w:b/>
        </w:rPr>
        <w:t xml:space="preserve">F4 (Spatial Constraint Failure):</w:t>
      </w:r>
      <w:r>
        <w:t xml:space="preserve"> </w:t>
      </w:r>
      <w:r>
        <w:t xml:space="preserve">Nilai radius atau koordinat acuan tidak realistis.</w:t>
      </w:r>
    </w:p>
    <w:p>
      <w:pPr>
        <w:numPr>
          <w:ilvl w:val="0"/>
          <w:numId w:val="1016"/>
        </w:numPr>
        <w:pStyle w:val="Compact"/>
      </w:pPr>
      <w:r>
        <w:rPr>
          <w:bCs/>
          <w:b/>
        </w:rPr>
        <w:t xml:space="preserve">F5 (Query Compilation Failure):</w:t>
      </w:r>
      <w:r>
        <w:t xml:space="preserve"> </w:t>
      </w:r>
      <w:r>
        <w:t xml:space="preserve">Objek SIR gagal diterjemahkan menjadi sintaks SQL.</w:t>
      </w:r>
    </w:p>
    <w:p>
      <w:pPr>
        <w:numPr>
          <w:ilvl w:val="0"/>
          <w:numId w:val="1016"/>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6"/>
        </w:numPr>
        <w:pStyle w:val="Compact"/>
      </w:pPr>
      <w:r>
        <w:rPr>
          <w:bCs/>
          <w:b/>
        </w:rPr>
        <w:t xml:space="preserve">F7 (Grounding Violation):</w:t>
      </w:r>
      <w:r>
        <w:t xml:space="preserve"> </w:t>
      </w:r>
      <w:r>
        <w:t xml:space="preserve">Model NLG menambahkan klaim deskriptif yang tidak didukung data relasional.</w:t>
      </w:r>
    </w:p>
    <w:p>
      <w:pPr>
        <w:numPr>
          <w:ilvl w:val="0"/>
          <w:numId w:val="1016"/>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7"/>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7"/>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7"/>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bookmarkEnd w:id="106"/>
    <w:bookmarkEnd w:id="107"/>
    <w:bookmarkStart w:id="110" w:name="Xd9e0bc7cdc762261bc8bad4e202f09ffd0b99df"/>
    <w:p>
      <w:pPr>
        <w:pStyle w:val="Heading3"/>
      </w:pPr>
      <w:r>
        <w:t xml:space="preserve">6.8 Validasi Ilmiah Lanjutan: Ketahanan Adversarial, Variasi Bahasa Minang, dan Penegakan Grounding Ketat</w:t>
      </w:r>
    </w:p>
    <w:p>
      <w:pPr>
        <w:pStyle w:val="FirstParagraph"/>
      </w:pPr>
      <w:r>
        <w:t xml:space="preserve">Menanggapi tuntutan pembuktian ketahanan saintifik terhadap serangan terarah, variasi kultural bahasa lokal, serta kepatuhan grounding di tingkat klaim, penelitian ini menyusun modul pengujian terpisah (</w:t>
      </w:r>
      <w:r>
        <w:rPr>
          <w:iCs/>
          <w:i/>
        </w:rPr>
        <w:t xml:space="preserve">standalone test suite</w:t>
      </w:r>
      <w:r>
        <w:t xml:space="preserve">) pada berkas</w:t>
      </w:r>
      <w:r>
        <w:t xml:space="preserve"> </w:t>
      </w:r>
      <w:hyperlink r:id="rId108">
        <w:r>
          <w:rPr>
            <w:rStyle w:val="VerbatimChar"/>
          </w:rPr>
          <w:t xml:space="preserve">tests/unit/AdversarialLinguisticValidationTest.php</w:t>
        </w:r>
      </w:hyperlink>
      <w:r>
        <w:t xml:space="preserve"> </w:t>
      </w:r>
      <w:r>
        <w:t xml:space="preserve">yang dieksekusi melalui runner independen</w:t>
      </w:r>
      <w:r>
        <w:t xml:space="preserve"> </w:t>
      </w:r>
      <w:hyperlink r:id="rId109">
        <w:r>
          <w:rPr>
            <w:rStyle w:val="VerbatimChar"/>
          </w:rPr>
          <w:t xml:space="preserve">tests/run_adversarial_test.php</w:t>
        </w:r>
      </w:hyperlink>
      <w:r>
        <w:t xml:space="preserve">. Rangkaian ini menguji 11 skenario kritis (38 assertions) yang mencakup tiga domain validasi ekstrem (Tabel 7f):</w:t>
      </w:r>
    </w:p>
    <w:p>
      <w:pPr>
        <w:pStyle w:val="BodyText"/>
      </w:pPr>
      <w:r>
        <w:rPr>
          <w:bCs/>
          <w:b/>
        </w:rPr>
        <w:t xml:space="preserve">Tabel 7f. Matriks Pengujian Validasi Adversarial, Dialek Lokal Minang, dan Penegakan Grounding Ketat (11 Skenario Uji Standalone)</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w:t>
            </w:r>
          </w:p>
        </w:tc>
        <w:tc>
          <w:tcPr/>
          <w:p>
            <w:pPr>
              <w:pStyle w:val="Compact"/>
              <w:jc w:val="left"/>
            </w:pPr>
            <w:r>
              <w:t xml:space="preserve">ID &amp; Nama Kasus Uji</w:t>
            </w:r>
          </w:p>
        </w:tc>
        <w:tc>
          <w:tcPr/>
          <w:p>
            <w:pPr>
              <w:pStyle w:val="Compact"/>
              <w:jc w:val="left"/>
            </w:pPr>
            <w:r>
              <w:t xml:space="preserve">Masukan / Payload Ekstrem</w:t>
            </w:r>
          </w:p>
        </w:tc>
        <w:tc>
          <w:tcPr/>
          <w:p>
            <w:pPr>
              <w:pStyle w:val="Compact"/>
              <w:jc w:val="left"/>
            </w:pPr>
            <w:r>
              <w:t xml:space="preserve">Perilaku Modul &amp; Kebijakan Pertahanan</w:t>
            </w:r>
          </w:p>
        </w:tc>
        <w:tc>
          <w:tcPr/>
          <w:p>
            <w:pPr>
              <w:pStyle w:val="Compact"/>
              <w:jc w:val="center"/>
            </w:pPr>
            <w:r>
              <w:t xml:space="preserve">Hasil Eksekusi &amp; Status</w:t>
            </w:r>
          </w:p>
        </w:tc>
      </w:tr>
      <w:tr>
        <w:tc>
          <w:tcPr/>
          <w:p>
            <w:pPr>
              <w:pStyle w:val="Compact"/>
              <w:jc w:val="left"/>
            </w:pPr>
            <w:r>
              <w:rPr>
                <w:bCs/>
                <w:b/>
              </w:rPr>
              <w:t xml:space="preserve">A. Keamanan Adversarial</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Kompiler membungkus payload sebagai nilai parameter terikat PDO (</w:t>
            </w:r>
            <w:r>
              <w:rPr>
                <w:iCs/>
                <w:i/>
              </w:rPr>
              <w:t xml:space="preserve">prepared statement</w:t>
            </w:r>
            <w:r>
              <w:t xml:space="preserve">); klausa SQL tetap terkunci.</w:t>
            </w:r>
          </w:p>
        </w:tc>
        <w:tc>
          <w:tcPr/>
          <w:p>
            <w:pPr>
              <w:pStyle w:val="Compact"/>
              <w:jc w:val="center"/>
            </w:pPr>
            <w:r>
              <w:rPr>
                <w:bCs/>
                <w:b/>
              </w:rPr>
              <w:t xml:space="preserve">LULUS (100% Netral)</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(koordinat di luar bola bumi WGS84)</w:t>
            </w:r>
          </w:p>
        </w:tc>
        <w:tc>
          <w:tcPr/>
          <w:p>
            <w:pPr>
              <w:pStyle w:val="Compact"/>
              <w:jc w:val="left"/>
            </w:pPr>
            <w:r>
              <w:rPr>
                <w:rStyle w:val="VerbatimChar"/>
              </w:rPr>
              <w:t xml:space="preserve">SirValidator</w:t>
            </w:r>
            <w:r>
              <w:t xml:space="preserve"> </w:t>
            </w:r>
            <w:r>
              <w:t xml:space="preserve">Dimensi 4 menolak koordinat tidak valid (</w:t>
            </w:r>
            <w:r>
              <w:rPr>
                <w:rStyle w:val="VerbatimChar"/>
              </w:rPr>
              <w:t xml:space="preserve">isValid = false</w:t>
            </w:r>
            <w:r>
              <w:t xml:space="preserve">,</w:t>
            </w:r>
            <w:r>
              <w:t xml:space="preserve"> </w:t>
            </w:r>
            <w:r>
              <w:rPr>
                <w:rStyle w:val="VerbatimChar"/>
              </w:rPr>
              <w:t xml:space="preserve">policy = clarify_user</w:t>
            </w:r>
            <w:r>
              <w:t xml:space="preserve">), SQL tidak dieksekusi.</w:t>
            </w:r>
          </w:p>
        </w:tc>
        <w:tc>
          <w:tcPr/>
          <w:p>
            <w:pPr>
              <w:pStyle w:val="Compact"/>
              <w:jc w:val="center"/>
            </w:pPr>
            <w:r>
              <w:rPr>
                <w:bCs/>
                <w:b/>
              </w:rPr>
              <w:t xml:space="preserve">LULUS (Ditolak Aman)</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dan</w:t>
            </w:r>
            <w:r>
              <w:t xml:space="preserve"> </w:t>
            </w:r>
            <w:r>
              <w:rPr>
                <w:rStyle w:val="VerbatimChar"/>
              </w:rPr>
              <w:t xml:space="preserve">radius = 250.0 km</w:t>
            </w:r>
          </w:p>
        </w:tc>
        <w:tc>
          <w:tcPr/>
          <w:p>
            <w:pPr>
              <w:pStyle w:val="Compact"/>
              <w:jc w:val="left"/>
            </w:pPr>
            <w:r>
              <w:t xml:space="preserve">Menegakkan prinsip</w:t>
            </w:r>
            <w:r>
              <w:t xml:space="preserve"> </w:t>
            </w:r>
            <w:r>
              <w:rPr>
                <w:iCs/>
                <w:i/>
              </w:rPr>
              <w:t xml:space="preserve">No Intent Alteration</w:t>
            </w:r>
            <w:r>
              <w:t xml:space="preserve">: sistem menolak mutasi sepihak (</w:t>
            </w:r>
            <w:r>
              <w:rPr>
                <w:iCs/>
                <w:i/>
              </w:rPr>
              <w:t xml:space="preserve">no silent clamping</w:t>
            </w:r>
            <w:r>
              <w:t xml:space="preserve">), meminta klarifikasi pengguna.</w:t>
            </w:r>
          </w:p>
        </w:tc>
        <w:tc>
          <w:tcPr/>
          <w:p>
            <w:pPr>
              <w:pStyle w:val="Compact"/>
              <w:jc w:val="center"/>
            </w:pPr>
            <w:r>
              <w:rPr>
                <w:bCs/>
                <w:b/>
              </w:rPr>
              <w:t xml:space="preserve">LULUS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secara simultan dengan</w:t>
            </w:r>
            <w:r>
              <w:t xml:space="preserve"> </w:t>
            </w:r>
            <w:r>
              <w:rPr>
                <w:rStyle w:val="VerbatimChar"/>
              </w:rPr>
              <w:t xml:space="preserve">max_price = 10000</w:t>
            </w:r>
          </w:p>
        </w:tc>
        <w:tc>
          <w:tcPr/>
          <w:p>
            <w:pPr>
              <w:pStyle w:val="Compact"/>
              <w:jc w:val="left"/>
            </w:pPr>
            <w:r>
              <w:t xml:space="preserve">Aturan Dimensi 5 mengharmonisasi kontradiksi: memprioritaskan tiket gratis Rp0 sebagai himpunan bagian pagu Rp10.000.</w:t>
            </w:r>
          </w:p>
        </w:tc>
        <w:tc>
          <w:tcPr/>
          <w:p>
            <w:pPr>
              <w:pStyle w:val="Compact"/>
              <w:jc w:val="center"/>
            </w:pPr>
            <w:r>
              <w:rPr>
                <w:bCs/>
                <w:b/>
              </w:rPr>
              <w:t xml:space="preserve">LULUS (Konsisten)</w:t>
            </w:r>
          </w:p>
        </w:tc>
      </w:tr>
      <w:tr>
        <w:tc>
          <w:tcPr/>
          <w:p>
            <w:pPr>
              <w:pStyle w:val="Compact"/>
              <w:jc w:val="left"/>
            </w:pPr>
            <w:r>
              <w:rPr>
                <w:bCs/>
                <w:b/>
              </w:rPr>
              <w:t xml:space="preserve">B. Dialek Lokal Minang</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Pemetaan kolokial Minang: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koordinat pengguna.</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Pemetaan kolokial Minang: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Pemetaan kolokial Minang: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Pemetaan kolokial Minang: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LULUS (100% Presisi)</w:t>
            </w:r>
          </w:p>
        </w:tc>
      </w:tr>
      <w:tr>
        <w:tc>
          <w:tcPr/>
          <w:p>
            <w:pPr>
              <w:pStyle w:val="Compact"/>
              <w:jc w:val="left"/>
            </w:pPr>
            <w:r>
              <w:rPr>
                <w:bCs/>
                <w:b/>
              </w:rPr>
              <w:t xml:space="preserve">C. Audit Grounding Ketat</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Narasi LLM menyebut</w:t>
            </w:r>
            <w:r>
              <w:t xml:space="preserve"> </w:t>
            </w:r>
            <w:r>
              <w:rPr>
                <w:iCs/>
                <w:i/>
              </w:rPr>
              <w:t xml:space="preserve">“</w:t>
            </w:r>
            <w:r>
              <w:rPr>
                <w:iCs/>
                <w:i/>
              </w:rPr>
              <w:t xml:space="preserve">Pantai Pasir Emas</w:t>
            </w:r>
            <w:r>
              <w:rPr>
                <w:iCs/>
                <w:i/>
              </w:rPr>
              <w:t xml:space="preserve">”</w:t>
            </w:r>
            <w:r>
              <w:t xml:space="preserve"> </w:t>
            </w:r>
            <w:r>
              <w:t xml:space="preserve">dan</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memotong respons karena memuat entitas di luar hasil SQL; dialihkan ke template fakta deterministik.</w:t>
            </w:r>
          </w:p>
        </w:tc>
        <w:tc>
          <w:tcPr/>
          <w:p>
            <w:pPr>
              <w:pStyle w:val="Compact"/>
              <w:jc w:val="center"/>
            </w:pPr>
            <w:r>
              <w:rPr>
                <w:bCs/>
                <w:b/>
              </w:rPr>
              <w:t xml:space="preserve">LULUS (0 POI Lolos)</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Narasi LLM mengklaim tiket Pantai Padang Rp50.000 (Fakta DB: Rp0)</w:t>
            </w:r>
          </w:p>
        </w:tc>
        <w:tc>
          <w:tcPr/>
          <w:p>
            <w:pPr>
              <w:pStyle w:val="Compact"/>
              <w:jc w:val="left"/>
            </w:pPr>
            <w:r>
              <w:rPr>
                <w:rStyle w:val="VerbatimChar"/>
              </w:rPr>
              <w:t xml:space="preserve">GroundingValidator</w:t>
            </w:r>
            <w:r>
              <w:t xml:space="preserve"> </w:t>
            </w:r>
            <w:r>
              <w:t xml:space="preserve">mendeteksi anomali tarif tiket; menandai pelanggaran dan mengganti teks dengan fakta relasional.</w:t>
            </w:r>
          </w:p>
        </w:tc>
        <w:tc>
          <w:tcPr/>
          <w:p>
            <w:pPr>
              <w:pStyle w:val="Compact"/>
              <w:jc w:val="center"/>
            </w:pPr>
            <w:r>
              <w:rPr>
                <w:bCs/>
                <w:b/>
              </w:rPr>
              <w:t xml:space="preserve">LULUS (Distorsi Dicegah)</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Kueri ski salju dan candi Hindu di Padang</w:t>
            </w:r>
          </w:p>
        </w:tc>
        <w:tc>
          <w:tcPr/>
          <w:p>
            <w:pPr>
              <w:pStyle w:val="Compact"/>
              <w:jc w:val="left"/>
            </w:pPr>
            <w:r>
              <w:t xml:space="preserve">Dimensi 6 menandai</w:t>
            </w:r>
            <w:r>
              <w:t xml:space="preserve"> </w:t>
            </w:r>
            <w:r>
              <w:rPr>
                <w:rStyle w:val="VerbatimChar"/>
              </w:rPr>
              <w:t xml:space="preserve">isOutOfScope = true</w:t>
            </w:r>
            <w:r>
              <w:t xml:space="preserve">, mengeksekusi penolakan santun tanpa menyentuh basis data (</w:t>
            </w:r>
            <w:r>
              <w:rPr>
                <w:rStyle w:val="VerbatimChar"/>
              </w:rPr>
              <w:t xml:space="preserve">count(places) = 0</w:t>
            </w:r>
            <w:r>
              <w:t xml:space="preserve">).</w:t>
            </w:r>
          </w:p>
        </w:tc>
        <w:tc>
          <w:tcPr/>
          <w:p>
            <w:pPr>
              <w:pStyle w:val="Compact"/>
              <w:jc w:val="center"/>
            </w:pPr>
            <w:r>
              <w:rPr>
                <w:bCs/>
                <w:b/>
              </w:rPr>
              <w:t xml:space="preserve">LULUS (Honest Rejection)</w:t>
            </w:r>
          </w:p>
        </w:tc>
      </w:tr>
    </w:tbl>
    <w:p>
      <w:pPr>
        <w:pStyle w:val="BodyText"/>
      </w:pPr>
      <w:r>
        <w:t xml:space="preserve">Hasil eksekusi membuktikan bahwa</w:t>
      </w:r>
      <w:r>
        <w:t xml:space="preserve"> </w:t>
      </w:r>
      <w:r>
        <w:rPr>
          <w:bCs/>
          <w:b/>
        </w:rPr>
        <w:t xml:space="preserve">seluruh 11 pengujian validasi adversarial dan linguistik lulus secara sempurna (11/11 PASS / 100,00%)</w:t>
      </w:r>
      <w:r>
        <w:t xml:space="preserve">. Diintegrasikan langsung ke dalam runner PHPUnit terpadu melalui</w:t>
      </w:r>
      <w:r>
        <w:t xml:space="preserve"> </w:t>
      </w:r>
      <w:r>
        <w:rPr>
          <w:rStyle w:val="VerbatimChar"/>
        </w:rPr>
        <w:t xml:space="preserve">CIUnitTestCase</w:t>
      </w:r>
      <w:r>
        <w:t xml:space="preserve">, total rangkaian pengujian otomatis yang memverifikasi kode sumber repositori mencapai</w:t>
      </w:r>
      <w:r>
        <w:t xml:space="preserve"> </w:t>
      </w:r>
      <w:r>
        <w:rPr>
          <w:bCs/>
          <w:b/>
        </w:rPr>
        <w:t xml:space="preserve">56 skenario pengujian dengan 240 assertions (100% PASS)</w:t>
      </w:r>
      <w:r>
        <w:t xml:space="preserve">, sebagaimana diaudit resmi dalam berkas</w:t>
      </w:r>
      <w:r>
        <w:t xml:space="preserve"> </w:t>
      </w:r>
      <w:r>
        <w:rPr>
          <w:rStyle w:val="VerbatimChar"/>
        </w:rPr>
        <w:t xml:space="preserve">tests/phpunit_execution_report.txt</w:t>
      </w:r>
      <w:r>
        <w:t xml:space="preserve">.</w:t>
      </w:r>
    </w:p>
    <w:p>
      <w:r>
        <w:pict>
          <v:rect style="width:0;height:1.5pt" o:hralign="center" o:hrstd="t" o:hr="t"/>
        </w:pict>
      </w:r>
    </w:p>
    <w:bookmarkEnd w:id="110"/>
    <w:bookmarkEnd w:id="111"/>
    <w:bookmarkStart w:id="116" w:name="pembahasan-discussion"/>
    <w:p>
      <w:pPr>
        <w:pStyle w:val="Heading2"/>
      </w:pPr>
      <w:r>
        <w:t xml:space="preserve">7. PEMBAHASAN (DISCUSSION)</w:t>
      </w:r>
    </w:p>
    <w:bookmarkStart w:id="112"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12"/>
    <w:bookmarkStart w:id="113"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3"/>
    <w:bookmarkStart w:id="114"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4"/>
    <w:bookmarkStart w:id="115"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5"/>
    <w:bookmarkEnd w:id="116"/>
    <w:bookmarkStart w:id="121" w:name="X879111284650257a6a9ffba910296cd59d64762"/>
    <w:p>
      <w:pPr>
        <w:pStyle w:val="Heading2"/>
      </w:pPr>
      <w:r>
        <w:t xml:space="preserve">8. ANCAMAN TERHADAP VALIDITAS DAN BATASAN PENELITIAN (THREATS TO VALIDITY AND LIMITATIONS)</w:t>
      </w:r>
    </w:p>
    <w:bookmarkStart w:id="117"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7"/>
    <w:bookmarkStart w:id="118"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8"/>
    <w:bookmarkStart w:id="119"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9"/>
    <w:bookmarkStart w:id="120"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0"/>
    <w:bookmarkEnd w:id="121"/>
    <w:bookmarkStart w:id="124" w:name="kesimpulan-dan-saran"/>
    <w:p>
      <w:pPr>
        <w:pStyle w:val="Heading2"/>
      </w:pPr>
      <w:r>
        <w:t xml:space="preserve">9. KESIMPULAN DAN SARAN</w:t>
      </w:r>
    </w:p>
    <w:bookmarkStart w:id="122"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w:t>
      </w:r>
      <w:r>
        <w:rPr>
          <w:iCs/>
          <w:i/>
        </w:rPr>
        <w:t xml:space="preserve">Exact CSIR Match Rate</w:t>
      </w:r>
      <w:r>
        <w:t xml:space="preserve">) sebesar</w:t>
      </w:r>
      <w:r>
        <w:t xml:space="preserve"> </w:t>
      </w:r>
      <w:r>
        <w:rPr>
          <w:bCs/>
          <w:b/>
        </w:rPr>
        <w:t xml:space="preserve">100,00% (40/40)</w:t>
      </w:r>
      <w:r>
        <w:t xml:space="preserve">, keselarasan amplob eksekusi pasca-kebijakan (</w:t>
      </w:r>
      <w:r>
        <w:rPr>
          <w:iCs/>
          <w:i/>
        </w:rPr>
        <w:t xml:space="preserve">Execution Envelope Alignment</w:t>
      </w:r>
      <w:r>
        <w:t xml:space="preserve">)</w:t>
      </w:r>
      <w:r>
        <w:t xml:space="preserve"> </w:t>
      </w:r>
      <w:r>
        <w:rPr>
          <w:bCs/>
          <w:b/>
        </w:rPr>
        <w:t xml:space="preserve">97,50% (39/40)</w:t>
      </w:r>
      <w:r>
        <w:t xml:space="preserve">, dan rata-rata akurasi tingkat atribut (</w:t>
      </w:r>
      <w:r>
        <w:rPr>
          <w:iCs/>
          <w:i/>
        </w:rPr>
        <w:t xml:space="preserve">field-level</w:t>
      </w:r>
      <w:r>
        <w:t xml:space="preserve">) sebesar</w:t>
      </w:r>
      <w:r>
        <w:t xml:space="preserve"> </w:t>
      </w:r>
      <w:r>
        <w:rPr>
          <w:bCs/>
          <w:b/>
        </w:rPr>
        <w:t xml:space="preserve">100,00% (436/436 evaluasi atribut berlaku, 100% konsisten lintas seluruh 19 atribut kanonik)</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(17 POI terfabrikasi). Sistem mencapai</w:t>
      </w:r>
      <w:r>
        <w:t xml:space="preserve"> </w:t>
      </w:r>
      <w:r>
        <w:rPr>
          <w:bCs/>
          <w:b/>
        </w:rPr>
        <w:t xml:space="preserve">Claim-Level Grounding Fidelity 100,00% (270/270 klaim)</w:t>
      </w:r>
      <w:r>
        <w:t xml:space="preserve"> </w:t>
      </w:r>
      <w:r>
        <w:t xml:space="preserve">pada empat kategori pemeriksaan terdefinisi,</w:t>
      </w:r>
      <w:r>
        <w:t xml:space="preserve"> </w:t>
      </w:r>
      <w:r>
        <w:rPr>
          <w:bCs/>
          <w:b/>
        </w:rPr>
        <w:t xml:space="preserve">Entity Grounding Fidelity 100,00% (120/120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56 pengujian unit, integrasi, dan ketahanan adversarial otomatis (240 assertions, 100% PASS)</w:t>
      </w:r>
      <w:r>
        <w:t xml:space="preserve">, sebagaimana tercatat resmi pada</w:t>
      </w:r>
      <w:r>
        <w:t xml:space="preserve"> </w:t>
      </w:r>
      <w:r>
        <w:rPr>
          <w:rStyle w:val="VerbatimChar"/>
        </w:rPr>
        <w:t xml:space="preserve">tests/phpunit_execution_report.txt</w:t>
      </w:r>
      <w:r>
        <w:t xml:space="preserve">.</w:t>
      </w:r>
    </w:p>
    <w:bookmarkEnd w:id="122"/>
    <w:bookmarkStart w:id="123"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5"/>
    <w:bookmarkStart w:id="128" w:name="lampiran-appendix-supplementary-material"/>
    <w:p>
      <w:pPr>
        <w:pStyle w:val="Heading2"/>
      </w:pPr>
      <w:r>
        <w:t xml:space="preserve">LAMPIRAN (APPENDIX / SUPPLEMENTARY MATERIAL)</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2026-10-13T13:19:56Z</dcterms:created>
  <dcterms:modified xsi:type="dcterms:W3CDTF">2026-10-13T13:19:56Z</dcterms:modified>
</cp:coreProperties>
</file>

<file path=docProps/custom.xml><?xml version="1.0" encoding="utf-8"?>
<Properties xmlns="http://schemas.openxmlformats.org/officeDocument/2006/custom-properties" xmlns:vt="http://schemas.openxmlformats.org/officeDocument/2006/docPropsVTypes"/>
</file>