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360" w:lineRule="auto"/>
        <w:jc w:val="center"/>
      </w:pPr>
      <w:r>
        <w:rPr>
          <w:rFonts w:ascii="標楷體" w:hAnsi="標楷體" w:eastAsia="標楷體" w:cs="標楷體"/>
          <w:b w:val="0"/>
          <w:i w:val="0"/>
          <w:sz w:val="56"/>
        </w:rPr>
        <w:t>逢甲大學</w:t>
      </w:r>
      <w:r>
        <w:rPr>
          <w:rFonts w:ascii="標楷體" w:hAnsi="標楷體" w:eastAsia="標楷體" w:cs="標楷體"/>
          <w:b w:val="0"/>
          <w:i w:val="0"/>
          <w:sz w:val="56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56"/>
        </w:rPr>
        <w:t>財務金融學系</w:t>
      </w:r>
    </w:p>
    <w:p>
      <w:pPr>
        <w:keepNext w:val="0"/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56"/>
        </w:rPr>
        <w:t>115</w:t>
      </w:r>
      <w:r>
        <w:rPr>
          <w:rFonts w:ascii="標楷體" w:hAnsi="標楷體" w:eastAsia="標楷體" w:cs="標楷體"/>
          <w:b w:val="0"/>
          <w:i w:val="0"/>
          <w:sz w:val="56"/>
        </w:rPr>
        <w:t>學年度</w:t>
      </w:r>
    </w:p>
    <w:p>
      <w:pPr>
        <w:keepNext w:val="0"/>
        <w:spacing w:before="0" w:after="0" w:line="360" w:lineRule="auto"/>
        <w:jc w:val="center"/>
      </w:pPr>
      <w:r>
        <w:rPr>
          <w:rFonts w:ascii="標楷體" w:hAnsi="標楷體" w:eastAsia="標楷體" w:cs="標楷體"/>
          <w:b w:val="0"/>
          <w:i w:val="0"/>
          <w:sz w:val="56"/>
        </w:rPr>
        <w:t>專題製作報告書</w:t>
      </w:r>
    </w:p>
    <w:p>
      <w:pPr>
        <w:keepNext w:val="0"/>
        <w:spacing w:before="280" w:after="0" w:line="240" w:lineRule="auto"/>
        <w:pBdr>
          <w:bottom w:val="single" w:sz="12" w:space="1" w:color="000000"/>
        </w:pBdr>
      </w:pPr>
    </w:p>
    <w:p>
      <w:pPr>
        <w:keepNext w:val="0"/>
        <w:spacing w:before="160" w:after="40" w:line="36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52"/>
        </w:rPr>
        <w:t>AI</w:t>
      </w:r>
      <w:r>
        <w:rPr>
          <w:rFonts w:ascii="標楷體" w:hAnsi="標楷體" w:eastAsia="標楷體" w:cs="標楷體"/>
          <w:b/>
          <w:i w:val="0"/>
          <w:sz w:val="52"/>
        </w:rPr>
        <w:t>選股結合</w:t>
      </w:r>
      <w:r>
        <w:rPr>
          <w:rFonts w:ascii="Times New Roman" w:hAnsi="Times New Roman" w:eastAsia="Times New Roman" w:cs="Times New Roman"/>
          <w:b/>
          <w:i w:val="0"/>
          <w:sz w:val="52"/>
        </w:rPr>
        <w:t>ESG</w:t>
      </w:r>
      <w:r>
        <w:rPr>
          <w:rFonts w:ascii="標楷體" w:hAnsi="標楷體" w:eastAsia="標楷體" w:cs="標楷體"/>
          <w:b/>
          <w:i w:val="0"/>
          <w:sz w:val="52"/>
        </w:rPr>
        <w:t>與現有</w:t>
      </w:r>
      <w:r>
        <w:rPr>
          <w:rFonts w:ascii="Times New Roman" w:hAnsi="Times New Roman" w:eastAsia="Times New Roman" w:cs="Times New Roman"/>
          <w:b/>
          <w:i w:val="0"/>
          <w:sz w:val="52"/>
        </w:rPr>
        <w:t>ETF</w:t>
      </w:r>
      <w:r>
        <w:rPr>
          <w:rFonts w:ascii="標楷體" w:hAnsi="標楷體" w:eastAsia="標楷體" w:cs="標楷體"/>
          <w:b/>
          <w:i w:val="0"/>
          <w:sz w:val="52"/>
        </w:rPr>
        <w:t>的比較</w:t>
      </w:r>
    </w:p>
    <w:p>
      <w:pPr>
        <w:keepNext w:val="0"/>
        <w:spacing w:before="0" w:after="160" w:line="360" w:lineRule="auto"/>
        <w:jc w:val="center"/>
      </w:pPr>
      <w:r>
        <w:rPr>
          <w:rFonts w:ascii="標楷體" w:hAnsi="標楷體" w:eastAsia="標楷體" w:cs="標楷體"/>
          <w:b w:val="0"/>
          <w:i w:val="0"/>
          <w:sz w:val="32"/>
        </w:rPr>
        <w:t>（修訂版）</w:t>
      </w:r>
    </w:p>
    <w:p>
      <w:pPr>
        <w:keepNext w:val="0"/>
        <w:spacing w:before="0" w:after="520" w:line="240" w:lineRule="auto"/>
        <w:pBdr>
          <w:top w:val="single" w:sz="12" w:space="1" w:color="000000"/>
        </w:pBdr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  <w:insideH w:val="nil" w:sz="4" w:space="0" w:color="000000"/>
          <w:insideV w:val="nil" w:sz="4" w:space="0" w:color="000000"/>
        </w:tblBorders>
      </w:tblPr>
      <w:tblGrid>
        <w:gridCol w:w="4513"/>
        <w:gridCol w:w="4513"/>
      </w:tblGrid>
      <w:tr>
        <w:tc>
          <w:tcPr>
            <w:tcW w:type="dxa" w:w="2381"/>
          </w:tcPr>
          <w:p>
            <w:pPr>
              <w:keepNext w:val="0"/>
              <w:spacing w:before="0" w:after="0" w:line="336" w:lineRule="auto"/>
            </w:pPr>
            <w:r>
              <w:rPr>
                <w:rFonts w:ascii="標楷體" w:hAnsi="標楷體" w:eastAsia="標楷體" w:cs="標楷體"/>
                <w:b w:val="0"/>
                <w:i w:val="0"/>
                <w:sz w:val="36"/>
              </w:rPr>
              <w:t>指導教授：</w:t>
            </w:r>
          </w:p>
        </w:tc>
        <w:tc>
          <w:tcPr>
            <w:tcW w:type="dxa" w:w="3969"/>
          </w:tcPr>
          <w:p>
            <w:pPr>
              <w:keepNext w:val="0"/>
              <w:spacing w:before="0" w:after="0" w:line="336" w:lineRule="auto"/>
            </w:pPr>
            <w:r>
              <w:rPr>
                <w:rFonts w:ascii="標楷體" w:hAnsi="標楷體" w:eastAsia="標楷體" w:cs="標楷體"/>
                <w:b w:val="0"/>
                <w:i w:val="0"/>
                <w:sz w:val="36"/>
              </w:rPr>
              <w:t>王鈺仁</w:t>
            </w:r>
            <w:r>
              <w:rPr>
                <w:rFonts w:ascii="標楷體" w:hAnsi="標楷體" w:eastAsia="標楷體" w:cs="標楷體"/>
                <w:b w:val="0"/>
                <w:i w:val="0"/>
                <w:sz w:val="36"/>
              </w:rPr>
              <w:t xml:space="preserve"> </w:t>
            </w:r>
            <w:r>
              <w:rPr>
                <w:rFonts w:ascii="標楷體" w:hAnsi="標楷體" w:eastAsia="標楷體" w:cs="標楷體"/>
                <w:b w:val="0"/>
                <w:i w:val="0"/>
                <w:sz w:val="36"/>
              </w:rPr>
              <w:t>老師</w:t>
            </w:r>
          </w:p>
        </w:tc>
      </w:tr>
      <w:tr>
        <w:tc>
          <w:tcPr>
            <w:tcW w:type="dxa" w:w="2381"/>
          </w:tcPr>
          <w:p>
            <w:pPr>
              <w:keepNext w:val="0"/>
              <w:spacing w:before="0" w:after="0" w:line="336" w:lineRule="auto"/>
            </w:pPr>
            <w:r>
              <w:rPr>
                <w:rFonts w:ascii="標楷體" w:hAnsi="標楷體" w:eastAsia="標楷體" w:cs="標楷體"/>
                <w:b w:val="0"/>
                <w:i w:val="0"/>
                <w:sz w:val="36"/>
              </w:rPr>
              <w:t>班　　級：</w:t>
            </w:r>
          </w:p>
        </w:tc>
        <w:tc>
          <w:tcPr>
            <w:tcW w:type="dxa" w:w="3969"/>
          </w:tcPr>
          <w:p>
            <w:pPr>
              <w:keepNext w:val="0"/>
              <w:spacing w:before="0" w:after="0" w:line="336" w:lineRule="auto"/>
            </w:pPr>
            <w:r>
              <w:rPr>
                <w:rFonts w:ascii="標楷體" w:hAnsi="標楷體" w:eastAsia="標楷體" w:cs="標楷體"/>
                <w:b w:val="0"/>
                <w:i w:val="0"/>
                <w:sz w:val="36"/>
              </w:rPr>
              <w:t>財金系</w:t>
            </w:r>
            <w:r>
              <w:rPr>
                <w:rFonts w:ascii="標楷體" w:hAnsi="標楷體" w:eastAsia="標楷體" w:cs="標楷體"/>
                <w:b w:val="0"/>
                <w:i w:val="0"/>
                <w:sz w:val="36"/>
              </w:rPr>
              <w:t xml:space="preserve"> </w:t>
            </w:r>
            <w:r>
              <w:rPr>
                <w:rFonts w:ascii="標楷體" w:hAnsi="標楷體" w:eastAsia="標楷體" w:cs="標楷體"/>
                <w:b w:val="0"/>
                <w:i w:val="0"/>
                <w:sz w:val="36"/>
              </w:rPr>
              <w:t>三年乙班</w:t>
            </w:r>
          </w:p>
        </w:tc>
      </w:tr>
      <w:tr>
        <w:tc>
          <w:tcPr>
            <w:tcW w:type="dxa" w:w="2381"/>
          </w:tcPr>
          <w:p>
            <w:pPr>
              <w:keepNext w:val="0"/>
              <w:spacing w:before="0" w:after="0" w:line="336" w:lineRule="auto"/>
            </w:pPr>
            <w:r>
              <w:rPr>
                <w:rFonts w:ascii="標楷體" w:hAnsi="標楷體" w:eastAsia="標楷體" w:cs="標楷體"/>
                <w:b w:val="0"/>
                <w:i w:val="0"/>
                <w:sz w:val="36"/>
              </w:rPr>
              <w:t>組　　長：</w:t>
            </w:r>
          </w:p>
        </w:tc>
        <w:tc>
          <w:tcPr>
            <w:tcW w:type="dxa" w:w="3969"/>
          </w:tcPr>
          <w:p>
            <w:pPr>
              <w:keepNext w:val="0"/>
              <w:spacing w:before="0" w:after="0" w:line="336" w:lineRule="auto"/>
            </w:pPr>
            <w:r>
              <w:rPr>
                <w:rFonts w:ascii="標楷體" w:hAnsi="標楷體" w:eastAsia="標楷體" w:cs="標楷體"/>
                <w:b w:val="0"/>
                <w:i w:val="0"/>
                <w:sz w:val="36"/>
              </w:rPr>
              <w:t>陳東杰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36"/>
              </w:rPr>
              <w:t xml:space="preserve"> D1280673</w:t>
            </w:r>
          </w:p>
        </w:tc>
      </w:tr>
      <w:tr>
        <w:tc>
          <w:tcPr>
            <w:tcW w:type="dxa" w:w="2381"/>
          </w:tcPr>
          <w:p>
            <w:pPr>
              <w:keepNext w:val="0"/>
              <w:spacing w:before="0" w:after="0" w:line="336" w:lineRule="auto"/>
            </w:pPr>
            <w:r>
              <w:rPr>
                <w:rFonts w:ascii="標楷體" w:hAnsi="標楷體" w:eastAsia="標楷體" w:cs="標楷體"/>
                <w:b w:val="0"/>
                <w:i w:val="0"/>
                <w:sz w:val="36"/>
              </w:rPr>
              <w:t>組　　員：</w:t>
            </w:r>
          </w:p>
        </w:tc>
        <w:tc>
          <w:tcPr>
            <w:tcW w:type="dxa" w:w="3969"/>
          </w:tcPr>
          <w:p>
            <w:pPr>
              <w:keepNext w:val="0"/>
              <w:spacing w:before="0" w:after="0" w:line="336" w:lineRule="auto"/>
            </w:pPr>
            <w:r>
              <w:rPr>
                <w:rFonts w:ascii="標楷體" w:hAnsi="標楷體" w:eastAsia="標楷體" w:cs="標楷體"/>
                <w:b w:val="0"/>
                <w:i w:val="0"/>
                <w:sz w:val="36"/>
              </w:rPr>
              <w:t>陳亭翰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36"/>
              </w:rPr>
              <w:t xml:space="preserve"> D1209072</w:t>
            </w:r>
          </w:p>
        </w:tc>
      </w:tr>
      <w:tr>
        <w:tc>
          <w:tcPr>
            <w:tcW w:type="dxa" w:w="2381"/>
          </w:tcPr>
          <w:p>
            <w:pPr>
              <w:keepNext w:val="0"/>
              <w:spacing w:before="0" w:after="0" w:line="336" w:lineRule="auto"/>
            </w:pPr>
          </w:p>
        </w:tc>
        <w:tc>
          <w:tcPr>
            <w:tcW w:type="dxa" w:w="3969"/>
          </w:tcPr>
          <w:p>
            <w:pPr>
              <w:keepNext w:val="0"/>
              <w:spacing w:before="0" w:after="0" w:line="336" w:lineRule="auto"/>
            </w:pPr>
            <w:r>
              <w:rPr>
                <w:rFonts w:ascii="標楷體" w:hAnsi="標楷體" w:eastAsia="標楷體" w:cs="標楷體"/>
                <w:b w:val="0"/>
                <w:i w:val="0"/>
                <w:sz w:val="36"/>
              </w:rPr>
              <w:t>陳治嘉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36"/>
              </w:rPr>
              <w:t xml:space="preserve"> D1222280</w:t>
            </w:r>
          </w:p>
        </w:tc>
      </w:tr>
      <w:tr>
        <w:tc>
          <w:tcPr>
            <w:tcW w:type="dxa" w:w="2381"/>
          </w:tcPr>
          <w:p>
            <w:pPr>
              <w:keepNext w:val="0"/>
              <w:spacing w:before="0" w:after="0" w:line="336" w:lineRule="auto"/>
            </w:pPr>
          </w:p>
        </w:tc>
        <w:tc>
          <w:tcPr>
            <w:tcW w:type="dxa" w:w="3969"/>
          </w:tcPr>
          <w:p>
            <w:pPr>
              <w:keepNext w:val="0"/>
              <w:spacing w:before="0" w:after="0" w:line="336" w:lineRule="auto"/>
            </w:pPr>
            <w:r>
              <w:rPr>
                <w:rFonts w:ascii="標楷體" w:hAnsi="標楷體" w:eastAsia="標楷體" w:cs="標楷體"/>
                <w:b w:val="0"/>
                <w:i w:val="0"/>
                <w:sz w:val="36"/>
              </w:rPr>
              <w:t>黃彥霖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36"/>
              </w:rPr>
              <w:t xml:space="preserve"> D1240092</w:t>
            </w:r>
          </w:p>
        </w:tc>
      </w:tr>
      <w:tr>
        <w:tc>
          <w:tcPr>
            <w:tcW w:type="dxa" w:w="2381"/>
          </w:tcPr>
          <w:p>
            <w:pPr>
              <w:keepNext w:val="0"/>
              <w:spacing w:before="0" w:after="0" w:line="336" w:lineRule="auto"/>
            </w:pPr>
          </w:p>
        </w:tc>
        <w:tc>
          <w:tcPr>
            <w:tcW w:type="dxa" w:w="3969"/>
          </w:tcPr>
          <w:p>
            <w:pPr>
              <w:keepNext w:val="0"/>
              <w:spacing w:before="0" w:after="0" w:line="336" w:lineRule="auto"/>
            </w:pPr>
            <w:r>
              <w:rPr>
                <w:rFonts w:ascii="標楷體" w:hAnsi="標楷體" w:eastAsia="標楷體" w:cs="標楷體"/>
                <w:b w:val="0"/>
                <w:i w:val="0"/>
                <w:sz w:val="36"/>
              </w:rPr>
              <w:t>張建民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36"/>
              </w:rPr>
              <w:t xml:space="preserve"> D1240121</w:t>
            </w:r>
          </w:p>
        </w:tc>
      </w:tr>
    </w:tbl>
    <w:p>
      <w:pPr>
        <w:keepNext w:val="0"/>
        <w:spacing w:before="800" w:after="0" w:line="360" w:lineRule="auto"/>
        <w:jc w:val="center"/>
      </w:pPr>
      <w:r>
        <w:rPr>
          <w:rFonts w:ascii="標楷體" w:hAnsi="標楷體" w:eastAsia="標楷體" w:cs="標楷體"/>
          <w:b w:val="0"/>
          <w:i w:val="0"/>
          <w:sz w:val="32"/>
        </w:rPr>
        <w:t>中華民國</w:t>
      </w:r>
      <w:r>
        <w:rPr>
          <w:rFonts w:ascii="Times New Roman" w:hAnsi="Times New Roman" w:eastAsia="Times New Roman" w:cs="Times New Roman"/>
          <w:b w:val="0"/>
          <w:i w:val="0"/>
          <w:sz w:val="32"/>
        </w:rPr>
        <w:t xml:space="preserve"> 115 </w:t>
      </w:r>
      <w:r>
        <w:rPr>
          <w:rFonts w:ascii="標楷體" w:hAnsi="標楷體" w:eastAsia="標楷體" w:cs="標楷體"/>
          <w:b w:val="0"/>
          <w:i w:val="0"/>
          <w:sz w:val="32"/>
        </w:rPr>
        <w:t>年</w:t>
      </w:r>
      <w:r>
        <w:rPr>
          <w:rFonts w:ascii="Times New Roman" w:hAnsi="Times New Roman" w:eastAsia="Times New Roman" w:cs="Times New Roman"/>
          <w:b w:val="0"/>
          <w:i w:val="0"/>
          <w:sz w:val="32"/>
        </w:rPr>
        <w:t xml:space="preserve"> 5 </w:t>
      </w:r>
      <w:r>
        <w:rPr>
          <w:rFonts w:ascii="標楷體" w:hAnsi="標楷體" w:eastAsia="標楷體" w:cs="標楷體"/>
          <w:b w:val="0"/>
          <w:i w:val="0"/>
          <w:sz w:val="32"/>
        </w:rPr>
        <w:t>月</w:t>
      </w:r>
      <w:r>
        <w:rPr>
          <w:rFonts w:ascii="Times New Roman" w:hAnsi="Times New Roman" w:eastAsia="Times New Roman" w:cs="Times New Roman"/>
          <w:b w:val="0"/>
          <w:i w:val="0"/>
          <w:sz w:val="32"/>
        </w:rPr>
        <w:t xml:space="preserve"> 18 </w:t>
      </w:r>
      <w:r>
        <w:rPr>
          <w:rFonts w:ascii="標楷體" w:hAnsi="標楷體" w:eastAsia="標楷體" w:cs="標楷體"/>
          <w:b w:val="0"/>
          <w:i w:val="0"/>
          <w:sz w:val="32"/>
        </w:rPr>
        <w:t>日（修訂：</w:t>
      </w:r>
      <w:r>
        <w:rPr>
          <w:rFonts w:ascii="Times New Roman" w:hAnsi="Times New Roman" w:eastAsia="Times New Roman" w:cs="Times New Roman"/>
          <w:b w:val="0"/>
          <w:i w:val="0"/>
          <w:sz w:val="32"/>
        </w:rPr>
        <w:t xml:space="preserve">115 </w:t>
      </w:r>
      <w:r>
        <w:rPr>
          <w:rFonts w:ascii="標楷體" w:hAnsi="標楷體" w:eastAsia="標楷體" w:cs="標楷體"/>
          <w:b w:val="0"/>
          <w:i w:val="0"/>
          <w:sz w:val="32"/>
        </w:rPr>
        <w:t>年</w:t>
      </w:r>
      <w:r>
        <w:rPr>
          <w:rFonts w:ascii="Times New Roman" w:hAnsi="Times New Roman" w:eastAsia="Times New Roman" w:cs="Times New Roman"/>
          <w:b w:val="0"/>
          <w:i w:val="0"/>
          <w:sz w:val="32"/>
        </w:rPr>
        <w:t xml:space="preserve"> 10 </w:t>
      </w:r>
      <w:r>
        <w:rPr>
          <w:rFonts w:ascii="標楷體" w:hAnsi="標楷體" w:eastAsia="標楷體" w:cs="標楷體"/>
          <w:b w:val="0"/>
          <w:i w:val="0"/>
          <w:sz w:val="32"/>
        </w:rPr>
        <w:t>月</w:t>
      </w:r>
      <w:r>
        <w:rPr>
          <w:rFonts w:ascii="Times New Roman" w:hAnsi="Times New Roman" w:eastAsia="Times New Roman" w:cs="Times New Roman"/>
          <w:b w:val="0"/>
          <w:i w:val="0"/>
          <w:sz w:val="32"/>
        </w:rPr>
        <w:t xml:space="preserve"> 25 </w:t>
      </w:r>
      <w:r>
        <w:rPr>
          <w:rFonts w:ascii="標楷體" w:hAnsi="標楷體" w:eastAsia="標楷體" w:cs="標楷體"/>
          <w:b w:val="0"/>
          <w:i w:val="0"/>
          <w:sz w:val="32"/>
        </w:rPr>
        <w:t>日）</w:t>
      </w:r>
    </w:p>
    <w:p>
      <w:pPr>
        <w:sectPr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0" w:after="360" w:line="312" w:lineRule="auto"/>
        <w:jc w:val="center"/>
      </w:pPr>
      <w:r>
        <w:rPr>
          <w:rFonts w:ascii="標楷體" w:hAnsi="標楷體" w:eastAsia="標楷體" w:cs="標楷體"/>
          <w:b/>
          <w:i w:val="0"/>
          <w:sz w:val="36"/>
        </w:rPr>
        <w:t>致謝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感謝指導教授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24"/>
        </w:rPr>
        <w:t>王鈺仁教授一年來的細心指導與教誨，並不時花費時間在觀念上進行討論，使本專題得以順利完成，且在報告撰寫過程中費心指出許多問題，讓報告的基礎得以成型，而不論在研究態度與待人接物方面均受益良多，並常提供一些日常生活中的經驗談，在此謹致上最誠摯之敬意與謝忱。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另外，特別感謝系上老師們的指導與鞭策。更有賴許多朋友在精神上給予鼓勵與支持，甚或實質協助，我們才能順利完成專題。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最後要感謝我們的父母與家人，若不是他們長久以來的支持，不可能有今天的小小成果，僅以此篇報告表達內心最誠摯的感激。</w:t>
      </w:r>
    </w:p>
    <w:p>
      <w:pPr>
        <w:pStyle w:val="Heading1"/>
        <w:keepNext/>
        <w:pageBreakBefore/>
        <w:spacing w:before="0" w:after="360" w:line="312" w:lineRule="auto"/>
        <w:jc w:val="center"/>
      </w:pPr>
      <w:r>
        <w:rPr>
          <w:rFonts w:ascii="標楷體" w:hAnsi="標楷體" w:eastAsia="標楷體" w:cs="標楷體"/>
          <w:b/>
          <w:i w:val="0"/>
          <w:sz w:val="36"/>
        </w:rPr>
        <w:t>摘要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本研究以自建的「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ESG-AI </w:t>
      </w:r>
      <w:r>
        <w:rPr>
          <w:rFonts w:ascii="標楷體" w:hAnsi="標楷體" w:eastAsia="標楷體" w:cs="標楷體"/>
          <w:b w:val="0"/>
          <w:i w:val="0"/>
          <w:sz w:val="24"/>
        </w:rPr>
        <w:t>台股選股平台」為工具，比較「單純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AI</w:t>
      </w:r>
      <w:r>
        <w:rPr>
          <w:rFonts w:ascii="標楷體" w:hAnsi="標楷體" w:eastAsia="標楷體" w:cs="標楷體"/>
          <w:b w:val="0"/>
          <w:i w:val="0"/>
          <w:sz w:val="24"/>
        </w:rPr>
        <w:t>」、「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AI+ESG</w:t>
      </w:r>
      <w:r>
        <w:rPr>
          <w:rFonts w:ascii="標楷體" w:hAnsi="標楷體" w:eastAsia="標楷體" w:cs="標楷體"/>
          <w:b w:val="0"/>
          <w:i w:val="0"/>
          <w:sz w:val="24"/>
        </w:rPr>
        <w:t>」與「規則式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篩選投組」三種策略與加權指數、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0050</w:t>
      </w:r>
      <w:r>
        <w:rPr>
          <w:rFonts w:ascii="標楷體" w:hAnsi="標楷體" w:eastAsia="標楷體" w:cs="標楷體"/>
          <w:b w:val="0"/>
          <w:i w:val="0"/>
          <w:sz w:val="24"/>
        </w:rPr>
        <w:t>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00850</w:t>
      </w:r>
      <w:r>
        <w:rPr>
          <w:rFonts w:ascii="標楷體" w:hAnsi="標楷體" w:eastAsia="標楷體" w:cs="標楷體"/>
          <w:b w:val="0"/>
          <w:i w:val="0"/>
          <w:sz w:val="24"/>
        </w:rPr>
        <w:t>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00878 </w:t>
      </w:r>
      <w:r>
        <w:rPr>
          <w:rFonts w:ascii="標楷體" w:hAnsi="標楷體" w:eastAsia="標楷體" w:cs="標楷體"/>
          <w:b w:val="0"/>
          <w:i w:val="0"/>
          <w:sz w:val="24"/>
        </w:rPr>
        <w:t>的歷史回測表現。股票池在每個調倉日依當時可得的近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20 </w:t>
      </w:r>
      <w:r>
        <w:rPr>
          <w:rFonts w:ascii="標楷體" w:hAnsi="標楷體" w:eastAsia="標楷體" w:cs="標楷體"/>
          <w:b w:val="0"/>
          <w:i w:val="0"/>
          <w:sz w:val="24"/>
        </w:rPr>
        <w:t>日成交金額重新排名前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300 </w:t>
      </w:r>
      <w:r>
        <w:rPr>
          <w:rFonts w:ascii="標楷體" w:hAnsi="標楷體" w:eastAsia="標楷體" w:cs="標楷體"/>
          <w:b w:val="0"/>
          <w:i w:val="0"/>
          <w:sz w:val="24"/>
        </w:rPr>
        <w:t>檔，並納入之後下市的股票；所有資料依實際公告日或可使用日對齊，交易成本含手續費與證交稅，另做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10</w:t>
      </w:r>
      <w:r>
        <w:rPr>
          <w:rFonts w:ascii="標楷體" w:hAnsi="標楷體" w:eastAsia="標楷體" w:cs="標楷體"/>
          <w:b w:val="0"/>
          <w:i w:val="0"/>
          <w:sz w:val="24"/>
        </w:rPr>
        <w:t>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20</w:t>
      </w:r>
      <w:r>
        <w:rPr>
          <w:rFonts w:ascii="標楷體" w:hAnsi="標楷體" w:eastAsia="標楷體" w:cs="標楷體"/>
          <w:b w:val="0"/>
          <w:i w:val="0"/>
          <w:sz w:val="24"/>
        </w:rPr>
        <w:t>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30 bps </w:t>
      </w:r>
      <w:r>
        <w:rPr>
          <w:rFonts w:ascii="標楷體" w:hAnsi="標楷體" w:eastAsia="標楷體" w:cs="標楷體"/>
          <w:b w:val="0"/>
          <w:i w:val="0"/>
          <w:sz w:val="24"/>
        </w:rPr>
        <w:t>滑價敏感度分析。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在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2022-11-01 </w:t>
      </w:r>
      <w:r>
        <w:rPr>
          <w:rFonts w:ascii="標楷體" w:hAnsi="標楷體" w:eastAsia="標楷體" w:cs="標楷體"/>
          <w:b w:val="0"/>
          <w:i w:val="0"/>
          <w:sz w:val="24"/>
        </w:rPr>
        <w:t>至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2026-10-20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960 </w:t>
      </w:r>
      <w:r>
        <w:rPr>
          <w:rFonts w:ascii="標楷體" w:hAnsi="標楷體" w:eastAsia="標楷體" w:cs="標楷體"/>
          <w:b w:val="0"/>
          <w:i w:val="0"/>
          <w:sz w:val="24"/>
        </w:rPr>
        <w:t>個交易日）的評估期間，單純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AI </w:t>
      </w:r>
      <w:r>
        <w:rPr>
          <w:rFonts w:ascii="標楷體" w:hAnsi="標楷體" w:eastAsia="標楷體" w:cs="標楷體"/>
          <w:b w:val="0"/>
          <w:i w:val="0"/>
          <w:sz w:val="24"/>
        </w:rPr>
        <w:t>年化報酬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45.5%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95% </w:t>
      </w:r>
      <w:r>
        <w:rPr>
          <w:rFonts w:ascii="標楷體" w:hAnsi="標楷體" w:eastAsia="標楷體" w:cs="標楷體"/>
          <w:b w:val="0"/>
          <w:i w:val="0"/>
          <w:sz w:val="24"/>
        </w:rPr>
        <w:t>區塊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bootstrap </w:t>
      </w:r>
      <w:r>
        <w:rPr>
          <w:rFonts w:ascii="標楷體" w:hAnsi="標楷體" w:eastAsia="標楷體" w:cs="標楷體"/>
          <w:b w:val="0"/>
          <w:i w:val="0"/>
          <w:sz w:val="24"/>
        </w:rPr>
        <w:t>信賴區間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−3.7%</w:t>
      </w:r>
      <w:r>
        <w:rPr>
          <w:rFonts w:ascii="標楷體" w:hAnsi="標楷體" w:eastAsia="標楷體" w:cs="標楷體"/>
          <w:b w:val="0"/>
          <w:i w:val="0"/>
          <w:sz w:val="24"/>
        </w:rPr>
        <w:t>～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118.6%</w:t>
      </w:r>
      <w:r>
        <w:rPr>
          <w:rFonts w:ascii="標楷體" w:hAnsi="標楷體" w:eastAsia="標楷體" w:cs="標楷體"/>
          <w:b w:val="0"/>
          <w:i w:val="0"/>
          <w:sz w:val="24"/>
        </w:rPr>
        <w:t>），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AI+ESG 38.7%</w:t>
      </w:r>
      <w:r>
        <w:rPr>
          <w:rFonts w:ascii="標楷體" w:hAnsi="標楷體" w:eastAsia="標楷體" w:cs="標楷體"/>
          <w:b w:val="0"/>
          <w:i w:val="0"/>
          <w:sz w:val="24"/>
        </w:rPr>
        <w:t>，規則式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篩選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33.1%</w:t>
      </w:r>
      <w:r>
        <w:rPr>
          <w:rFonts w:ascii="標楷體" w:hAnsi="標楷體" w:eastAsia="標楷體" w:cs="標楷體"/>
          <w:b w:val="0"/>
          <w:i w:val="0"/>
          <w:sz w:val="24"/>
        </w:rPr>
        <w:t>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00850 46.1%</w:t>
      </w:r>
      <w:r>
        <w:rPr>
          <w:rFonts w:ascii="標楷體" w:hAnsi="標楷體" w:eastAsia="標楷體" w:cs="標楷體"/>
          <w:b w:val="0"/>
          <w:i w:val="0"/>
          <w:sz w:val="24"/>
        </w:rPr>
        <w:t>。以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Newey-West </w:t>
      </w:r>
      <w:r>
        <w:rPr>
          <w:rFonts w:ascii="標楷體" w:hAnsi="標楷體" w:eastAsia="標楷體" w:cs="標楷體"/>
          <w:b w:val="0"/>
          <w:i w:val="0"/>
          <w:sz w:val="24"/>
        </w:rPr>
        <w:t>標準誤並經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Holm </w:t>
      </w:r>
      <w:r>
        <w:rPr>
          <w:rFonts w:ascii="標楷體" w:hAnsi="標楷體" w:eastAsia="標楷體" w:cs="標楷體"/>
          <w:b w:val="0"/>
          <w:i w:val="0"/>
          <w:sz w:val="24"/>
        </w:rPr>
        <w:t>多重比較調整後，單純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AI </w:t>
      </w:r>
      <w:r>
        <w:rPr>
          <w:rFonts w:ascii="標楷體" w:hAnsi="標楷體" w:eastAsia="標楷體" w:cs="標楷體"/>
          <w:b w:val="0"/>
          <w:i w:val="0"/>
          <w:sz w:val="24"/>
        </w:rPr>
        <w:t>相對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00850 </w:t>
      </w:r>
      <w:r>
        <w:rPr>
          <w:rFonts w:ascii="標楷體" w:hAnsi="標楷體" w:eastAsia="標楷體" w:cs="標楷體"/>
          <w:b w:val="0"/>
          <w:i w:val="0"/>
          <w:sz w:val="24"/>
        </w:rPr>
        <w:t>的日報酬差不顯著（調整後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p = 1.000</w:t>
      </w:r>
      <w:r>
        <w:rPr>
          <w:rFonts w:ascii="標楷體" w:hAnsi="標楷體" w:eastAsia="標楷體" w:cs="標楷體"/>
          <w:b w:val="0"/>
          <w:i w:val="0"/>
          <w:sz w:val="24"/>
        </w:rPr>
        <w:t>）；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AI+ESG </w:t>
      </w:r>
      <w:r>
        <w:rPr>
          <w:rFonts w:ascii="標楷體" w:hAnsi="標楷體" w:eastAsia="標楷體" w:cs="標楷體"/>
          <w:b w:val="0"/>
          <w:i w:val="0"/>
          <w:sz w:val="24"/>
        </w:rPr>
        <w:t>相對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00850 </w:t>
      </w:r>
      <w:r>
        <w:rPr>
          <w:rFonts w:ascii="標楷體" w:hAnsi="標楷體" w:eastAsia="標楷體" w:cs="標楷體"/>
          <w:b w:val="0"/>
          <w:i w:val="0"/>
          <w:sz w:val="24"/>
        </w:rPr>
        <w:t>不顯著（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p = 1.000</w:t>
      </w:r>
      <w:r>
        <w:rPr>
          <w:rFonts w:ascii="標楷體" w:hAnsi="標楷體" w:eastAsia="標楷體" w:cs="標楷體"/>
          <w:b w:val="0"/>
          <w:i w:val="0"/>
          <w:sz w:val="24"/>
        </w:rPr>
        <w:t>）；規則式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篩選與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00850 </w:t>
      </w:r>
      <w:r>
        <w:rPr>
          <w:rFonts w:ascii="標楷體" w:hAnsi="標楷體" w:eastAsia="標楷體" w:cs="標楷體"/>
          <w:b w:val="0"/>
          <w:i w:val="0"/>
          <w:sz w:val="24"/>
        </w:rPr>
        <w:t>的差異不顯著（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p = 0.730</w:t>
      </w:r>
      <w:r>
        <w:rPr>
          <w:rFonts w:ascii="標楷體" w:hAnsi="標楷體" w:eastAsia="標楷體" w:cs="標楷體"/>
          <w:b w:val="0"/>
          <w:i w:val="0"/>
          <w:sz w:val="24"/>
        </w:rPr>
        <w:t>）。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AI+ESG </w:t>
      </w:r>
      <w:r>
        <w:rPr>
          <w:rFonts w:ascii="標楷體" w:hAnsi="標楷體" w:eastAsia="標楷體" w:cs="標楷體"/>
          <w:b w:val="0"/>
          <w:i w:val="0"/>
          <w:sz w:val="24"/>
        </w:rPr>
        <w:t>投組的持股加權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TESG </w:t>
      </w:r>
      <w:r>
        <w:rPr>
          <w:rFonts w:ascii="標楷體" w:hAnsi="標楷體" w:eastAsia="標楷體" w:cs="標楷體"/>
          <w:b w:val="0"/>
          <w:i w:val="0"/>
          <w:sz w:val="24"/>
        </w:rPr>
        <w:t>分數平均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70.5</w:t>
      </w:r>
      <w:r>
        <w:rPr>
          <w:rFonts w:ascii="標楷體" w:hAnsi="標楷體" w:eastAsia="標楷體" w:cs="標楷體"/>
          <w:b w:val="0"/>
          <w:i w:val="0"/>
          <w:sz w:val="24"/>
        </w:rPr>
        <w:t>，高於股票池等權的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61.6 </w:t>
      </w:r>
      <w:r>
        <w:rPr>
          <w:rFonts w:ascii="標楷體" w:hAnsi="標楷體" w:eastAsia="標楷體" w:cs="標楷體"/>
          <w:b w:val="0"/>
          <w:i w:val="0"/>
          <w:sz w:val="24"/>
        </w:rPr>
        <w:t>與單純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AI </w:t>
      </w:r>
      <w:r>
        <w:rPr>
          <w:rFonts w:ascii="標楷體" w:hAnsi="標楷體" w:eastAsia="標楷體" w:cs="標楷體"/>
          <w:b w:val="0"/>
          <w:i w:val="0"/>
          <w:sz w:val="24"/>
        </w:rPr>
        <w:t>的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56.8</w:t>
      </w:r>
      <w:r>
        <w:rPr>
          <w:rFonts w:ascii="標楷體" w:hAnsi="標楷體" w:eastAsia="標楷體" w:cs="標楷體"/>
          <w:b w:val="0"/>
          <w:i w:val="0"/>
          <w:sz w:val="24"/>
        </w:rPr>
        <w:t>。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若沿用平台網站的做法、以資料截點當時的前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300 </w:t>
      </w:r>
      <w:r>
        <w:rPr>
          <w:rFonts w:ascii="標楷體" w:hAnsi="標楷體" w:eastAsia="標楷體" w:cs="標楷體"/>
          <w:b w:val="0"/>
          <w:i w:val="0"/>
          <w:sz w:val="24"/>
        </w:rPr>
        <w:t>大股票回頭建構整段期間的股票池，單純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AI </w:t>
      </w:r>
      <w:r>
        <w:rPr>
          <w:rFonts w:ascii="標楷體" w:hAnsi="標楷體" w:eastAsia="標楷體" w:cs="標楷體"/>
          <w:b w:val="0"/>
          <w:i w:val="0"/>
          <w:sz w:val="24"/>
        </w:rPr>
        <w:t>年化報酬會高達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132.1%</w:t>
      </w:r>
      <w:r>
        <w:rPr>
          <w:rFonts w:ascii="標楷體" w:hAnsi="標楷體" w:eastAsia="標楷體" w:cs="標楷體"/>
          <w:b w:val="0"/>
          <w:i w:val="0"/>
          <w:sz w:val="24"/>
        </w:rPr>
        <w:t>，顯示初稿的高報酬主要來自股票池的後見之明偏誤。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由於模型與參數是在包含上述期間的資料上比較後選定，本研究將這段結果定位為探索性分析；研究設定已於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115 </w:t>
      </w:r>
      <w:r>
        <w:rPr>
          <w:rFonts w:ascii="標楷體" w:hAnsi="標楷體" w:eastAsia="標楷體" w:cs="標楷體"/>
          <w:b w:val="0"/>
          <w:i w:val="0"/>
          <w:sz w:val="24"/>
        </w:rPr>
        <w:t>年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10 </w:t>
      </w:r>
      <w:r>
        <w:rPr>
          <w:rFonts w:ascii="標楷體" w:hAnsi="標楷體" w:eastAsia="標楷體" w:cs="標楷體"/>
          <w:b w:val="0"/>
          <w:i w:val="0"/>
          <w:sz w:val="24"/>
        </w:rPr>
        <w:t>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25 </w:t>
      </w:r>
      <w:r>
        <w:rPr>
          <w:rFonts w:ascii="標楷體" w:hAnsi="標楷體" w:eastAsia="標楷體" w:cs="標楷體"/>
          <w:b w:val="0"/>
          <w:i w:val="0"/>
          <w:sz w:val="24"/>
        </w:rPr>
        <w:t>日鎖定，之後的新資料將作為真正未接觸的保留測試。結論應理解為：在本研究所使用的股票樣本、資料截點與交易假設下的歷史回測表現，不能代表未來可實現的報酬。</w:t>
      </w:r>
    </w:p>
    <w:p>
      <w:pPr>
        <w:keepNext w:val="0"/>
        <w:spacing w:before="120" w:after="0" w:line="360" w:lineRule="auto"/>
      </w:pPr>
      <w:r>
        <w:rPr>
          <w:rFonts w:ascii="標楷體" w:hAnsi="標楷體" w:eastAsia="標楷體" w:cs="標楷體"/>
          <w:b w:val="0"/>
          <w:i w:val="0"/>
          <w:sz w:val="24"/>
        </w:rPr>
        <w:t>關鍵詞：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ESG</w:t>
      </w:r>
      <w:r>
        <w:rPr>
          <w:rFonts w:ascii="標楷體" w:hAnsi="標楷體" w:eastAsia="標楷體" w:cs="標楷體"/>
          <w:b w:val="0"/>
          <w:i w:val="0"/>
          <w:sz w:val="24"/>
        </w:rPr>
        <w:t>、機器學習選股、隨機森林、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ESG ETF</w:t>
      </w:r>
      <w:r>
        <w:rPr>
          <w:rFonts w:ascii="標楷體" w:hAnsi="標楷體" w:eastAsia="標楷體" w:cs="標楷體"/>
          <w:b w:val="0"/>
          <w:i w:val="0"/>
          <w:sz w:val="24"/>
        </w:rPr>
        <w:t>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Newey-West </w:t>
      </w:r>
      <w:r>
        <w:rPr>
          <w:rFonts w:ascii="標楷體" w:hAnsi="標楷體" w:eastAsia="標楷體" w:cs="標楷體"/>
          <w:b w:val="0"/>
          <w:i w:val="0"/>
          <w:sz w:val="24"/>
        </w:rPr>
        <w:t>檢定、存活者偏誤</w:t>
      </w:r>
    </w:p>
    <w:p>
      <w:pPr>
        <w:pStyle w:val="Heading1"/>
        <w:keepNext/>
        <w:pageBreakBefore/>
        <w:spacing w:before="0" w:after="360" w:line="312" w:lineRule="auto"/>
        <w:jc w:val="center"/>
      </w:pPr>
      <w:r>
        <w:rPr>
          <w:rFonts w:ascii="標楷體" w:hAnsi="標楷體" w:eastAsia="標楷體" w:cs="標楷體"/>
          <w:b/>
          <w:i w:val="0"/>
          <w:sz w:val="36"/>
        </w:rPr>
        <w:t>目錄</w:t>
      </w:r>
    </w:p>
    <w:p>
      <w:pPr>
        <w:keepNext w:val="0"/>
        <w:tabs>
          <w:tab w:pos="9026" w:val="right" w:leader="dot"/>
        </w:tabs>
        <w:spacing w:before="120" w:after="0" w:line="360" w:lineRule="auto"/>
      </w:pPr>
      <w:r>
        <w:rPr>
          <w:rFonts w:ascii="標楷體" w:hAnsi="標楷體" w:eastAsia="標楷體" w:cs="標楷體"/>
          <w:b/>
          <w:i w:val="0"/>
          <w:sz w:val="26"/>
        </w:rPr>
        <w:t>第一章　緒論</w:t>
      </w:r>
      <w:r>
        <w:rPr>
          <w:rFonts w:ascii="標楷體" w:hAnsi="標楷體" w:eastAsia="標楷體" w:cs="標楷體"/>
          <w:b/>
          <w:i w:val="0"/>
          <w:sz w:val="26"/>
        </w:rPr>
        <w:tab/>
      </w:r>
      <w:r>
        <w:rPr>
          <w:rFonts w:ascii="Times New Roman" w:hAnsi="Times New Roman" w:eastAsia="Times New Roman" w:cs="Times New Roman"/>
          <w:b/>
          <w:i w:val="0"/>
          <w:sz w:val="26"/>
        </w:rPr>
        <w:t>1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一、研究背景與動機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1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二、研究目的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1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三、研究問題與假說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2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四、研究範圍與限制說明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2</w:t>
      </w:r>
    </w:p>
    <w:p>
      <w:pPr>
        <w:keepNext w:val="0"/>
        <w:tabs>
          <w:tab w:pos="9026" w:val="right" w:leader="dot"/>
        </w:tabs>
        <w:spacing w:before="120" w:after="0" w:line="360" w:lineRule="auto"/>
      </w:pPr>
      <w:r>
        <w:rPr>
          <w:rFonts w:ascii="標楷體" w:hAnsi="標楷體" w:eastAsia="標楷體" w:cs="標楷體"/>
          <w:b/>
          <w:i w:val="0"/>
          <w:sz w:val="26"/>
        </w:rPr>
        <w:t>第二章　文獻回顧</w:t>
      </w:r>
      <w:r>
        <w:rPr>
          <w:rFonts w:ascii="標楷體" w:hAnsi="標楷體" w:eastAsia="標楷體" w:cs="標楷體"/>
          <w:b/>
          <w:i w:val="0"/>
          <w:sz w:val="26"/>
        </w:rPr>
        <w:tab/>
      </w:r>
      <w:r>
        <w:rPr>
          <w:rFonts w:ascii="Times New Roman" w:hAnsi="Times New Roman" w:eastAsia="Times New Roman" w:cs="Times New Roman"/>
          <w:b/>
          <w:i w:val="0"/>
          <w:sz w:val="26"/>
        </w:rPr>
        <w:t>3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一、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ESG </w:t>
      </w:r>
      <w:r>
        <w:rPr>
          <w:rFonts w:ascii="標楷體" w:hAnsi="標楷體" w:eastAsia="標楷體" w:cs="標楷體"/>
          <w:b w:val="0"/>
          <w:i w:val="0"/>
          <w:sz w:val="24"/>
        </w:rPr>
        <w:t>指標與企業績效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3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二、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ESG </w:t>
      </w:r>
      <w:r>
        <w:rPr>
          <w:rFonts w:ascii="標楷體" w:hAnsi="標楷體" w:eastAsia="標楷體" w:cs="標楷體"/>
          <w:b w:val="0"/>
          <w:i w:val="0"/>
          <w:sz w:val="24"/>
        </w:rPr>
        <w:t>基金與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ETF </w:t>
      </w:r>
      <w:r>
        <w:rPr>
          <w:rFonts w:ascii="標楷體" w:hAnsi="標楷體" w:eastAsia="標楷體" w:cs="標楷體"/>
          <w:b w:val="0"/>
          <w:i w:val="0"/>
          <w:sz w:val="24"/>
        </w:rPr>
        <w:t>的配置限制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3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三、機器學習於資產定價與選股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3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四、資料探勘偏誤、存活者偏誤與交易成本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4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五、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AI </w:t>
      </w:r>
      <w:r>
        <w:rPr>
          <w:rFonts w:ascii="標楷體" w:hAnsi="標楷體" w:eastAsia="標楷體" w:cs="標楷體"/>
          <w:b w:val="0"/>
          <w:i w:val="0"/>
          <w:sz w:val="24"/>
        </w:rPr>
        <w:t>與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的整合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4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六、文獻缺口與本研究定位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4</w:t>
      </w:r>
    </w:p>
    <w:p>
      <w:pPr>
        <w:keepNext w:val="0"/>
        <w:tabs>
          <w:tab w:pos="9026" w:val="right" w:leader="dot"/>
        </w:tabs>
        <w:spacing w:before="120" w:after="0" w:line="360" w:lineRule="auto"/>
      </w:pPr>
      <w:r>
        <w:rPr>
          <w:rFonts w:ascii="標楷體" w:hAnsi="標楷體" w:eastAsia="標楷體" w:cs="標楷體"/>
          <w:b/>
          <w:i w:val="0"/>
          <w:sz w:val="26"/>
        </w:rPr>
        <w:t>第三章　研究方法</w:t>
      </w:r>
      <w:r>
        <w:rPr>
          <w:rFonts w:ascii="標楷體" w:hAnsi="標楷體" w:eastAsia="標楷體" w:cs="標楷體"/>
          <w:b/>
          <w:i w:val="0"/>
          <w:sz w:val="26"/>
        </w:rPr>
        <w:tab/>
      </w:r>
      <w:r>
        <w:rPr>
          <w:rFonts w:ascii="Times New Roman" w:hAnsi="Times New Roman" w:eastAsia="Times New Roman" w:cs="Times New Roman"/>
          <w:b/>
          <w:i w:val="0"/>
          <w:sz w:val="26"/>
        </w:rPr>
        <w:t>5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一、研究版本與重現方式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5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二、資料來源與可得日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6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三、逐期股票池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6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四、投組與比較基準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7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五、研究流程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8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六、模型與變數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9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七、期間切分與參數選擇紀錄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10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八、回測與交易假設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11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九、績效評估與統計方法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12</w:t>
      </w:r>
    </w:p>
    <w:p>
      <w:pPr>
        <w:keepNext w:val="0"/>
        <w:tabs>
          <w:tab w:pos="9026" w:val="right" w:leader="dot"/>
        </w:tabs>
        <w:spacing w:before="120" w:after="0" w:line="360" w:lineRule="auto"/>
      </w:pPr>
      <w:r>
        <w:rPr>
          <w:rFonts w:ascii="標楷體" w:hAnsi="標楷體" w:eastAsia="標楷體" w:cs="標楷體"/>
          <w:b/>
          <w:i w:val="0"/>
          <w:sz w:val="26"/>
        </w:rPr>
        <w:t>第四章　實證結果</w:t>
      </w:r>
      <w:r>
        <w:rPr>
          <w:rFonts w:ascii="標楷體" w:hAnsi="標楷體" w:eastAsia="標楷體" w:cs="標楷體"/>
          <w:b/>
          <w:i w:val="0"/>
          <w:sz w:val="26"/>
        </w:rPr>
        <w:tab/>
      </w:r>
      <w:r>
        <w:rPr>
          <w:rFonts w:ascii="Times New Roman" w:hAnsi="Times New Roman" w:eastAsia="Times New Roman" w:cs="Times New Roman"/>
          <w:b/>
          <w:i w:val="0"/>
          <w:sz w:val="26"/>
        </w:rPr>
        <w:t>13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一、資料與樣本概況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13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二、整體績效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13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三、股票池建構與調倉日期的影響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14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四、年度報酬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15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五、市場情境與參與率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16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六、統計檢定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17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七、交易成本與滑價敏感度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18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八、投組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品質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19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九、模型選股能力與特徵重要性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20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十、假說檢驗彙整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21</w:t>
      </w:r>
    </w:p>
    <w:p>
      <w:pPr>
        <w:keepNext w:val="0"/>
        <w:tabs>
          <w:tab w:pos="9026" w:val="right" w:leader="dot"/>
        </w:tabs>
        <w:spacing w:before="120" w:after="0" w:line="360" w:lineRule="auto"/>
      </w:pPr>
      <w:r>
        <w:rPr>
          <w:rFonts w:ascii="標楷體" w:hAnsi="標楷體" w:eastAsia="標楷體" w:cs="標楷體"/>
          <w:b/>
          <w:i w:val="0"/>
          <w:sz w:val="26"/>
        </w:rPr>
        <w:t>第五章　結論與建議</w:t>
      </w:r>
      <w:r>
        <w:rPr>
          <w:rFonts w:ascii="標楷體" w:hAnsi="標楷體" w:eastAsia="標楷體" w:cs="標楷體"/>
          <w:b/>
          <w:i w:val="0"/>
          <w:sz w:val="26"/>
        </w:rPr>
        <w:tab/>
      </w:r>
      <w:r>
        <w:rPr>
          <w:rFonts w:ascii="Times New Roman" w:hAnsi="Times New Roman" w:eastAsia="Times New Roman" w:cs="Times New Roman"/>
          <w:b/>
          <w:i w:val="0"/>
          <w:sz w:val="26"/>
        </w:rPr>
        <w:t>23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一、研究發現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23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二、影響結論的條件與研究限制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23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三、結論表述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24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四、管理意涵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24</w:t>
      </w:r>
    </w:p>
    <w:p>
      <w:pPr>
        <w:keepNext w:val="0"/>
        <w:tabs>
          <w:tab w:pos="9026" w:val="right" w:leader="dot"/>
        </w:tabs>
        <w:spacing w:before="0" w:after="0" w:line="360" w:lineRule="auto"/>
        <w:ind w:left="480"/>
      </w:pPr>
      <w:r>
        <w:rPr>
          <w:rFonts w:ascii="標楷體" w:hAnsi="標楷體" w:eastAsia="標楷體" w:cs="標楷體"/>
          <w:b w:val="0"/>
          <w:i w:val="0"/>
          <w:sz w:val="24"/>
        </w:rPr>
        <w:t>五、後續研究</w:t>
      </w:r>
      <w:r>
        <w:rPr>
          <w:rFonts w:ascii="標楷體" w:hAnsi="標楷體" w:eastAsia="標楷體" w:cs="標楷體"/>
          <w:b w:val="0"/>
          <w:i w:val="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24</w:t>
      </w:r>
    </w:p>
    <w:p>
      <w:pPr>
        <w:keepNext w:val="0"/>
        <w:tabs>
          <w:tab w:pos="9026" w:val="right" w:leader="dot"/>
        </w:tabs>
        <w:spacing w:before="120" w:after="0" w:line="360" w:lineRule="auto"/>
      </w:pPr>
      <w:r>
        <w:rPr>
          <w:rFonts w:ascii="標楷體" w:hAnsi="標楷體" w:eastAsia="標楷體" w:cs="標楷體"/>
          <w:b/>
          <w:i w:val="0"/>
          <w:sz w:val="26"/>
        </w:rPr>
        <w:t>參考文獻</w:t>
      </w:r>
      <w:r>
        <w:rPr>
          <w:rFonts w:ascii="標楷體" w:hAnsi="標楷體" w:eastAsia="標楷體" w:cs="標楷體"/>
          <w:b/>
          <w:i w:val="0"/>
          <w:sz w:val="26"/>
        </w:rPr>
        <w:tab/>
      </w:r>
      <w:r>
        <w:rPr>
          <w:rFonts w:ascii="Times New Roman" w:hAnsi="Times New Roman" w:eastAsia="Times New Roman" w:cs="Times New Roman"/>
          <w:b/>
          <w:i w:val="0"/>
          <w:sz w:val="26"/>
        </w:rPr>
        <w:t>25</w:t>
      </w:r>
    </w:p>
    <w:p>
      <w:pPr>
        <w:keepNext w:val="0"/>
        <w:tabs>
          <w:tab w:pos="9026" w:val="right" w:leader="dot"/>
        </w:tabs>
        <w:spacing w:before="120" w:after="0" w:line="360" w:lineRule="auto"/>
      </w:pPr>
      <w:r>
        <w:rPr>
          <w:rFonts w:ascii="標楷體" w:hAnsi="標楷體" w:eastAsia="標楷體" w:cs="標楷體"/>
          <w:b/>
          <w:i w:val="0"/>
          <w:sz w:val="26"/>
        </w:rPr>
        <w:t>附錄</w:t>
      </w:r>
      <w:r>
        <w:rPr>
          <w:rFonts w:ascii="Times New Roman" w:hAnsi="Times New Roman" w:eastAsia="Times New Roman" w:cs="Times New Roman"/>
          <w:b/>
          <w:i w:val="0"/>
          <w:sz w:val="26"/>
        </w:rPr>
        <w:t xml:space="preserve"> A</w:t>
      </w:r>
      <w:r>
        <w:rPr>
          <w:rFonts w:ascii="標楷體" w:hAnsi="標楷體" w:eastAsia="標楷體" w:cs="標楷體"/>
          <w:b/>
          <w:i w:val="0"/>
          <w:sz w:val="26"/>
        </w:rPr>
        <w:t xml:space="preserve">　研究版本與重現方式</w:t>
      </w:r>
      <w:r>
        <w:rPr>
          <w:rFonts w:ascii="標楷體" w:hAnsi="標楷體" w:eastAsia="標楷體" w:cs="標楷體"/>
          <w:b/>
          <w:i w:val="0"/>
          <w:sz w:val="26"/>
        </w:rPr>
        <w:tab/>
      </w:r>
      <w:r>
        <w:rPr>
          <w:rFonts w:ascii="Times New Roman" w:hAnsi="Times New Roman" w:eastAsia="Times New Roman" w:cs="Times New Roman"/>
          <w:b/>
          <w:i w:val="0"/>
          <w:sz w:val="26"/>
        </w:rPr>
        <w:t>27</w:t>
      </w:r>
    </w:p>
    <w:p>
      <w:pPr>
        <w:keepNext w:val="0"/>
        <w:tabs>
          <w:tab w:pos="9026" w:val="right" w:leader="dot"/>
        </w:tabs>
        <w:spacing w:before="120" w:after="0" w:line="360" w:lineRule="auto"/>
      </w:pPr>
      <w:r>
        <w:rPr>
          <w:rFonts w:ascii="標楷體" w:hAnsi="標楷體" w:eastAsia="標楷體" w:cs="標楷體"/>
          <w:b/>
          <w:i w:val="0"/>
          <w:sz w:val="26"/>
        </w:rPr>
        <w:t>附錄</w:t>
      </w:r>
      <w:r>
        <w:rPr>
          <w:rFonts w:ascii="Times New Roman" w:hAnsi="Times New Roman" w:eastAsia="Times New Roman" w:cs="Times New Roman"/>
          <w:b/>
          <w:i w:val="0"/>
          <w:sz w:val="26"/>
        </w:rPr>
        <w:t xml:space="preserve"> B</w:t>
      </w:r>
      <w:r>
        <w:rPr>
          <w:rFonts w:ascii="標楷體" w:hAnsi="標楷體" w:eastAsia="標楷體" w:cs="標楷體"/>
          <w:b/>
          <w:i w:val="0"/>
          <w:sz w:val="26"/>
        </w:rPr>
        <w:t xml:space="preserve">　資料字典</w:t>
      </w:r>
      <w:r>
        <w:rPr>
          <w:rFonts w:ascii="標楷體" w:hAnsi="標楷體" w:eastAsia="標楷體" w:cs="標楷體"/>
          <w:b/>
          <w:i w:val="0"/>
          <w:sz w:val="26"/>
        </w:rPr>
        <w:tab/>
      </w:r>
      <w:r>
        <w:rPr>
          <w:rFonts w:ascii="Times New Roman" w:hAnsi="Times New Roman" w:eastAsia="Times New Roman" w:cs="Times New Roman"/>
          <w:b/>
          <w:i w:val="0"/>
          <w:sz w:val="26"/>
        </w:rPr>
        <w:t>28</w:t>
      </w:r>
    </w:p>
    <w:p>
      <w:pPr>
        <w:keepNext w:val="0"/>
        <w:tabs>
          <w:tab w:pos="9026" w:val="right" w:leader="dot"/>
        </w:tabs>
        <w:spacing w:before="120" w:after="0" w:line="360" w:lineRule="auto"/>
      </w:pPr>
      <w:r>
        <w:rPr>
          <w:rFonts w:ascii="標楷體" w:hAnsi="標楷體" w:eastAsia="標楷體" w:cs="標楷體"/>
          <w:b/>
          <w:i w:val="0"/>
          <w:sz w:val="26"/>
        </w:rPr>
        <w:t>附錄</w:t>
      </w:r>
      <w:r>
        <w:rPr>
          <w:rFonts w:ascii="Times New Roman" w:hAnsi="Times New Roman" w:eastAsia="Times New Roman" w:cs="Times New Roman"/>
          <w:b/>
          <w:i w:val="0"/>
          <w:sz w:val="26"/>
        </w:rPr>
        <w:t xml:space="preserve"> C</w:t>
      </w:r>
      <w:r>
        <w:rPr>
          <w:rFonts w:ascii="標楷體" w:hAnsi="標楷體" w:eastAsia="標楷體" w:cs="標楷體"/>
          <w:b/>
          <w:i w:val="0"/>
          <w:sz w:val="26"/>
        </w:rPr>
        <w:t xml:space="preserve">　人工核對範例</w:t>
      </w:r>
      <w:r>
        <w:rPr>
          <w:rFonts w:ascii="標楷體" w:hAnsi="標楷體" w:eastAsia="標楷體" w:cs="標楷體"/>
          <w:b/>
          <w:i w:val="0"/>
          <w:sz w:val="26"/>
        </w:rPr>
        <w:tab/>
      </w:r>
      <w:r>
        <w:rPr>
          <w:rFonts w:ascii="Times New Roman" w:hAnsi="Times New Roman" w:eastAsia="Times New Roman" w:cs="Times New Roman"/>
          <w:b/>
          <w:i w:val="0"/>
          <w:sz w:val="26"/>
        </w:rPr>
        <w:t>28</w:t>
      </w:r>
    </w:p>
    <w:p>
      <w:pPr>
        <w:keepNext w:val="0"/>
        <w:tabs>
          <w:tab w:pos="9026" w:val="right" w:leader="dot"/>
        </w:tabs>
        <w:spacing w:before="120" w:after="0" w:line="360" w:lineRule="auto"/>
      </w:pPr>
      <w:r>
        <w:rPr>
          <w:rFonts w:ascii="標楷體" w:hAnsi="標楷體" w:eastAsia="標楷體" w:cs="標楷體"/>
          <w:b/>
          <w:i w:val="0"/>
          <w:sz w:val="26"/>
        </w:rPr>
        <w:t>附錄</w:t>
      </w:r>
      <w:r>
        <w:rPr>
          <w:rFonts w:ascii="Times New Roman" w:hAnsi="Times New Roman" w:eastAsia="Times New Roman" w:cs="Times New Roman"/>
          <w:b/>
          <w:i w:val="0"/>
          <w:sz w:val="26"/>
        </w:rPr>
        <w:t xml:space="preserve"> D</w:t>
      </w:r>
      <w:r>
        <w:rPr>
          <w:rFonts w:ascii="標楷體" w:hAnsi="標楷體" w:eastAsia="標楷體" w:cs="標楷體"/>
          <w:b/>
          <w:i w:val="0"/>
          <w:sz w:val="26"/>
        </w:rPr>
        <w:t xml:space="preserve">　指導教授修訂建議對照</w:t>
      </w:r>
      <w:r>
        <w:rPr>
          <w:rFonts w:ascii="標楷體" w:hAnsi="標楷體" w:eastAsia="標楷體" w:cs="標楷體"/>
          <w:b/>
          <w:i w:val="0"/>
          <w:sz w:val="26"/>
        </w:rPr>
        <w:tab/>
      </w:r>
      <w:r>
        <w:rPr>
          <w:rFonts w:ascii="Times New Roman" w:hAnsi="Times New Roman" w:eastAsia="Times New Roman" w:cs="Times New Roman"/>
          <w:b/>
          <w:i w:val="0"/>
          <w:sz w:val="26"/>
        </w:rPr>
        <w:t>30</w:t>
      </w:r>
    </w:p>
    <w:p>
      <w:pPr>
        <w:sectPr>
          <w:footerReference w:type="default" r:id="rId9"/>
          <w:pgSz w:w="11906" w:h="16838"/>
          <w:pgMar w:top="1440" w:right="1440" w:bottom="1440" w:left="1440" w:header="720" w:footer="720" w:gutter="0"/>
          <w:cols w:space="720"/>
          <w:docGrid w:linePitch="360"/>
          <w:pgNumType w:fmt="lowerRoman" w:start="1"/>
        </w:sectPr>
      </w:pPr>
    </w:p>
    <w:p>
      <w:pPr>
        <w:pStyle w:val="Heading1"/>
        <w:keepNext/>
        <w:spacing w:before="0" w:after="360" w:line="312" w:lineRule="auto"/>
        <w:jc w:val="center"/>
      </w:pPr>
      <w:r>
        <w:rPr>
          <w:rFonts w:ascii="標楷體" w:hAnsi="標楷體" w:eastAsia="標楷體" w:cs="標楷體"/>
          <w:b/>
          <w:i w:val="0"/>
          <w:sz w:val="36"/>
        </w:rPr>
        <w:t>第一章　緒論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一、研究背景與動機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隨著科技快速發展，人工智慧（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AI</w:t>
      </w:r>
      <w:r>
        <w:rPr>
          <w:rFonts w:ascii="標楷體" w:hAnsi="標楷體" w:eastAsia="標楷體" w:cs="標楷體"/>
          <w:b w:val="0"/>
          <w:i w:val="0"/>
          <w:sz w:val="24"/>
        </w:rPr>
        <w:t>）已從過去想像中的未來技術，逐漸成為推動現代社會與金融市場的重要核心力量。特別是在金融領域中，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AI </w:t>
      </w:r>
      <w:r>
        <w:rPr>
          <w:rFonts w:ascii="標楷體" w:hAnsi="標楷體" w:eastAsia="標楷體" w:cs="標楷體"/>
          <w:b w:val="0"/>
          <w:i w:val="0"/>
          <w:sz w:val="24"/>
        </w:rPr>
        <w:t>憑藉其強大的非線性資料分析能力，正在逐步改變傳統投資決策模式。同時，全球資本市場也正在經歷一場從「追求獲利最大化」轉向「兼顧永續價值」的轉變。投資人不再只關注企業短期財務績效，而是開始將環境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Environmental</w:t>
      </w:r>
      <w:r>
        <w:rPr>
          <w:rFonts w:ascii="標楷體" w:hAnsi="標楷體" w:eastAsia="標楷體" w:cs="標楷體"/>
          <w:b w:val="0"/>
          <w:i w:val="0"/>
          <w:sz w:val="24"/>
        </w:rPr>
        <w:t>）、社會（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Social</w:t>
      </w:r>
      <w:r>
        <w:rPr>
          <w:rFonts w:ascii="標楷體" w:hAnsi="標楷體" w:eastAsia="標楷體" w:cs="標楷體"/>
          <w:b w:val="0"/>
          <w:i w:val="0"/>
          <w:sz w:val="24"/>
        </w:rPr>
        <w:t>）及公司治理（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Governance</w:t>
      </w:r>
      <w:r>
        <w:rPr>
          <w:rFonts w:ascii="標楷體" w:hAnsi="標楷體" w:eastAsia="標楷體" w:cs="標楷體"/>
          <w:b w:val="0"/>
          <w:i w:val="0"/>
          <w:sz w:val="24"/>
        </w:rPr>
        <w:t>）等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指標納入投資評估，希望透過永續投資降低長期風險並提升投資穩定性。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在這個趨勢下，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ESG ETF </w:t>
      </w:r>
      <w:r>
        <w:rPr>
          <w:rFonts w:ascii="標楷體" w:hAnsi="標楷體" w:eastAsia="標楷體" w:cs="標楷體"/>
          <w:b w:val="0"/>
          <w:i w:val="0"/>
          <w:sz w:val="24"/>
        </w:rPr>
        <w:t>快速崛起，例如「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00850 </w:t>
      </w:r>
      <w:r>
        <w:rPr>
          <w:rFonts w:ascii="標楷體" w:hAnsi="標楷體" w:eastAsia="標楷體" w:cs="標楷體"/>
          <w:b w:val="0"/>
          <w:i w:val="0"/>
          <w:sz w:val="24"/>
        </w:rPr>
        <w:t>元大臺灣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永續」與「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00878 </w:t>
      </w:r>
      <w:r>
        <w:rPr>
          <w:rFonts w:ascii="標楷體" w:hAnsi="標楷體" w:eastAsia="標楷體" w:cs="標楷體"/>
          <w:b w:val="0"/>
          <w:i w:val="0"/>
          <w:sz w:val="24"/>
        </w:rPr>
        <w:t>國泰永續高股息」受到市場高度關注。然而多數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評分依據企業定期揭露的永續報告書與歷史資料，具有資訊滯後性；不同評級機構的衡量標準也不一致，且可能出現「漂綠」問題。若只依賴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評分建構投資組合，未必能充分反映市場的即時資訊。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AI </w:t>
      </w:r>
      <w:r>
        <w:rPr>
          <w:rFonts w:ascii="標楷體" w:hAnsi="標楷體" w:eastAsia="標楷體" w:cs="標楷體"/>
          <w:b w:val="0"/>
          <w:i w:val="0"/>
          <w:sz w:val="24"/>
        </w:rPr>
        <w:t>模型可以每天讀入最新的股價、成交量與估值資料並定期重新訓練，也能捕捉技術面、估值與報酬之間的非線性關係，因此有機會改善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投資的資訊落後問題。另一方面，機器學習選股也伴隨資料探勘偏誤、存活者偏誤與交易成本被低估等風險（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Sullivan et al., 1999</w:t>
      </w:r>
      <w:r>
        <w:rPr>
          <w:rFonts w:ascii="標楷體" w:hAnsi="標楷體" w:eastAsia="標楷體" w:cs="標楷體"/>
          <w:b w:val="0"/>
          <w:i w:val="0"/>
          <w:sz w:val="24"/>
        </w:rPr>
        <w:t>；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Harvey et al., 2016</w:t>
      </w:r>
      <w:r>
        <w:rPr>
          <w:rFonts w:ascii="標楷體" w:hAnsi="標楷體" w:eastAsia="標楷體" w:cs="標楷體"/>
          <w:b w:val="0"/>
          <w:i w:val="0"/>
          <w:sz w:val="24"/>
        </w:rPr>
        <w:t>；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Novy-Marx &amp; Velikov, 2016</w:t>
      </w:r>
      <w:r>
        <w:rPr>
          <w:rFonts w:ascii="標楷體" w:hAnsi="標楷體" w:eastAsia="標楷體" w:cs="標楷體"/>
          <w:b w:val="0"/>
          <w:i w:val="0"/>
          <w:sz w:val="24"/>
        </w:rPr>
        <w:t>）。本研究以自行建置、每日自動更新的「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ESG-AI </w:t>
      </w:r>
      <w:r>
        <w:rPr>
          <w:rFonts w:ascii="標楷體" w:hAnsi="標楷體" w:eastAsia="標楷體" w:cs="標楷體"/>
          <w:b w:val="0"/>
          <w:i w:val="0"/>
          <w:sz w:val="24"/>
        </w:rPr>
        <w:t>台股選股平台」為工具，在可重現的研究設定下比較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AI </w:t>
      </w:r>
      <w:r>
        <w:rPr>
          <w:rFonts w:ascii="標楷體" w:hAnsi="標楷體" w:eastAsia="標楷體" w:cs="標楷體"/>
          <w:b w:val="0"/>
          <w:i w:val="0"/>
          <w:sz w:val="24"/>
        </w:rPr>
        <w:t>選股、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ESG </w:t>
      </w:r>
      <w:r>
        <w:rPr>
          <w:rFonts w:ascii="標楷體" w:hAnsi="標楷體" w:eastAsia="標楷體" w:cs="標楷體"/>
          <w:b w:val="0"/>
          <w:i w:val="0"/>
          <w:sz w:val="24"/>
        </w:rPr>
        <w:t>篩選與市售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ETF</w:t>
      </w:r>
      <w:r>
        <w:rPr>
          <w:rFonts w:ascii="標楷體" w:hAnsi="標楷體" w:eastAsia="標楷體" w:cs="標楷體"/>
          <w:b w:val="0"/>
          <w:i w:val="0"/>
          <w:sz w:val="24"/>
        </w:rPr>
        <w:t>，並同時檢視報酬、風險與投組本身的永續品質。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二、研究目的</w:t>
      </w:r>
    </w:p>
    <w:p>
      <w:pPr>
        <w:keepNext w:val="0"/>
        <w:spacing w:before="0" w:after="60" w:line="360" w:lineRule="auto"/>
        <w:ind w:left="760" w:hanging="2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•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標楷體" w:hAnsi="標楷體" w:eastAsia="標楷體" w:cs="標楷體"/>
          <w:b/>
          <w:i w:val="0"/>
          <w:sz w:val="24"/>
        </w:rPr>
        <w:t>檢驗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ESG </w:t>
      </w:r>
      <w:r>
        <w:rPr>
          <w:rFonts w:ascii="標楷體" w:hAnsi="標楷體" w:eastAsia="標楷體" w:cs="標楷體"/>
          <w:b/>
          <w:i w:val="0"/>
          <w:sz w:val="24"/>
        </w:rPr>
        <w:t>評分的投資價值：</w:t>
      </w:r>
      <w:r>
        <w:rPr>
          <w:rFonts w:ascii="標楷體" w:hAnsi="標楷體" w:eastAsia="標楷體" w:cs="標楷體"/>
          <w:b w:val="0"/>
          <w:i w:val="0"/>
          <w:sz w:val="24"/>
        </w:rPr>
        <w:t>以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TEJ TESG </w:t>
      </w:r>
      <w:r>
        <w:rPr>
          <w:rFonts w:ascii="標楷體" w:hAnsi="標楷體" w:eastAsia="標楷體" w:cs="標楷體"/>
          <w:b w:val="0"/>
          <w:i w:val="0"/>
          <w:sz w:val="24"/>
        </w:rPr>
        <w:t>總分建構「規則式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篩選投組」，觀察高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企業能否帶來優於大盤或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00850 </w:t>
      </w:r>
      <w:r>
        <w:rPr>
          <w:rFonts w:ascii="標楷體" w:hAnsi="標楷體" w:eastAsia="標楷體" w:cs="標楷體"/>
          <w:b w:val="0"/>
          <w:i w:val="0"/>
          <w:sz w:val="24"/>
        </w:rPr>
        <w:t>的報酬，或主要提供較低風險。</w:t>
      </w:r>
    </w:p>
    <w:p>
      <w:pPr>
        <w:keepNext w:val="0"/>
        <w:spacing w:before="0" w:after="60" w:line="360" w:lineRule="auto"/>
        <w:ind w:left="760" w:hanging="2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•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標楷體" w:hAnsi="標楷體" w:eastAsia="標楷體" w:cs="標楷體"/>
          <w:b/>
          <w:i w:val="0"/>
          <w:sz w:val="24"/>
        </w:rPr>
        <w:t>檢驗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AI </w:t>
      </w:r>
      <w:r>
        <w:rPr>
          <w:rFonts w:ascii="標楷體" w:hAnsi="標楷體" w:eastAsia="標楷體" w:cs="標楷體"/>
          <w:b/>
          <w:i w:val="0"/>
          <w:sz w:val="24"/>
        </w:rPr>
        <w:t>能否提升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ESG </w:t>
      </w:r>
      <w:r>
        <w:rPr>
          <w:rFonts w:ascii="標楷體" w:hAnsi="標楷體" w:eastAsia="標楷體" w:cs="標楷體"/>
          <w:b/>
          <w:i w:val="0"/>
          <w:sz w:val="24"/>
        </w:rPr>
        <w:t>投資的效率：</w:t>
      </w:r>
      <w:r>
        <w:rPr>
          <w:rFonts w:ascii="標楷體" w:hAnsi="標楷體" w:eastAsia="標楷體" w:cs="標楷體"/>
          <w:b w:val="0"/>
          <w:i w:val="0"/>
          <w:sz w:val="24"/>
        </w:rPr>
        <w:t>以隨機森林預測個股未來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10 </w:t>
      </w:r>
      <w:r>
        <w:rPr>
          <w:rFonts w:ascii="標楷體" w:hAnsi="標楷體" w:eastAsia="標楷體" w:cs="標楷體"/>
          <w:b w:val="0"/>
          <w:i w:val="0"/>
          <w:sz w:val="24"/>
        </w:rPr>
        <w:t>個交易日的相對報酬，並與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排名結合成「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AI+ESG</w:t>
      </w:r>
      <w:r>
        <w:rPr>
          <w:rFonts w:ascii="標楷體" w:hAnsi="標楷體" w:eastAsia="標楷體" w:cs="標楷體"/>
          <w:b w:val="0"/>
          <w:i w:val="0"/>
          <w:sz w:val="24"/>
        </w:rPr>
        <w:t>」投組，比較報酬、風險與統計顯著性。</w:t>
      </w:r>
    </w:p>
    <w:p>
      <w:pPr>
        <w:keepNext w:val="0"/>
        <w:spacing w:before="0" w:after="60" w:line="360" w:lineRule="auto"/>
        <w:ind w:left="760" w:hanging="2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•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標楷體" w:hAnsi="標楷體" w:eastAsia="標楷體" w:cs="標楷體"/>
          <w:b/>
          <w:i w:val="0"/>
          <w:sz w:val="24"/>
        </w:rPr>
        <w:t>檢驗永續品質是否得以維持：</w:t>
      </w:r>
      <w:r>
        <w:rPr>
          <w:rFonts w:ascii="標楷體" w:hAnsi="標楷體" w:eastAsia="標楷體" w:cs="標楷體"/>
          <w:b w:val="0"/>
          <w:i w:val="0"/>
          <w:sz w:val="24"/>
        </w:rPr>
        <w:t>比較各投組持股加權的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TESG</w:t>
      </w:r>
      <w:r>
        <w:rPr>
          <w:rFonts w:ascii="標楷體" w:hAnsi="標楷體" w:eastAsia="標楷體" w:cs="標楷體"/>
          <w:b w:val="0"/>
          <w:i w:val="0"/>
          <w:sz w:val="24"/>
        </w:rPr>
        <w:t>、環境／社會／治理分數、低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持股比例與產業集中度，確認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AI+ESG </w:t>
      </w:r>
      <w:r>
        <w:rPr>
          <w:rFonts w:ascii="標楷體" w:hAnsi="標楷體" w:eastAsia="標楷體" w:cs="標楷體"/>
          <w:b w:val="0"/>
          <w:i w:val="0"/>
          <w:sz w:val="24"/>
        </w:rPr>
        <w:t>的永續屬性不只是名目上的。</w:t>
      </w:r>
    </w:p>
    <w:p>
      <w:pPr>
        <w:keepNext w:val="0"/>
        <w:spacing w:before="0" w:after="60" w:line="360" w:lineRule="auto"/>
        <w:ind w:left="760" w:hanging="2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•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標楷體" w:hAnsi="標楷體" w:eastAsia="標楷體" w:cs="標楷體"/>
          <w:b/>
          <w:i w:val="0"/>
          <w:sz w:val="24"/>
        </w:rPr>
        <w:t>建立可重現的研究流程：</w:t>
      </w:r>
      <w:r>
        <w:rPr>
          <w:rFonts w:ascii="標楷體" w:hAnsi="標楷體" w:eastAsia="標楷體" w:cs="標楷體"/>
          <w:b w:val="0"/>
          <w:i w:val="0"/>
          <w:sz w:val="24"/>
        </w:rPr>
        <w:t>以獨立研究設定檔、資料快照雜湊值與產表程式，讓論文每一張表都能追溯到同一版本的程式與資料。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三、研究問題與假說</w:t>
      </w:r>
    </w:p>
    <w:p>
      <w:pPr>
        <w:keepNext/>
        <w:spacing w:before="200" w:after="80" w:line="312" w:lineRule="auto"/>
        <w:jc w:val="center"/>
      </w:pPr>
      <w:r>
        <w:rPr>
          <w:rFonts w:ascii="標楷體" w:hAnsi="標楷體" w:eastAsia="標楷體" w:cs="標楷體"/>
          <w:b/>
          <w:i w:val="0"/>
          <w:sz w:val="24"/>
        </w:rPr>
        <w:t>表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1-1</w:t>
      </w:r>
      <w:r>
        <w:rPr>
          <w:rFonts w:ascii="標楷體" w:hAnsi="標楷體" w:eastAsia="標楷體" w:cs="標楷體"/>
          <w:b/>
          <w:i w:val="0"/>
          <w:sz w:val="24"/>
        </w:rPr>
        <w:t xml:space="preserve">　研究問題與假說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3249"/>
        <w:gridCol w:w="5776"/>
      </w:tblGrid>
      <w:tr>
        <w:trPr>
          <w:cantSplit/>
          <w:tblHeader/>
        </w:trPr>
        <w:tc>
          <w:tcPr>
            <w:tcW w:type="dxa" w:w="3249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21"/>
              </w:rPr>
              <w:t>研究問題（</w:t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1"/>
              </w:rPr>
              <w:t>RQ</w:t>
            </w:r>
            <w:r>
              <w:rPr>
                <w:rFonts w:ascii="標楷體" w:hAnsi="標楷體" w:eastAsia="標楷體" w:cs="標楷體"/>
                <w:b/>
                <w:i w:val="0"/>
                <w:color w:val="FFFFFF"/>
                <w:sz w:val="21"/>
              </w:rPr>
              <w:t>）</w:t>
            </w:r>
          </w:p>
        </w:tc>
        <w:tc>
          <w:tcPr>
            <w:tcW w:type="dxa" w:w="5776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21"/>
              </w:rPr>
              <w:t>研究假說（</w:t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1"/>
              </w:rPr>
              <w:t>H</w:t>
            </w:r>
            <w:r>
              <w:rPr>
                <w:rFonts w:ascii="標楷體" w:hAnsi="標楷體" w:eastAsia="標楷體" w:cs="標楷體"/>
                <w:b/>
                <w:i w:val="0"/>
                <w:color w:val="FFFFFF"/>
                <w:sz w:val="21"/>
              </w:rPr>
              <w:t>）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RQ1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 xml:space="preserve">　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ESG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評分是否具有報酬預測能力？</w:t>
            </w:r>
          </w:p>
        </w:tc>
        <w:tc>
          <w:tcPr>
            <w:tcW w:type="dxa" w:w="577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H1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：規則式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ESG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篩選投組的日報酬顯著高於加權指數與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00850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。</w:t>
            </w:r>
          </w:p>
        </w:tc>
      </w:tr>
      <w:tr>
        <w:trPr>
          <w:cantSplit/>
        </w:trPr>
        <w:tc>
          <w:tcPr>
            <w:tcW w:type="dxa" w:w="324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RQ2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 xml:space="preserve">　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AI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是否能優化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ESG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選股？</w:t>
            </w:r>
          </w:p>
        </w:tc>
        <w:tc>
          <w:tcPr>
            <w:tcW w:type="dxa" w:w="577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H2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AI+ESG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投組的日報酬顯著高於規則式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ESG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篩選投組。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RQ3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 xml:space="preserve">　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AI+ESG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是否優於市售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ESG ETF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？</w:t>
            </w:r>
          </w:p>
        </w:tc>
        <w:tc>
          <w:tcPr>
            <w:tcW w:type="dxa" w:w="577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H3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AI+ESG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投組相對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00850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具有正向且顯著的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CAPM Alpha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與日報酬差（經多重比較調整）。</w:t>
            </w:r>
          </w:p>
        </w:tc>
      </w:tr>
      <w:tr>
        <w:trPr>
          <w:cantSplit/>
        </w:trPr>
        <w:tc>
          <w:tcPr>
            <w:tcW w:type="dxa" w:w="324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RQ4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 xml:space="preserve">　不同市場情境下表現是否不同？</w:t>
            </w:r>
          </w:p>
        </w:tc>
        <w:tc>
          <w:tcPr>
            <w:tcW w:type="dxa" w:w="577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H4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：依事前規則劃分的多頭、盤整、高波動、空頭情境中，各策略的相對表現不同。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RQ5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 xml:space="preserve">　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AI+ESG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是否保有永續品質？</w:t>
            </w:r>
          </w:p>
        </w:tc>
        <w:tc>
          <w:tcPr>
            <w:tcW w:type="dxa" w:w="577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H5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AI+ESG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投組的持股加權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TESG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高於股票池等權與單純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AI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，且低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ESG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持股比例較低。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四、研究範圍與限制說明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本研究以台灣上市櫃普通股為母體，訓練資料自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2017-08-01 </w:t>
      </w:r>
      <w:r>
        <w:rPr>
          <w:rFonts w:ascii="標楷體" w:hAnsi="標楷體" w:eastAsia="標楷體" w:cs="標楷體"/>
          <w:b w:val="0"/>
          <w:i w:val="0"/>
          <w:sz w:val="24"/>
        </w:rPr>
        <w:t>起，正式評估期間為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2022-11-01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TEJ TESG </w:t>
      </w:r>
      <w:r>
        <w:rPr>
          <w:rFonts w:ascii="標楷體" w:hAnsi="標楷體" w:eastAsia="標楷體" w:cs="標楷體"/>
          <w:b w:val="0"/>
          <w:i w:val="0"/>
          <w:sz w:val="24"/>
        </w:rPr>
        <w:t>首次公告日）至資料截點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2026-10-20</w:t>
      </w:r>
      <w:r>
        <w:rPr>
          <w:rFonts w:ascii="標楷體" w:hAnsi="標楷體" w:eastAsia="標楷體" w:cs="標楷體"/>
          <w:b w:val="0"/>
          <w:i w:val="0"/>
          <w:sz w:val="24"/>
        </w:rPr>
        <w:t>。由於模型與主要參數曾在涵蓋此期間的資料上比較，本研究將此期間定位為「探索性評估」，並於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115 </w:t>
      </w:r>
      <w:r>
        <w:rPr>
          <w:rFonts w:ascii="標楷體" w:hAnsi="標楷體" w:eastAsia="標楷體" w:cs="標楷體"/>
          <w:b w:val="0"/>
          <w:i w:val="0"/>
          <w:sz w:val="24"/>
        </w:rPr>
        <w:t>年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10 </w:t>
      </w:r>
      <w:r>
        <w:rPr>
          <w:rFonts w:ascii="標楷體" w:hAnsi="標楷體" w:eastAsia="標楷體" w:cs="標楷體"/>
          <w:b w:val="0"/>
          <w:i w:val="0"/>
          <w:sz w:val="24"/>
        </w:rPr>
        <w:t>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25 </w:t>
      </w:r>
      <w:r>
        <w:rPr>
          <w:rFonts w:ascii="標楷體" w:hAnsi="標楷體" w:eastAsia="標楷體" w:cs="標楷體"/>
          <w:b w:val="0"/>
          <w:i w:val="0"/>
          <w:sz w:val="24"/>
        </w:rPr>
        <w:t>日鎖定全部設定，之後的新資料作為保留測試（詳見第三章第七節）。所有結論均以本研究的股票樣本、資料截點與交易假設為前提。</w:t>
      </w:r>
    </w:p>
    <w:p>
      <w:pPr>
        <w:pStyle w:val="Heading1"/>
        <w:keepNext/>
        <w:pageBreakBefore/>
        <w:spacing w:before="0" w:after="360" w:line="312" w:lineRule="auto"/>
        <w:jc w:val="center"/>
      </w:pPr>
      <w:r>
        <w:rPr>
          <w:rFonts w:ascii="標楷體" w:hAnsi="標楷體" w:eastAsia="標楷體" w:cs="標楷體"/>
          <w:b/>
          <w:i w:val="0"/>
          <w:sz w:val="36"/>
        </w:rPr>
        <w:t>第二章　文獻回顧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一、</w:t>
      </w:r>
      <w:r>
        <w:rPr>
          <w:rFonts w:ascii="Times New Roman" w:hAnsi="Times New Roman" w:eastAsia="Times New Roman" w:cs="Times New Roman"/>
          <w:b/>
          <w:i w:val="0"/>
          <w:sz w:val="30"/>
        </w:rPr>
        <w:t xml:space="preserve">ESG </w:t>
      </w:r>
      <w:r>
        <w:rPr>
          <w:rFonts w:ascii="標楷體" w:hAnsi="標楷體" w:eastAsia="標楷體" w:cs="標楷體"/>
          <w:b/>
          <w:i w:val="0"/>
          <w:sz w:val="30"/>
        </w:rPr>
        <w:t>指標與企業績效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Friede et al.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2015</w:t>
      </w:r>
      <w:r>
        <w:rPr>
          <w:rFonts w:ascii="標楷體" w:hAnsi="標楷體" w:eastAsia="標楷體" w:cs="標楷體"/>
          <w:b w:val="0"/>
          <w:i w:val="0"/>
          <w:sz w:val="24"/>
        </w:rPr>
        <w:t>）整合超過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2,200 </w:t>
      </w:r>
      <w:r>
        <w:rPr>
          <w:rFonts w:ascii="標楷體" w:hAnsi="標楷體" w:eastAsia="標楷體" w:cs="標楷體"/>
          <w:b w:val="0"/>
          <w:i w:val="0"/>
          <w:sz w:val="24"/>
        </w:rPr>
        <w:t>篇實證研究，發現約九成研究呈現非負向的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與財務績效關係，且正向結果自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1990 </w:t>
      </w:r>
      <w:r>
        <w:rPr>
          <w:rFonts w:ascii="標楷體" w:hAnsi="標楷體" w:eastAsia="標楷體" w:cs="標楷體"/>
          <w:b w:val="0"/>
          <w:i w:val="0"/>
          <w:sz w:val="24"/>
        </w:rPr>
        <w:t>年代中期以來相當穩定。然而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Pedersen et al.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2021</w:t>
      </w:r>
      <w:r>
        <w:rPr>
          <w:rFonts w:ascii="標楷體" w:hAnsi="標楷體" w:eastAsia="標楷體" w:cs="標楷體"/>
          <w:b w:val="0"/>
          <w:i w:val="0"/>
          <w:sz w:val="24"/>
        </w:rPr>
        <w:t>）的理論模型指出，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ESG </w:t>
      </w:r>
      <w:r>
        <w:rPr>
          <w:rFonts w:ascii="標楷體" w:hAnsi="標楷體" w:eastAsia="標楷體" w:cs="標楷體"/>
          <w:b w:val="0"/>
          <w:i w:val="0"/>
          <w:sz w:val="24"/>
        </w:rPr>
        <w:t>對報酬的影響方向取決於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資訊是否已被市場反映，以及偏好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的資金是否推高價格；當大量資金追逐高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資產時，其未來預期報酬反而可能下降，因此「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ESG </w:t>
      </w:r>
      <w:r>
        <w:rPr>
          <w:rFonts w:ascii="標楷體" w:hAnsi="標楷體" w:eastAsia="標楷體" w:cs="標楷體"/>
          <w:b w:val="0"/>
          <w:i w:val="0"/>
          <w:sz w:val="24"/>
        </w:rPr>
        <w:t>越高報酬越好」並非必然。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在台灣市場，鄭雅萍（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2025</w:t>
      </w:r>
      <w:r>
        <w:rPr>
          <w:rFonts w:ascii="標楷體" w:hAnsi="標楷體" w:eastAsia="標楷體" w:cs="標楷體"/>
          <w:b w:val="0"/>
          <w:i w:val="0"/>
          <w:sz w:val="24"/>
        </w:rPr>
        <w:t>）以機器學習分類模型檢視台灣上市櫃公司，發現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表現與長期績效呈正向關聯，且公司治理分數的解釋力最強；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Shen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2024</w:t>
      </w:r>
      <w:r>
        <w:rPr>
          <w:rFonts w:ascii="標楷體" w:hAnsi="標楷體" w:eastAsia="標楷體" w:cs="標楷體"/>
          <w:b w:val="0"/>
          <w:i w:val="0"/>
          <w:sz w:val="24"/>
        </w:rPr>
        <w:t>）以模糊粗糙集方法分析台灣權值股，指出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評等與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ROE </w:t>
      </w:r>
      <w:r>
        <w:rPr>
          <w:rFonts w:ascii="標楷體" w:hAnsi="標楷體" w:eastAsia="標楷體" w:cs="標楷體"/>
          <w:b w:val="0"/>
          <w:i w:val="0"/>
          <w:sz w:val="24"/>
        </w:rPr>
        <w:t>等財務指標共同有助於解釋股票報酬。這些研究提供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資訊在台股具參考價值的證據，但多以年度或橫斷面資料為主，較少與市售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ETF </w:t>
      </w:r>
      <w:r>
        <w:rPr>
          <w:rFonts w:ascii="標楷體" w:hAnsi="標楷體" w:eastAsia="標楷體" w:cs="標楷體"/>
          <w:b w:val="0"/>
          <w:i w:val="0"/>
          <w:sz w:val="24"/>
        </w:rPr>
        <w:t>在相同條件下比較。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二、</w:t>
      </w:r>
      <w:r>
        <w:rPr>
          <w:rFonts w:ascii="Times New Roman" w:hAnsi="Times New Roman" w:eastAsia="Times New Roman" w:cs="Times New Roman"/>
          <w:b/>
          <w:i w:val="0"/>
          <w:sz w:val="30"/>
        </w:rPr>
        <w:t xml:space="preserve">ESG </w:t>
      </w:r>
      <w:r>
        <w:rPr>
          <w:rFonts w:ascii="標楷體" w:hAnsi="標楷體" w:eastAsia="標楷體" w:cs="標楷體"/>
          <w:b/>
          <w:i w:val="0"/>
          <w:sz w:val="30"/>
        </w:rPr>
        <w:t>基金與</w:t>
      </w:r>
      <w:r>
        <w:rPr>
          <w:rFonts w:ascii="Times New Roman" w:hAnsi="Times New Roman" w:eastAsia="Times New Roman" w:cs="Times New Roman"/>
          <w:b/>
          <w:i w:val="0"/>
          <w:sz w:val="30"/>
        </w:rPr>
        <w:t xml:space="preserve"> ETF </w:t>
      </w:r>
      <w:r>
        <w:rPr>
          <w:rFonts w:ascii="標楷體" w:hAnsi="標楷體" w:eastAsia="標楷體" w:cs="標楷體"/>
          <w:b/>
          <w:i w:val="0"/>
          <w:sz w:val="30"/>
        </w:rPr>
        <w:t>的配置限制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Friede et al.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2015</w:t>
      </w:r>
      <w:r>
        <w:rPr>
          <w:rFonts w:ascii="標楷體" w:hAnsi="標楷體" w:eastAsia="標楷體" w:cs="標楷體"/>
          <w:b w:val="0"/>
          <w:i w:val="0"/>
          <w:sz w:val="24"/>
        </w:rPr>
        <w:t>）指出，相較於企業層級研究，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ESG </w:t>
      </w:r>
      <w:r>
        <w:rPr>
          <w:rFonts w:ascii="標楷體" w:hAnsi="標楷體" w:eastAsia="標楷體" w:cs="標楷體"/>
          <w:b w:val="0"/>
          <w:i w:val="0"/>
          <w:sz w:val="24"/>
        </w:rPr>
        <w:t>投資組合研究的結果較常呈現中性，部分原因在於投資組合的系統風險與實施成本侵蝕了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溢酬。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Pedersen et al.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2021</w:t>
      </w:r>
      <w:r>
        <w:rPr>
          <w:rFonts w:ascii="標楷體" w:hAnsi="標楷體" w:eastAsia="標楷體" w:cs="標楷體"/>
          <w:b w:val="0"/>
          <w:i w:val="0"/>
          <w:sz w:val="24"/>
        </w:rPr>
        <w:t>）亦提醒，單純排除低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股票的篩選策略可能降低分散化效果。市售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ETF </w:t>
      </w:r>
      <w:r>
        <w:rPr>
          <w:rFonts w:ascii="標楷體" w:hAnsi="標楷體" w:eastAsia="標楷體" w:cs="標楷體"/>
          <w:b w:val="0"/>
          <w:i w:val="0"/>
          <w:sz w:val="24"/>
        </w:rPr>
        <w:t>多採半年定審、市值或殖利率加權，並有個股權重上限（如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00850 </w:t>
      </w:r>
      <w:r>
        <w:rPr>
          <w:rFonts w:ascii="標楷體" w:hAnsi="標楷體" w:eastAsia="標楷體" w:cs="標楷體"/>
          <w:b w:val="0"/>
          <w:i w:val="0"/>
          <w:sz w:val="24"/>
        </w:rPr>
        <w:t>單一個股上限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30%</w:t>
      </w:r>
      <w:r>
        <w:rPr>
          <w:rFonts w:ascii="標楷體" w:hAnsi="標楷體" w:eastAsia="標楷體" w:cs="標楷體"/>
          <w:b w:val="0"/>
          <w:i w:val="0"/>
          <w:sz w:val="24"/>
        </w:rPr>
        <w:t>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00878 </w:t>
      </w:r>
      <w:r>
        <w:rPr>
          <w:rFonts w:ascii="標楷體" w:hAnsi="標楷體" w:eastAsia="標楷體" w:cs="標楷體"/>
          <w:b w:val="0"/>
          <w:i w:val="0"/>
          <w:sz w:val="24"/>
        </w:rPr>
        <w:t>上限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10%</w:t>
      </w:r>
      <w:r>
        <w:rPr>
          <w:rFonts w:ascii="標楷體" w:hAnsi="標楷體" w:eastAsia="標楷體" w:cs="標楷體"/>
          <w:b w:val="0"/>
          <w:i w:val="0"/>
          <w:sz w:val="24"/>
        </w:rPr>
        <w:t>），其建構方式與學術研究中常見的等權投組不同，比較時需特別說明差異。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三、機器學習於資產定價與選股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Gu et al.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2020</w:t>
      </w:r>
      <w:r>
        <w:rPr>
          <w:rFonts w:ascii="標楷體" w:hAnsi="標楷體" w:eastAsia="標楷體" w:cs="標楷體"/>
          <w:b w:val="0"/>
          <w:i w:val="0"/>
          <w:sz w:val="24"/>
        </w:rPr>
        <w:t>）系統性比較多種機器學習方法在美股報酬預測上的表現，發現樹狀模型與神經網路能捕捉非線性與交互作用，預測力明顯優於線性模型，且主要的有效訊號為動能、流動性與波動度等價格類特徵。隨機森林（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Breiman, 2001</w:t>
      </w:r>
      <w:r>
        <w:rPr>
          <w:rFonts w:ascii="標楷體" w:hAnsi="標楷體" w:eastAsia="標楷體" w:cs="標楷體"/>
          <w:b w:val="0"/>
          <w:i w:val="0"/>
          <w:sz w:val="24"/>
        </w:rPr>
        <w:t>）以多棵決策樹平均降低過度擬合，梯度提升樹（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Chen &amp; Guestrin, 2016</w:t>
      </w:r>
      <w:r>
        <w:rPr>
          <w:rFonts w:ascii="標楷體" w:hAnsi="標楷體" w:eastAsia="標楷體" w:cs="標楷體"/>
          <w:b w:val="0"/>
          <w:i w:val="0"/>
          <w:sz w:val="24"/>
        </w:rPr>
        <w:t>）則以逐步修正殘差提高預測精度。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Carlei et al.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2025</w:t>
      </w:r>
      <w:r>
        <w:rPr>
          <w:rFonts w:ascii="標楷體" w:hAnsi="標楷體" w:eastAsia="標楷體" w:cs="標楷體"/>
          <w:b w:val="0"/>
          <w:i w:val="0"/>
          <w:sz w:val="24"/>
        </w:rPr>
        <w:t>）以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CatBoost </w:t>
      </w:r>
      <w:r>
        <w:rPr>
          <w:rFonts w:ascii="標楷體" w:hAnsi="標楷體" w:eastAsia="標楷體" w:cs="標楷體"/>
          <w:b w:val="0"/>
          <w:i w:val="0"/>
          <w:sz w:val="24"/>
        </w:rPr>
        <w:t>排序模型結合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風險分數與股價資料建構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S&amp;P 500 </w:t>
      </w:r>
      <w:r>
        <w:rPr>
          <w:rFonts w:ascii="標楷體" w:hAnsi="標楷體" w:eastAsia="標楷體" w:cs="標楷體"/>
          <w:b w:val="0"/>
          <w:i w:val="0"/>
          <w:sz w:val="24"/>
        </w:rPr>
        <w:t>動態投組，回測中產生顯著的風險調整後超額報酬。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四、資料探勘偏誤、存活者偏誤與交易成本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Sullivan et al.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1999</w:t>
      </w:r>
      <w:r>
        <w:rPr>
          <w:rFonts w:ascii="標楷體" w:hAnsi="標楷體" w:eastAsia="標楷體" w:cs="標楷體"/>
          <w:b w:val="0"/>
          <w:i w:val="0"/>
          <w:sz w:val="24"/>
        </w:rPr>
        <w:t>）指出，在同一份歷史資料上反覆嘗試交易規則，最佳規則的績效可能只是運氣，需以考慮多重比較的方法檢驗；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Harvey et al.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2016</w:t>
      </w:r>
      <w:r>
        <w:rPr>
          <w:rFonts w:ascii="標楷體" w:hAnsi="標楷體" w:eastAsia="標楷體" w:cs="標楷體"/>
          <w:b w:val="0"/>
          <w:i w:val="0"/>
          <w:sz w:val="24"/>
        </w:rPr>
        <w:t>）進一步主張因子研究應提高顯著性門檻。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Brown et al.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1992</w:t>
      </w:r>
      <w:r>
        <w:rPr>
          <w:rFonts w:ascii="標楷體" w:hAnsi="標楷體" w:eastAsia="標楷體" w:cs="標楷體"/>
          <w:b w:val="0"/>
          <w:i w:val="0"/>
          <w:sz w:val="24"/>
        </w:rPr>
        <w:t>）說明只使用存活樣本會高估歷史績效。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Novy-Marx &amp; Velikov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2016</w:t>
      </w:r>
      <w:r>
        <w:rPr>
          <w:rFonts w:ascii="標楷體" w:hAnsi="標楷體" w:eastAsia="標楷體" w:cs="標楷體"/>
          <w:b w:val="0"/>
          <w:i w:val="0"/>
          <w:sz w:val="24"/>
        </w:rPr>
        <w:t>）發現許多高週轉的異常報酬在扣除交易成本後大幅縮小甚至消失。這些文獻提醒本研究：必須區分參數選擇與績效評估的期間、使用逐期可得的股票池、報告多重比較調整後的檢定結果，並對交易成本做敏感度分析。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五、</w:t>
      </w:r>
      <w:r>
        <w:rPr>
          <w:rFonts w:ascii="Times New Roman" w:hAnsi="Times New Roman" w:eastAsia="Times New Roman" w:cs="Times New Roman"/>
          <w:b/>
          <w:i w:val="0"/>
          <w:sz w:val="30"/>
        </w:rPr>
        <w:t xml:space="preserve">AI </w:t>
      </w:r>
      <w:r>
        <w:rPr>
          <w:rFonts w:ascii="標楷體" w:hAnsi="標楷體" w:eastAsia="標楷體" w:cs="標楷體"/>
          <w:b/>
          <w:i w:val="0"/>
          <w:sz w:val="30"/>
        </w:rPr>
        <w:t>與</w:t>
      </w:r>
      <w:r>
        <w:rPr>
          <w:rFonts w:ascii="Times New Roman" w:hAnsi="Times New Roman" w:eastAsia="Times New Roman" w:cs="Times New Roman"/>
          <w:b/>
          <w:i w:val="0"/>
          <w:sz w:val="30"/>
        </w:rPr>
        <w:t xml:space="preserve"> ESG </w:t>
      </w:r>
      <w:r>
        <w:rPr>
          <w:rFonts w:ascii="標楷體" w:hAnsi="標楷體" w:eastAsia="標楷體" w:cs="標楷體"/>
          <w:b/>
          <w:i w:val="0"/>
          <w:sz w:val="30"/>
        </w:rPr>
        <w:t>的整合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Pedersen et al.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2021</w:t>
      </w:r>
      <w:r>
        <w:rPr>
          <w:rFonts w:ascii="標楷體" w:hAnsi="標楷體" w:eastAsia="標楷體" w:cs="標楷體"/>
          <w:b w:val="0"/>
          <w:i w:val="0"/>
          <w:sz w:val="24"/>
        </w:rPr>
        <w:t>）提出「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ESG </w:t>
      </w:r>
      <w:r>
        <w:rPr>
          <w:rFonts w:ascii="標楷體" w:hAnsi="標楷體" w:eastAsia="標楷體" w:cs="標楷體"/>
          <w:b w:val="0"/>
          <w:i w:val="0"/>
          <w:sz w:val="24"/>
        </w:rPr>
        <w:t>效率前緣」，說明投資人需在風險、報酬與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之間權衡。鄭雅萍（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2025</w:t>
      </w:r>
      <w:r>
        <w:rPr>
          <w:rFonts w:ascii="標楷體" w:hAnsi="標楷體" w:eastAsia="標楷體" w:cs="標楷體"/>
          <w:b w:val="0"/>
          <w:i w:val="0"/>
          <w:sz w:val="24"/>
        </w:rPr>
        <w:t>）以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KNN </w:t>
      </w:r>
      <w:r>
        <w:rPr>
          <w:rFonts w:ascii="標楷體" w:hAnsi="標楷體" w:eastAsia="標楷體" w:cs="標楷體"/>
          <w:b w:val="0"/>
          <w:i w:val="0"/>
          <w:sz w:val="24"/>
        </w:rPr>
        <w:t>與分類迴歸樹選股，結果優於以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為目標的傳統基金；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Carlei et al.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2025</w:t>
      </w:r>
      <w:r>
        <w:rPr>
          <w:rFonts w:ascii="標楷體" w:hAnsi="標楷體" w:eastAsia="標楷體" w:cs="標楷體"/>
          <w:b w:val="0"/>
          <w:i w:val="0"/>
          <w:sz w:val="24"/>
        </w:rPr>
        <w:t>）則顯示機器學習排序可依投資人偏好調整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門檻。然而，若主張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AI </w:t>
      </w:r>
      <w:r>
        <w:rPr>
          <w:rFonts w:ascii="標楷體" w:hAnsi="標楷體" w:eastAsia="標楷體" w:cs="標楷體"/>
          <w:b w:val="0"/>
          <w:i w:val="0"/>
          <w:sz w:val="24"/>
        </w:rPr>
        <w:t>與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結合具有永續效果，除了比較報酬外，也應直接衡量投組的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品質，否則可能出現報酬提升、但持股永續程度下降的情形。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六、文獻缺口與本研究定位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綜合上述，現有研究較少同時做到：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(1) </w:t>
      </w:r>
      <w:r>
        <w:rPr>
          <w:rFonts w:ascii="標楷體" w:hAnsi="標楷體" w:eastAsia="標楷體" w:cs="標楷體"/>
          <w:b w:val="0"/>
          <w:i w:val="0"/>
          <w:sz w:val="24"/>
        </w:rPr>
        <w:t>在台股以逐期可得資料重建股票池並納入下市股票；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(2) </w:t>
      </w:r>
      <w:r>
        <w:rPr>
          <w:rFonts w:ascii="標楷體" w:hAnsi="標楷體" w:eastAsia="標楷體" w:cs="標楷體"/>
          <w:b w:val="0"/>
          <w:i w:val="0"/>
          <w:sz w:val="24"/>
        </w:rPr>
        <w:t>與實際交易的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ETF </w:t>
      </w:r>
      <w:r>
        <w:rPr>
          <w:rFonts w:ascii="標楷體" w:hAnsi="標楷體" w:eastAsia="標楷體" w:cs="標楷體"/>
          <w:b w:val="0"/>
          <w:i w:val="0"/>
          <w:sz w:val="24"/>
        </w:rPr>
        <w:t>在相同期間、扣除成本後比較；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(3) </w:t>
      </w:r>
      <w:r>
        <w:rPr>
          <w:rFonts w:ascii="標楷體" w:hAnsi="標楷體" w:eastAsia="標楷體" w:cs="標楷體"/>
          <w:b w:val="0"/>
          <w:i w:val="0"/>
          <w:sz w:val="24"/>
        </w:rPr>
        <w:t>以考慮自我相關與多重比較的方法檢定超額報酬；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(4) </w:t>
      </w:r>
      <w:r>
        <w:rPr>
          <w:rFonts w:ascii="標楷體" w:hAnsi="標楷體" w:eastAsia="標楷體" w:cs="標楷體"/>
          <w:b w:val="0"/>
          <w:i w:val="0"/>
          <w:sz w:val="24"/>
        </w:rPr>
        <w:t>比較投組本身的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品質。本研究以可重現的研究流程補足上述面向，並明確區分探索性結果與保留測試。</w:t>
      </w:r>
    </w:p>
    <w:p>
      <w:pPr>
        <w:pStyle w:val="Heading1"/>
        <w:keepNext/>
        <w:pageBreakBefore/>
        <w:spacing w:before="0" w:after="360" w:line="312" w:lineRule="auto"/>
        <w:jc w:val="center"/>
      </w:pPr>
      <w:r>
        <w:rPr>
          <w:rFonts w:ascii="標楷體" w:hAnsi="標楷體" w:eastAsia="標楷體" w:cs="標楷體"/>
          <w:b/>
          <w:i w:val="0"/>
          <w:sz w:val="36"/>
        </w:rPr>
        <w:t>第三章　研究方法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一、研究版本與重現方式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論文所有結果來自同一個研究版本：參數集中存放於獨立的研究設定檔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research_config.json</w:t>
      </w:r>
      <w:r>
        <w:rPr>
          <w:rFonts w:ascii="標楷體" w:hAnsi="標楷體" w:eastAsia="標楷體" w:cs="標楷體"/>
          <w:b w:val="0"/>
          <w:i w:val="0"/>
          <w:sz w:val="24"/>
        </w:rPr>
        <w:t>，執行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scripts/research/run_research.py </w:t>
      </w:r>
      <w:r>
        <w:rPr>
          <w:rFonts w:ascii="標楷體" w:hAnsi="標楷體" w:eastAsia="標楷體" w:cs="標楷體"/>
          <w:b w:val="0"/>
          <w:i w:val="0"/>
          <w:sz w:val="24"/>
        </w:rPr>
        <w:t>即依此設定重新建立股票池、訓練模型、回測並輸出表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3-3</w:t>
      </w:r>
      <w:r>
        <w:rPr>
          <w:rFonts w:ascii="標楷體" w:hAnsi="標楷體" w:eastAsia="標楷體" w:cs="標楷體"/>
          <w:b w:val="0"/>
          <w:i w:val="0"/>
          <w:sz w:val="24"/>
        </w:rPr>
        <w:t>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3-7</w:t>
      </w:r>
      <w:r>
        <w:rPr>
          <w:rFonts w:ascii="標楷體" w:hAnsi="標楷體" w:eastAsia="標楷體" w:cs="標楷體"/>
          <w:b w:val="0"/>
          <w:i w:val="0"/>
          <w:sz w:val="24"/>
        </w:rPr>
        <w:t>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3-8 </w:t>
      </w:r>
      <w:r>
        <w:rPr>
          <w:rFonts w:ascii="標楷體" w:hAnsi="標楷體" w:eastAsia="標楷體" w:cs="標楷體"/>
          <w:b w:val="0"/>
          <w:i w:val="0"/>
          <w:sz w:val="24"/>
        </w:rPr>
        <w:t>與表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4-1 </w:t>
      </w:r>
      <w:r>
        <w:rPr>
          <w:rFonts w:ascii="標楷體" w:hAnsi="標楷體" w:eastAsia="標楷體" w:cs="標楷體"/>
          <w:b w:val="0"/>
          <w:i w:val="0"/>
          <w:sz w:val="24"/>
        </w:rPr>
        <w:t>至表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4-10</w:t>
      </w:r>
      <w:r>
        <w:rPr>
          <w:rFonts w:ascii="標楷體" w:hAnsi="標楷體" w:eastAsia="標楷體" w:cs="標楷體"/>
          <w:b w:val="0"/>
          <w:i w:val="0"/>
          <w:sz w:val="24"/>
        </w:rPr>
        <w:t>；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scripts/research/build_report.py </w:t>
      </w:r>
      <w:r>
        <w:rPr>
          <w:rFonts w:ascii="標楷體" w:hAnsi="標楷體" w:eastAsia="標楷體" w:cs="標楷體"/>
          <w:b w:val="0"/>
          <w:i w:val="0"/>
          <w:sz w:val="24"/>
        </w:rPr>
        <w:t>再由這些表格檔產生本文中的數字。每次執行都會產生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manifest.json</w:t>
      </w:r>
      <w:r>
        <w:rPr>
          <w:rFonts w:ascii="標楷體" w:hAnsi="標楷體" w:eastAsia="標楷體" w:cs="標楷體"/>
          <w:b w:val="0"/>
          <w:i w:val="0"/>
          <w:sz w:val="24"/>
        </w:rPr>
        <w:t>，記錄設定、資料檔與程式檔的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SHA-256 </w:t>
      </w:r>
      <w:r>
        <w:rPr>
          <w:rFonts w:ascii="標楷體" w:hAnsi="標楷體" w:eastAsia="標楷體" w:cs="標楷體"/>
          <w:b w:val="0"/>
          <w:i w:val="0"/>
          <w:sz w:val="24"/>
        </w:rPr>
        <w:t>雜湊值、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Python </w:t>
      </w:r>
      <w:r>
        <w:rPr>
          <w:rFonts w:ascii="標楷體" w:hAnsi="標楷體" w:eastAsia="標楷體" w:cs="標楷體"/>
          <w:b w:val="0"/>
          <w:i w:val="0"/>
          <w:sz w:val="24"/>
        </w:rPr>
        <w:t>與套件版本及執行時間（附錄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</w:t>
      </w:r>
      <w:r>
        <w:rPr>
          <w:rFonts w:ascii="標楷體" w:hAnsi="標楷體" w:eastAsia="標楷體" w:cs="標楷體"/>
          <w:b w:val="0"/>
          <w:i w:val="0"/>
          <w:sz w:val="24"/>
        </w:rPr>
        <w:t>）。</w:t>
      </w:r>
    </w:p>
    <w:p>
      <w:pPr>
        <w:keepNext/>
        <w:spacing w:before="200" w:after="80" w:line="312" w:lineRule="auto"/>
        <w:jc w:val="center"/>
      </w:pPr>
      <w:r>
        <w:rPr>
          <w:rFonts w:ascii="標楷體" w:hAnsi="標楷體" w:eastAsia="標楷體" w:cs="標楷體"/>
          <w:b/>
          <w:i w:val="0"/>
          <w:sz w:val="24"/>
        </w:rPr>
        <w:t>表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3-1</w:t>
      </w:r>
      <w:r>
        <w:rPr>
          <w:rFonts w:ascii="標楷體" w:hAnsi="標楷體" w:eastAsia="標楷體" w:cs="標楷體"/>
          <w:b/>
          <w:i w:val="0"/>
          <w:sz w:val="24"/>
        </w:rPr>
        <w:t xml:space="preserve">　研究正式版本設定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66"/>
        <w:gridCol w:w="6859"/>
      </w:tblGrid>
      <w:tr>
        <w:trPr>
          <w:cantSplit/>
          <w:tblHeader/>
        </w:trPr>
        <w:tc>
          <w:tcPr>
            <w:tcW w:type="dxa" w:w="2166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21"/>
              </w:rPr>
              <w:t>項目</w:t>
            </w:r>
          </w:p>
        </w:tc>
        <w:tc>
          <w:tcPr>
            <w:tcW w:type="dxa" w:w="6859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21"/>
              </w:rPr>
              <w:t>設定</w:t>
            </w:r>
          </w:p>
        </w:tc>
      </w:tr>
      <w:tr>
        <w:trPr>
          <w:cantSplit/>
        </w:trPr>
        <w:tc>
          <w:tcPr>
            <w:tcW w:type="dxa" w:w="216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研究版本代號</w:t>
            </w:r>
          </w:p>
        </w:tc>
        <w:tc>
          <w:tcPr>
            <w:tcW w:type="dxa" w:w="6859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thesis_2026-10-20</w:t>
            </w:r>
          </w:p>
        </w:tc>
      </w:tr>
      <w:tr>
        <w:trPr>
          <w:cantSplit/>
        </w:trPr>
        <w:tc>
          <w:tcPr>
            <w:tcW w:type="dxa" w:w="216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資料截點</w:t>
            </w:r>
          </w:p>
        </w:tc>
        <w:tc>
          <w:tcPr>
            <w:tcW w:type="dxa" w:w="685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2026-10-20</w:t>
            </w:r>
          </w:p>
        </w:tc>
      </w:tr>
      <w:tr>
        <w:trPr>
          <w:cantSplit/>
        </w:trPr>
        <w:tc>
          <w:tcPr>
            <w:tcW w:type="dxa" w:w="216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設定鎖定日</w:t>
            </w:r>
          </w:p>
        </w:tc>
        <w:tc>
          <w:tcPr>
            <w:tcW w:type="dxa" w:w="6859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2026-10-25</w:t>
            </w:r>
          </w:p>
        </w:tc>
      </w:tr>
      <w:tr>
        <w:trPr>
          <w:cantSplit/>
        </w:trPr>
        <w:tc>
          <w:tcPr>
            <w:tcW w:type="dxa" w:w="216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訓練資料起點</w:t>
            </w:r>
          </w:p>
        </w:tc>
        <w:tc>
          <w:tcPr>
            <w:tcW w:type="dxa" w:w="685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2017-08-01</w:t>
            </w:r>
          </w:p>
        </w:tc>
      </w:tr>
      <w:tr>
        <w:trPr>
          <w:cantSplit/>
        </w:trPr>
        <w:tc>
          <w:tcPr>
            <w:tcW w:type="dxa" w:w="216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正式評估期間</w:t>
            </w:r>
          </w:p>
        </w:tc>
        <w:tc>
          <w:tcPr>
            <w:tcW w:type="dxa" w:w="6859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2022-11-01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～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2026-10-20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（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96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次調倉）</w:t>
            </w:r>
          </w:p>
        </w:tc>
      </w:tr>
      <w:tr>
        <w:trPr>
          <w:cantSplit/>
        </w:trPr>
        <w:tc>
          <w:tcPr>
            <w:tcW w:type="dxa" w:w="216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股票池</w:t>
            </w:r>
          </w:p>
        </w:tc>
        <w:tc>
          <w:tcPr>
            <w:tcW w:type="dxa" w:w="685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每個交易日以近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20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個交易日平均成交金額排名前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300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檔普通股（交易天數不足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15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天不納入）</w:t>
            </w:r>
          </w:p>
        </w:tc>
      </w:tr>
      <w:tr>
        <w:trPr>
          <w:cantSplit/>
        </w:trPr>
        <w:tc>
          <w:tcPr>
            <w:tcW w:type="dxa" w:w="216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模型</w:t>
            </w:r>
          </w:p>
        </w:tc>
        <w:tc>
          <w:tcPr>
            <w:tcW w:type="dxa" w:w="6859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Random Forest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100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棵樹，隨機種子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42</w:t>
            </w:r>
          </w:p>
        </w:tc>
      </w:tr>
      <w:tr>
        <w:trPr>
          <w:cantSplit/>
        </w:trPr>
        <w:tc>
          <w:tcPr>
            <w:tcW w:type="dxa" w:w="216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重新訓練</w:t>
            </w:r>
          </w:p>
        </w:tc>
        <w:tc>
          <w:tcPr>
            <w:tcW w:type="dxa" w:w="685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3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次調倉；訓練樣本每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5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個交易日取一天</w:t>
            </w:r>
          </w:p>
        </w:tc>
      </w:tr>
      <w:tr>
        <w:trPr>
          <w:cantSplit/>
        </w:trPr>
        <w:tc>
          <w:tcPr>
            <w:tcW w:type="dxa" w:w="216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持股與權重</w:t>
            </w:r>
          </w:p>
        </w:tc>
        <w:tc>
          <w:tcPr>
            <w:tcW w:type="dxa" w:w="6859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Top 20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，等權；每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10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個交易日調倉</w:t>
            </w:r>
          </w:p>
        </w:tc>
      </w:tr>
      <w:tr>
        <w:trPr>
          <w:cantSplit/>
        </w:trPr>
        <w:tc>
          <w:tcPr>
            <w:tcW w:type="dxa" w:w="216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AI+ESG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權重</w:t>
            </w:r>
          </w:p>
        </w:tc>
        <w:tc>
          <w:tcPr>
            <w:tcW w:type="dxa" w:w="685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AI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排名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70%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TESG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排名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30%</w:t>
            </w:r>
          </w:p>
        </w:tc>
      </w:tr>
      <w:tr>
        <w:trPr>
          <w:cantSplit/>
        </w:trPr>
        <w:tc>
          <w:tcPr>
            <w:tcW w:type="dxa" w:w="216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交易成本</w:t>
            </w:r>
          </w:p>
        </w:tc>
        <w:tc>
          <w:tcPr>
            <w:tcW w:type="dxa" w:w="6859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手續費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0.1425%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（買賣各一次）、證交稅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0.3%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（賣出）；基準情境滑價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0</w:t>
            </w:r>
          </w:p>
        </w:tc>
      </w:tr>
      <w:tr>
        <w:trPr>
          <w:cantSplit/>
        </w:trPr>
        <w:tc>
          <w:tcPr>
            <w:tcW w:type="dxa" w:w="216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風險控制／產業限制</w:t>
            </w:r>
          </w:p>
        </w:tc>
        <w:tc>
          <w:tcPr>
            <w:tcW w:type="dxa" w:w="685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不使用（不設停損、不限制同產業檔數、不排除產業）</w:t>
            </w:r>
          </w:p>
        </w:tc>
      </w:tr>
      <w:tr>
        <w:trPr>
          <w:cantSplit/>
        </w:trPr>
        <w:tc>
          <w:tcPr>
            <w:tcW w:type="dxa" w:w="216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執行環境</w:t>
            </w:r>
          </w:p>
        </w:tc>
        <w:tc>
          <w:tcPr>
            <w:tcW w:type="dxa" w:w="6859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Python 3.13.15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；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pandas 3.0.5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scikit-learn 1.9.1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statsmodels 0.15.0</w:t>
            </w:r>
          </w:p>
        </w:tc>
      </w:tr>
      <w:tr>
        <w:trPr>
          <w:cantSplit/>
        </w:trPr>
        <w:tc>
          <w:tcPr>
            <w:tcW w:type="dxa" w:w="216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程式版本</w:t>
            </w:r>
          </w:p>
        </w:tc>
        <w:tc>
          <w:tcPr>
            <w:tcW w:type="dxa" w:w="685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見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manifest.json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程式檔雜湊值</w:t>
            </w:r>
          </w:p>
        </w:tc>
      </w:tr>
    </w:tbl>
    <w:p>
      <w:pPr>
        <w:spacing w:after="0"/>
      </w:pPr>
    </w:p>
    <w:p>
      <w:pPr>
        <w:keepNext w:val="0"/>
        <w:spacing w:before="60" w:after="200" w:line="300" w:lineRule="auto"/>
        <w:jc w:val="both"/>
      </w:pPr>
      <w:r>
        <w:rPr>
          <w:rFonts w:ascii="標楷體" w:hAnsi="標楷體" w:eastAsia="標楷體" w:cs="標楷體"/>
          <w:b w:val="0"/>
          <w:i w:val="0"/>
          <w:sz w:val="20"/>
        </w:rPr>
        <w:t>註：平台網站的預設值與本表一致（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README </w:t>
      </w:r>
      <w:r>
        <w:rPr>
          <w:rFonts w:ascii="標楷體" w:hAnsi="標楷體" w:eastAsia="標楷體" w:cs="標楷體"/>
          <w:b w:val="0"/>
          <w:i w:val="0"/>
          <w:sz w:val="20"/>
        </w:rPr>
        <w:t>與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src/config.py </w:t>
      </w:r>
      <w:r>
        <w:rPr>
          <w:rFonts w:ascii="標楷體" w:hAnsi="標楷體" w:eastAsia="標楷體" w:cs="標楷體"/>
          <w:b w:val="0"/>
          <w:i w:val="0"/>
          <w:sz w:val="20"/>
        </w:rPr>
        <w:t>已同步為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Top 20</w:t>
      </w:r>
      <w:r>
        <w:rPr>
          <w:rFonts w:ascii="標楷體" w:hAnsi="標楷體" w:eastAsia="標楷體" w:cs="標楷體"/>
          <w:b w:val="0"/>
          <w:i w:val="0"/>
          <w:sz w:val="20"/>
        </w:rPr>
        <w:t>）；網站每日更新的數字會隨新資料改變，論文以本表版本為準。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二、資料來源與可得日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所有資料一律依「可以被使用的日期」對齊：某一個調倉日只會用到當天收盤以前已經公布的資料。表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3-2 </w:t>
      </w:r>
      <w:r>
        <w:rPr>
          <w:rFonts w:ascii="標楷體" w:hAnsi="標楷體" w:eastAsia="標楷體" w:cs="標楷體"/>
          <w:b w:val="0"/>
          <w:i w:val="0"/>
          <w:sz w:val="24"/>
        </w:rPr>
        <w:t>列出各資料的來源、頻率與可得日規則；完整欄位說明見附錄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B </w:t>
      </w:r>
      <w:r>
        <w:rPr>
          <w:rFonts w:ascii="標楷體" w:hAnsi="標楷體" w:eastAsia="標楷體" w:cs="標楷體"/>
          <w:b w:val="0"/>
          <w:i w:val="0"/>
          <w:sz w:val="24"/>
        </w:rPr>
        <w:t>資料字典。</w:t>
      </w:r>
    </w:p>
    <w:p>
      <w:pPr>
        <w:keepNext/>
        <w:spacing w:before="200" w:after="80" w:line="312" w:lineRule="auto"/>
        <w:jc w:val="center"/>
      </w:pPr>
      <w:r>
        <w:rPr>
          <w:rFonts w:ascii="標楷體" w:hAnsi="標楷體" w:eastAsia="標楷體" w:cs="標楷體"/>
          <w:b/>
          <w:i w:val="0"/>
          <w:sz w:val="24"/>
        </w:rPr>
        <w:t>表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3-2</w:t>
      </w:r>
      <w:r>
        <w:rPr>
          <w:rFonts w:ascii="標楷體" w:hAnsi="標楷體" w:eastAsia="標楷體" w:cs="標楷體"/>
          <w:b/>
          <w:i w:val="0"/>
          <w:sz w:val="24"/>
        </w:rPr>
        <w:t xml:space="preserve">　資料來源與可得日規則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2346"/>
        <w:gridCol w:w="2166"/>
        <w:gridCol w:w="2707"/>
        <w:gridCol w:w="1805"/>
      </w:tblGrid>
      <w:tr>
        <w:trPr>
          <w:cantSplit/>
          <w:tblHeader/>
        </w:trPr>
        <w:tc>
          <w:tcPr>
            <w:tcW w:type="dxa" w:w="2347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21"/>
              </w:rPr>
              <w:t>資料</w:t>
            </w:r>
          </w:p>
        </w:tc>
        <w:tc>
          <w:tcPr>
            <w:tcW w:type="dxa" w:w="2166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21"/>
              </w:rPr>
              <w:t>來源</w:t>
            </w:r>
          </w:p>
        </w:tc>
        <w:tc>
          <w:tcPr>
            <w:tcW w:type="dxa" w:w="2708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21"/>
              </w:rPr>
              <w:t>價格型態／頻率</w:t>
            </w:r>
          </w:p>
        </w:tc>
        <w:tc>
          <w:tcPr>
            <w:tcW w:type="dxa" w:w="1805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21"/>
              </w:rPr>
              <w:t>可得日規則</w:t>
            </w:r>
          </w:p>
        </w:tc>
      </w:tr>
      <w:tr>
        <w:trPr>
          <w:cantSplit/>
        </w:trPr>
        <w:tc>
          <w:tcPr>
            <w:tcW w:type="dxa" w:w="234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上市個股日資料</w:t>
            </w:r>
          </w:p>
        </w:tc>
        <w:tc>
          <w:tcPr>
            <w:tcW w:type="dxa" w:w="216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Yahoo Finance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（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1085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檔現存股票）；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FinMind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（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55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檔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Yahoo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未收錄、多為已下市，資料源為證交所）</w:t>
            </w:r>
          </w:p>
        </w:tc>
        <w:tc>
          <w:tcPr>
            <w:tcW w:type="dxa" w:w="2708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每日；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Yahoo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用還原收盤價計算含權息報酬，成交金額以收盤價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 xml:space="preserve">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×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 xml:space="preserve">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成交股數近似；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FinMind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以漲跌價差回推參考價</w:t>
            </w:r>
          </w:p>
        </w:tc>
        <w:tc>
          <w:tcPr>
            <w:tcW w:type="dxa" w:w="1805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當日收盤</w:t>
            </w:r>
          </w:p>
        </w:tc>
      </w:tr>
      <w:tr>
        <w:trPr>
          <w:cantSplit/>
        </w:trPr>
        <w:tc>
          <w:tcPr>
            <w:tcW w:type="dxa" w:w="2347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上櫃個股日資料（含已下市）</w:t>
            </w:r>
          </w:p>
        </w:tc>
        <w:tc>
          <w:tcPr>
            <w:tcW w:type="dxa" w:w="216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櫃買中心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dailyQuotes</w:t>
            </w:r>
          </w:p>
        </w:tc>
        <w:tc>
          <w:tcPr>
            <w:tcW w:type="dxa" w:w="2708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每日全市場；以次日參考價計算含權息報酬；現存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300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檔改用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Yahoo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還原收盤價報酬</w:t>
            </w:r>
          </w:p>
        </w:tc>
        <w:tc>
          <w:tcPr>
            <w:tcW w:type="dxa" w:w="1805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當日收盤</w:t>
            </w:r>
          </w:p>
        </w:tc>
      </w:tr>
      <w:tr>
        <w:trPr>
          <w:cantSplit/>
        </w:trPr>
        <w:tc>
          <w:tcPr>
            <w:tcW w:type="dxa" w:w="234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比較基準（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0050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00850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00878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）</w:t>
            </w:r>
          </w:p>
        </w:tc>
        <w:tc>
          <w:tcPr>
            <w:tcW w:type="dxa" w:w="216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Yahoo Finance</w:t>
            </w:r>
          </w:p>
        </w:tc>
        <w:tc>
          <w:tcPr>
            <w:tcW w:type="dxa" w:w="2708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每日還原收盤價（含配息再投入；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ETF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經理費、保管費已反映於淨值）</w:t>
            </w:r>
          </w:p>
        </w:tc>
        <w:tc>
          <w:tcPr>
            <w:tcW w:type="dxa" w:w="1805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當日收盤</w:t>
            </w:r>
          </w:p>
        </w:tc>
      </w:tr>
      <w:tr>
        <w:trPr>
          <w:cantSplit/>
        </w:trPr>
        <w:tc>
          <w:tcPr>
            <w:tcW w:type="dxa" w:w="2347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加權指數（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^TWII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）</w:t>
            </w:r>
          </w:p>
        </w:tc>
        <w:tc>
          <w:tcPr>
            <w:tcW w:type="dxa" w:w="216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Yahoo Finance</w:t>
            </w:r>
          </w:p>
        </w:tc>
        <w:tc>
          <w:tcPr>
            <w:tcW w:type="dxa" w:w="2708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每日價格指數（不含股利）</w:t>
            </w:r>
          </w:p>
        </w:tc>
        <w:tc>
          <w:tcPr>
            <w:tcW w:type="dxa" w:w="1805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當日收盤</w:t>
            </w:r>
          </w:p>
        </w:tc>
      </w:tr>
      <w:tr>
        <w:trPr>
          <w:cantSplit/>
        </w:trPr>
        <w:tc>
          <w:tcPr>
            <w:tcW w:type="dxa" w:w="234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本益比、股價淨值比、殖利率</w:t>
            </w:r>
          </w:p>
        </w:tc>
        <w:tc>
          <w:tcPr>
            <w:tcW w:type="dxa" w:w="216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證交所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BWIBBU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（僅上市）</w:t>
            </w:r>
          </w:p>
        </w:tc>
        <w:tc>
          <w:tcPr>
            <w:tcW w:type="dxa" w:w="2708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每月底</w:t>
            </w:r>
          </w:p>
        </w:tc>
        <w:tc>
          <w:tcPr>
            <w:tcW w:type="dxa" w:w="1805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資料日期當日（上櫃股以訓練集中位數補值）</w:t>
            </w:r>
          </w:p>
        </w:tc>
      </w:tr>
      <w:tr>
        <w:trPr>
          <w:cantSplit/>
        </w:trPr>
        <w:tc>
          <w:tcPr>
            <w:tcW w:type="dxa" w:w="2347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ESG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評等（總分、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E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S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G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、事件雷達）</w:t>
            </w:r>
          </w:p>
        </w:tc>
        <w:tc>
          <w:tcPr>
            <w:tcW w:type="dxa" w:w="216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TEJ TESG</w:t>
            </w:r>
          </w:p>
        </w:tc>
        <w:tc>
          <w:tcPr>
            <w:tcW w:type="dxa" w:w="2708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半年一期，共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8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期</w:t>
            </w:r>
          </w:p>
        </w:tc>
        <w:tc>
          <w:tcPr>
            <w:tcW w:type="dxa" w:w="1805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TESG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評等公告日（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8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期皆有公告日，最早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2022-11-01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）</w:t>
            </w:r>
          </w:p>
        </w:tc>
      </w:tr>
      <w:tr>
        <w:trPr>
          <w:cantSplit/>
        </w:trPr>
        <w:tc>
          <w:tcPr>
            <w:tcW w:type="dxa" w:w="234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產業別</w:t>
            </w:r>
          </w:p>
        </w:tc>
        <w:tc>
          <w:tcPr>
            <w:tcW w:type="dxa" w:w="216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證交所、櫃買中心公司清單；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TEJ</w:t>
            </w:r>
          </w:p>
        </w:tc>
        <w:tc>
          <w:tcPr>
            <w:tcW w:type="dxa" w:w="2708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靜態</w:t>
            </w:r>
          </w:p>
        </w:tc>
        <w:tc>
          <w:tcPr>
            <w:tcW w:type="dxa" w:w="1805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僅用於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ESG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品質分析，不作為選股依據</w:t>
            </w:r>
          </w:p>
        </w:tc>
      </w:tr>
    </w:tbl>
    <w:p>
      <w:pPr>
        <w:spacing w:after="0"/>
      </w:pPr>
    </w:p>
    <w:p>
      <w:pPr>
        <w:keepNext w:val="0"/>
        <w:spacing w:before="60" w:after="200" w:line="300" w:lineRule="auto"/>
        <w:jc w:val="both"/>
      </w:pPr>
      <w:r>
        <w:rPr>
          <w:rFonts w:ascii="標楷體" w:hAnsi="標楷體" w:eastAsia="標楷體" w:cs="標楷體"/>
          <w:b w:val="0"/>
          <w:i w:val="0"/>
          <w:sz w:val="20"/>
        </w:rPr>
        <w:t>註：加權指數為價格指數，未含現金股利，與含權息的策略報酬比較時會對策略有利（年約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3%</w:t>
      </w:r>
      <w:r>
        <w:rPr>
          <w:rFonts w:ascii="標楷體" w:hAnsi="標楷體" w:eastAsia="標楷體" w:cs="標楷體"/>
          <w:b w:val="0"/>
          <w:i w:val="0"/>
          <w:sz w:val="20"/>
        </w:rPr>
        <w:t>～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>4%</w:t>
      </w:r>
      <w:r>
        <w:rPr>
          <w:rFonts w:ascii="標楷體" w:hAnsi="標楷體" w:eastAsia="標楷體" w:cs="標楷體"/>
          <w:b w:val="0"/>
          <w:i w:val="0"/>
          <w:sz w:val="20"/>
        </w:rPr>
        <w:t>）；因此本研究同時以含息的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0050</w:t>
      </w:r>
      <w:r>
        <w:rPr>
          <w:rFonts w:ascii="標楷體" w:hAnsi="標楷體" w:eastAsia="標楷體" w:cs="標楷體"/>
          <w:b w:val="0"/>
          <w:i w:val="0"/>
          <w:sz w:val="20"/>
        </w:rPr>
        <w:t>、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>00850</w:t>
      </w:r>
      <w:r>
        <w:rPr>
          <w:rFonts w:ascii="標楷體" w:hAnsi="標楷體" w:eastAsia="標楷體" w:cs="標楷體"/>
          <w:b w:val="0"/>
          <w:i w:val="0"/>
          <w:sz w:val="20"/>
        </w:rPr>
        <w:t>、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00878 </w:t>
      </w:r>
      <w:r>
        <w:rPr>
          <w:rFonts w:ascii="標楷體" w:hAnsi="標楷體" w:eastAsia="標楷體" w:cs="標楷體"/>
          <w:b w:val="0"/>
          <w:i w:val="0"/>
          <w:sz w:val="20"/>
        </w:rPr>
        <w:t>作為比較基準。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三、逐期股票池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平台網站為了更新速度，只下載「目前」成交金額前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300 </w:t>
      </w:r>
      <w:r>
        <w:rPr>
          <w:rFonts w:ascii="標楷體" w:hAnsi="標楷體" w:eastAsia="標楷體" w:cs="標楷體"/>
          <w:b w:val="0"/>
          <w:i w:val="0"/>
          <w:sz w:val="24"/>
        </w:rPr>
        <w:t>檔的股價；若直接用於回測，過去曾經熱門但之後下市或排名下滑的股票會被遺漏，產生存活者偏誤（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Brown et al., 1992</w:t>
      </w:r>
      <w:r>
        <w:rPr>
          <w:rFonts w:ascii="標楷體" w:hAnsi="標楷體" w:eastAsia="標楷體" w:cs="標楷體"/>
          <w:b w:val="0"/>
          <w:i w:val="0"/>
          <w:sz w:val="24"/>
        </w:rPr>
        <w:t>）。為此，本研究另外下載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2017 </w:t>
      </w:r>
      <w:r>
        <w:rPr>
          <w:rFonts w:ascii="標楷體" w:hAnsi="標楷體" w:eastAsia="標楷體" w:cs="標楷體"/>
          <w:b w:val="0"/>
          <w:i w:val="0"/>
          <w:sz w:val="24"/>
        </w:rPr>
        <w:t>年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7 </w:t>
      </w:r>
      <w:r>
        <w:rPr>
          <w:rFonts w:ascii="標楷體" w:hAnsi="標楷體" w:eastAsia="標楷體" w:cs="標楷體"/>
          <w:b w:val="0"/>
          <w:i w:val="0"/>
          <w:sz w:val="24"/>
        </w:rPr>
        <w:t>月至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2026-10-20 </w:t>
      </w:r>
      <w:r>
        <w:rPr>
          <w:rFonts w:ascii="標楷體" w:hAnsi="標楷體" w:eastAsia="標楷體" w:cs="標楷體"/>
          <w:b w:val="0"/>
          <w:i w:val="0"/>
          <w:sz w:val="24"/>
        </w:rPr>
        <w:t>每個交易日的全市場行情（上櫃股票取自櫃買中心每日全部行情；上市股票因證交所限制大量下載，改以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Yahoo Finance </w:t>
      </w:r>
      <w:r>
        <w:rPr>
          <w:rFonts w:ascii="標楷體" w:hAnsi="標楷體" w:eastAsia="標楷體" w:cs="標楷體"/>
          <w:b w:val="0"/>
          <w:i w:val="0"/>
          <w:sz w:val="24"/>
        </w:rPr>
        <w:t>逐檔下載研究期間曾掛牌的上市普通股，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Yahoo </w:t>
      </w:r>
      <w:r>
        <w:rPr>
          <w:rFonts w:ascii="標楷體" w:hAnsi="標楷體" w:eastAsia="標楷體" w:cs="標楷體"/>
          <w:b w:val="0"/>
          <w:i w:val="0"/>
          <w:sz w:val="24"/>
        </w:rPr>
        <w:t>未收錄者（多為已下市）再以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FinMind </w:t>
      </w:r>
      <w:r>
        <w:rPr>
          <w:rFonts w:ascii="標楷體" w:hAnsi="標楷體" w:eastAsia="標楷體" w:cs="標楷體"/>
          <w:b w:val="0"/>
          <w:i w:val="0"/>
          <w:sz w:val="24"/>
        </w:rPr>
        <w:t>補齊，均含之後下市的股票），並在每個交易日以「當天（含）往前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20 </w:t>
      </w:r>
      <w:r>
        <w:rPr>
          <w:rFonts w:ascii="標楷體" w:hAnsi="標楷體" w:eastAsia="標楷體" w:cs="標楷體"/>
          <w:b w:val="0"/>
          <w:i w:val="0"/>
          <w:sz w:val="24"/>
        </w:rPr>
        <w:t>個交易日的平均成交金額」重新排名，取前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300 </w:t>
      </w:r>
      <w:r>
        <w:rPr>
          <w:rFonts w:ascii="標楷體" w:hAnsi="標楷體" w:eastAsia="標楷體" w:cs="標楷體"/>
          <w:b w:val="0"/>
          <w:i w:val="0"/>
          <w:sz w:val="24"/>
        </w:rPr>
        <w:t>檔作為當天的股票池；新上市未滿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15 </w:t>
      </w:r>
      <w:r>
        <w:rPr>
          <w:rFonts w:ascii="標楷體" w:hAnsi="標楷體" w:eastAsia="標楷體" w:cs="標楷體"/>
          <w:b w:val="0"/>
          <w:i w:val="0"/>
          <w:sz w:val="24"/>
        </w:rPr>
        <w:t>個交易日者不納入。模型的訓練樣本與每次選股都只使用當天股票池內的股票，已持有的股票若之後掉出股票池或下市，仍依實際報酬計算至下次調倉（下市後視為以最後收盤價持有現金）。</w:t>
      </w:r>
    </w:p>
    <w:p>
      <w:pPr>
        <w:keepNext/>
        <w:spacing w:before="200" w:after="80" w:line="312" w:lineRule="auto"/>
        <w:jc w:val="center"/>
      </w:pPr>
      <w:r>
        <w:rPr>
          <w:rFonts w:ascii="標楷體" w:hAnsi="標楷體" w:eastAsia="標楷體" w:cs="標楷體"/>
          <w:b/>
          <w:i w:val="0"/>
          <w:sz w:val="24"/>
        </w:rPr>
        <w:t>表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3-3</w:t>
      </w:r>
      <w:r>
        <w:rPr>
          <w:rFonts w:ascii="標楷體" w:hAnsi="標楷體" w:eastAsia="標楷體" w:cs="標楷體"/>
          <w:b/>
          <w:i w:val="0"/>
          <w:sz w:val="24"/>
        </w:rPr>
        <w:t xml:space="preserve">　逐期股票池概況（各調倉日）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24000" cy="13330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333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 w:line="300" w:lineRule="auto"/>
        <w:jc w:val="both"/>
      </w:pPr>
      <w:r>
        <w:rPr>
          <w:rFonts w:ascii="標楷體" w:hAnsi="標楷體" w:eastAsia="標楷體" w:cs="標楷體"/>
          <w:b w:val="0"/>
          <w:i w:val="0"/>
          <w:sz w:val="20"/>
        </w:rPr>
        <w:t>註：普通股以代號規則判斷（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4 </w:t>
      </w:r>
      <w:r>
        <w:rPr>
          <w:rFonts w:ascii="標楷體" w:hAnsi="標楷體" w:eastAsia="標楷體" w:cs="標楷體"/>
          <w:b w:val="0"/>
          <w:i w:val="0"/>
          <w:sz w:val="20"/>
        </w:rPr>
        <w:t>碼、不以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0 </w:t>
      </w:r>
      <w:r>
        <w:rPr>
          <w:rFonts w:ascii="標楷體" w:hAnsi="標楷體" w:eastAsia="標楷體" w:cs="標楷體"/>
          <w:b w:val="0"/>
          <w:i w:val="0"/>
          <w:sz w:val="20"/>
        </w:rPr>
        <w:t>開頭、排除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91xx </w:t>
      </w:r>
      <w:r>
        <w:rPr>
          <w:rFonts w:ascii="標楷體" w:hAnsi="標楷體" w:eastAsia="標楷體" w:cs="標楷體"/>
          <w:b w:val="0"/>
          <w:i w:val="0"/>
          <w:sz w:val="20"/>
        </w:rPr>
        <w:t>存託憑證），因此也適用已下市股票。研究期間曾進入股票池的股票共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1358 </w:t>
      </w:r>
      <w:r>
        <w:rPr>
          <w:rFonts w:ascii="標楷體" w:hAnsi="標楷體" w:eastAsia="標楷體" w:cs="標楷體"/>
          <w:b w:val="0"/>
          <w:i w:val="0"/>
          <w:sz w:val="20"/>
        </w:rPr>
        <w:t>檔。逐期名單見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outputs/research/thesis_2026-10-20/universe_history.csv</w:t>
      </w:r>
      <w:r>
        <w:rPr>
          <w:rFonts w:ascii="標楷體" w:hAnsi="標楷體" w:eastAsia="標楷體" w:cs="標楷體"/>
          <w:b w:val="0"/>
          <w:i w:val="0"/>
          <w:sz w:val="20"/>
        </w:rPr>
        <w:t>。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為檢查以交易所參考價計算的報酬是否正確，本研究將櫃買中心資料算出的報酬與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Yahoo Finance </w:t>
      </w:r>
      <w:r>
        <w:rPr>
          <w:rFonts w:ascii="標楷體" w:hAnsi="標楷體" w:eastAsia="標楷體" w:cs="標楷體"/>
          <w:b w:val="0"/>
          <w:i w:val="0"/>
          <w:sz w:val="24"/>
        </w:rPr>
        <w:t>還原收盤價報酬比對（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78 </w:t>
      </w:r>
      <w:r>
        <w:rPr>
          <w:rFonts w:ascii="標楷體" w:hAnsi="標楷體" w:eastAsia="標楷體" w:cs="標楷體"/>
          <w:b w:val="0"/>
          <w:i w:val="0"/>
          <w:sz w:val="24"/>
        </w:rPr>
        <w:t>檔重疊股票、各至少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250 </w:t>
      </w:r>
      <w:r>
        <w:rPr>
          <w:rFonts w:ascii="標楷體" w:hAnsi="標楷體" w:eastAsia="標楷體" w:cs="標楷體"/>
          <w:b w:val="0"/>
          <w:i w:val="0"/>
          <w:sz w:val="24"/>
        </w:rPr>
        <w:t>個交易日）：日報酬相關係數中位數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0.9930</w:t>
      </w:r>
      <w:r>
        <w:rPr>
          <w:rFonts w:ascii="標楷體" w:hAnsi="標楷體" w:eastAsia="標楷體" w:cs="標楷體"/>
          <w:b w:val="0"/>
          <w:i w:val="0"/>
          <w:sz w:val="24"/>
        </w:rPr>
        <w:t>，日報酬平均絕對差中位數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3.0 bps</w:t>
      </w:r>
      <w:r>
        <w:rPr>
          <w:rFonts w:ascii="標楷體" w:hAnsi="標楷體" w:eastAsia="標楷體" w:cs="標楷體"/>
          <w:b w:val="0"/>
          <w:i w:val="0"/>
          <w:sz w:val="24"/>
        </w:rPr>
        <w:t>，年化報酬差距中位數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−0.39%</w:t>
      </w:r>
      <w:r>
        <w:rPr>
          <w:rFonts w:ascii="標楷體" w:hAnsi="標楷體" w:eastAsia="標楷體" w:cs="標楷體"/>
          <w:b w:val="0"/>
          <w:i w:val="0"/>
          <w:sz w:val="24"/>
        </w:rPr>
        <w:t>（絕對差距中位數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0.78%</w:t>
      </w:r>
      <w:r>
        <w:rPr>
          <w:rFonts w:ascii="標楷體" w:hAnsi="標楷體" w:eastAsia="標楷體" w:cs="標楷體"/>
          <w:b w:val="0"/>
          <w:i w:val="0"/>
          <w:sz w:val="24"/>
        </w:rPr>
        <w:t>）。為避免除權息「不比價」日造成的誤差，平台現存的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300 </w:t>
      </w:r>
      <w:r>
        <w:rPr>
          <w:rFonts w:ascii="標楷體" w:hAnsi="標楷體" w:eastAsia="標楷體" w:cs="標楷體"/>
          <w:b w:val="0"/>
          <w:i w:val="0"/>
          <w:sz w:val="24"/>
        </w:rPr>
        <w:t>檔股票一律改用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Yahoo </w:t>
      </w:r>
      <w:r>
        <w:rPr>
          <w:rFonts w:ascii="標楷體" w:hAnsi="標楷體" w:eastAsia="標楷體" w:cs="標楷體"/>
          <w:b w:val="0"/>
          <w:i w:val="0"/>
          <w:sz w:val="24"/>
        </w:rPr>
        <w:t>還原收盤價計算日報酬，其餘股票（多為已下市或排名下滑者）才使用交易所報酬。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四、投組與比較基準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三個策略每次都從當期股票池中選出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20 </w:t>
      </w:r>
      <w:r>
        <w:rPr>
          <w:rFonts w:ascii="標楷體" w:hAnsi="標楷體" w:eastAsia="標楷體" w:cs="標楷體"/>
          <w:b w:val="0"/>
          <w:i w:val="0"/>
          <w:sz w:val="24"/>
        </w:rPr>
        <w:t>檔、每檔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5% </w:t>
      </w:r>
      <w:r>
        <w:rPr>
          <w:rFonts w:ascii="標楷體" w:hAnsi="標楷體" w:eastAsia="標楷體" w:cs="標楷體"/>
          <w:b w:val="0"/>
          <w:i w:val="0"/>
          <w:sz w:val="24"/>
        </w:rPr>
        <w:t>等權持有，差別只在排序依據（表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3-4</w:t>
      </w:r>
      <w:r>
        <w:rPr>
          <w:rFonts w:ascii="標楷體" w:hAnsi="標楷體" w:eastAsia="標楷體" w:cs="標楷體"/>
          <w:b w:val="0"/>
          <w:i w:val="0"/>
          <w:sz w:val="24"/>
        </w:rPr>
        <w:t>）。原規劃以「排除爭議分數大於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 </w:t>
      </w:r>
      <w:r>
        <w:rPr>
          <w:rFonts w:ascii="標楷體" w:hAnsi="標楷體" w:eastAsia="標楷體" w:cs="標楷體"/>
          <w:b w:val="0"/>
          <w:i w:val="0"/>
          <w:sz w:val="24"/>
        </w:rPr>
        <w:t>與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EPS </w:t>
      </w:r>
      <w:r>
        <w:rPr>
          <w:rFonts w:ascii="標楷體" w:hAnsi="標楷體" w:eastAsia="標楷體" w:cs="標楷體"/>
          <w:b w:val="0"/>
          <w:i w:val="0"/>
          <w:sz w:val="24"/>
        </w:rPr>
        <w:t>為負的公司」作為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前置篩選，但現有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TEJ </w:t>
      </w:r>
      <w:r>
        <w:rPr>
          <w:rFonts w:ascii="標楷體" w:hAnsi="標楷體" w:eastAsia="標楷體" w:cs="標楷體"/>
          <w:b w:val="0"/>
          <w:i w:val="0"/>
          <w:sz w:val="24"/>
        </w:rPr>
        <w:t>資料只有事件雷達轉換計分、沒有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EPS </w:t>
      </w:r>
      <w:r>
        <w:rPr>
          <w:rFonts w:ascii="標楷體" w:hAnsi="標楷體" w:eastAsia="標楷體" w:cs="標楷體"/>
          <w:b w:val="0"/>
          <w:i w:val="0"/>
          <w:sz w:val="24"/>
        </w:rPr>
        <w:t>欄位，程式實際上並未套用這兩項排除條件；本修訂版已更正描述，三個策略皆不做排除。</w:t>
      </w:r>
    </w:p>
    <w:p>
      <w:pPr>
        <w:keepNext/>
        <w:spacing w:before="200" w:after="80" w:line="312" w:lineRule="auto"/>
        <w:jc w:val="center"/>
      </w:pPr>
      <w:r>
        <w:rPr>
          <w:rFonts w:ascii="標楷體" w:hAnsi="標楷體" w:eastAsia="標楷體" w:cs="標楷體"/>
          <w:b/>
          <w:i w:val="0"/>
          <w:sz w:val="24"/>
        </w:rPr>
        <w:t>表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3-4</w:t>
      </w:r>
      <w:r>
        <w:rPr>
          <w:rFonts w:ascii="標楷體" w:hAnsi="標楷體" w:eastAsia="標楷體" w:cs="標楷體"/>
          <w:b/>
          <w:i w:val="0"/>
          <w:sz w:val="24"/>
        </w:rPr>
        <w:t xml:space="preserve">　三種投組的建構方式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85"/>
        <w:gridCol w:w="3068"/>
        <w:gridCol w:w="2346"/>
        <w:gridCol w:w="1624"/>
      </w:tblGrid>
      <w:tr>
        <w:trPr>
          <w:cantSplit/>
          <w:tblHeader/>
        </w:trPr>
        <w:tc>
          <w:tcPr>
            <w:tcW w:type="dxa" w:w="1986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21"/>
              </w:rPr>
              <w:t>投組</w:t>
            </w:r>
          </w:p>
        </w:tc>
        <w:tc>
          <w:tcPr>
            <w:tcW w:type="dxa" w:w="3069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21"/>
              </w:rPr>
              <w:t>排序依據</w:t>
            </w:r>
          </w:p>
        </w:tc>
        <w:tc>
          <w:tcPr>
            <w:tcW w:type="dxa" w:w="2347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21"/>
              </w:rPr>
              <w:t>權重與調倉</w:t>
            </w:r>
          </w:p>
        </w:tc>
        <w:tc>
          <w:tcPr>
            <w:tcW w:type="dxa" w:w="1625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21"/>
              </w:rPr>
              <w:t>主要對照</w:t>
            </w:r>
          </w:p>
        </w:tc>
      </w:tr>
      <w:tr>
        <w:trPr>
          <w:cantSplit/>
        </w:trPr>
        <w:tc>
          <w:tcPr>
            <w:tcW w:type="dxa" w:w="198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單純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AI</w:t>
            </w:r>
          </w:p>
        </w:tc>
        <w:tc>
          <w:tcPr>
            <w:tcW w:type="dxa" w:w="3069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隨機森林預測的未來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10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日相對報酬</w:t>
            </w:r>
          </w:p>
        </w:tc>
        <w:tc>
          <w:tcPr>
            <w:tcW w:type="dxa" w:w="234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前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20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檔等權；每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10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個交易日</w:t>
            </w:r>
          </w:p>
        </w:tc>
        <w:tc>
          <w:tcPr>
            <w:tcW w:type="dxa" w:w="1625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0050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、加權指數</w:t>
            </w:r>
          </w:p>
        </w:tc>
      </w:tr>
      <w:tr>
        <w:trPr>
          <w:cantSplit/>
        </w:trPr>
        <w:tc>
          <w:tcPr>
            <w:tcW w:type="dxa" w:w="198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AI+ESG</w:t>
            </w:r>
          </w:p>
        </w:tc>
        <w:tc>
          <w:tcPr>
            <w:tcW w:type="dxa" w:w="306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70%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×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AI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預測排名＋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30%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×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TESG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排名</w:t>
            </w:r>
          </w:p>
        </w:tc>
        <w:tc>
          <w:tcPr>
            <w:tcW w:type="dxa" w:w="2347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同上</w:t>
            </w:r>
          </w:p>
        </w:tc>
        <w:tc>
          <w:tcPr>
            <w:tcW w:type="dxa" w:w="1625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00850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00878</w:t>
            </w:r>
          </w:p>
        </w:tc>
      </w:tr>
      <w:tr>
        <w:trPr>
          <w:cantSplit/>
        </w:trPr>
        <w:tc>
          <w:tcPr>
            <w:tcW w:type="dxa" w:w="198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規則式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ESG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篩選投組</w:t>
            </w:r>
          </w:p>
        </w:tc>
        <w:tc>
          <w:tcPr>
            <w:tcW w:type="dxa" w:w="3069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TEJ TESG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總分由高到低</w:t>
            </w:r>
          </w:p>
        </w:tc>
        <w:tc>
          <w:tcPr>
            <w:tcW w:type="dxa" w:w="234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同上（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TESG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半年更新，持股變動小）</w:t>
            </w:r>
          </w:p>
        </w:tc>
        <w:tc>
          <w:tcPr>
            <w:tcW w:type="dxa" w:w="1625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00850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規則式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篩選投組是本研究自行建構的對照組，與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00850</w:t>
      </w:r>
      <w:r>
        <w:rPr>
          <w:rFonts w:ascii="標楷體" w:hAnsi="標楷體" w:eastAsia="標楷體" w:cs="標楷體"/>
          <w:b w:val="0"/>
          <w:i w:val="0"/>
          <w:sz w:val="24"/>
        </w:rPr>
        <w:t>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00878 </w:t>
      </w:r>
      <w:r>
        <w:rPr>
          <w:rFonts w:ascii="標楷體" w:hAnsi="標楷體" w:eastAsia="標楷體" w:cs="標楷體"/>
          <w:b w:val="0"/>
          <w:i w:val="0"/>
          <w:sz w:val="24"/>
        </w:rPr>
        <w:t>的建構方式有多項差異（表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3-5</w:t>
      </w:r>
      <w:r>
        <w:rPr>
          <w:rFonts w:ascii="標楷體" w:hAnsi="標楷體" w:eastAsia="標楷體" w:cs="標楷體"/>
          <w:b w:val="0"/>
          <w:i w:val="0"/>
          <w:sz w:val="24"/>
        </w:rPr>
        <w:t>），因此兩者的報酬差異不能全部歸因於「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ESG </w:t>
      </w:r>
      <w:r>
        <w:rPr>
          <w:rFonts w:ascii="標楷體" w:hAnsi="標楷體" w:eastAsia="標楷體" w:cs="標楷體"/>
          <w:b w:val="0"/>
          <w:i w:val="0"/>
          <w:sz w:val="24"/>
        </w:rPr>
        <w:t>篩選本身」。</w:t>
      </w:r>
    </w:p>
    <w:p>
      <w:pPr>
        <w:keepNext/>
        <w:spacing w:before="200" w:after="80" w:line="312" w:lineRule="auto"/>
        <w:jc w:val="center"/>
      </w:pPr>
      <w:r>
        <w:rPr>
          <w:rFonts w:ascii="標楷體" w:hAnsi="標楷體" w:eastAsia="標楷體" w:cs="標楷體"/>
          <w:b/>
          <w:i w:val="0"/>
          <w:sz w:val="24"/>
        </w:rPr>
        <w:t>表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3-5</w:t>
      </w:r>
      <w:r>
        <w:rPr>
          <w:rFonts w:ascii="標楷體" w:hAnsi="標楷體" w:eastAsia="標楷體" w:cs="標楷體"/>
          <w:b/>
          <w:i w:val="0"/>
          <w:sz w:val="24"/>
        </w:rPr>
        <w:t xml:space="preserve">　規則式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ESG </w:t>
      </w:r>
      <w:r>
        <w:rPr>
          <w:rFonts w:ascii="標楷體" w:hAnsi="標楷體" w:eastAsia="標楷體" w:cs="標楷體"/>
          <w:b/>
          <w:i w:val="0"/>
          <w:sz w:val="24"/>
        </w:rPr>
        <w:t>篩選投組與市售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ESG ETF </w:t>
      </w:r>
      <w:r>
        <w:rPr>
          <w:rFonts w:ascii="標楷體" w:hAnsi="標楷體" w:eastAsia="標楷體" w:cs="標楷體"/>
          <w:b/>
          <w:i w:val="0"/>
          <w:sz w:val="24"/>
        </w:rPr>
        <w:t>的差異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1444"/>
        <w:gridCol w:w="2346"/>
        <w:gridCol w:w="2617"/>
        <w:gridCol w:w="2617"/>
      </w:tblGrid>
      <w:tr>
        <w:trPr>
          <w:cantSplit/>
          <w:tblHeader/>
        </w:trPr>
        <w:tc>
          <w:tcPr>
            <w:tcW w:type="dxa" w:w="1444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21"/>
              </w:rPr>
              <w:t>項目</w:t>
            </w:r>
          </w:p>
        </w:tc>
        <w:tc>
          <w:tcPr>
            <w:tcW w:type="dxa" w:w="2347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21"/>
              </w:rPr>
              <w:t>規則式</w:t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1"/>
              </w:rPr>
              <w:t xml:space="preserve"> ESG </w:t>
            </w:r>
            <w:r>
              <w:rPr>
                <w:rFonts w:ascii="標楷體" w:hAnsi="標楷體" w:eastAsia="標楷體" w:cs="標楷體"/>
                <w:b/>
                <w:i w:val="0"/>
                <w:color w:val="FFFFFF"/>
                <w:sz w:val="21"/>
              </w:rPr>
              <w:t>篩選投組</w:t>
            </w:r>
          </w:p>
        </w:tc>
        <w:tc>
          <w:tcPr>
            <w:tcW w:type="dxa" w:w="2617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1"/>
              </w:rPr>
              <w:t xml:space="preserve">00850 </w:t>
            </w:r>
            <w:r>
              <w:rPr>
                <w:rFonts w:ascii="標楷體" w:hAnsi="標楷體" w:eastAsia="標楷體" w:cs="標楷體"/>
                <w:b/>
                <w:i w:val="0"/>
                <w:color w:val="FFFFFF"/>
                <w:sz w:val="21"/>
              </w:rPr>
              <w:t>元大臺灣</w:t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1"/>
              </w:rPr>
              <w:t xml:space="preserve"> ESG </w:t>
            </w:r>
            <w:r>
              <w:rPr>
                <w:rFonts w:ascii="標楷體" w:hAnsi="標楷體" w:eastAsia="標楷體" w:cs="標楷體"/>
                <w:b/>
                <w:i w:val="0"/>
                <w:color w:val="FFFFFF"/>
                <w:sz w:val="21"/>
              </w:rPr>
              <w:t>永續</w:t>
            </w:r>
          </w:p>
        </w:tc>
        <w:tc>
          <w:tcPr>
            <w:tcW w:type="dxa" w:w="2617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1"/>
              </w:rPr>
              <w:t xml:space="preserve">00878 </w:t>
            </w:r>
            <w:r>
              <w:rPr>
                <w:rFonts w:ascii="標楷體" w:hAnsi="標楷體" w:eastAsia="標楷體" w:cs="標楷體"/>
                <w:b/>
                <w:i w:val="0"/>
                <w:color w:val="FFFFFF"/>
                <w:sz w:val="21"/>
              </w:rPr>
              <w:t>國泰永續高股息</w:t>
            </w:r>
          </w:p>
        </w:tc>
      </w:tr>
      <w:tr>
        <w:trPr>
          <w:cantSplit/>
        </w:trPr>
        <w:tc>
          <w:tcPr>
            <w:tcW w:type="dxa" w:w="1444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ESG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資料</w:t>
            </w:r>
          </w:p>
        </w:tc>
        <w:tc>
          <w:tcPr>
            <w:tcW w:type="dxa" w:w="234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TEJ TESG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總分</w:t>
            </w:r>
          </w:p>
        </w:tc>
        <w:tc>
          <w:tcPr>
            <w:tcW w:type="dxa" w:w="261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FTSE4Good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新興市場指數成分（富時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ESG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評估）</w:t>
            </w:r>
          </w:p>
        </w:tc>
        <w:tc>
          <w:tcPr>
            <w:tcW w:type="dxa" w:w="261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MSCI ESG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評級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BB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以上、爭議分數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3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以上</w:t>
            </w:r>
          </w:p>
        </w:tc>
      </w:tr>
      <w:tr>
        <w:trPr>
          <w:cantSplit/>
        </w:trPr>
        <w:tc>
          <w:tcPr>
            <w:tcW w:type="dxa" w:w="1444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選股範圍與條件</w:t>
            </w:r>
          </w:p>
        </w:tc>
        <w:tc>
          <w:tcPr>
            <w:tcW w:type="dxa" w:w="2347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當期成交金額前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300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大上市櫃普通股</w:t>
            </w:r>
          </w:p>
        </w:tc>
        <w:tc>
          <w:tcPr>
            <w:tcW w:type="dxa" w:w="2617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上市股票；剔除近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12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個月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ROE &lt; 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或未編製永續報告書者</w:t>
            </w:r>
          </w:p>
        </w:tc>
        <w:tc>
          <w:tcPr>
            <w:tcW w:type="dxa" w:w="2617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MSCI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臺灣指數大中型股；依殖利率計分</w:t>
            </w:r>
          </w:p>
        </w:tc>
      </w:tr>
      <w:tr>
        <w:trPr>
          <w:cantSplit/>
        </w:trPr>
        <w:tc>
          <w:tcPr>
            <w:tcW w:type="dxa" w:w="1444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成分股數</w:t>
            </w:r>
          </w:p>
        </w:tc>
        <w:tc>
          <w:tcPr>
            <w:tcW w:type="dxa" w:w="234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20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檔</w:t>
            </w:r>
          </w:p>
        </w:tc>
        <w:tc>
          <w:tcPr>
            <w:tcW w:type="dxa" w:w="261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非固定（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2026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年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9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月調整後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110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檔）</w:t>
            </w:r>
          </w:p>
        </w:tc>
        <w:tc>
          <w:tcPr>
            <w:tcW w:type="dxa" w:w="261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30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檔</w:t>
            </w:r>
          </w:p>
        </w:tc>
      </w:tr>
      <w:tr>
        <w:trPr>
          <w:cantSplit/>
        </w:trPr>
        <w:tc>
          <w:tcPr>
            <w:tcW w:type="dxa" w:w="1444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權重</w:t>
            </w:r>
          </w:p>
        </w:tc>
        <w:tc>
          <w:tcPr>
            <w:tcW w:type="dxa" w:w="2347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等權</w:t>
            </w:r>
          </w:p>
        </w:tc>
        <w:tc>
          <w:tcPr>
            <w:tcW w:type="dxa" w:w="2617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可投資市值加權，單一個股上限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30%</w:t>
            </w:r>
          </w:p>
        </w:tc>
        <w:tc>
          <w:tcPr>
            <w:tcW w:type="dxa" w:w="2617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殖利率相關加權，單一個股上限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10%</w:t>
            </w:r>
          </w:p>
        </w:tc>
      </w:tr>
      <w:tr>
        <w:trPr>
          <w:cantSplit/>
        </w:trPr>
        <w:tc>
          <w:tcPr>
            <w:tcW w:type="dxa" w:w="1444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再平衡</w:t>
            </w:r>
          </w:p>
        </w:tc>
        <w:tc>
          <w:tcPr>
            <w:tcW w:type="dxa" w:w="234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10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個交易日（權重回到等權）</w:t>
            </w:r>
          </w:p>
        </w:tc>
        <w:tc>
          <w:tcPr>
            <w:tcW w:type="dxa" w:w="261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每年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6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月、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12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月定審</w:t>
            </w:r>
          </w:p>
        </w:tc>
        <w:tc>
          <w:tcPr>
            <w:tcW w:type="dxa" w:w="261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每年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5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月、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11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月定審</w:t>
            </w:r>
          </w:p>
        </w:tc>
      </w:tr>
      <w:tr>
        <w:trPr>
          <w:cantSplit/>
        </w:trPr>
        <w:tc>
          <w:tcPr>
            <w:tcW w:type="dxa" w:w="1444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股利處理</w:t>
            </w:r>
          </w:p>
        </w:tc>
        <w:tc>
          <w:tcPr>
            <w:tcW w:type="dxa" w:w="2347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含權息報酬（股利再投入）</w:t>
            </w:r>
          </w:p>
        </w:tc>
        <w:tc>
          <w:tcPr>
            <w:tcW w:type="dxa" w:w="2617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季配息；本研究用還原價（股利再投入）</w:t>
            </w:r>
          </w:p>
        </w:tc>
        <w:tc>
          <w:tcPr>
            <w:tcW w:type="dxa" w:w="2617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季配息；本研究用還原價（股利再投入）</w:t>
            </w:r>
          </w:p>
        </w:tc>
      </w:tr>
      <w:tr>
        <w:trPr>
          <w:cantSplit/>
        </w:trPr>
        <w:tc>
          <w:tcPr>
            <w:tcW w:type="dxa" w:w="1444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費用</w:t>
            </w:r>
          </w:p>
        </w:tc>
        <w:tc>
          <w:tcPr>
            <w:tcW w:type="dxa" w:w="234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僅計交易成本</w:t>
            </w:r>
          </w:p>
        </w:tc>
        <w:tc>
          <w:tcPr>
            <w:tcW w:type="dxa" w:w="261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經理費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0.30%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～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0.45%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、保管費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0.035%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（反映於淨值）</w:t>
            </w:r>
          </w:p>
        </w:tc>
        <w:tc>
          <w:tcPr>
            <w:tcW w:type="dxa" w:w="261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經理費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0.25%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～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0.30%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、保管費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0.03%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（反映於淨值）</w:t>
            </w:r>
          </w:p>
        </w:tc>
      </w:tr>
      <w:tr>
        <w:trPr>
          <w:cantSplit/>
        </w:trPr>
        <w:tc>
          <w:tcPr>
            <w:tcW w:type="dxa" w:w="1444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產業限制</w:t>
            </w:r>
          </w:p>
        </w:tc>
        <w:tc>
          <w:tcPr>
            <w:tcW w:type="dxa" w:w="2347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無</w:t>
            </w:r>
          </w:p>
        </w:tc>
        <w:tc>
          <w:tcPr>
            <w:tcW w:type="dxa" w:w="2617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無（僅個股上限）</w:t>
            </w:r>
          </w:p>
        </w:tc>
        <w:tc>
          <w:tcPr>
            <w:tcW w:type="dxa" w:w="2617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無（僅個股上限）</w:t>
            </w:r>
          </w:p>
        </w:tc>
      </w:tr>
    </w:tbl>
    <w:p>
      <w:pPr>
        <w:spacing w:after="0"/>
      </w:pPr>
    </w:p>
    <w:p>
      <w:pPr>
        <w:keepNext w:val="0"/>
        <w:spacing w:before="60" w:after="200" w:line="300" w:lineRule="auto"/>
        <w:jc w:val="both"/>
      </w:pPr>
      <w:r>
        <w:rPr>
          <w:rFonts w:ascii="標楷體" w:hAnsi="標楷體" w:eastAsia="標楷體" w:cs="標楷體"/>
          <w:b w:val="0"/>
          <w:i w:val="0"/>
          <w:sz w:val="20"/>
        </w:rPr>
        <w:t>資料來源：元大投信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00850 </w:t>
      </w:r>
      <w:r>
        <w:rPr>
          <w:rFonts w:ascii="標楷體" w:hAnsi="標楷體" w:eastAsia="標楷體" w:cs="標楷體"/>
          <w:b w:val="0"/>
          <w:i w:val="0"/>
          <w:sz w:val="20"/>
        </w:rPr>
        <w:t>產品頁、國泰投信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00878 </w:t>
      </w:r>
      <w:r>
        <w:rPr>
          <w:rFonts w:ascii="標楷體" w:hAnsi="標楷體" w:eastAsia="標楷體" w:cs="標楷體"/>
          <w:b w:val="0"/>
          <w:i w:val="0"/>
          <w:sz w:val="20"/>
        </w:rPr>
        <w:t>相關說明（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2026 </w:t>
      </w:r>
      <w:r>
        <w:rPr>
          <w:rFonts w:ascii="標楷體" w:hAnsi="標楷體" w:eastAsia="標楷體" w:cs="標楷體"/>
          <w:b w:val="0"/>
          <w:i w:val="0"/>
          <w:sz w:val="20"/>
        </w:rPr>
        <w:t>年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10 </w:t>
      </w:r>
      <w:r>
        <w:rPr>
          <w:rFonts w:ascii="標楷體" w:hAnsi="標楷體" w:eastAsia="標楷體" w:cs="標楷體"/>
          <w:b w:val="0"/>
          <w:i w:val="0"/>
          <w:sz w:val="20"/>
        </w:rPr>
        <w:t>月查詢）。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ETF </w:t>
      </w:r>
      <w:r>
        <w:rPr>
          <w:rFonts w:ascii="標楷體" w:hAnsi="標楷體" w:eastAsia="標楷體" w:cs="標楷體"/>
          <w:b w:val="0"/>
          <w:i w:val="0"/>
          <w:sz w:val="20"/>
        </w:rPr>
        <w:t>歷史成分股與權重無法取得，因此第四章的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0"/>
        </w:rPr>
        <w:t>品質比較以「股票池等權」作為市場代理，不直接比較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ETF</w:t>
      </w:r>
      <w:r>
        <w:rPr>
          <w:rFonts w:ascii="標楷體" w:hAnsi="標楷體" w:eastAsia="標楷體" w:cs="標楷體"/>
          <w:b w:val="0"/>
          <w:i w:val="0"/>
          <w:sz w:val="20"/>
        </w:rPr>
        <w:t>。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五、研究流程</w:t>
      </w:r>
    </w:p>
    <w:p>
      <w:pPr>
        <w:keepNext w:val="0"/>
        <w:spacing w:before="0" w:after="60" w:line="360" w:lineRule="auto"/>
        <w:ind w:left="840" w:hanging="3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1. </w:t>
      </w:r>
      <w:r>
        <w:rPr>
          <w:rFonts w:ascii="標楷體" w:hAnsi="標楷體" w:eastAsia="標楷體" w:cs="標楷體"/>
          <w:b/>
          <w:i w:val="0"/>
          <w:sz w:val="24"/>
        </w:rPr>
        <w:t>資料蒐集：</w:t>
      </w:r>
      <w:r>
        <w:rPr>
          <w:rFonts w:ascii="標楷體" w:hAnsi="標楷體" w:eastAsia="標楷體" w:cs="標楷體"/>
          <w:b w:val="0"/>
          <w:i w:val="0"/>
          <w:sz w:val="24"/>
        </w:rPr>
        <w:t>下載交易所逐日行情（含下市股票）、比較基準、估值與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TEJ TESG</w:t>
      </w:r>
      <w:r>
        <w:rPr>
          <w:rFonts w:ascii="標楷體" w:hAnsi="標楷體" w:eastAsia="標楷體" w:cs="標楷體"/>
          <w:b w:val="0"/>
          <w:i w:val="0"/>
          <w:sz w:val="24"/>
        </w:rPr>
        <w:t>；依資料截點裁切。</w:t>
      </w:r>
    </w:p>
    <w:p>
      <w:pPr>
        <w:keepNext w:val="0"/>
        <w:spacing w:before="0" w:after="60" w:line="360" w:lineRule="auto"/>
        <w:ind w:left="840" w:hanging="3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2. </w:t>
      </w:r>
      <w:r>
        <w:rPr>
          <w:rFonts w:ascii="標楷體" w:hAnsi="標楷體" w:eastAsia="標楷體" w:cs="標楷體"/>
          <w:b/>
          <w:i w:val="0"/>
          <w:sz w:val="24"/>
        </w:rPr>
        <w:t>逐期股票池：</w:t>
      </w:r>
      <w:r>
        <w:rPr>
          <w:rFonts w:ascii="標楷體" w:hAnsi="標楷體" w:eastAsia="標楷體" w:cs="標楷體"/>
          <w:b w:val="0"/>
          <w:i w:val="0"/>
          <w:sz w:val="24"/>
        </w:rPr>
        <w:t>每個交易日以近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20 </w:t>
      </w:r>
      <w:r>
        <w:rPr>
          <w:rFonts w:ascii="標楷體" w:hAnsi="標楷體" w:eastAsia="標楷體" w:cs="標楷體"/>
          <w:b w:val="0"/>
          <w:i w:val="0"/>
          <w:sz w:val="24"/>
        </w:rPr>
        <w:t>日平均成交金額排名前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300 </w:t>
      </w:r>
      <w:r>
        <w:rPr>
          <w:rFonts w:ascii="標楷體" w:hAnsi="標楷體" w:eastAsia="標楷體" w:cs="標楷體"/>
          <w:b w:val="0"/>
          <w:i w:val="0"/>
          <w:sz w:val="24"/>
        </w:rPr>
        <w:t>檔。</w:t>
      </w:r>
    </w:p>
    <w:p>
      <w:pPr>
        <w:keepNext w:val="0"/>
        <w:spacing w:before="0" w:after="60" w:line="360" w:lineRule="auto"/>
        <w:ind w:left="840" w:hanging="3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3. </w:t>
      </w:r>
      <w:r>
        <w:rPr>
          <w:rFonts w:ascii="標楷體" w:hAnsi="標楷體" w:eastAsia="標楷體" w:cs="標楷體"/>
          <w:b/>
          <w:i w:val="0"/>
          <w:sz w:val="24"/>
        </w:rPr>
        <w:t>特徵工程：</w:t>
      </w:r>
      <w:r>
        <w:rPr>
          <w:rFonts w:ascii="標楷體" w:hAnsi="標楷體" w:eastAsia="標楷體" w:cs="標楷體"/>
          <w:b w:val="0"/>
          <w:i w:val="0"/>
          <w:sz w:val="24"/>
        </w:rPr>
        <w:t>為每檔股票、每天計算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14 </w:t>
      </w:r>
      <w:r>
        <w:rPr>
          <w:rFonts w:ascii="標楷體" w:hAnsi="標楷體" w:eastAsia="標楷體" w:cs="標楷體"/>
          <w:b w:val="0"/>
          <w:i w:val="0"/>
          <w:sz w:val="24"/>
        </w:rPr>
        <w:t>個技術面、見頂訊號與估值特徵，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ESG </w:t>
      </w:r>
      <w:r>
        <w:rPr>
          <w:rFonts w:ascii="標楷體" w:hAnsi="標楷體" w:eastAsia="標楷體" w:cs="標楷體"/>
          <w:b w:val="0"/>
          <w:i w:val="0"/>
          <w:sz w:val="24"/>
        </w:rPr>
        <w:t>與估值依可得日對齊。</w:t>
      </w:r>
    </w:p>
    <w:p>
      <w:pPr>
        <w:keepNext w:val="0"/>
        <w:spacing w:before="0" w:after="60" w:line="360" w:lineRule="auto"/>
        <w:ind w:left="840" w:hanging="3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4. </w:t>
      </w:r>
      <w:r>
        <w:rPr>
          <w:rFonts w:ascii="標楷體" w:hAnsi="標楷體" w:eastAsia="標楷體" w:cs="標楷體"/>
          <w:b/>
          <w:i w:val="0"/>
          <w:sz w:val="24"/>
        </w:rPr>
        <w:t>滾動訓練：</w:t>
      </w:r>
      <w:r>
        <w:rPr>
          <w:rFonts w:ascii="標楷體" w:hAnsi="標楷體" w:eastAsia="標楷體" w:cs="標楷體"/>
          <w:b w:val="0"/>
          <w:i w:val="0"/>
          <w:sz w:val="24"/>
        </w:rPr>
        <w:t>以隨機森林學習「特徵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24"/>
        </w:rPr>
        <w:t>→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24"/>
        </w:rPr>
        <w:t>未來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10 </w:t>
      </w:r>
      <w:r>
        <w:rPr>
          <w:rFonts w:ascii="標楷體" w:hAnsi="標楷體" w:eastAsia="標楷體" w:cs="標楷體"/>
          <w:b w:val="0"/>
          <w:i w:val="0"/>
          <w:sz w:val="24"/>
        </w:rPr>
        <w:t>日相對報酬」，每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 </w:t>
      </w:r>
      <w:r>
        <w:rPr>
          <w:rFonts w:ascii="標楷體" w:hAnsi="標楷體" w:eastAsia="標楷體" w:cs="標楷體"/>
          <w:b w:val="0"/>
          <w:i w:val="0"/>
          <w:sz w:val="24"/>
        </w:rPr>
        <w:t>次調倉重新訓練，只使用訓練當天已知結果的資料。</w:t>
      </w:r>
    </w:p>
    <w:p>
      <w:pPr>
        <w:keepNext w:val="0"/>
        <w:spacing w:before="0" w:after="60" w:line="360" w:lineRule="auto"/>
        <w:ind w:left="840" w:hanging="3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5. </w:t>
      </w:r>
      <w:r>
        <w:rPr>
          <w:rFonts w:ascii="標楷體" w:hAnsi="標楷體" w:eastAsia="標楷體" w:cs="標楷體"/>
          <w:b/>
          <w:i w:val="0"/>
          <w:sz w:val="24"/>
        </w:rPr>
        <w:t>選股與回測：</w:t>
      </w:r>
      <w:r>
        <w:rPr>
          <w:rFonts w:ascii="標楷體" w:hAnsi="標楷體" w:eastAsia="標楷體" w:cs="標楷體"/>
          <w:b w:val="0"/>
          <w:i w:val="0"/>
          <w:sz w:val="24"/>
        </w:rPr>
        <w:t>每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10 </w:t>
      </w:r>
      <w:r>
        <w:rPr>
          <w:rFonts w:ascii="標楷體" w:hAnsi="標楷體" w:eastAsia="標楷體" w:cs="標楷體"/>
          <w:b w:val="0"/>
          <w:i w:val="0"/>
          <w:sz w:val="24"/>
        </w:rPr>
        <w:t>個交易日依三種排序各選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20 </w:t>
      </w:r>
      <w:r>
        <w:rPr>
          <w:rFonts w:ascii="標楷體" w:hAnsi="標楷體" w:eastAsia="標楷體" w:cs="標楷體"/>
          <w:b w:val="0"/>
          <w:i w:val="0"/>
          <w:sz w:val="24"/>
        </w:rPr>
        <w:t>檔等權持有，以收盤價換股，扣除手續費與證交稅。</w:t>
      </w:r>
    </w:p>
    <w:p>
      <w:pPr>
        <w:keepNext w:val="0"/>
        <w:spacing w:before="0" w:after="60" w:line="360" w:lineRule="auto"/>
        <w:ind w:left="840" w:hanging="3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6. </w:t>
      </w:r>
      <w:r>
        <w:rPr>
          <w:rFonts w:ascii="標楷體" w:hAnsi="標楷體" w:eastAsia="標楷體" w:cs="標楷體"/>
          <w:b/>
          <w:i w:val="0"/>
          <w:sz w:val="24"/>
        </w:rPr>
        <w:t>績效與檢定：</w:t>
      </w:r>
      <w:r>
        <w:rPr>
          <w:rFonts w:ascii="標楷體" w:hAnsi="標楷體" w:eastAsia="標楷體" w:cs="標楷體"/>
          <w:b w:val="0"/>
          <w:i w:val="0"/>
          <w:sz w:val="24"/>
        </w:rPr>
        <w:t>計算報酬、風險、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CAPM </w:t>
      </w:r>
      <w:r>
        <w:rPr>
          <w:rFonts w:ascii="標楷體" w:hAnsi="標楷體" w:eastAsia="標楷體" w:cs="標楷體"/>
          <w:b w:val="0"/>
          <w:i w:val="0"/>
          <w:sz w:val="24"/>
        </w:rPr>
        <w:t>與差異檢定（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Newey-West </w:t>
      </w:r>
      <w:r>
        <w:rPr>
          <w:rFonts w:ascii="標楷體" w:hAnsi="標楷體" w:eastAsia="標楷體" w:cs="標楷體"/>
          <w:b w:val="0"/>
          <w:i w:val="0"/>
          <w:sz w:val="24"/>
        </w:rPr>
        <w:t>標準誤、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Holm </w:t>
      </w:r>
      <w:r>
        <w:rPr>
          <w:rFonts w:ascii="標楷體" w:hAnsi="標楷體" w:eastAsia="標楷體" w:cs="標楷體"/>
          <w:b w:val="0"/>
          <w:i w:val="0"/>
          <w:sz w:val="24"/>
        </w:rPr>
        <w:t>調整），並做滑價敏感度、市場情境與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品質分析。</w:t>
      </w:r>
    </w:p>
    <w:p>
      <w:pPr>
        <w:keepNext w:val="0"/>
        <w:spacing w:before="0" w:after="60" w:line="360" w:lineRule="auto"/>
        <w:ind w:left="840" w:hanging="3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7. </w:t>
      </w:r>
      <w:r>
        <w:rPr>
          <w:rFonts w:ascii="標楷體" w:hAnsi="標楷體" w:eastAsia="標楷體" w:cs="標楷體"/>
          <w:b/>
          <w:i w:val="0"/>
          <w:sz w:val="24"/>
        </w:rPr>
        <w:t>輸出與版本紀錄：</w:t>
      </w:r>
      <w:r>
        <w:rPr>
          <w:rFonts w:ascii="標楷體" w:hAnsi="標楷體" w:eastAsia="標楷體" w:cs="標楷體"/>
          <w:b w:val="0"/>
          <w:i w:val="0"/>
          <w:sz w:val="24"/>
        </w:rPr>
        <w:t>所有表格與中間檔寫入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outputs/research/</w:t>
      </w:r>
      <w:r>
        <w:rPr>
          <w:rFonts w:ascii="標楷體" w:hAnsi="標楷體" w:eastAsia="標楷體" w:cs="標楷體"/>
          <w:b w:val="0"/>
          <w:i w:val="0"/>
          <w:sz w:val="24"/>
        </w:rPr>
        <w:t>，並記錄資料與程式雜湊值。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六、模型與變數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本研究以隨機森林（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Breiman, 2001</w:t>
      </w:r>
      <w:r>
        <w:rPr>
          <w:rFonts w:ascii="標楷體" w:hAnsi="標楷體" w:eastAsia="標楷體" w:cs="標楷體"/>
          <w:b w:val="0"/>
          <w:i w:val="0"/>
          <w:sz w:val="24"/>
        </w:rPr>
        <w:t>）作為主要模型：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100 </w:t>
      </w:r>
      <w:r>
        <w:rPr>
          <w:rFonts w:ascii="標楷體" w:hAnsi="標楷體" w:eastAsia="標楷體" w:cs="標楷體"/>
          <w:b w:val="0"/>
          <w:i w:val="0"/>
          <w:sz w:val="24"/>
        </w:rPr>
        <w:t>棵決策樹、每棵最多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6 </w:t>
      </w:r>
      <w:r>
        <w:rPr>
          <w:rFonts w:ascii="標楷體" w:hAnsi="標楷體" w:eastAsia="標楷體" w:cs="標楷體"/>
          <w:b w:val="0"/>
          <w:i w:val="0"/>
          <w:sz w:val="24"/>
        </w:rPr>
        <w:t>層、葉節點至少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20 </w:t>
      </w:r>
      <w:r>
        <w:rPr>
          <w:rFonts w:ascii="標楷體" w:hAnsi="標楷體" w:eastAsia="標楷體" w:cs="標楷體"/>
          <w:b w:val="0"/>
          <w:i w:val="0"/>
          <w:sz w:val="24"/>
        </w:rPr>
        <w:t>筆、每次分裂隨機使用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70% </w:t>
      </w:r>
      <w:r>
        <w:rPr>
          <w:rFonts w:ascii="標楷體" w:hAnsi="標楷體" w:eastAsia="標楷體" w:cs="標楷體"/>
          <w:b w:val="0"/>
          <w:i w:val="0"/>
          <w:sz w:val="24"/>
        </w:rPr>
        <w:t>的特徵、每棵樹抽取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50% </w:t>
      </w:r>
      <w:r>
        <w:rPr>
          <w:rFonts w:ascii="標楷體" w:hAnsi="標楷體" w:eastAsia="標楷體" w:cs="標楷體"/>
          <w:b w:val="0"/>
          <w:i w:val="0"/>
          <w:sz w:val="24"/>
        </w:rPr>
        <w:t>的樣本，以限制模型複雜度。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XGBoost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Chen &amp; Guestrin, 2016</w:t>
      </w:r>
      <w:r>
        <w:rPr>
          <w:rFonts w:ascii="標楷體" w:hAnsi="標楷體" w:eastAsia="標楷體" w:cs="標楷體"/>
          <w:b w:val="0"/>
          <w:i w:val="0"/>
          <w:sz w:val="24"/>
        </w:rPr>
        <w:t>）與兩者平均僅作為參數試驗中的比較對象。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預測目標為每檔股票「未來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10 </w:t>
      </w:r>
      <w:r>
        <w:rPr>
          <w:rFonts w:ascii="標楷體" w:hAnsi="標楷體" w:eastAsia="標楷體" w:cs="標楷體"/>
          <w:b w:val="0"/>
          <w:i w:val="0"/>
          <w:sz w:val="24"/>
        </w:rPr>
        <w:t>個交易日報酬減去同一天股票池平均報酬」，模型的任務是排序股票而非預測大盤漲跌。輸入特徵共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14 </w:t>
      </w:r>
      <w:r>
        <w:rPr>
          <w:rFonts w:ascii="標楷體" w:hAnsi="標楷體" w:eastAsia="標楷體" w:cs="標楷體"/>
          <w:b w:val="0"/>
          <w:i w:val="0"/>
          <w:sz w:val="24"/>
        </w:rPr>
        <w:t>個（表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3-6</w:t>
      </w:r>
      <w:r>
        <w:rPr>
          <w:rFonts w:ascii="標楷體" w:hAnsi="標楷體" w:eastAsia="標楷體" w:cs="標楷體"/>
          <w:b w:val="0"/>
          <w:i w:val="0"/>
          <w:sz w:val="24"/>
        </w:rPr>
        <w:t>）；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ESG </w:t>
      </w:r>
      <w:r>
        <w:rPr>
          <w:rFonts w:ascii="標楷體" w:hAnsi="標楷體" w:eastAsia="標楷體" w:cs="標楷體"/>
          <w:b w:val="0"/>
          <w:i w:val="0"/>
          <w:sz w:val="24"/>
        </w:rPr>
        <w:t>分數不放入模型，而是在選股階段才與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AI </w:t>
      </w:r>
      <w:r>
        <w:rPr>
          <w:rFonts w:ascii="標楷體" w:hAnsi="標楷體" w:eastAsia="標楷體" w:cs="標楷體"/>
          <w:b w:val="0"/>
          <w:i w:val="0"/>
          <w:sz w:val="24"/>
        </w:rPr>
        <w:t>排名結合，以便分別觀察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AI </w:t>
      </w:r>
      <w:r>
        <w:rPr>
          <w:rFonts w:ascii="標楷體" w:hAnsi="標楷體" w:eastAsia="標楷體" w:cs="標楷體"/>
          <w:b w:val="0"/>
          <w:i w:val="0"/>
          <w:sz w:val="24"/>
        </w:rPr>
        <w:t>與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的貢獻。</w:t>
      </w:r>
    </w:p>
    <w:p>
      <w:pPr>
        <w:keepNext/>
        <w:spacing w:before="200" w:after="80" w:line="312" w:lineRule="auto"/>
        <w:jc w:val="center"/>
      </w:pPr>
      <w:r>
        <w:rPr>
          <w:rFonts w:ascii="標楷體" w:hAnsi="標楷體" w:eastAsia="標楷體" w:cs="標楷體"/>
          <w:b/>
          <w:i w:val="0"/>
          <w:sz w:val="24"/>
        </w:rPr>
        <w:t>表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3-6</w:t>
      </w:r>
      <w:r>
        <w:rPr>
          <w:rFonts w:ascii="標楷體" w:hAnsi="標楷體" w:eastAsia="標楷體" w:cs="標楷體"/>
          <w:b/>
          <w:i w:val="0"/>
          <w:sz w:val="24"/>
        </w:rPr>
        <w:t xml:space="preserve">　模型特徵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1263"/>
        <w:gridCol w:w="3249"/>
        <w:gridCol w:w="4512"/>
      </w:tblGrid>
      <w:tr>
        <w:trPr>
          <w:cantSplit/>
          <w:tblHeader/>
        </w:trPr>
        <w:tc>
          <w:tcPr>
            <w:tcW w:type="dxa" w:w="1264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21"/>
              </w:rPr>
              <w:t>類別</w:t>
            </w:r>
          </w:p>
        </w:tc>
        <w:tc>
          <w:tcPr>
            <w:tcW w:type="dxa" w:w="3249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21"/>
              </w:rPr>
              <w:t>特徵</w:t>
            </w:r>
          </w:p>
        </w:tc>
        <w:tc>
          <w:tcPr>
            <w:tcW w:type="dxa" w:w="4513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21"/>
              </w:rPr>
              <w:t>計算方式</w:t>
            </w:r>
          </w:p>
        </w:tc>
      </w:tr>
      <w:tr>
        <w:trPr>
          <w:cantSplit/>
        </w:trPr>
        <w:tc>
          <w:tcPr>
            <w:tcW w:type="dxa" w:w="1264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技術面</w:t>
            </w:r>
          </w:p>
        </w:tc>
        <w:tc>
          <w:tcPr>
            <w:tcW w:type="dxa" w:w="3249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近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5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20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60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日報酬</w:t>
            </w:r>
          </w:p>
        </w:tc>
        <w:tc>
          <w:tcPr>
            <w:tcW w:type="dxa" w:w="4513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今日收盤價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 xml:space="preserve">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÷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N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日前收盤價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− 1</w:t>
            </w:r>
          </w:p>
        </w:tc>
      </w:tr>
      <w:tr>
        <w:trPr>
          <w:cantSplit/>
        </w:trPr>
        <w:tc>
          <w:tcPr>
            <w:tcW w:type="dxa" w:w="1264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技術面</w:t>
            </w:r>
          </w:p>
        </w:tc>
        <w:tc>
          <w:tcPr>
            <w:tcW w:type="dxa" w:w="324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20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日年化波動率</w:t>
            </w:r>
          </w:p>
        </w:tc>
        <w:tc>
          <w:tcPr>
            <w:tcW w:type="dxa" w:w="4513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近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20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日日報酬標準差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 xml:space="preserve">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×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 xml:space="preserve">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√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252</w:t>
            </w:r>
          </w:p>
        </w:tc>
      </w:tr>
      <w:tr>
        <w:trPr>
          <w:cantSplit/>
        </w:trPr>
        <w:tc>
          <w:tcPr>
            <w:tcW w:type="dxa" w:w="1264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技術面</w:t>
            </w:r>
          </w:p>
        </w:tc>
        <w:tc>
          <w:tcPr>
            <w:tcW w:type="dxa" w:w="3249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月線、季線乖離率</w:t>
            </w:r>
          </w:p>
        </w:tc>
        <w:tc>
          <w:tcPr>
            <w:tcW w:type="dxa" w:w="4513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收盤價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 xml:space="preserve">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÷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20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60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日均價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− 1</w:t>
            </w:r>
          </w:p>
        </w:tc>
      </w:tr>
      <w:tr>
        <w:trPr>
          <w:cantSplit/>
        </w:trPr>
        <w:tc>
          <w:tcPr>
            <w:tcW w:type="dxa" w:w="1264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見頂訊號</w:t>
            </w:r>
          </w:p>
        </w:tc>
        <w:tc>
          <w:tcPr>
            <w:tcW w:type="dxa" w:w="324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距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20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日最高價跌幅、高點距今天數</w:t>
            </w:r>
          </w:p>
        </w:tc>
        <w:tc>
          <w:tcPr>
            <w:tcW w:type="dxa" w:w="4513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收盤價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 xml:space="preserve">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÷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 xml:space="preserve">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近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20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日最高價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− 1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；最高價是幾天前</w:t>
            </w:r>
          </w:p>
        </w:tc>
      </w:tr>
      <w:tr>
        <w:trPr>
          <w:cantSplit/>
        </w:trPr>
        <w:tc>
          <w:tcPr>
            <w:tcW w:type="dxa" w:w="1264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見頂訊號</w:t>
            </w:r>
          </w:p>
        </w:tc>
        <w:tc>
          <w:tcPr>
            <w:tcW w:type="dxa" w:w="3249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連續下跌天數、量能比、短期反轉</w:t>
            </w:r>
          </w:p>
        </w:tc>
        <w:tc>
          <w:tcPr>
            <w:tcW w:type="dxa" w:w="4513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連續收黑天數；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5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日均量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 xml:space="preserve">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÷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60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日均量；近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5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日報酬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 xml:space="preserve">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×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 xml:space="preserve">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近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60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日報酬</w:t>
            </w:r>
          </w:p>
        </w:tc>
      </w:tr>
      <w:tr>
        <w:trPr>
          <w:cantSplit/>
        </w:trPr>
        <w:tc>
          <w:tcPr>
            <w:tcW w:type="dxa" w:w="1264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估值</w:t>
            </w:r>
          </w:p>
        </w:tc>
        <w:tc>
          <w:tcPr>
            <w:tcW w:type="dxa" w:w="324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本益比、股價淨值比、殖利率</w:t>
            </w:r>
          </w:p>
        </w:tc>
        <w:tc>
          <w:tcPr>
            <w:tcW w:type="dxa" w:w="4513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證交所每月底資料（上櫃股以中位數補值）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七、期間切分與參數選擇紀錄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為避免把參數選擇的結果當成樣本外績效，本研究將期間切分為開發期、驗證期、探索性評估期與保留測試期（表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3-7</w:t>
      </w:r>
      <w:r>
        <w:rPr>
          <w:rFonts w:ascii="標楷體" w:hAnsi="標楷體" w:eastAsia="標楷體" w:cs="標楷體"/>
          <w:b w:val="0"/>
          <w:i w:val="0"/>
          <w:sz w:val="24"/>
        </w:rPr>
        <w:t>）。必須說明的是：表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3-8 </w:t>
      </w:r>
      <w:r>
        <w:rPr>
          <w:rFonts w:ascii="標楷體" w:hAnsi="標楷體" w:eastAsia="標楷體" w:cs="標楷體"/>
          <w:b w:val="0"/>
          <w:i w:val="0"/>
          <w:sz w:val="24"/>
        </w:rPr>
        <w:t>的參數試驗是在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2026 </w:t>
      </w:r>
      <w:r>
        <w:rPr>
          <w:rFonts w:ascii="標楷體" w:hAnsi="標楷體" w:eastAsia="標楷體" w:cs="標楷體"/>
          <w:b w:val="0"/>
          <w:i w:val="0"/>
          <w:sz w:val="24"/>
        </w:rPr>
        <w:t>年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10 </w:t>
      </w:r>
      <w:r>
        <w:rPr>
          <w:rFonts w:ascii="標楷體" w:hAnsi="標楷體" w:eastAsia="標楷體" w:cs="標楷體"/>
          <w:b w:val="0"/>
          <w:i w:val="0"/>
          <w:sz w:val="24"/>
        </w:rPr>
        <w:t>月進行，當時已使用到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2022-11 </w:t>
      </w:r>
      <w:r>
        <w:rPr>
          <w:rFonts w:ascii="標楷體" w:hAnsi="標楷體" w:eastAsia="標楷體" w:cs="標楷體"/>
          <w:b w:val="0"/>
          <w:i w:val="0"/>
          <w:sz w:val="24"/>
        </w:rPr>
        <w:t>至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2026-10 </w:t>
      </w:r>
      <w:r>
        <w:rPr>
          <w:rFonts w:ascii="標楷體" w:hAnsi="標楷體" w:eastAsia="標楷體" w:cs="標楷體"/>
          <w:b w:val="0"/>
          <w:i w:val="0"/>
          <w:sz w:val="24"/>
        </w:rPr>
        <w:t>的資料，因此該期間雖然在時間上位於訓練資料之後，但已參與模型與參數的選擇，不能宣稱為完全未接觸的樣本外測試，本研究將其結果列為探索性分析。研究設定已於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2026-10-25 </w:t>
      </w:r>
      <w:r>
        <w:rPr>
          <w:rFonts w:ascii="標楷體" w:hAnsi="標楷體" w:eastAsia="標楷體" w:cs="標楷體"/>
          <w:b w:val="0"/>
          <w:i w:val="0"/>
          <w:sz w:val="24"/>
        </w:rPr>
        <w:t>鎖定，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2026-10-21 </w:t>
      </w:r>
      <w:r>
        <w:rPr>
          <w:rFonts w:ascii="標楷體" w:hAnsi="標楷體" w:eastAsia="標楷體" w:cs="標楷體"/>
          <w:b w:val="0"/>
          <w:i w:val="0"/>
          <w:sz w:val="24"/>
        </w:rPr>
        <w:t>之後的資料作為保留測試，由平台每日自動延伸追蹤，不再修改任何參數。</w:t>
      </w:r>
    </w:p>
    <w:p>
      <w:pPr>
        <w:keepNext/>
        <w:spacing w:before="200" w:after="80" w:line="312" w:lineRule="auto"/>
        <w:jc w:val="center"/>
      </w:pPr>
      <w:r>
        <w:rPr>
          <w:rFonts w:ascii="標楷體" w:hAnsi="標楷體" w:eastAsia="標楷體" w:cs="標楷體"/>
          <w:b/>
          <w:i w:val="0"/>
          <w:sz w:val="24"/>
        </w:rPr>
        <w:t>表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3-7</w:t>
      </w:r>
      <w:r>
        <w:rPr>
          <w:rFonts w:ascii="標楷體" w:hAnsi="標楷體" w:eastAsia="標楷體" w:cs="標楷體"/>
          <w:b/>
          <w:i w:val="0"/>
          <w:sz w:val="24"/>
        </w:rPr>
        <w:t xml:space="preserve">　期間切分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24000" cy="14987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498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 w:line="300" w:lineRule="auto"/>
        <w:jc w:val="both"/>
      </w:pPr>
      <w:r>
        <w:rPr>
          <w:rFonts w:ascii="標楷體" w:hAnsi="標楷體" w:eastAsia="標楷體" w:cs="標楷體"/>
          <w:b w:val="0"/>
          <w:i w:val="0"/>
          <w:sz w:val="20"/>
        </w:rPr>
        <w:t>註：開發期與驗證期的報酬來自同一套滾動訓練、自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2019-01-02 </w:t>
      </w:r>
      <w:r>
        <w:rPr>
          <w:rFonts w:ascii="標楷體" w:hAnsi="標楷體" w:eastAsia="標楷體" w:cs="標楷體"/>
          <w:b w:val="0"/>
          <w:i w:val="0"/>
          <w:sz w:val="20"/>
        </w:rPr>
        <w:t>起的長期間回測（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ESG </w:t>
      </w:r>
      <w:r>
        <w:rPr>
          <w:rFonts w:ascii="標楷體" w:hAnsi="標楷體" w:eastAsia="標楷體" w:cs="標楷體"/>
          <w:b w:val="0"/>
          <w:i w:val="0"/>
          <w:sz w:val="20"/>
        </w:rPr>
        <w:t>資料自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2022-11 </w:t>
      </w:r>
      <w:r>
        <w:rPr>
          <w:rFonts w:ascii="標楷體" w:hAnsi="標楷體" w:eastAsia="標楷體" w:cs="標楷體"/>
          <w:b w:val="0"/>
          <w:i w:val="0"/>
          <w:sz w:val="20"/>
        </w:rPr>
        <w:t>才有，因此只列單純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AI</w:t>
      </w:r>
      <w:r>
        <w:rPr>
          <w:rFonts w:ascii="標楷體" w:hAnsi="標楷體" w:eastAsia="標楷體" w:cs="標楷體"/>
          <w:b w:val="0"/>
          <w:i w:val="0"/>
          <w:sz w:val="20"/>
        </w:rPr>
        <w:t>）；開發期前段為模型暖機，未計入。此長期間回測的調倉日期網格與正式版本不同，因此探索性評估期的數字與表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4-1 </w:t>
      </w:r>
      <w:r>
        <w:rPr>
          <w:rFonts w:ascii="標楷體" w:hAnsi="標楷體" w:eastAsia="標楷體" w:cs="標楷體"/>
          <w:b w:val="0"/>
          <w:i w:val="0"/>
          <w:sz w:val="20"/>
        </w:rPr>
        <w:t>不同（差異見表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4-2 </w:t>
      </w:r>
      <w:r>
        <w:rPr>
          <w:rFonts w:ascii="標楷體" w:hAnsi="標楷體" w:eastAsia="標楷體" w:cs="標楷體"/>
          <w:b w:val="0"/>
          <w:i w:val="0"/>
          <w:sz w:val="20"/>
        </w:rPr>
        <w:t>對照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2</w:t>
      </w:r>
      <w:r>
        <w:rPr>
          <w:rFonts w:ascii="標楷體" w:hAnsi="標楷體" w:eastAsia="標楷體" w:cs="標楷體"/>
          <w:b w:val="0"/>
          <w:i w:val="0"/>
          <w:sz w:val="20"/>
        </w:rPr>
        <w:t>）。</w:t>
      </w:r>
    </w:p>
    <w:p>
      <w:pPr>
        <w:keepNext/>
        <w:spacing w:before="200" w:after="80" w:line="312" w:lineRule="auto"/>
        <w:jc w:val="center"/>
      </w:pPr>
      <w:r>
        <w:rPr>
          <w:rFonts w:ascii="標楷體" w:hAnsi="標楷體" w:eastAsia="標楷體" w:cs="標楷體"/>
          <w:b/>
          <w:i w:val="0"/>
          <w:sz w:val="24"/>
        </w:rPr>
        <w:t>表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3-8</w:t>
      </w:r>
      <w:r>
        <w:rPr>
          <w:rFonts w:ascii="標楷體" w:hAnsi="標楷體" w:eastAsia="標楷體" w:cs="標楷體"/>
          <w:b/>
          <w:i w:val="0"/>
          <w:sz w:val="24"/>
        </w:rPr>
        <w:t xml:space="preserve">　參數試驗紀錄（探索性）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24000" cy="46168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616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 w:line="300" w:lineRule="auto"/>
        <w:jc w:val="both"/>
      </w:pPr>
      <w:r>
        <w:rPr>
          <w:rFonts w:ascii="標楷體" w:hAnsi="標楷體" w:eastAsia="標楷體" w:cs="標楷體"/>
          <w:b w:val="0"/>
          <w:i w:val="0"/>
          <w:sz w:val="20"/>
        </w:rPr>
        <w:t>註：試驗結果為當時平台版本（以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Yahoo </w:t>
      </w:r>
      <w:r>
        <w:rPr>
          <w:rFonts w:ascii="標楷體" w:hAnsi="標楷體" w:eastAsia="標楷體" w:cs="標楷體"/>
          <w:b w:val="0"/>
          <w:i w:val="0"/>
          <w:sz w:val="20"/>
        </w:rPr>
        <w:t>現存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300 </w:t>
      </w:r>
      <w:r>
        <w:rPr>
          <w:rFonts w:ascii="標楷體" w:hAnsi="標楷體" w:eastAsia="標楷體" w:cs="標楷體"/>
          <w:b w:val="0"/>
          <w:i w:val="0"/>
          <w:sz w:val="20"/>
        </w:rPr>
        <w:t>檔為股票池）的數字，與本研究正式版本不同，僅用來說明參數如何被選出。由於試驗期間與探索性評估期重疊，正式結果可能因參數選擇而偏樂觀。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八、回測與交易假設</w:t>
      </w:r>
    </w:p>
    <w:p>
      <w:pPr>
        <w:keepNext/>
        <w:spacing w:before="200" w:after="80" w:line="312" w:lineRule="auto"/>
        <w:jc w:val="center"/>
      </w:pPr>
      <w:r>
        <w:rPr>
          <w:rFonts w:ascii="標楷體" w:hAnsi="標楷體" w:eastAsia="標楷體" w:cs="標楷體"/>
          <w:b/>
          <w:i w:val="0"/>
          <w:sz w:val="24"/>
        </w:rPr>
        <w:t>表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3-9</w:t>
      </w:r>
      <w:r>
        <w:rPr>
          <w:rFonts w:ascii="標楷體" w:hAnsi="標楷體" w:eastAsia="標楷體" w:cs="標楷體"/>
          <w:b/>
          <w:i w:val="0"/>
          <w:sz w:val="24"/>
        </w:rPr>
        <w:t xml:space="preserve">　交易與價格假設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1805"/>
        <w:gridCol w:w="7220"/>
      </w:tblGrid>
      <w:tr>
        <w:trPr>
          <w:cantSplit/>
          <w:tblHeader/>
        </w:trPr>
        <w:tc>
          <w:tcPr>
            <w:tcW w:type="dxa" w:w="1805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21"/>
              </w:rPr>
              <w:t>項目</w:t>
            </w:r>
          </w:p>
        </w:tc>
        <w:tc>
          <w:tcPr>
            <w:tcW w:type="dxa" w:w="7220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21"/>
              </w:rPr>
              <w:t>假設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成交時點</w:t>
            </w:r>
          </w:p>
        </w:tc>
        <w:tc>
          <w:tcPr>
            <w:tcW w:type="dxa" w:w="7220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調倉日以收盤價換股，報酬自下一個交易日起算（假設能以收盤價成交，實務上可能無法完全做到）</w:t>
            </w:r>
          </w:p>
        </w:tc>
      </w:tr>
      <w:tr>
        <w:trPr>
          <w:cantSplit/>
        </w:trPr>
        <w:tc>
          <w:tcPr>
            <w:tcW w:type="dxa" w:w="1805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個股價格</w:t>
            </w:r>
          </w:p>
        </w:tc>
        <w:tc>
          <w:tcPr>
            <w:tcW w:type="dxa" w:w="7220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交易所收盤價；以參考價回推含權息日報酬；當日無成交記為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0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；不比價（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X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）日記為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0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ETF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價格</w:t>
            </w:r>
          </w:p>
        </w:tc>
        <w:tc>
          <w:tcPr>
            <w:tcW w:type="dxa" w:w="7220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Yahoo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還原收盤價（含配息再投入，經理費與保管費已反映於淨值）</w:t>
            </w:r>
          </w:p>
        </w:tc>
      </w:tr>
      <w:tr>
        <w:trPr>
          <w:cantSplit/>
        </w:trPr>
        <w:tc>
          <w:tcPr>
            <w:tcW w:type="dxa" w:w="1805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初始建倉</w:t>
            </w:r>
          </w:p>
        </w:tc>
        <w:tc>
          <w:tcPr>
            <w:tcW w:type="dxa" w:w="7220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第一次調倉即買進全部持股並支付買進成本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交易成本</w:t>
            </w:r>
          </w:p>
        </w:tc>
        <w:tc>
          <w:tcPr>
            <w:tcW w:type="dxa" w:w="7220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買進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0.1425%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；賣出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0.1425%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＋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 xml:space="preserve">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證交稅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0.3%</w:t>
            </w:r>
          </w:p>
        </w:tc>
      </w:tr>
      <w:tr>
        <w:trPr>
          <w:cantSplit/>
        </w:trPr>
        <w:tc>
          <w:tcPr>
            <w:tcW w:type="dxa" w:w="1805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滑價</w:t>
            </w:r>
          </w:p>
        </w:tc>
        <w:tc>
          <w:tcPr>
            <w:tcW w:type="dxa" w:w="7220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基準情境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0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；敏感度分析每邊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10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20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30 bps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流動性門檻</w:t>
            </w:r>
          </w:p>
        </w:tc>
        <w:tc>
          <w:tcPr>
            <w:tcW w:type="dxa" w:w="7220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股票池為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20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日平均成交金額前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300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大（表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3-3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列出入選門檻）；未另設單筆成交量上限</w:t>
            </w:r>
          </w:p>
        </w:tc>
      </w:tr>
      <w:tr>
        <w:trPr>
          <w:cantSplit/>
        </w:trPr>
        <w:tc>
          <w:tcPr>
            <w:tcW w:type="dxa" w:w="1805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下市與停牌</w:t>
            </w:r>
          </w:p>
        </w:tc>
        <w:tc>
          <w:tcPr>
            <w:tcW w:type="dxa" w:w="7220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持有期間無報價視為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報酬；下市後以最後收盤價持有至下次調倉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資金運用</w:t>
            </w:r>
          </w:p>
        </w:tc>
        <w:tc>
          <w:tcPr>
            <w:tcW w:type="dxa" w:w="7220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永遠滿倉，不設停損、不因大盤轉弱減碼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九、績效評估與統計方法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績效指標包括累積與年化報酬、年化波動、夏普值（無風險利率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1%</w:t>
      </w:r>
      <w:r>
        <w:rPr>
          <w:rFonts w:ascii="標楷體" w:hAnsi="標楷體" w:eastAsia="標楷體" w:cs="標楷體"/>
          <w:b w:val="0"/>
          <w:i w:val="0"/>
          <w:sz w:val="24"/>
        </w:rPr>
        <w:t>）與最大回撤；年化報酬另以移動區塊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bootstrap</w:t>
      </w:r>
      <w:r>
        <w:rPr>
          <w:rFonts w:ascii="標楷體" w:hAnsi="標楷體" w:eastAsia="標楷體" w:cs="標楷體"/>
          <w:b w:val="0"/>
          <w:i w:val="0"/>
          <w:sz w:val="24"/>
        </w:rPr>
        <w:t>（區塊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20 </w:t>
      </w:r>
      <w:r>
        <w:rPr>
          <w:rFonts w:ascii="標楷體" w:hAnsi="標楷體" w:eastAsia="標楷體" w:cs="標楷體"/>
          <w:b w:val="0"/>
          <w:i w:val="0"/>
          <w:sz w:val="24"/>
        </w:rPr>
        <w:t>日、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2,000 </w:t>
      </w:r>
      <w:r>
        <w:rPr>
          <w:rFonts w:ascii="標楷體" w:hAnsi="標楷體" w:eastAsia="標楷體" w:cs="標楷體"/>
          <w:b w:val="0"/>
          <w:i w:val="0"/>
          <w:sz w:val="24"/>
        </w:rPr>
        <w:t>次；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K</w:t>
      </w:r>
      <w:r>
        <w:rPr>
          <w:rFonts w:ascii="標楷體" w:hAnsi="標楷體" w:eastAsia="標楷體" w:cs="標楷體"/>
          <w:b w:val="0"/>
          <w:i w:val="0"/>
          <w:sz w:val="24"/>
        </w:rPr>
        <w:t>ü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nsch, 1989</w:t>
      </w:r>
      <w:r>
        <w:rPr>
          <w:rFonts w:ascii="標楷體" w:hAnsi="標楷體" w:eastAsia="標楷體" w:cs="標楷體"/>
          <w:b w:val="0"/>
          <w:i w:val="0"/>
          <w:sz w:val="24"/>
        </w:rPr>
        <w:t>）估計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95% </w:t>
      </w:r>
      <w:r>
        <w:rPr>
          <w:rFonts w:ascii="標楷體" w:hAnsi="標楷體" w:eastAsia="標楷體" w:cs="標楷體"/>
          <w:b w:val="0"/>
          <w:i w:val="0"/>
          <w:sz w:val="24"/>
        </w:rPr>
        <w:t>信賴區間。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CAPM </w:t>
      </w:r>
      <w:r>
        <w:rPr>
          <w:rFonts w:ascii="標楷體" w:hAnsi="標楷體" w:eastAsia="標楷體" w:cs="標楷體"/>
          <w:b w:val="0"/>
          <w:i w:val="0"/>
          <w:sz w:val="24"/>
        </w:rPr>
        <w:t>以日頻資料估計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(Rp − Rf) = </w:t>
      </w:r>
      <w:r>
        <w:rPr>
          <w:rFonts w:ascii="標楷體" w:hAnsi="標楷體" w:eastAsia="標楷體" w:cs="標楷體"/>
          <w:b w:val="0"/>
          <w:i w:val="0"/>
          <w:sz w:val="24"/>
        </w:rPr>
        <w:t>α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+ </w:t>
      </w:r>
      <w:r>
        <w:rPr>
          <w:rFonts w:ascii="標楷體" w:hAnsi="標楷體" w:eastAsia="標楷體" w:cs="標楷體"/>
          <w:b w:val="0"/>
          <w:i w:val="0"/>
          <w:sz w:val="24"/>
        </w:rPr>
        <w:t>β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(Rm − Rf) + </w:t>
      </w:r>
      <w:r>
        <w:rPr>
          <w:rFonts w:ascii="標楷體" w:hAnsi="標楷體" w:eastAsia="標楷體" w:cs="標楷體"/>
          <w:b w:val="0"/>
          <w:i w:val="0"/>
          <w:sz w:val="24"/>
        </w:rPr>
        <w:t>ε，市場以加權指數代表（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Jensen, 1968</w:t>
      </w:r>
      <w:r>
        <w:rPr>
          <w:rFonts w:ascii="標楷體" w:hAnsi="標楷體" w:eastAsia="標楷體" w:cs="標楷體"/>
          <w:b w:val="0"/>
          <w:i w:val="0"/>
          <w:sz w:val="24"/>
        </w:rPr>
        <w:t>）；策略與比較基準的差異以日報酬差對常數迴歸檢定。所有標準誤採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Newey &amp; West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1987</w:t>
      </w:r>
      <w:r>
        <w:rPr>
          <w:rFonts w:ascii="標楷體" w:hAnsi="標楷體" w:eastAsia="標楷體" w:cs="標楷體"/>
          <w:b w:val="0"/>
          <w:i w:val="0"/>
          <w:sz w:val="24"/>
        </w:rPr>
        <w:t>）的異質變異與自我相關一致估計，落後期數依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Newey &amp; West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1994</w:t>
      </w:r>
      <w:r>
        <w:rPr>
          <w:rFonts w:ascii="標楷體" w:hAnsi="標楷體" w:eastAsia="標楷體" w:cs="標楷體"/>
          <w:b w:val="0"/>
          <w:i w:val="0"/>
          <w:sz w:val="24"/>
        </w:rPr>
        <w:t>）取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floor(4(T/100)^(2/9))</w:t>
      </w:r>
      <w:r>
        <w:rPr>
          <w:rFonts w:ascii="標楷體" w:hAnsi="標楷體" w:eastAsia="標楷體" w:cs="標楷體"/>
          <w:b w:val="0"/>
          <w:i w:val="0"/>
          <w:sz w:val="24"/>
        </w:rPr>
        <w:t>。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由於同時比較三個策略與四個基準，本研究以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Holm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1979</w:t>
      </w:r>
      <w:r>
        <w:rPr>
          <w:rFonts w:ascii="標楷體" w:hAnsi="標楷體" w:eastAsia="標楷體" w:cs="標楷體"/>
          <w:b w:val="0"/>
          <w:i w:val="0"/>
          <w:sz w:val="24"/>
        </w:rPr>
        <w:t>）方法調整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p </w:t>
      </w:r>
      <w:r>
        <w:rPr>
          <w:rFonts w:ascii="標楷體" w:hAnsi="標楷體" w:eastAsia="標楷體" w:cs="標楷體"/>
          <w:b w:val="0"/>
          <w:i w:val="0"/>
          <w:sz w:val="24"/>
        </w:rPr>
        <w:t>值，控制整體型一錯誤率；文中所稱「顯著」皆指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Holm </w:t>
      </w:r>
      <w:r>
        <w:rPr>
          <w:rFonts w:ascii="標楷體" w:hAnsi="標楷體" w:eastAsia="標楷體" w:cs="標楷體"/>
          <w:b w:val="0"/>
          <w:i w:val="0"/>
          <w:sz w:val="24"/>
        </w:rPr>
        <w:t>調整後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p &lt; 0.05</w:t>
      </w:r>
      <w:r>
        <w:rPr>
          <w:rFonts w:ascii="標楷體" w:hAnsi="標楷體" w:eastAsia="標楷體" w:cs="標楷體"/>
          <w:b w:val="0"/>
          <w:i w:val="0"/>
          <w:sz w:val="24"/>
        </w:rPr>
        <w:t>。效果量報告年化報酬差與年化資訊比率（日報酬差平均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24"/>
        </w:rPr>
        <w:t>÷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24"/>
        </w:rPr>
        <w:t>標準差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24"/>
        </w:rPr>
        <w:t>×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24"/>
        </w:rPr>
        <w:t>√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252</w:t>
      </w:r>
      <w:r>
        <w:rPr>
          <w:rFonts w:ascii="標楷體" w:hAnsi="標楷體" w:eastAsia="標楷體" w:cs="標楷體"/>
          <w:b w:val="0"/>
          <w:i w:val="0"/>
          <w:sz w:val="24"/>
        </w:rPr>
        <w:t>）。</w:t>
      </w:r>
    </w:p>
    <w:p>
      <w:pPr>
        <w:keepNext/>
        <w:spacing w:before="200" w:after="80" w:line="312" w:lineRule="auto"/>
        <w:jc w:val="center"/>
      </w:pPr>
      <w:r>
        <w:rPr>
          <w:rFonts w:ascii="標楷體" w:hAnsi="標楷體" w:eastAsia="標楷體" w:cs="標楷體"/>
          <w:b/>
          <w:i w:val="0"/>
          <w:sz w:val="24"/>
        </w:rPr>
        <w:t>表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3-10</w:t>
      </w:r>
      <w:r>
        <w:rPr>
          <w:rFonts w:ascii="標楷體" w:hAnsi="標楷體" w:eastAsia="標楷體" w:cs="標楷體"/>
          <w:b/>
          <w:i w:val="0"/>
          <w:sz w:val="24"/>
        </w:rPr>
        <w:t xml:space="preserve">　市場情境分類規則（事前訂定）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1444"/>
        <w:gridCol w:w="7581"/>
      </w:tblGrid>
      <w:tr>
        <w:trPr>
          <w:cantSplit/>
          <w:tblHeader/>
        </w:trPr>
        <w:tc>
          <w:tcPr>
            <w:tcW w:type="dxa" w:w="1444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21"/>
              </w:rPr>
              <w:t>情境</w:t>
            </w:r>
          </w:p>
        </w:tc>
        <w:tc>
          <w:tcPr>
            <w:tcW w:type="dxa" w:w="7581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21"/>
              </w:rPr>
              <w:t>規則（以前一交易日為止的加權指數資料判斷）</w:t>
            </w:r>
          </w:p>
        </w:tc>
      </w:tr>
      <w:tr>
        <w:trPr>
          <w:cantSplit/>
        </w:trPr>
        <w:tc>
          <w:tcPr>
            <w:tcW w:type="dxa" w:w="1444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空頭</w:t>
            </w:r>
          </w:p>
        </w:tc>
        <w:tc>
          <w:tcPr>
            <w:tcW w:type="dxa" w:w="758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60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日報酬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 xml:space="preserve">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≤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−10%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，或距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250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日高點回撤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 xml:space="preserve">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≤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−15%</w:t>
            </w:r>
          </w:p>
        </w:tc>
      </w:tr>
      <w:tr>
        <w:trPr>
          <w:cantSplit/>
        </w:trPr>
        <w:tc>
          <w:tcPr>
            <w:tcW w:type="dxa" w:w="1444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高波動</w:t>
            </w:r>
          </w:p>
        </w:tc>
        <w:tc>
          <w:tcPr>
            <w:tcW w:type="dxa" w:w="7581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非空頭，且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20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日年化波動率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 xml:space="preserve">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≥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25%</w:t>
            </w:r>
          </w:p>
        </w:tc>
      </w:tr>
      <w:tr>
        <w:trPr>
          <w:cantSplit/>
        </w:trPr>
        <w:tc>
          <w:tcPr>
            <w:tcW w:type="dxa" w:w="1444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多頭</w:t>
            </w:r>
          </w:p>
        </w:tc>
        <w:tc>
          <w:tcPr>
            <w:tcW w:type="dxa" w:w="758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非空頭、非高波動，且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60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日報酬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 xml:space="preserve">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≥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+5%</w:t>
            </w:r>
          </w:p>
        </w:tc>
      </w:tr>
      <w:tr>
        <w:trPr>
          <w:cantSplit/>
        </w:trPr>
        <w:tc>
          <w:tcPr>
            <w:tcW w:type="dxa" w:w="1444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盤整</w:t>
            </w:r>
          </w:p>
        </w:tc>
        <w:tc>
          <w:tcPr>
            <w:tcW w:type="dxa" w:w="7581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其餘日期</w:t>
            </w:r>
          </w:p>
        </w:tc>
      </w:tr>
    </w:tbl>
    <w:p>
      <w:pPr>
        <w:spacing w:after="0"/>
      </w:pPr>
    </w:p>
    <w:p>
      <w:pPr>
        <w:keepNext w:val="0"/>
        <w:spacing w:before="60" w:after="200" w:line="300" w:lineRule="auto"/>
        <w:jc w:val="both"/>
      </w:pPr>
      <w:r>
        <w:rPr>
          <w:rFonts w:ascii="標楷體" w:hAnsi="標楷體" w:eastAsia="標楷體" w:cs="標楷體"/>
          <w:b w:val="0"/>
          <w:i w:val="0"/>
          <w:sz w:val="20"/>
        </w:rPr>
        <w:t>註：規則在檢視策略績效之前訂定，並套用到評估期間的每一個交易日；以前一交易日的資料分類，避免用到當天資訊。</w:t>
      </w:r>
    </w:p>
    <w:p>
      <w:pPr>
        <w:pStyle w:val="Heading1"/>
        <w:keepNext/>
        <w:pageBreakBefore/>
        <w:spacing w:before="0" w:after="360" w:line="312" w:lineRule="auto"/>
        <w:jc w:val="center"/>
      </w:pPr>
      <w:r>
        <w:rPr>
          <w:rFonts w:ascii="標楷體" w:hAnsi="標楷體" w:eastAsia="標楷體" w:cs="標楷體"/>
          <w:b/>
          <w:i w:val="0"/>
          <w:sz w:val="36"/>
        </w:rPr>
        <w:t>第四章　實證結果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本章先說明資料與樣本概況，再呈現績效、穩健性、統計檢定與敏感度分析。除另有說明，結果皆為探索性評估期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2022-11-01 </w:t>
      </w:r>
      <w:r>
        <w:rPr>
          <w:rFonts w:ascii="標楷體" w:hAnsi="標楷體" w:eastAsia="標楷體" w:cs="標楷體"/>
          <w:b w:val="0"/>
          <w:i w:val="0"/>
          <w:sz w:val="24"/>
        </w:rPr>
        <w:t>至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2026-10-20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960 </w:t>
      </w:r>
      <w:r>
        <w:rPr>
          <w:rFonts w:ascii="標楷體" w:hAnsi="標楷體" w:eastAsia="標楷體" w:cs="標楷體"/>
          <w:b w:val="0"/>
          <w:i w:val="0"/>
          <w:sz w:val="24"/>
        </w:rPr>
        <w:t>個交易日、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96 </w:t>
      </w:r>
      <w:r>
        <w:rPr>
          <w:rFonts w:ascii="標楷體" w:hAnsi="標楷體" w:eastAsia="標楷體" w:cs="標楷體"/>
          <w:b w:val="0"/>
          <w:i w:val="0"/>
          <w:sz w:val="24"/>
        </w:rPr>
        <w:t>次調倉）、扣除手續費與證交稅後的數字；每張表下註明資料來源檔。表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3-3</w:t>
      </w:r>
      <w:r>
        <w:rPr>
          <w:rFonts w:ascii="標楷體" w:hAnsi="標楷體" w:eastAsia="標楷體" w:cs="標楷體"/>
          <w:b w:val="0"/>
          <w:i w:val="0"/>
          <w:sz w:val="24"/>
        </w:rPr>
        <w:t>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3-7</w:t>
      </w:r>
      <w:r>
        <w:rPr>
          <w:rFonts w:ascii="標楷體" w:hAnsi="標楷體" w:eastAsia="標楷體" w:cs="標楷體"/>
          <w:b w:val="0"/>
          <w:i w:val="0"/>
          <w:sz w:val="24"/>
        </w:rPr>
        <w:t>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3-8 </w:t>
      </w:r>
      <w:r>
        <w:rPr>
          <w:rFonts w:ascii="標楷體" w:hAnsi="標楷體" w:eastAsia="標楷體" w:cs="標楷體"/>
          <w:b w:val="0"/>
          <w:i w:val="0"/>
          <w:sz w:val="24"/>
        </w:rPr>
        <w:t>與本章的表格、圖為本研究平台網站「論文正式版本」頁面（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pages/5_</w:t>
      </w:r>
      <w:r>
        <w:rPr>
          <w:rFonts w:ascii="標楷體" w:hAnsi="標楷體" w:eastAsia="標楷體" w:cs="標楷體"/>
          <w:b w:val="0"/>
          <w:i w:val="0"/>
          <w:sz w:val="24"/>
        </w:rPr>
        <w:t>論文正式版本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.py</w:t>
      </w:r>
      <w:r>
        <w:rPr>
          <w:rFonts w:ascii="標楷體" w:hAnsi="標楷體" w:eastAsia="標楷體" w:cs="標楷體"/>
          <w:b w:val="0"/>
          <w:i w:val="0"/>
          <w:sz w:val="24"/>
        </w:rPr>
        <w:t>）的截圖，網站直接讀取同一批研究輸出檔，數字與資料檔一致。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一、資料與樣本概況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每個調倉日平均約有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1,897 </w:t>
      </w:r>
      <w:r>
        <w:rPr>
          <w:rFonts w:ascii="標楷體" w:hAnsi="標楷體" w:eastAsia="標楷體" w:cs="標楷體"/>
          <w:b w:val="0"/>
          <w:i w:val="0"/>
          <w:sz w:val="24"/>
        </w:rPr>
        <w:t>檔掛牌普通股，其中前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300 </w:t>
      </w:r>
      <w:r>
        <w:rPr>
          <w:rFonts w:ascii="標楷體" w:hAnsi="標楷體" w:eastAsia="標楷體" w:cs="標楷體"/>
          <w:b w:val="0"/>
          <w:i w:val="0"/>
          <w:sz w:val="24"/>
        </w:rPr>
        <w:t>大進入股票池；入選股票中平均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3.2 </w:t>
      </w:r>
      <w:r>
        <w:rPr>
          <w:rFonts w:ascii="標楷體" w:hAnsi="標楷體" w:eastAsia="標楷體" w:cs="標楷體"/>
          <w:b w:val="0"/>
          <w:i w:val="0"/>
          <w:sz w:val="24"/>
        </w:rPr>
        <w:t>檔（最多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11 </w:t>
      </w:r>
      <w:r>
        <w:rPr>
          <w:rFonts w:ascii="標楷體" w:hAnsi="標楷體" w:eastAsia="標楷體" w:cs="標楷體"/>
          <w:b w:val="0"/>
          <w:i w:val="0"/>
          <w:sz w:val="24"/>
        </w:rPr>
        <w:t>檔）在資料截點前已下市，這些股票在回測中被保留。資料可得日檢查（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availability_checks.csv</w:t>
      </w:r>
      <w:r>
        <w:rPr>
          <w:rFonts w:ascii="標楷體" w:hAnsi="標楷體" w:eastAsia="標楷體" w:cs="標楷體"/>
          <w:b w:val="0"/>
          <w:i w:val="0"/>
          <w:sz w:val="24"/>
        </w:rPr>
        <w:t>）顯示：各調倉日使用的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最新公告日皆不晚於調倉日；規則式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篩選投組的持股分數與「調倉日前已公告的最新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TESG</w:t>
      </w:r>
      <w:r>
        <w:rPr>
          <w:rFonts w:ascii="標楷體" w:hAnsi="標楷體" w:eastAsia="標楷體" w:cs="標楷體"/>
          <w:b w:val="0"/>
          <w:i w:val="0"/>
          <w:sz w:val="24"/>
        </w:rPr>
        <w:t>」逐筆核對，不一致筆數為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0</w:t>
      </w:r>
      <w:r>
        <w:rPr>
          <w:rFonts w:ascii="標楷體" w:hAnsi="標楷體" w:eastAsia="標楷體" w:cs="標楷體"/>
          <w:b w:val="0"/>
          <w:i w:val="0"/>
          <w:sz w:val="24"/>
        </w:rPr>
        <w:t>；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100% </w:t>
      </w:r>
      <w:r>
        <w:rPr>
          <w:rFonts w:ascii="標楷體" w:hAnsi="標楷體" w:eastAsia="標楷體" w:cs="標楷體"/>
          <w:b w:val="0"/>
          <w:i w:val="0"/>
          <w:sz w:val="24"/>
        </w:rPr>
        <w:t>的調倉日持股全部屬於當期股票池。附錄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C </w:t>
      </w:r>
      <w:r>
        <w:rPr>
          <w:rFonts w:ascii="標楷體" w:hAnsi="標楷體" w:eastAsia="標楷體" w:cs="標楷體"/>
          <w:b w:val="0"/>
          <w:i w:val="0"/>
          <w:sz w:val="24"/>
        </w:rPr>
        <w:t>列出三個調倉日的人工核對範例。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二、整體績效</w:t>
      </w:r>
    </w:p>
    <w:p>
      <w:pPr>
        <w:keepNext/>
        <w:spacing w:before="200" w:after="80" w:line="312" w:lineRule="auto"/>
        <w:jc w:val="center"/>
      </w:pPr>
      <w:r>
        <w:rPr>
          <w:rFonts w:ascii="標楷體" w:hAnsi="標楷體" w:eastAsia="標楷體" w:cs="標楷體"/>
          <w:b/>
          <w:i w:val="0"/>
          <w:sz w:val="24"/>
        </w:rPr>
        <w:t>表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4-1</w:t>
      </w:r>
      <w:r>
        <w:rPr>
          <w:rFonts w:ascii="標楷體" w:hAnsi="標楷體" w:eastAsia="標楷體" w:cs="標楷體"/>
          <w:b/>
          <w:i w:val="0"/>
          <w:sz w:val="24"/>
        </w:rPr>
        <w:t xml:space="preserve">　績效比較（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2022-11-01 </w:t>
      </w:r>
      <w:r>
        <w:rPr>
          <w:rFonts w:ascii="標楷體" w:hAnsi="標楷體" w:eastAsia="標楷體" w:cs="標楷體"/>
          <w:b/>
          <w:i w:val="0"/>
          <w:sz w:val="24"/>
        </w:rPr>
        <w:t>～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2026-10-20</w:t>
      </w:r>
      <w:r>
        <w:rPr>
          <w:rFonts w:ascii="標楷體" w:hAnsi="標楷體" w:eastAsia="標楷體" w:cs="標楷體"/>
          <w:b/>
          <w:i w:val="0"/>
          <w:sz w:val="24"/>
        </w:rPr>
        <w:t>）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24000" cy="2289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-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28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 w:line="300" w:lineRule="auto"/>
        <w:jc w:val="both"/>
      </w:pPr>
      <w:r>
        <w:rPr>
          <w:rFonts w:ascii="標楷體" w:hAnsi="標楷體" w:eastAsia="標楷體" w:cs="標楷體"/>
          <w:b w:val="0"/>
          <w:i w:val="0"/>
          <w:sz w:val="20"/>
        </w:rPr>
        <w:t>註：年化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95% CI </w:t>
      </w:r>
      <w:r>
        <w:rPr>
          <w:rFonts w:ascii="標楷體" w:hAnsi="標楷體" w:eastAsia="標楷體" w:cs="標楷體"/>
          <w:b w:val="0"/>
          <w:i w:val="0"/>
          <w:sz w:val="20"/>
        </w:rPr>
        <w:t>為移動區塊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bootstrap</w:t>
      </w:r>
      <w:r>
        <w:rPr>
          <w:rFonts w:ascii="標楷體" w:hAnsi="標楷體" w:eastAsia="標楷體" w:cs="標楷體"/>
          <w:b w:val="0"/>
          <w:i w:val="0"/>
          <w:sz w:val="20"/>
        </w:rPr>
        <w:t>（區塊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20 </w:t>
      </w:r>
      <w:r>
        <w:rPr>
          <w:rFonts w:ascii="標楷體" w:hAnsi="標楷體" w:eastAsia="標楷體" w:cs="標楷體"/>
          <w:b w:val="0"/>
          <w:i w:val="0"/>
          <w:sz w:val="20"/>
        </w:rPr>
        <w:t>日、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2,000 </w:t>
      </w:r>
      <w:r>
        <w:rPr>
          <w:rFonts w:ascii="標楷體" w:hAnsi="標楷體" w:eastAsia="標楷體" w:cs="標楷體"/>
          <w:b w:val="0"/>
          <w:i w:val="0"/>
          <w:sz w:val="20"/>
        </w:rPr>
        <w:t>次）。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Beta </w:t>
      </w:r>
      <w:r>
        <w:rPr>
          <w:rFonts w:ascii="標楷體" w:hAnsi="標楷體" w:eastAsia="標楷體" w:cs="標楷體"/>
          <w:b w:val="0"/>
          <w:i w:val="0"/>
          <w:sz w:val="20"/>
        </w:rPr>
        <w:t>與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R</w:t>
      </w:r>
      <w:r>
        <w:rPr>
          <w:rFonts w:ascii="標楷體" w:hAnsi="標楷體" w:eastAsia="標楷體" w:cs="標楷體"/>
          <w:b w:val="0"/>
          <w:i w:val="0"/>
          <w:sz w:val="20"/>
        </w:rPr>
        <w:t>²</w:t>
      </w:r>
      <w:r>
        <w:rPr>
          <w:rFonts w:ascii="標楷體" w:hAnsi="標楷體" w:eastAsia="標楷體" w:cs="標楷體"/>
          <w:b w:val="0"/>
          <w:i w:val="0"/>
          <w:sz w:val="20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20"/>
        </w:rPr>
        <w:t>以加權指數為市場、日頻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CAPM </w:t>
      </w:r>
      <w:r>
        <w:rPr>
          <w:rFonts w:ascii="標楷體" w:hAnsi="標楷體" w:eastAsia="標楷體" w:cs="標楷體"/>
          <w:b w:val="0"/>
          <w:i w:val="0"/>
          <w:sz w:val="20"/>
        </w:rPr>
        <w:t>估計。來源：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>tables/table_4_1_performance.csv</w:t>
      </w:r>
      <w:r>
        <w:rPr>
          <w:rFonts w:ascii="標楷體" w:hAnsi="標楷體" w:eastAsia="標楷體" w:cs="標楷體"/>
          <w:b w:val="0"/>
          <w:i w:val="0"/>
          <w:sz w:val="20"/>
        </w:rPr>
        <w:t>。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評估期間年化報酬由高到低依序為：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0050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50.8%</w:t>
      </w:r>
      <w:r>
        <w:rPr>
          <w:rFonts w:ascii="標楷體" w:hAnsi="標楷體" w:eastAsia="標楷體" w:cs="標楷體"/>
          <w:b w:val="0"/>
          <w:i w:val="0"/>
          <w:sz w:val="24"/>
        </w:rPr>
        <w:t>）、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00850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46.1%</w:t>
      </w:r>
      <w:r>
        <w:rPr>
          <w:rFonts w:ascii="標楷體" w:hAnsi="標楷體" w:eastAsia="標楷體" w:cs="標楷體"/>
          <w:b w:val="0"/>
          <w:i w:val="0"/>
          <w:sz w:val="24"/>
        </w:rPr>
        <w:t>）、單純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AI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45.5%</w:t>
      </w:r>
      <w:r>
        <w:rPr>
          <w:rFonts w:ascii="標楷體" w:hAnsi="標楷體" w:eastAsia="標楷體" w:cs="標楷體"/>
          <w:b w:val="0"/>
          <w:i w:val="0"/>
          <w:sz w:val="24"/>
        </w:rPr>
        <w:t>）、加權指數（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39.5%</w:t>
      </w:r>
      <w:r>
        <w:rPr>
          <w:rFonts w:ascii="標楷體" w:hAnsi="標楷體" w:eastAsia="標楷體" w:cs="標楷體"/>
          <w:b w:val="0"/>
          <w:i w:val="0"/>
          <w:sz w:val="24"/>
        </w:rPr>
        <w:t>）、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AI+ESG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38.7%</w:t>
      </w:r>
      <w:r>
        <w:rPr>
          <w:rFonts w:ascii="標楷體" w:hAnsi="標楷體" w:eastAsia="標楷體" w:cs="標楷體"/>
          <w:b w:val="0"/>
          <w:i w:val="0"/>
          <w:sz w:val="24"/>
        </w:rPr>
        <w:t>）、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00878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34.0%</w:t>
      </w:r>
      <w:r>
        <w:rPr>
          <w:rFonts w:ascii="標楷體" w:hAnsi="標楷體" w:eastAsia="標楷體" w:cs="標楷體"/>
          <w:b w:val="0"/>
          <w:i w:val="0"/>
          <w:sz w:val="24"/>
        </w:rPr>
        <w:t>）、規則式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篩選（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33.1%</w:t>
      </w:r>
      <w:r>
        <w:rPr>
          <w:rFonts w:ascii="標楷體" w:hAnsi="標楷體" w:eastAsia="標楷體" w:cs="標楷體"/>
          <w:b w:val="0"/>
          <w:i w:val="0"/>
          <w:sz w:val="24"/>
        </w:rPr>
        <w:t>）。單純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AI </w:t>
      </w:r>
      <w:r>
        <w:rPr>
          <w:rFonts w:ascii="標楷體" w:hAnsi="標楷體" w:eastAsia="標楷體" w:cs="標楷體"/>
          <w:b w:val="0"/>
          <w:i w:val="0"/>
          <w:sz w:val="24"/>
        </w:rPr>
        <w:t>年化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45.5%</w:t>
      </w:r>
      <w:r>
        <w:rPr>
          <w:rFonts w:ascii="標楷體" w:hAnsi="標楷體" w:eastAsia="標楷體" w:cs="標楷體"/>
          <w:b w:val="0"/>
          <w:i w:val="0"/>
          <w:sz w:val="24"/>
        </w:rPr>
        <w:t>，低於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0050</w:t>
      </w:r>
      <w:r>
        <w:rPr>
          <w:rFonts w:ascii="標楷體" w:hAnsi="標楷體" w:eastAsia="標楷體" w:cs="標楷體"/>
          <w:b w:val="0"/>
          <w:i w:val="0"/>
          <w:sz w:val="24"/>
        </w:rPr>
        <w:t>、低於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00850</w:t>
      </w:r>
      <w:r>
        <w:rPr>
          <w:rFonts w:ascii="標楷體" w:hAnsi="標楷體" w:eastAsia="標楷體" w:cs="標楷體"/>
          <w:b w:val="0"/>
          <w:i w:val="0"/>
          <w:sz w:val="24"/>
        </w:rPr>
        <w:t>；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AI+ESG </w:t>
      </w:r>
      <w:r>
        <w:rPr>
          <w:rFonts w:ascii="標楷體" w:hAnsi="標楷體" w:eastAsia="標楷體" w:cs="標楷體"/>
          <w:b w:val="0"/>
          <w:i w:val="0"/>
          <w:sz w:val="24"/>
        </w:rPr>
        <w:t>年化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38.7%</w:t>
      </w:r>
      <w:r>
        <w:rPr>
          <w:rFonts w:ascii="標楷體" w:hAnsi="標楷體" w:eastAsia="標楷體" w:cs="標楷體"/>
          <w:b w:val="0"/>
          <w:i w:val="0"/>
          <w:sz w:val="24"/>
        </w:rPr>
        <w:t>；規則式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篩選年化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33.1%</w:t>
      </w:r>
      <w:r>
        <w:rPr>
          <w:rFonts w:ascii="標楷體" w:hAnsi="標楷體" w:eastAsia="標楷體" w:cs="標楷體"/>
          <w:b w:val="0"/>
          <w:i w:val="0"/>
          <w:sz w:val="24"/>
        </w:rPr>
        <w:t>。三個策略的夏普值分別為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1.10</w:t>
      </w:r>
      <w:r>
        <w:rPr>
          <w:rFonts w:ascii="標楷體" w:hAnsi="標楷體" w:eastAsia="標楷體" w:cs="標楷體"/>
          <w:b w:val="0"/>
          <w:i w:val="0"/>
          <w:sz w:val="24"/>
        </w:rPr>
        <w:t>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1.19</w:t>
      </w:r>
      <w:r>
        <w:rPr>
          <w:rFonts w:ascii="標楷體" w:hAnsi="標楷體" w:eastAsia="標楷體" w:cs="標楷體"/>
          <w:b w:val="0"/>
          <w:i w:val="0"/>
          <w:sz w:val="24"/>
        </w:rPr>
        <w:t>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1.61</w:t>
      </w:r>
      <w:r>
        <w:rPr>
          <w:rFonts w:ascii="標楷體" w:hAnsi="標楷體" w:eastAsia="標楷體" w:cs="標楷體"/>
          <w:b w:val="0"/>
          <w:i w:val="0"/>
          <w:sz w:val="24"/>
        </w:rPr>
        <w:t>，都低於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0050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2.06</w:t>
      </w:r>
      <w:r>
        <w:rPr>
          <w:rFonts w:ascii="標楷體" w:hAnsi="標楷體" w:eastAsia="標楷體" w:cs="標楷體"/>
          <w:b w:val="0"/>
          <w:i w:val="0"/>
          <w:sz w:val="24"/>
        </w:rPr>
        <w:t>）與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00850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2.05</w:t>
      </w:r>
      <w:r>
        <w:rPr>
          <w:rFonts w:ascii="標楷體" w:hAnsi="標楷體" w:eastAsia="標楷體" w:cs="標楷體"/>
          <w:b w:val="0"/>
          <w:i w:val="0"/>
          <w:sz w:val="24"/>
        </w:rPr>
        <w:t>）；單純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AI </w:t>
      </w:r>
      <w:r>
        <w:rPr>
          <w:rFonts w:ascii="標楷體" w:hAnsi="標楷體" w:eastAsia="標楷體" w:cs="標楷體"/>
          <w:b w:val="0"/>
          <w:i w:val="0"/>
          <w:sz w:val="24"/>
        </w:rPr>
        <w:t>與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AI+ESG </w:t>
      </w:r>
      <w:r>
        <w:rPr>
          <w:rFonts w:ascii="標楷體" w:hAnsi="標楷體" w:eastAsia="標楷體" w:cs="標楷體"/>
          <w:b w:val="0"/>
          <w:i w:val="0"/>
          <w:sz w:val="24"/>
        </w:rPr>
        <w:t>的最大回撤（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−46.1%</w:t>
      </w:r>
      <w:r>
        <w:rPr>
          <w:rFonts w:ascii="標楷體" w:hAnsi="標楷體" w:eastAsia="標楷體" w:cs="標楷體"/>
          <w:b w:val="0"/>
          <w:i w:val="0"/>
          <w:sz w:val="24"/>
        </w:rPr>
        <w:t>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−39.8%</w:t>
      </w:r>
      <w:r>
        <w:rPr>
          <w:rFonts w:ascii="標楷體" w:hAnsi="標楷體" w:eastAsia="標楷體" w:cs="標楷體"/>
          <w:b w:val="0"/>
          <w:i w:val="0"/>
          <w:sz w:val="24"/>
        </w:rPr>
        <w:t>）也明顯深於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ETF</w:t>
      </w:r>
      <w:r>
        <w:rPr>
          <w:rFonts w:ascii="標楷體" w:hAnsi="標楷體" w:eastAsia="標楷體" w:cs="標楷體"/>
          <w:b w:val="0"/>
          <w:i w:val="0"/>
          <w:sz w:val="24"/>
        </w:rPr>
        <w:t>。年化報酬的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95% </w:t>
      </w:r>
      <w:r>
        <w:rPr>
          <w:rFonts w:ascii="標楷體" w:hAnsi="標楷體" w:eastAsia="標楷體" w:cs="標楷體"/>
          <w:b w:val="0"/>
          <w:i w:val="0"/>
          <w:sz w:val="24"/>
        </w:rPr>
        <w:t>信賴區間相當寬（單純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AI </w:t>
      </w:r>
      <w:r>
        <w:rPr>
          <w:rFonts w:ascii="標楷體" w:hAnsi="標楷體" w:eastAsia="標楷體" w:cs="標楷體"/>
          <w:b w:val="0"/>
          <w:i w:val="0"/>
          <w:sz w:val="24"/>
        </w:rPr>
        <w:t>為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−4%</w:t>
      </w:r>
      <w:r>
        <w:rPr>
          <w:rFonts w:ascii="標楷體" w:hAnsi="標楷體" w:eastAsia="標楷體" w:cs="標楷體"/>
          <w:b w:val="0"/>
          <w:i w:val="0"/>
          <w:sz w:val="24"/>
        </w:rPr>
        <w:t>～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119%</w:t>
      </w:r>
      <w:r>
        <w:rPr>
          <w:rFonts w:ascii="標楷體" w:hAnsi="標楷體" w:eastAsia="標楷體" w:cs="標楷體"/>
          <w:b w:val="0"/>
          <w:i w:val="0"/>
          <w:sz w:val="24"/>
        </w:rPr>
        <w:t>），反映約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3.8 </w:t>
      </w:r>
      <w:r>
        <w:rPr>
          <w:rFonts w:ascii="標楷體" w:hAnsi="標楷體" w:eastAsia="標楷體" w:cs="標楷體"/>
          <w:b w:val="0"/>
          <w:i w:val="0"/>
          <w:sz w:val="24"/>
        </w:rPr>
        <w:t>年的樣本對報酬估計的不確定性很大。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24000" cy="32461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4-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246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 w:line="312" w:lineRule="auto"/>
        <w:jc w:val="center"/>
      </w:pPr>
      <w:r>
        <w:rPr>
          <w:rFonts w:ascii="標楷體" w:hAnsi="標楷體" w:eastAsia="標楷體" w:cs="標楷體"/>
          <w:b/>
          <w:i w:val="0"/>
          <w:sz w:val="24"/>
        </w:rPr>
        <w:t>圖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4-1</w:t>
      </w:r>
      <w:r>
        <w:rPr>
          <w:rFonts w:ascii="標楷體" w:hAnsi="標楷體" w:eastAsia="標楷體" w:cs="標楷體"/>
          <w:b/>
          <w:i w:val="0"/>
          <w:sz w:val="24"/>
        </w:rPr>
        <w:t xml:space="preserve">　累積淨值（對數刻度）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三、股票池建構與調倉日期的影響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為了解股票池的建構方式與調倉日期對結果的影響，本研究在其他設定完全相同的情況下，另外執行兩個對照（表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4-2</w:t>
      </w:r>
      <w:r>
        <w:rPr>
          <w:rFonts w:ascii="標楷體" w:hAnsi="標楷體" w:eastAsia="標楷體" w:cs="標楷體"/>
          <w:b w:val="0"/>
          <w:i w:val="0"/>
          <w:sz w:val="24"/>
        </w:rPr>
        <w:t>）：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(1) </w:t>
      </w:r>
      <w:r>
        <w:rPr>
          <w:rFonts w:ascii="標楷體" w:hAnsi="標楷體" w:eastAsia="標楷體" w:cs="標楷體"/>
          <w:b w:val="0"/>
          <w:i w:val="0"/>
          <w:sz w:val="24"/>
        </w:rPr>
        <w:t>股票池改用平台網站的做法，即「資料截點當時」成交金額前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300 </w:t>
      </w:r>
      <w:r>
        <w:rPr>
          <w:rFonts w:ascii="標楷體" w:hAnsi="標楷體" w:eastAsia="標楷體" w:cs="標楷體"/>
          <w:b w:val="0"/>
          <w:i w:val="0"/>
          <w:sz w:val="24"/>
        </w:rPr>
        <w:t>大的現存股票套用到整段歷史；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(2) </w:t>
      </w:r>
      <w:r>
        <w:rPr>
          <w:rFonts w:ascii="標楷體" w:hAnsi="標楷體" w:eastAsia="標楷體" w:cs="標楷體"/>
          <w:b w:val="0"/>
          <w:i w:val="0"/>
          <w:sz w:val="24"/>
        </w:rPr>
        <w:t>調倉日期網格改從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2019-01-02 </w:t>
      </w:r>
      <w:r>
        <w:rPr>
          <w:rFonts w:ascii="標楷體" w:hAnsi="標楷體" w:eastAsia="標楷體" w:cs="標楷體"/>
          <w:b w:val="0"/>
          <w:i w:val="0"/>
          <w:sz w:val="24"/>
        </w:rPr>
        <w:t>起算（長期間回測），使調倉日與模型重新訓練的時點和正式版本不同。</w:t>
      </w:r>
    </w:p>
    <w:p>
      <w:pPr>
        <w:keepNext/>
        <w:spacing w:before="200" w:after="80" w:line="312" w:lineRule="auto"/>
        <w:jc w:val="center"/>
      </w:pPr>
      <w:r>
        <w:rPr>
          <w:rFonts w:ascii="標楷體" w:hAnsi="標楷體" w:eastAsia="標楷體" w:cs="標楷體"/>
          <w:b/>
          <w:i w:val="0"/>
          <w:sz w:val="24"/>
        </w:rPr>
        <w:t>表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4-2</w:t>
      </w:r>
      <w:r>
        <w:rPr>
          <w:rFonts w:ascii="標楷體" w:hAnsi="標楷體" w:eastAsia="標楷體" w:cs="標楷體"/>
          <w:b/>
          <w:i w:val="0"/>
          <w:sz w:val="24"/>
        </w:rPr>
        <w:t xml:space="preserve">　股票池與調倉日期對年化報酬的影響（評估期間）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24000" cy="12427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-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242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 w:line="300" w:lineRule="auto"/>
        <w:jc w:val="both"/>
      </w:pPr>
      <w:r>
        <w:rPr>
          <w:rFonts w:ascii="標楷體" w:hAnsi="標楷體" w:eastAsia="標楷體" w:cs="標楷體"/>
          <w:b w:val="0"/>
          <w:i w:val="0"/>
          <w:sz w:val="20"/>
        </w:rPr>
        <w:t>註：比較基準不受影響（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0050 </w:t>
      </w:r>
      <w:r>
        <w:rPr>
          <w:rFonts w:ascii="標楷體" w:hAnsi="標楷體" w:eastAsia="標楷體" w:cs="標楷體"/>
          <w:b w:val="0"/>
          <w:i w:val="0"/>
          <w:sz w:val="20"/>
        </w:rPr>
        <w:t>年化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50.8%</w:t>
      </w:r>
      <w:r>
        <w:rPr>
          <w:rFonts w:ascii="標楷體" w:hAnsi="標楷體" w:eastAsia="標楷體" w:cs="標楷體"/>
          <w:b w:val="0"/>
          <w:i w:val="0"/>
          <w:sz w:val="20"/>
        </w:rPr>
        <w:t>、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00850 </w:t>
      </w:r>
      <w:r>
        <w:rPr>
          <w:rFonts w:ascii="標楷體" w:hAnsi="標楷體" w:eastAsia="標楷體" w:cs="標楷體"/>
          <w:b w:val="0"/>
          <w:i w:val="0"/>
          <w:sz w:val="20"/>
        </w:rPr>
        <w:t>年化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46.1%</w:t>
      </w:r>
      <w:r>
        <w:rPr>
          <w:rFonts w:ascii="標楷體" w:hAnsi="標楷體" w:eastAsia="標楷體" w:cs="標楷體"/>
          <w:b w:val="0"/>
          <w:i w:val="0"/>
          <w:sz w:val="20"/>
        </w:rPr>
        <w:t>）。對照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1 </w:t>
      </w:r>
      <w:r>
        <w:rPr>
          <w:rFonts w:ascii="標楷體" w:hAnsi="標楷體" w:eastAsia="標楷體" w:cs="標楷體"/>
          <w:b w:val="0"/>
          <w:i w:val="0"/>
          <w:sz w:val="20"/>
        </w:rPr>
        <w:t>由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run_research.py --test-yahoo </w:t>
      </w:r>
      <w:r>
        <w:rPr>
          <w:rFonts w:ascii="標楷體" w:hAnsi="標楷體" w:eastAsia="標楷體" w:cs="標楷體"/>
          <w:b w:val="0"/>
          <w:i w:val="0"/>
          <w:sz w:val="20"/>
        </w:rPr>
        <w:t>產生（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>outputs/research/thesis_2026-10-20_current_universe/</w:t>
      </w:r>
      <w:r>
        <w:rPr>
          <w:rFonts w:ascii="標楷體" w:hAnsi="標楷體" w:eastAsia="標楷體" w:cs="標楷體"/>
          <w:b w:val="0"/>
          <w:i w:val="0"/>
          <w:sz w:val="20"/>
        </w:rPr>
        <w:t>）；對照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2 </w:t>
      </w:r>
      <w:r>
        <w:rPr>
          <w:rFonts w:ascii="標楷體" w:hAnsi="標楷體" w:eastAsia="標楷體" w:cs="標楷體"/>
          <w:b w:val="0"/>
          <w:i w:val="0"/>
          <w:sz w:val="20"/>
        </w:rPr>
        <w:t>來自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strategy_returns_long.csv</w:t>
      </w:r>
      <w:r>
        <w:rPr>
          <w:rFonts w:ascii="標楷體" w:hAnsi="標楷體" w:eastAsia="標楷體" w:cs="標楷體"/>
          <w:b w:val="0"/>
          <w:i w:val="0"/>
          <w:sz w:val="20"/>
        </w:rPr>
        <w:t>。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對照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1 </w:t>
      </w:r>
      <w:r>
        <w:rPr>
          <w:rFonts w:ascii="標楷體" w:hAnsi="標楷體" w:eastAsia="標楷體" w:cs="標楷體"/>
          <w:b w:val="0"/>
          <w:i w:val="0"/>
          <w:sz w:val="24"/>
        </w:rPr>
        <w:t>的年化報酬遠高於正式版本，主要原因是後見之明偏誤：用「現在」的熱門股回頭建構過去的股票池，等於事先排除了之後表現不佳或下市的股票。正式版本中，單純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AI </w:t>
      </w:r>
      <w:r>
        <w:rPr>
          <w:rFonts w:ascii="標楷體" w:hAnsi="標楷體" w:eastAsia="標楷體" w:cs="標楷體"/>
          <w:b w:val="0"/>
          <w:i w:val="0"/>
          <w:sz w:val="24"/>
        </w:rPr>
        <w:t>的持股有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47% </w:t>
      </w:r>
      <w:r>
        <w:rPr>
          <w:rFonts w:ascii="標楷體" w:hAnsi="標楷體" w:eastAsia="標楷體" w:cs="標楷體"/>
          <w:b w:val="0"/>
          <w:i w:val="0"/>
          <w:sz w:val="24"/>
        </w:rPr>
        <w:t>不在資料截點當時的前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300 </w:t>
      </w:r>
      <w:r>
        <w:rPr>
          <w:rFonts w:ascii="標楷體" w:hAnsi="標楷體" w:eastAsia="標楷體" w:cs="標楷體"/>
          <w:b w:val="0"/>
          <w:i w:val="0"/>
          <w:sz w:val="24"/>
        </w:rPr>
        <w:t>大名單內，這些持股的平均每期（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10 </w:t>
      </w:r>
      <w:r>
        <w:rPr>
          <w:rFonts w:ascii="標楷體" w:hAnsi="標楷體" w:eastAsia="標楷體" w:cs="標楷體"/>
          <w:b w:val="0"/>
          <w:i w:val="0"/>
          <w:sz w:val="24"/>
        </w:rPr>
        <w:t>個交易日）報酬為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−0.18%</w:t>
      </w:r>
      <w:r>
        <w:rPr>
          <w:rFonts w:ascii="標楷體" w:hAnsi="標楷體" w:eastAsia="標楷體" w:cs="標楷體"/>
          <w:b w:val="0"/>
          <w:i w:val="0"/>
          <w:sz w:val="24"/>
        </w:rPr>
        <w:t>，其餘持股為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4.40%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holding_period_returns.csv</w:t>
      </w:r>
      <w:r>
        <w:rPr>
          <w:rFonts w:ascii="標楷體" w:hAnsi="標楷體" w:eastAsia="標楷體" w:cs="標楷體"/>
          <w:b w:val="0"/>
          <w:i w:val="0"/>
          <w:sz w:val="24"/>
        </w:rPr>
        <w:t>）。對照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 </w:t>
      </w:r>
      <w:r>
        <w:rPr>
          <w:rFonts w:ascii="標楷體" w:hAnsi="標楷體" w:eastAsia="標楷體" w:cs="標楷體"/>
          <w:b w:val="0"/>
          <w:i w:val="0"/>
          <w:sz w:val="24"/>
        </w:rPr>
        <w:t>則顯示，僅改變調倉日期網格，單純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AI </w:t>
      </w:r>
      <w:r>
        <w:rPr>
          <w:rFonts w:ascii="標楷體" w:hAnsi="標楷體" w:eastAsia="標楷體" w:cs="標楷體"/>
          <w:b w:val="0"/>
          <w:i w:val="0"/>
          <w:sz w:val="24"/>
        </w:rPr>
        <w:t>的年化報酬就變動約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19 </w:t>
      </w:r>
      <w:r>
        <w:rPr>
          <w:rFonts w:ascii="標楷體" w:hAnsi="標楷體" w:eastAsia="標楷體" w:cs="標楷體"/>
          <w:b w:val="0"/>
          <w:i w:val="0"/>
          <w:sz w:val="24"/>
        </w:rPr>
        <w:t>個百分點，說明結果對調倉時點相當敏感。平台網站目前沿用對照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1 </w:t>
      </w:r>
      <w:r>
        <w:rPr>
          <w:rFonts w:ascii="標楷體" w:hAnsi="標楷體" w:eastAsia="標楷體" w:cs="標楷體"/>
          <w:b w:val="0"/>
          <w:i w:val="0"/>
          <w:sz w:val="24"/>
        </w:rPr>
        <w:t>的股票池，其顯示的報酬應視為高估。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四、年度報酬</w:t>
      </w:r>
    </w:p>
    <w:p>
      <w:pPr>
        <w:keepNext/>
        <w:spacing w:before="200" w:after="80" w:line="312" w:lineRule="auto"/>
        <w:jc w:val="center"/>
      </w:pPr>
      <w:r>
        <w:rPr>
          <w:rFonts w:ascii="標楷體" w:hAnsi="標楷體" w:eastAsia="標楷體" w:cs="標楷體"/>
          <w:b/>
          <w:i w:val="0"/>
          <w:sz w:val="24"/>
        </w:rPr>
        <w:t>表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4-3</w:t>
      </w:r>
      <w:r>
        <w:rPr>
          <w:rFonts w:ascii="標楷體" w:hAnsi="標楷體" w:eastAsia="標楷體" w:cs="標楷體"/>
          <w:b/>
          <w:i w:val="0"/>
          <w:sz w:val="24"/>
        </w:rPr>
        <w:t xml:space="preserve">　各年度報酬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24000" cy="17623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-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762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 w:line="300" w:lineRule="auto"/>
        <w:jc w:val="both"/>
      </w:pPr>
      <w:r>
        <w:rPr>
          <w:rFonts w:ascii="標楷體" w:hAnsi="標楷體" w:eastAsia="標楷體" w:cs="標楷體"/>
          <w:b w:val="0"/>
          <w:i w:val="0"/>
          <w:sz w:val="20"/>
        </w:rPr>
        <w:t>來源：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>tables/table_4_2_yearly.csv</w:t>
      </w:r>
      <w:r>
        <w:rPr>
          <w:rFonts w:ascii="標楷體" w:hAnsi="標楷體" w:eastAsia="標楷體" w:cs="標楷體"/>
          <w:b w:val="0"/>
          <w:i w:val="0"/>
          <w:sz w:val="20"/>
        </w:rPr>
        <w:t>。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完整年度（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2023</w:t>
      </w:r>
      <w:r>
        <w:rPr>
          <w:rFonts w:ascii="標楷體" w:hAnsi="標楷體" w:eastAsia="標楷體" w:cs="標楷體"/>
          <w:b w:val="0"/>
          <w:i w:val="0"/>
          <w:sz w:val="24"/>
        </w:rPr>
        <w:t>～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2025</w:t>
      </w:r>
      <w:r>
        <w:rPr>
          <w:rFonts w:ascii="標楷體" w:hAnsi="標楷體" w:eastAsia="標楷體" w:cs="標楷體"/>
          <w:b w:val="0"/>
          <w:i w:val="0"/>
          <w:sz w:val="24"/>
        </w:rPr>
        <w:t>）中，單純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AI </w:t>
      </w:r>
      <w:r>
        <w:rPr>
          <w:rFonts w:ascii="標楷體" w:hAnsi="標楷體" w:eastAsia="標楷體" w:cs="標楷體"/>
          <w:b w:val="0"/>
          <w:i w:val="0"/>
          <w:sz w:val="24"/>
        </w:rPr>
        <w:t>報酬高於加權指數與三檔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ETF </w:t>
      </w:r>
      <w:r>
        <w:rPr>
          <w:rFonts w:ascii="標楷體" w:hAnsi="標楷體" w:eastAsia="標楷體" w:cs="標楷體"/>
          <w:b w:val="0"/>
          <w:i w:val="0"/>
          <w:sz w:val="24"/>
        </w:rPr>
        <w:t>的年度為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2025</w:t>
      </w:r>
      <w:r>
        <w:rPr>
          <w:rFonts w:ascii="標楷體" w:hAnsi="標楷體" w:eastAsia="標楷體" w:cs="標楷體"/>
          <w:b w:val="0"/>
          <w:i w:val="0"/>
          <w:sz w:val="24"/>
        </w:rPr>
        <w:t>，低於加權指數的年度為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2024</w:t>
      </w:r>
      <w:r>
        <w:rPr>
          <w:rFonts w:ascii="標楷體" w:hAnsi="標楷體" w:eastAsia="標楷體" w:cs="標楷體"/>
          <w:b w:val="0"/>
          <w:i w:val="0"/>
          <w:sz w:val="24"/>
        </w:rPr>
        <w:t>；各策略的年度表現起伏都很大，沒有任何策略每年穩定領先。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五、市場情境與參與率</w:t>
      </w:r>
    </w:p>
    <w:p>
      <w:pPr>
        <w:keepNext/>
        <w:spacing w:before="200" w:after="80" w:line="312" w:lineRule="auto"/>
        <w:jc w:val="center"/>
      </w:pPr>
      <w:r>
        <w:rPr>
          <w:rFonts w:ascii="標楷體" w:hAnsi="標楷體" w:eastAsia="標楷體" w:cs="標楷體"/>
          <w:b/>
          <w:i w:val="0"/>
          <w:sz w:val="24"/>
        </w:rPr>
        <w:t>表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4-4</w:t>
      </w:r>
      <w:r>
        <w:rPr>
          <w:rFonts w:ascii="標楷體" w:hAnsi="標楷體" w:eastAsia="標楷體" w:cs="標楷體"/>
          <w:b/>
          <w:i w:val="0"/>
          <w:sz w:val="24"/>
        </w:rPr>
        <w:t xml:space="preserve">　各市場情境的平均年化報酬（事前規則分類）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24000" cy="15063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-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50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 w:line="300" w:lineRule="auto"/>
        <w:jc w:val="both"/>
      </w:pPr>
      <w:r>
        <w:rPr>
          <w:rFonts w:ascii="標楷體" w:hAnsi="標楷體" w:eastAsia="標楷體" w:cs="標楷體"/>
          <w:b w:val="0"/>
          <w:i w:val="0"/>
          <w:sz w:val="20"/>
        </w:rPr>
        <w:t>註：數值為該情境日報酬平均</w:t>
      </w:r>
      <w:r>
        <w:rPr>
          <w:rFonts w:ascii="標楷體" w:hAnsi="標楷體" w:eastAsia="標楷體" w:cs="標楷體"/>
          <w:b w:val="0"/>
          <w:i w:val="0"/>
          <w:sz w:val="20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20"/>
        </w:rPr>
        <w:t>×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252</w:t>
      </w:r>
      <w:r>
        <w:rPr>
          <w:rFonts w:ascii="標楷體" w:hAnsi="標楷體" w:eastAsia="標楷體" w:cs="標楷體"/>
          <w:b w:val="0"/>
          <w:i w:val="0"/>
          <w:sz w:val="20"/>
        </w:rPr>
        <w:t>（算術年化），用於比較相對表現，非實際可得報酬；空頭情境天數少且多為急跌後的反彈期，估計誤差大。來源：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>tables/table_4_3_regimes.csv</w:t>
      </w:r>
      <w:r>
        <w:rPr>
          <w:rFonts w:ascii="標楷體" w:hAnsi="標楷體" w:eastAsia="標楷體" w:cs="標楷體"/>
          <w:b w:val="0"/>
          <w:i w:val="0"/>
          <w:sz w:val="20"/>
        </w:rPr>
        <w:t>、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>regimes.csv</w:t>
      </w:r>
      <w:r>
        <w:rPr>
          <w:rFonts w:ascii="標楷體" w:hAnsi="標楷體" w:eastAsia="標楷體" w:cs="標楷體"/>
          <w:b w:val="0"/>
          <w:i w:val="0"/>
          <w:sz w:val="20"/>
        </w:rPr>
        <w:t>。</w:t>
      </w:r>
    </w:p>
    <w:p>
      <w:pPr>
        <w:keepNext/>
        <w:spacing w:before="200" w:after="80" w:line="312" w:lineRule="auto"/>
        <w:jc w:val="center"/>
      </w:pPr>
      <w:r>
        <w:rPr>
          <w:rFonts w:ascii="標楷體" w:hAnsi="標楷體" w:eastAsia="標楷體" w:cs="標楷體"/>
          <w:b/>
          <w:i w:val="0"/>
          <w:sz w:val="24"/>
        </w:rPr>
        <w:t>表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4-5</w:t>
      </w:r>
      <w:r>
        <w:rPr>
          <w:rFonts w:ascii="標楷體" w:hAnsi="標楷體" w:eastAsia="標楷體" w:cs="標楷體"/>
          <w:b/>
          <w:i w:val="0"/>
          <w:sz w:val="24"/>
        </w:rPr>
        <w:t xml:space="preserve">　上漲日／下跌日參與率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24000" cy="1860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-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86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 w:line="300" w:lineRule="auto"/>
        <w:jc w:val="both"/>
      </w:pPr>
      <w:r>
        <w:rPr>
          <w:rFonts w:ascii="標楷體" w:hAnsi="標楷體" w:eastAsia="標楷體" w:cs="標楷體"/>
          <w:b w:val="0"/>
          <w:i w:val="0"/>
          <w:sz w:val="20"/>
        </w:rPr>
        <w:t>註：參與率</w:t>
      </w:r>
      <w:r>
        <w:rPr>
          <w:rFonts w:ascii="標楷體" w:hAnsi="標楷體" w:eastAsia="標楷體" w:cs="標楷體"/>
          <w:b w:val="0"/>
          <w:i w:val="0"/>
          <w:sz w:val="20"/>
        </w:rPr>
        <w:t xml:space="preserve"> = </w:t>
      </w:r>
      <w:r>
        <w:rPr>
          <w:rFonts w:ascii="標楷體" w:hAnsi="標楷體" w:eastAsia="標楷體" w:cs="標楷體"/>
          <w:b w:val="0"/>
          <w:i w:val="0"/>
          <w:sz w:val="20"/>
        </w:rPr>
        <w:t>加權指數上漲（下跌）日的策略平均日報酬</w:t>
      </w:r>
      <w:r>
        <w:rPr>
          <w:rFonts w:ascii="標楷體" w:hAnsi="標楷體" w:eastAsia="標楷體" w:cs="標楷體"/>
          <w:b w:val="0"/>
          <w:i w:val="0"/>
          <w:sz w:val="20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20"/>
        </w:rPr>
        <w:t>÷</w:t>
      </w:r>
      <w:r>
        <w:rPr>
          <w:rFonts w:ascii="標楷體" w:hAnsi="標楷體" w:eastAsia="標楷體" w:cs="標楷體"/>
          <w:b w:val="0"/>
          <w:i w:val="0"/>
          <w:sz w:val="20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20"/>
        </w:rPr>
        <w:t>加權指數平均日報酬。來源：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>tables/table_4_4_capture.csv</w:t>
      </w:r>
      <w:r>
        <w:rPr>
          <w:rFonts w:ascii="標楷體" w:hAnsi="標楷體" w:eastAsia="標楷體" w:cs="標楷體"/>
          <w:b w:val="0"/>
          <w:i w:val="0"/>
          <w:sz w:val="20"/>
        </w:rPr>
        <w:t>。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以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00850 </w:t>
      </w:r>
      <w:r>
        <w:rPr>
          <w:rFonts w:ascii="標楷體" w:hAnsi="標楷體" w:eastAsia="標楷體" w:cs="標楷體"/>
          <w:b w:val="0"/>
          <w:i w:val="0"/>
          <w:sz w:val="24"/>
        </w:rPr>
        <w:t>為對照，單純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AI </w:t>
      </w:r>
      <w:r>
        <w:rPr>
          <w:rFonts w:ascii="標楷體" w:hAnsi="標楷體" w:eastAsia="標楷體" w:cs="標楷體"/>
          <w:b w:val="0"/>
          <w:i w:val="0"/>
          <w:sz w:val="24"/>
        </w:rPr>
        <w:t>在盤整、高波動情境的平均報酬較高，在多頭、空頭情境較低。參與率方面，單純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AI </w:t>
      </w:r>
      <w:r>
        <w:rPr>
          <w:rFonts w:ascii="標楷體" w:hAnsi="標楷體" w:eastAsia="標楷體" w:cs="標楷體"/>
          <w:b w:val="0"/>
          <w:i w:val="0"/>
          <w:sz w:val="24"/>
        </w:rPr>
        <w:t>上漲日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1.18</w:t>
      </w:r>
      <w:r>
        <w:rPr>
          <w:rFonts w:ascii="標楷體" w:hAnsi="標楷體" w:eastAsia="標楷體" w:cs="標楷體"/>
          <w:b w:val="0"/>
          <w:i w:val="0"/>
          <w:sz w:val="24"/>
        </w:rPr>
        <w:t>、下跌日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1.14</w:t>
      </w:r>
      <w:r>
        <w:rPr>
          <w:rFonts w:ascii="標楷體" w:hAnsi="標楷體" w:eastAsia="標楷體" w:cs="標楷體"/>
          <w:b w:val="0"/>
          <w:i w:val="0"/>
          <w:sz w:val="24"/>
        </w:rPr>
        <w:t>，漲跌都比大盤放大；規則式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篩選分別為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0.81 </w:t>
      </w:r>
      <w:r>
        <w:rPr>
          <w:rFonts w:ascii="標楷體" w:hAnsi="標楷體" w:eastAsia="標楷體" w:cs="標楷體"/>
          <w:b w:val="0"/>
          <w:i w:val="0"/>
          <w:sz w:val="24"/>
        </w:rPr>
        <w:t>與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0.79</w:t>
      </w:r>
      <w:r>
        <w:rPr>
          <w:rFonts w:ascii="標楷體" w:hAnsi="標楷體" w:eastAsia="標楷體" w:cs="標楷體"/>
          <w:b w:val="0"/>
          <w:i w:val="0"/>
          <w:sz w:val="24"/>
        </w:rPr>
        <w:t>，漲跌都比大盤小，呈現防禦性。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六、統計檢定</w:t>
      </w:r>
    </w:p>
    <w:p>
      <w:pPr>
        <w:keepNext/>
        <w:spacing w:before="200" w:after="80" w:line="312" w:lineRule="auto"/>
        <w:jc w:val="center"/>
      </w:pPr>
      <w:r>
        <w:rPr>
          <w:rFonts w:ascii="標楷體" w:hAnsi="標楷體" w:eastAsia="標楷體" w:cs="標楷體"/>
          <w:b/>
          <w:i w:val="0"/>
          <w:sz w:val="24"/>
        </w:rPr>
        <w:t>表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4-6</w:t>
      </w:r>
      <w:r>
        <w:rPr>
          <w:rFonts w:ascii="標楷體" w:hAnsi="標楷體" w:eastAsia="標楷體" w:cs="標楷體"/>
          <w:b/>
          <w:i w:val="0"/>
          <w:sz w:val="24"/>
        </w:rPr>
        <w:t xml:space="preserve">　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CAPM </w:t>
      </w:r>
      <w:r>
        <w:rPr>
          <w:rFonts w:ascii="標楷體" w:hAnsi="標楷體" w:eastAsia="標楷體" w:cs="標楷體"/>
          <w:b/>
          <w:i w:val="0"/>
          <w:sz w:val="24"/>
        </w:rPr>
        <w:t>估計（日頻，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Newey-West </w:t>
      </w:r>
      <w:r>
        <w:rPr>
          <w:rFonts w:ascii="標楷體" w:hAnsi="標楷體" w:eastAsia="標楷體" w:cs="標楷體"/>
          <w:b/>
          <w:i w:val="0"/>
          <w:sz w:val="24"/>
        </w:rPr>
        <w:t>標準誤）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24000" cy="20259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-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025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 w:line="300" w:lineRule="auto"/>
        <w:jc w:val="both"/>
      </w:pPr>
      <w:r>
        <w:rPr>
          <w:rFonts w:ascii="標楷體" w:hAnsi="標楷體" w:eastAsia="標楷體" w:cs="標楷體"/>
          <w:b w:val="0"/>
          <w:i w:val="0"/>
          <w:sz w:val="20"/>
        </w:rPr>
        <w:t>註：市場為加權指數（價格指數，不含股利，因此含息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ETF </w:t>
      </w:r>
      <w:r>
        <w:rPr>
          <w:rFonts w:ascii="標楷體" w:hAnsi="標楷體" w:eastAsia="標楷體" w:cs="標楷體"/>
          <w:b w:val="0"/>
          <w:i w:val="0"/>
          <w:sz w:val="20"/>
        </w:rPr>
        <w:t>的</w:t>
      </w:r>
      <w:r>
        <w:rPr>
          <w:rFonts w:ascii="標楷體" w:hAnsi="標楷體" w:eastAsia="標楷體" w:cs="標楷體"/>
          <w:b w:val="0"/>
          <w:i w:val="0"/>
          <w:sz w:val="20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20"/>
        </w:rPr>
        <w:t>α</w:t>
      </w:r>
      <w:r>
        <w:rPr>
          <w:rFonts w:ascii="標楷體" w:hAnsi="標楷體" w:eastAsia="標楷體" w:cs="標楷體"/>
          <w:b w:val="0"/>
          <w:i w:val="0"/>
          <w:sz w:val="20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20"/>
        </w:rPr>
        <w:t>會偏正），無風險利率年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1%</w:t>
      </w:r>
      <w:r>
        <w:rPr>
          <w:rFonts w:ascii="標楷體" w:hAnsi="標楷體" w:eastAsia="標楷體" w:cs="標楷體"/>
          <w:b w:val="0"/>
          <w:i w:val="0"/>
          <w:sz w:val="20"/>
        </w:rPr>
        <w:t>；落後期數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6</w:t>
      </w:r>
      <w:r>
        <w:rPr>
          <w:rFonts w:ascii="標楷體" w:hAnsi="標楷體" w:eastAsia="標楷體" w:cs="標楷體"/>
          <w:b w:val="0"/>
          <w:i w:val="0"/>
          <w:sz w:val="20"/>
        </w:rPr>
        <w:t>。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Holm </w:t>
      </w:r>
      <w:r>
        <w:rPr>
          <w:rFonts w:ascii="標楷體" w:hAnsi="標楷體" w:eastAsia="標楷體" w:cs="標楷體"/>
          <w:b w:val="0"/>
          <w:i w:val="0"/>
          <w:sz w:val="20"/>
        </w:rPr>
        <w:t>調整涵蓋本表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6 </w:t>
      </w:r>
      <w:r>
        <w:rPr>
          <w:rFonts w:ascii="標楷體" w:hAnsi="標楷體" w:eastAsia="標楷體" w:cs="標楷體"/>
          <w:b w:val="0"/>
          <w:i w:val="0"/>
          <w:sz w:val="20"/>
        </w:rPr>
        <w:t>個</w:t>
      </w:r>
      <w:r>
        <w:rPr>
          <w:rFonts w:ascii="標楷體" w:hAnsi="標楷體" w:eastAsia="標楷體" w:cs="標楷體"/>
          <w:b w:val="0"/>
          <w:i w:val="0"/>
          <w:sz w:val="20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20"/>
        </w:rPr>
        <w:t>α</w:t>
      </w:r>
      <w:r>
        <w:rPr>
          <w:rFonts w:ascii="標楷體" w:hAnsi="標楷體" w:eastAsia="標楷體" w:cs="標楷體"/>
          <w:b w:val="0"/>
          <w:i w:val="0"/>
          <w:sz w:val="20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20"/>
        </w:rPr>
        <w:t>檢定。來源：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>tables/table_4_5_capm_hac.csv</w:t>
      </w:r>
      <w:r>
        <w:rPr>
          <w:rFonts w:ascii="標楷體" w:hAnsi="標楷體" w:eastAsia="標楷體" w:cs="標楷體"/>
          <w:b w:val="0"/>
          <w:i w:val="0"/>
          <w:sz w:val="20"/>
        </w:rPr>
        <w:t>。</w:t>
      </w:r>
    </w:p>
    <w:p>
      <w:pPr>
        <w:keepNext/>
        <w:spacing w:before="200" w:after="80" w:line="312" w:lineRule="auto"/>
        <w:jc w:val="center"/>
      </w:pPr>
      <w:r>
        <w:rPr>
          <w:rFonts w:ascii="標楷體" w:hAnsi="標楷體" w:eastAsia="標楷體" w:cs="標楷體"/>
          <w:b/>
          <w:i w:val="0"/>
          <w:sz w:val="24"/>
        </w:rPr>
        <w:t>表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4-7</w:t>
      </w:r>
      <w:r>
        <w:rPr>
          <w:rFonts w:ascii="標楷體" w:hAnsi="標楷體" w:eastAsia="標楷體" w:cs="標楷體"/>
          <w:b/>
          <w:i w:val="0"/>
          <w:sz w:val="24"/>
        </w:rPr>
        <w:t xml:space="preserve">　日報酬差異檢定（策略</w:t>
      </w:r>
      <w:r>
        <w:rPr>
          <w:rFonts w:ascii="標楷體" w:hAnsi="標楷體" w:eastAsia="標楷體" w:cs="標楷體"/>
          <w:b/>
          <w:i w:val="0"/>
          <w:sz w:val="24"/>
        </w:rPr>
        <w:t xml:space="preserve"> − </w:t>
      </w:r>
      <w:r>
        <w:rPr>
          <w:rFonts w:ascii="標楷體" w:hAnsi="標楷體" w:eastAsia="標楷體" w:cs="標楷體"/>
          <w:b/>
          <w:i w:val="0"/>
          <w:sz w:val="24"/>
        </w:rPr>
        <w:t>基準，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Newey-West </w:t>
      </w:r>
      <w:r>
        <w:rPr>
          <w:rFonts w:ascii="標楷體" w:hAnsi="標楷體" w:eastAsia="標楷體" w:cs="標楷體"/>
          <w:b/>
          <w:i w:val="0"/>
          <w:sz w:val="24"/>
        </w:rPr>
        <w:t>標準誤）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24000" cy="41197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-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119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 w:line="300" w:lineRule="auto"/>
        <w:jc w:val="both"/>
      </w:pPr>
      <w:r>
        <w:rPr>
          <w:rFonts w:ascii="標楷體" w:hAnsi="標楷體" w:eastAsia="標楷體" w:cs="標楷體"/>
          <w:b w:val="0"/>
          <w:i w:val="0"/>
          <w:sz w:val="20"/>
        </w:rPr>
        <w:t>註：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n = 960 </w:t>
      </w:r>
      <w:r>
        <w:rPr>
          <w:rFonts w:ascii="標楷體" w:hAnsi="標楷體" w:eastAsia="標楷體" w:cs="標楷體"/>
          <w:b w:val="0"/>
          <w:i w:val="0"/>
          <w:sz w:val="20"/>
        </w:rPr>
        <w:t>個交易日。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Holm </w:t>
      </w:r>
      <w:r>
        <w:rPr>
          <w:rFonts w:ascii="標楷體" w:hAnsi="標楷體" w:eastAsia="標楷體" w:cs="標楷體"/>
          <w:b w:val="0"/>
          <w:i w:val="0"/>
          <w:sz w:val="20"/>
        </w:rPr>
        <w:t>調整涵蓋本表全部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14 </w:t>
      </w:r>
      <w:r>
        <w:rPr>
          <w:rFonts w:ascii="標楷體" w:hAnsi="標楷體" w:eastAsia="標楷體" w:cs="標楷體"/>
          <w:b w:val="0"/>
          <w:i w:val="0"/>
          <w:sz w:val="20"/>
        </w:rPr>
        <w:t>個比較。年化差</w:t>
      </w:r>
      <w:r>
        <w:rPr>
          <w:rFonts w:ascii="標楷體" w:hAnsi="標楷體" w:eastAsia="標楷體" w:cs="標楷體"/>
          <w:b w:val="0"/>
          <w:i w:val="0"/>
          <w:sz w:val="20"/>
        </w:rPr>
        <w:t xml:space="preserve"> = </w:t>
      </w:r>
      <w:r>
        <w:rPr>
          <w:rFonts w:ascii="標楷體" w:hAnsi="標楷體" w:eastAsia="標楷體" w:cs="標楷體"/>
          <w:b w:val="0"/>
          <w:i w:val="0"/>
          <w:sz w:val="20"/>
        </w:rPr>
        <w:t>日差</w:t>
      </w:r>
      <w:r>
        <w:rPr>
          <w:rFonts w:ascii="標楷體" w:hAnsi="標楷體" w:eastAsia="標楷體" w:cs="標楷體"/>
          <w:b w:val="0"/>
          <w:i w:val="0"/>
          <w:sz w:val="20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20"/>
        </w:rPr>
        <w:t>×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252</w:t>
      </w:r>
      <w:r>
        <w:rPr>
          <w:rFonts w:ascii="標楷體" w:hAnsi="標楷體" w:eastAsia="標楷體" w:cs="標楷體"/>
          <w:b w:val="0"/>
          <w:i w:val="0"/>
          <w:sz w:val="20"/>
        </w:rPr>
        <w:t>；資訊比率</w:t>
      </w:r>
      <w:r>
        <w:rPr>
          <w:rFonts w:ascii="標楷體" w:hAnsi="標楷體" w:eastAsia="標楷體" w:cs="標楷體"/>
          <w:b w:val="0"/>
          <w:i w:val="0"/>
          <w:sz w:val="20"/>
        </w:rPr>
        <w:t xml:space="preserve"> = </w:t>
      </w:r>
      <w:r>
        <w:rPr>
          <w:rFonts w:ascii="標楷體" w:hAnsi="標楷體" w:eastAsia="標楷體" w:cs="標楷體"/>
          <w:b w:val="0"/>
          <w:i w:val="0"/>
          <w:sz w:val="20"/>
        </w:rPr>
        <w:t>日差平均</w:t>
      </w:r>
      <w:r>
        <w:rPr>
          <w:rFonts w:ascii="標楷體" w:hAnsi="標楷體" w:eastAsia="標楷體" w:cs="標楷體"/>
          <w:b w:val="0"/>
          <w:i w:val="0"/>
          <w:sz w:val="20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20"/>
        </w:rPr>
        <w:t>÷</w:t>
      </w:r>
      <w:r>
        <w:rPr>
          <w:rFonts w:ascii="標楷體" w:hAnsi="標楷體" w:eastAsia="標楷體" w:cs="標楷體"/>
          <w:b w:val="0"/>
          <w:i w:val="0"/>
          <w:sz w:val="20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20"/>
        </w:rPr>
        <w:t>日差標準差</w:t>
      </w:r>
      <w:r>
        <w:rPr>
          <w:rFonts w:ascii="標楷體" w:hAnsi="標楷體" w:eastAsia="標楷體" w:cs="標楷體"/>
          <w:b w:val="0"/>
          <w:i w:val="0"/>
          <w:sz w:val="20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20"/>
        </w:rPr>
        <w:t>×</w:t>
      </w:r>
      <w:r>
        <w:rPr>
          <w:rFonts w:ascii="標楷體" w:hAnsi="標楷體" w:eastAsia="標楷體" w:cs="標楷體"/>
          <w:b w:val="0"/>
          <w:i w:val="0"/>
          <w:sz w:val="20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20"/>
        </w:rPr>
        <w:t>√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>252</w:t>
      </w:r>
      <w:r>
        <w:rPr>
          <w:rFonts w:ascii="標楷體" w:hAnsi="標楷體" w:eastAsia="標楷體" w:cs="標楷體"/>
          <w:b w:val="0"/>
          <w:i w:val="0"/>
          <w:sz w:val="20"/>
        </w:rPr>
        <w:t>。來源：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>tables/table_4_6_diff_hac.csv</w:t>
      </w:r>
      <w:r>
        <w:rPr>
          <w:rFonts w:ascii="標楷體" w:hAnsi="標楷體" w:eastAsia="標楷體" w:cs="標楷體"/>
          <w:b w:val="0"/>
          <w:i w:val="0"/>
          <w:sz w:val="20"/>
        </w:rPr>
        <w:t>。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以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Holm </w:t>
      </w:r>
      <w:r>
        <w:rPr>
          <w:rFonts w:ascii="標楷體" w:hAnsi="標楷體" w:eastAsia="標楷體" w:cs="標楷體"/>
          <w:b w:val="0"/>
          <w:i w:val="0"/>
          <w:sz w:val="24"/>
        </w:rPr>
        <w:t>調整後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p &lt; 0.05 </w:t>
      </w:r>
      <w:r>
        <w:rPr>
          <w:rFonts w:ascii="標楷體" w:hAnsi="標楷體" w:eastAsia="標楷體" w:cs="標楷體"/>
          <w:b w:val="0"/>
          <w:i w:val="0"/>
          <w:sz w:val="24"/>
        </w:rPr>
        <w:t>為準，沒有任何比較達到顯著：三個策略相對加權指數與各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ETF </w:t>
      </w:r>
      <w:r>
        <w:rPr>
          <w:rFonts w:ascii="標楷體" w:hAnsi="標楷體" w:eastAsia="標楷體" w:cs="標楷體"/>
          <w:b w:val="0"/>
          <w:i w:val="0"/>
          <w:sz w:val="24"/>
        </w:rPr>
        <w:t>的日報酬差，點估計有正有負，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95% </w:t>
      </w:r>
      <w:r>
        <w:rPr>
          <w:rFonts w:ascii="標楷體" w:hAnsi="標楷體" w:eastAsia="標楷體" w:cs="標楷體"/>
          <w:b w:val="0"/>
          <w:i w:val="0"/>
          <w:sz w:val="24"/>
        </w:rPr>
        <w:t>信賴區間皆包含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0</w:t>
      </w:r>
      <w:r>
        <w:rPr>
          <w:rFonts w:ascii="標楷體" w:hAnsi="標楷體" w:eastAsia="標楷體" w:cs="標楷體"/>
          <w:b w:val="0"/>
          <w:i w:val="0"/>
          <w:sz w:val="24"/>
        </w:rPr>
        <w:t>。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CAPM </w:t>
      </w:r>
      <w:r>
        <w:rPr>
          <w:rFonts w:ascii="標楷體" w:hAnsi="標楷體" w:eastAsia="標楷體" w:cs="標楷體"/>
          <w:b w:val="0"/>
          <w:i w:val="0"/>
          <w:sz w:val="24"/>
        </w:rPr>
        <w:t>方面，三個策略的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24"/>
        </w:rPr>
        <w:t>α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24"/>
        </w:rPr>
        <w:t>都不顯著（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Holm p </w:t>
      </w:r>
      <w:r>
        <w:rPr>
          <w:rFonts w:ascii="標楷體" w:hAnsi="標楷體" w:eastAsia="標楷體" w:cs="標楷體"/>
          <w:b w:val="0"/>
          <w:i w:val="0"/>
          <w:sz w:val="24"/>
        </w:rPr>
        <w:t>分別為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1.000</w:t>
      </w:r>
      <w:r>
        <w:rPr>
          <w:rFonts w:ascii="標楷體" w:hAnsi="標楷體" w:eastAsia="標楷體" w:cs="標楷體"/>
          <w:b w:val="0"/>
          <w:i w:val="0"/>
          <w:sz w:val="24"/>
        </w:rPr>
        <w:t>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1.000</w:t>
      </w:r>
      <w:r>
        <w:rPr>
          <w:rFonts w:ascii="標楷體" w:hAnsi="標楷體" w:eastAsia="標楷體" w:cs="標楷體"/>
          <w:b w:val="0"/>
          <w:i w:val="0"/>
          <w:sz w:val="24"/>
        </w:rPr>
        <w:t>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1.000</w:t>
      </w:r>
      <w:r>
        <w:rPr>
          <w:rFonts w:ascii="標楷體" w:hAnsi="標楷體" w:eastAsia="標楷體" w:cs="標楷體"/>
          <w:b w:val="0"/>
          <w:i w:val="0"/>
          <w:sz w:val="24"/>
        </w:rPr>
        <w:t>）。另有規則式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篩選相對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0050</w:t>
      </w:r>
      <w:r>
        <w:rPr>
          <w:rFonts w:ascii="標楷體" w:hAnsi="標楷體" w:eastAsia="標楷體" w:cs="標楷體"/>
          <w:b w:val="0"/>
          <w:i w:val="0"/>
          <w:sz w:val="24"/>
        </w:rPr>
        <w:t>（年化差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−13.4%</w:t>
      </w:r>
      <w:r>
        <w:rPr>
          <w:rFonts w:ascii="標楷體" w:hAnsi="標楷體" w:eastAsia="標楷體" w:cs="標楷體"/>
          <w:b w:val="0"/>
          <w:i w:val="0"/>
          <w:sz w:val="24"/>
        </w:rPr>
        <w:t>，未調整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p = 0.039</w:t>
      </w:r>
      <w:r>
        <w:rPr>
          <w:rFonts w:ascii="標楷體" w:hAnsi="標楷體" w:eastAsia="標楷體" w:cs="標楷體"/>
          <w:b w:val="0"/>
          <w:i w:val="0"/>
          <w:sz w:val="24"/>
        </w:rPr>
        <w:t>）在未調整時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p &lt; 0.05</w:t>
      </w:r>
      <w:r>
        <w:rPr>
          <w:rFonts w:ascii="標楷體" w:hAnsi="標楷體" w:eastAsia="標楷體" w:cs="標楷體"/>
          <w:b w:val="0"/>
          <w:i w:val="0"/>
          <w:sz w:val="24"/>
        </w:rPr>
        <w:t>，但經多重比較調整後不顯著。因此本研究不能宣稱任何策略「顯著優於」市售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ETF</w:t>
      </w:r>
      <w:r>
        <w:rPr>
          <w:rFonts w:ascii="標楷體" w:hAnsi="標楷體" w:eastAsia="標楷體" w:cs="標楷體"/>
          <w:b w:val="0"/>
          <w:i w:val="0"/>
          <w:sz w:val="24"/>
        </w:rPr>
        <w:t>。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七、交易成本與滑價敏感度</w:t>
      </w:r>
    </w:p>
    <w:p>
      <w:pPr>
        <w:keepNext/>
        <w:spacing w:before="200" w:after="80" w:line="312" w:lineRule="auto"/>
        <w:jc w:val="center"/>
      </w:pPr>
      <w:r>
        <w:rPr>
          <w:rFonts w:ascii="標楷體" w:hAnsi="標楷體" w:eastAsia="標楷體" w:cs="標楷體"/>
          <w:b/>
          <w:i w:val="0"/>
          <w:sz w:val="24"/>
        </w:rPr>
        <w:t>表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4-8</w:t>
      </w:r>
      <w:r>
        <w:rPr>
          <w:rFonts w:ascii="標楷體" w:hAnsi="標楷體" w:eastAsia="標楷體" w:cs="標楷體"/>
          <w:b/>
          <w:i w:val="0"/>
          <w:sz w:val="24"/>
        </w:rPr>
        <w:t xml:space="preserve">　換股與交易成本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24000" cy="10770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-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077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 w:line="300" w:lineRule="auto"/>
        <w:jc w:val="both"/>
      </w:pPr>
      <w:r>
        <w:rPr>
          <w:rFonts w:ascii="標楷體" w:hAnsi="標楷體" w:eastAsia="標楷體" w:cs="標楷體"/>
          <w:b w:val="0"/>
          <w:i w:val="0"/>
          <w:sz w:val="20"/>
        </w:rPr>
        <w:t>註：累計交易成本為各次換股成本的加總（占當時淨值比例）。來源：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>tables/table_4_9a_turnover_cost.csv</w:t>
      </w:r>
      <w:r>
        <w:rPr>
          <w:rFonts w:ascii="標楷體" w:hAnsi="標楷體" w:eastAsia="標楷體" w:cs="標楷體"/>
          <w:b w:val="0"/>
          <w:i w:val="0"/>
          <w:sz w:val="20"/>
        </w:rPr>
        <w:t>。</w:t>
      </w:r>
    </w:p>
    <w:p>
      <w:pPr>
        <w:keepNext/>
        <w:spacing w:before="200" w:after="80" w:line="312" w:lineRule="auto"/>
        <w:jc w:val="center"/>
      </w:pPr>
      <w:r>
        <w:rPr>
          <w:rFonts w:ascii="標楷體" w:hAnsi="標楷體" w:eastAsia="標楷體" w:cs="標楷體"/>
          <w:b/>
          <w:i w:val="0"/>
          <w:sz w:val="24"/>
        </w:rPr>
        <w:t>表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4-9</w:t>
      </w:r>
      <w:r>
        <w:rPr>
          <w:rFonts w:ascii="標楷體" w:hAnsi="標楷體" w:eastAsia="標楷體" w:cs="標楷體"/>
          <w:b/>
          <w:i w:val="0"/>
          <w:sz w:val="24"/>
        </w:rPr>
        <w:t xml:space="preserve">　滑價敏感度（每邊額外成本）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24000" cy="343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-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43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 w:line="300" w:lineRule="auto"/>
        <w:jc w:val="both"/>
      </w:pPr>
      <w:r>
        <w:rPr>
          <w:rFonts w:ascii="標楷體" w:hAnsi="標楷體" w:eastAsia="標楷體" w:cs="標楷體"/>
          <w:b w:val="0"/>
          <w:i w:val="0"/>
          <w:sz w:val="20"/>
        </w:rPr>
        <w:t>註：使用相同持股，只改變每次換股的成本重新計算（未重新訓練模型）。來源：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>tables/table_4_9b_slippage.csv</w:t>
      </w:r>
      <w:r>
        <w:rPr>
          <w:rFonts w:ascii="標楷體" w:hAnsi="標楷體" w:eastAsia="標楷體" w:cs="標楷體"/>
          <w:b w:val="0"/>
          <w:i w:val="0"/>
          <w:sz w:val="20"/>
        </w:rPr>
        <w:t>。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AI </w:t>
      </w:r>
      <w:r>
        <w:rPr>
          <w:rFonts w:ascii="標楷體" w:hAnsi="標楷體" w:eastAsia="標楷體" w:cs="標楷體"/>
          <w:b w:val="0"/>
          <w:i w:val="0"/>
          <w:sz w:val="24"/>
        </w:rPr>
        <w:t>策略每次調倉約換掉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77% </w:t>
      </w:r>
      <w:r>
        <w:rPr>
          <w:rFonts w:ascii="標楷體" w:hAnsi="標楷體" w:eastAsia="標楷體" w:cs="標楷體"/>
          <w:b w:val="0"/>
          <w:i w:val="0"/>
          <w:sz w:val="24"/>
        </w:rPr>
        <w:t>的持股，評估期間累計交易成本約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43%</w:t>
      </w:r>
      <w:r>
        <w:rPr>
          <w:rFonts w:ascii="標楷體" w:hAnsi="標楷體" w:eastAsia="標楷體" w:cs="標楷體"/>
          <w:b w:val="0"/>
          <w:i w:val="0"/>
          <w:sz w:val="24"/>
        </w:rPr>
        <w:t>，對成本非常敏感：每邊加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30 bps </w:t>
      </w:r>
      <w:r>
        <w:rPr>
          <w:rFonts w:ascii="標楷體" w:hAnsi="標楷體" w:eastAsia="標楷體" w:cs="標楷體"/>
          <w:b w:val="0"/>
          <w:i w:val="0"/>
          <w:sz w:val="24"/>
        </w:rPr>
        <w:t>滑價後，單純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AI </w:t>
      </w:r>
      <w:r>
        <w:rPr>
          <w:rFonts w:ascii="標楷體" w:hAnsi="標楷體" w:eastAsia="標楷體" w:cs="標楷體"/>
          <w:b w:val="0"/>
          <w:i w:val="0"/>
          <w:sz w:val="24"/>
        </w:rPr>
        <w:t>年化報酬降至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29.3%</w:t>
      </w:r>
      <w:r>
        <w:rPr>
          <w:rFonts w:ascii="標楷體" w:hAnsi="標楷體" w:eastAsia="標楷體" w:cs="標楷體"/>
          <w:b w:val="0"/>
          <w:i w:val="0"/>
          <w:sz w:val="24"/>
        </w:rPr>
        <w:t>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AI+ESG </w:t>
      </w:r>
      <w:r>
        <w:rPr>
          <w:rFonts w:ascii="標楷體" w:hAnsi="標楷體" w:eastAsia="標楷體" w:cs="標楷體"/>
          <w:b w:val="0"/>
          <w:i w:val="0"/>
          <w:sz w:val="24"/>
        </w:rPr>
        <w:t>降至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25.1%</w:t>
      </w:r>
      <w:r>
        <w:rPr>
          <w:rFonts w:ascii="標楷體" w:hAnsi="標楷體" w:eastAsia="標楷體" w:cs="標楷體"/>
          <w:b w:val="0"/>
          <w:i w:val="0"/>
          <w:sz w:val="24"/>
        </w:rPr>
        <w:t>，相對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00850 </w:t>
      </w:r>
      <w:r>
        <w:rPr>
          <w:rFonts w:ascii="標楷體" w:hAnsi="標楷體" w:eastAsia="標楷體" w:cs="標楷體"/>
          <w:b w:val="0"/>
          <w:i w:val="0"/>
          <w:sz w:val="24"/>
        </w:rPr>
        <w:t>的差距轉為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−6.4% </w:t>
      </w:r>
      <w:r>
        <w:rPr>
          <w:rFonts w:ascii="標楷體" w:hAnsi="標楷體" w:eastAsia="標楷體" w:cs="標楷體"/>
          <w:b w:val="0"/>
          <w:i w:val="0"/>
          <w:sz w:val="24"/>
        </w:rPr>
        <w:t>與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−12.9%</w:t>
      </w:r>
      <w:r>
        <w:rPr>
          <w:rFonts w:ascii="標楷體" w:hAnsi="標楷體" w:eastAsia="標楷體" w:cs="標楷體"/>
          <w:b w:val="0"/>
          <w:i w:val="0"/>
          <w:sz w:val="24"/>
        </w:rPr>
        <w:t>；規則式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篩選因持股變動少，幾乎不受影響。此外，本研究假設能以收盤價成交，實務上下單時點、價格衝擊與資金規模都會進一步降低可實現報酬。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八、投組</w:t>
      </w:r>
      <w:r>
        <w:rPr>
          <w:rFonts w:ascii="Times New Roman" w:hAnsi="Times New Roman" w:eastAsia="Times New Roman" w:cs="Times New Roman"/>
          <w:b/>
          <w:i w:val="0"/>
          <w:sz w:val="30"/>
        </w:rPr>
        <w:t xml:space="preserve"> ESG </w:t>
      </w:r>
      <w:r>
        <w:rPr>
          <w:rFonts w:ascii="標楷體" w:hAnsi="標楷體" w:eastAsia="標楷體" w:cs="標楷體"/>
          <w:b/>
          <w:i w:val="0"/>
          <w:sz w:val="30"/>
        </w:rPr>
        <w:t>品質</w:t>
      </w:r>
    </w:p>
    <w:p>
      <w:pPr>
        <w:keepNext/>
        <w:spacing w:before="200" w:after="80" w:line="312" w:lineRule="auto"/>
        <w:jc w:val="center"/>
      </w:pPr>
      <w:r>
        <w:rPr>
          <w:rFonts w:ascii="標楷體" w:hAnsi="標楷體" w:eastAsia="標楷體" w:cs="標楷體"/>
          <w:b/>
          <w:i w:val="0"/>
          <w:sz w:val="24"/>
        </w:rPr>
        <w:t>表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4-10</w:t>
      </w:r>
      <w:r>
        <w:rPr>
          <w:rFonts w:ascii="標楷體" w:hAnsi="標楷體" w:eastAsia="標楷體" w:cs="標楷體"/>
          <w:b/>
          <w:i w:val="0"/>
          <w:sz w:val="24"/>
        </w:rPr>
        <w:t xml:space="preserve">　投組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ESG </w:t>
      </w:r>
      <w:r>
        <w:rPr>
          <w:rFonts w:ascii="標楷體" w:hAnsi="標楷體" w:eastAsia="標楷體" w:cs="標楷體"/>
          <w:b/>
          <w:i w:val="0"/>
          <w:sz w:val="24"/>
        </w:rPr>
        <w:t>品質（各調倉日平均）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24000" cy="149878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-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498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 w:line="300" w:lineRule="auto"/>
        <w:jc w:val="both"/>
      </w:pPr>
      <w:r>
        <w:rPr>
          <w:rFonts w:ascii="標楷體" w:hAnsi="標楷體" w:eastAsia="標楷體" w:cs="標楷體"/>
          <w:b w:val="0"/>
          <w:i w:val="0"/>
          <w:sz w:val="20"/>
        </w:rPr>
        <w:t>註：分數為各調倉日持股權重加權平均（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>TEJ TESG 0</w:t>
      </w:r>
      <w:r>
        <w:rPr>
          <w:rFonts w:ascii="標楷體" w:hAnsi="標楷體" w:eastAsia="標楷體" w:cs="標楷體"/>
          <w:b w:val="0"/>
          <w:i w:val="0"/>
          <w:sz w:val="20"/>
        </w:rPr>
        <w:t>～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>100</w:t>
      </w:r>
      <w:r>
        <w:rPr>
          <w:rFonts w:ascii="標楷體" w:hAnsi="標楷體" w:eastAsia="標楷體" w:cs="標楷體"/>
          <w:b w:val="0"/>
          <w:i w:val="0"/>
          <w:sz w:val="20"/>
        </w:rPr>
        <w:t>）；低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0"/>
        </w:rPr>
        <w:t>比例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= TESG </w:t>
      </w:r>
      <w:r>
        <w:rPr>
          <w:rFonts w:ascii="標楷體" w:hAnsi="標楷體" w:eastAsia="標楷體" w:cs="標楷體"/>
          <w:b w:val="0"/>
          <w:i w:val="0"/>
          <w:sz w:val="20"/>
        </w:rPr>
        <w:t>位於當期股票池後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1/3 </w:t>
      </w:r>
      <w:r>
        <w:rPr>
          <w:rFonts w:ascii="標楷體" w:hAnsi="標楷體" w:eastAsia="標楷體" w:cs="標楷體"/>
          <w:b w:val="0"/>
          <w:i w:val="0"/>
          <w:sz w:val="20"/>
        </w:rPr>
        <w:t>的持股權重；產業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HHI = </w:t>
      </w:r>
      <w:r>
        <w:rPr>
          <w:rFonts w:ascii="標楷體" w:hAnsi="標楷體" w:eastAsia="標楷體" w:cs="標楷體"/>
          <w:b w:val="0"/>
          <w:i w:val="0"/>
          <w:sz w:val="20"/>
        </w:rPr>
        <w:t>各產業權重平方和（越高越集中）。「股票池等權」為當期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300 </w:t>
      </w:r>
      <w:r>
        <w:rPr>
          <w:rFonts w:ascii="標楷體" w:hAnsi="標楷體" w:eastAsia="標楷體" w:cs="標楷體"/>
          <w:b w:val="0"/>
          <w:i w:val="0"/>
          <w:sz w:val="20"/>
        </w:rPr>
        <w:t>檔等權，作為市場代理；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ETF </w:t>
      </w:r>
      <w:r>
        <w:rPr>
          <w:rFonts w:ascii="標楷體" w:hAnsi="標楷體" w:eastAsia="標楷體" w:cs="標楷體"/>
          <w:b w:val="0"/>
          <w:i w:val="0"/>
          <w:sz w:val="20"/>
        </w:rPr>
        <w:t>歷史成分股取不到，未直接比較；碳強度資料未取得，未納入。來源：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>tables/table_4_10_esg_quality.csv</w:t>
      </w:r>
      <w:r>
        <w:rPr>
          <w:rFonts w:ascii="標楷體" w:hAnsi="標楷體" w:eastAsia="標楷體" w:cs="標楷體"/>
          <w:b w:val="0"/>
          <w:i w:val="0"/>
          <w:sz w:val="20"/>
        </w:rPr>
        <w:t>、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>esg_quality_by_rebalance.csv</w:t>
      </w:r>
      <w:r>
        <w:rPr>
          <w:rFonts w:ascii="標楷體" w:hAnsi="標楷體" w:eastAsia="標楷體" w:cs="標楷體"/>
          <w:b w:val="0"/>
          <w:i w:val="0"/>
          <w:sz w:val="20"/>
        </w:rPr>
        <w:t>。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AI+ESG </w:t>
      </w:r>
      <w:r>
        <w:rPr>
          <w:rFonts w:ascii="標楷體" w:hAnsi="標楷體" w:eastAsia="標楷體" w:cs="標楷體"/>
          <w:b w:val="0"/>
          <w:i w:val="0"/>
          <w:sz w:val="24"/>
        </w:rPr>
        <w:t>的持股加權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TESG </w:t>
      </w:r>
      <w:r>
        <w:rPr>
          <w:rFonts w:ascii="標楷體" w:hAnsi="標楷體" w:eastAsia="標楷體" w:cs="標楷體"/>
          <w:b w:val="0"/>
          <w:i w:val="0"/>
          <w:sz w:val="24"/>
        </w:rPr>
        <w:t>平均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70.5</w:t>
      </w:r>
      <w:r>
        <w:rPr>
          <w:rFonts w:ascii="標楷體" w:hAnsi="標楷體" w:eastAsia="標楷體" w:cs="標楷體"/>
          <w:b w:val="0"/>
          <w:i w:val="0"/>
          <w:sz w:val="24"/>
        </w:rPr>
        <w:t>，高於股票池等權的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61.6 </w:t>
      </w:r>
      <w:r>
        <w:rPr>
          <w:rFonts w:ascii="標楷體" w:hAnsi="標楷體" w:eastAsia="標楷體" w:cs="標楷體"/>
          <w:b w:val="0"/>
          <w:i w:val="0"/>
          <w:sz w:val="24"/>
        </w:rPr>
        <w:t>與單純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AI </w:t>
      </w:r>
      <w:r>
        <w:rPr>
          <w:rFonts w:ascii="標楷體" w:hAnsi="標楷體" w:eastAsia="標楷體" w:cs="標楷體"/>
          <w:b w:val="0"/>
          <w:i w:val="0"/>
          <w:sz w:val="24"/>
        </w:rPr>
        <w:t>的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56.8</w:t>
      </w:r>
      <w:r>
        <w:rPr>
          <w:rFonts w:ascii="標楷體" w:hAnsi="標楷體" w:eastAsia="標楷體" w:cs="標楷體"/>
          <w:b w:val="0"/>
          <w:i w:val="0"/>
          <w:sz w:val="24"/>
        </w:rPr>
        <w:t>；逐期比較，有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100% </w:t>
      </w:r>
      <w:r>
        <w:rPr>
          <w:rFonts w:ascii="標楷體" w:hAnsi="標楷體" w:eastAsia="標楷體" w:cs="標楷體"/>
          <w:b w:val="0"/>
          <w:i w:val="0"/>
          <w:sz w:val="24"/>
        </w:rPr>
        <w:t>的調倉日高於股票池等權、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100% </w:t>
      </w:r>
      <w:r>
        <w:rPr>
          <w:rFonts w:ascii="標楷體" w:hAnsi="標楷體" w:eastAsia="標楷體" w:cs="標楷體"/>
          <w:b w:val="0"/>
          <w:i w:val="0"/>
          <w:sz w:val="24"/>
        </w:rPr>
        <w:t>高於單純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AI</w:t>
      </w:r>
      <w:r>
        <w:rPr>
          <w:rFonts w:ascii="標楷體" w:hAnsi="標楷體" w:eastAsia="標楷體" w:cs="標楷體"/>
          <w:b w:val="0"/>
          <w:i w:val="0"/>
          <w:sz w:val="24"/>
        </w:rPr>
        <w:t>。低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持股比例方面，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AI+ESG </w:t>
      </w:r>
      <w:r>
        <w:rPr>
          <w:rFonts w:ascii="標楷體" w:hAnsi="標楷體" w:eastAsia="標楷體" w:cs="標楷體"/>
          <w:b w:val="0"/>
          <w:i w:val="0"/>
          <w:sz w:val="24"/>
        </w:rPr>
        <w:t>為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0%</w:t>
      </w:r>
      <w:r>
        <w:rPr>
          <w:rFonts w:ascii="標楷體" w:hAnsi="標楷體" w:eastAsia="標楷體" w:cs="標楷體"/>
          <w:b w:val="0"/>
          <w:i w:val="0"/>
          <w:sz w:val="24"/>
        </w:rPr>
        <w:t>，單純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AI </w:t>
      </w:r>
      <w:r>
        <w:rPr>
          <w:rFonts w:ascii="標楷體" w:hAnsi="標楷體" w:eastAsia="標楷體" w:cs="標楷體"/>
          <w:b w:val="0"/>
          <w:i w:val="0"/>
          <w:sz w:val="24"/>
        </w:rPr>
        <w:t>為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55%</w:t>
      </w:r>
      <w:r>
        <w:rPr>
          <w:rFonts w:ascii="標楷體" w:hAnsi="標楷體" w:eastAsia="標楷體" w:cs="標楷體"/>
          <w:b w:val="0"/>
          <w:i w:val="0"/>
          <w:sz w:val="24"/>
        </w:rPr>
        <w:t>。三個策略的產業集中度（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HHI 0.20</w:t>
      </w:r>
      <w:r>
        <w:rPr>
          <w:rFonts w:ascii="標楷體" w:hAnsi="標楷體" w:eastAsia="標楷體" w:cs="標楷體"/>
          <w:b w:val="0"/>
          <w:i w:val="0"/>
          <w:sz w:val="24"/>
        </w:rPr>
        <w:t>～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0.22</w:t>
      </w:r>
      <w:r>
        <w:rPr>
          <w:rFonts w:ascii="標楷體" w:hAnsi="標楷體" w:eastAsia="標楷體" w:cs="標楷體"/>
          <w:b w:val="0"/>
          <w:i w:val="0"/>
          <w:sz w:val="24"/>
        </w:rPr>
        <w:t>）都高於股票池等權（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0.11</w:t>
      </w:r>
      <w:r>
        <w:rPr>
          <w:rFonts w:ascii="標楷體" w:hAnsi="標楷體" w:eastAsia="標楷體" w:cs="標楷體"/>
          <w:b w:val="0"/>
          <w:i w:val="0"/>
          <w:sz w:val="24"/>
        </w:rPr>
        <w:t>），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20 </w:t>
      </w:r>
      <w:r>
        <w:rPr>
          <w:rFonts w:ascii="標楷體" w:hAnsi="標楷體" w:eastAsia="標楷體" w:cs="標楷體"/>
          <w:b w:val="0"/>
          <w:i w:val="0"/>
          <w:sz w:val="24"/>
        </w:rPr>
        <w:t>檔持股的分散程度有限。事件雷達分數各投組差異不大，本研究不據此推論爭議風險的差異。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24000" cy="27189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4-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71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 w:line="312" w:lineRule="auto"/>
        <w:jc w:val="center"/>
      </w:pPr>
      <w:r>
        <w:rPr>
          <w:rFonts w:ascii="標楷體" w:hAnsi="標楷體" w:eastAsia="標楷體" w:cs="標楷體"/>
          <w:b/>
          <w:i w:val="0"/>
          <w:sz w:val="24"/>
        </w:rPr>
        <w:t>圖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4-2</w:t>
      </w:r>
      <w:r>
        <w:rPr>
          <w:rFonts w:ascii="標楷體" w:hAnsi="標楷體" w:eastAsia="標楷體" w:cs="標楷體"/>
          <w:b/>
          <w:i w:val="0"/>
          <w:sz w:val="24"/>
        </w:rPr>
        <w:t xml:space="preserve">　各調倉日持股加權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TESG </w:t>
      </w:r>
      <w:r>
        <w:rPr>
          <w:rFonts w:ascii="標楷體" w:hAnsi="標楷體" w:eastAsia="標楷體" w:cs="標楷體"/>
          <w:b/>
          <w:i w:val="0"/>
          <w:sz w:val="24"/>
        </w:rPr>
        <w:t>分數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九、模型選股能力與特徵重要性</w:t>
      </w:r>
    </w:p>
    <w:p>
      <w:pPr>
        <w:keepNext/>
        <w:spacing w:before="200" w:after="80" w:line="312" w:lineRule="auto"/>
        <w:jc w:val="center"/>
      </w:pPr>
      <w:r>
        <w:rPr>
          <w:rFonts w:ascii="標楷體" w:hAnsi="標楷體" w:eastAsia="標楷體" w:cs="標楷體"/>
          <w:b/>
          <w:i w:val="0"/>
          <w:sz w:val="24"/>
        </w:rPr>
        <w:t>表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4-11</w:t>
      </w:r>
      <w:r>
        <w:rPr>
          <w:rFonts w:ascii="標楷體" w:hAnsi="標楷體" w:eastAsia="標楷體" w:cs="標楷體"/>
          <w:b/>
          <w:i w:val="0"/>
          <w:sz w:val="24"/>
        </w:rPr>
        <w:t xml:space="preserve">　模型選股能力（每次調倉，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Newey-West </w:t>
      </w:r>
      <w:r>
        <w:rPr>
          <w:rFonts w:ascii="標楷體" w:hAnsi="標楷體" w:eastAsia="標楷體" w:cs="標楷體"/>
          <w:b/>
          <w:i w:val="0"/>
          <w:sz w:val="24"/>
        </w:rPr>
        <w:t>標準誤）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24000" cy="97910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-1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979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 w:line="300" w:lineRule="auto"/>
        <w:jc w:val="both"/>
      </w:pPr>
      <w:r>
        <w:rPr>
          <w:rFonts w:ascii="標楷體" w:hAnsi="標楷體" w:eastAsia="標楷體" w:cs="標楷體"/>
          <w:b w:val="0"/>
          <w:i w:val="0"/>
          <w:sz w:val="20"/>
        </w:rPr>
        <w:t>註：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Rank IC = </w:t>
      </w:r>
      <w:r>
        <w:rPr>
          <w:rFonts w:ascii="標楷體" w:hAnsi="標楷體" w:eastAsia="標楷體" w:cs="標楷體"/>
          <w:b w:val="0"/>
          <w:i w:val="0"/>
          <w:sz w:val="20"/>
        </w:rPr>
        <w:t>每次調倉預測排名與實際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10 </w:t>
      </w:r>
      <w:r>
        <w:rPr>
          <w:rFonts w:ascii="標楷體" w:hAnsi="標楷體" w:eastAsia="標楷體" w:cs="標楷體"/>
          <w:b w:val="0"/>
          <w:i w:val="0"/>
          <w:sz w:val="20"/>
        </w:rPr>
        <w:t>日報酬排名的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Spearman </w:t>
      </w:r>
      <w:r>
        <w:rPr>
          <w:rFonts w:ascii="標楷體" w:hAnsi="標楷體" w:eastAsia="標楷體" w:cs="標楷體"/>
          <w:b w:val="0"/>
          <w:i w:val="0"/>
          <w:sz w:val="20"/>
        </w:rPr>
        <w:t>相關；超額報酬為前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20 </w:t>
      </w:r>
      <w:r>
        <w:rPr>
          <w:rFonts w:ascii="標楷體" w:hAnsi="標楷體" w:eastAsia="標楷體" w:cs="標楷體"/>
          <w:b w:val="0"/>
          <w:i w:val="0"/>
          <w:sz w:val="20"/>
        </w:rPr>
        <w:t>檔平均減股票池平均。來源：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>tables/table_4_7_model_skill.csv</w:t>
      </w:r>
      <w:r>
        <w:rPr>
          <w:rFonts w:ascii="標楷體" w:hAnsi="標楷體" w:eastAsia="標楷體" w:cs="標楷體"/>
          <w:b w:val="0"/>
          <w:i w:val="0"/>
          <w:sz w:val="20"/>
        </w:rPr>
        <w:t>。</w:t>
      </w:r>
    </w:p>
    <w:p>
      <w:pPr>
        <w:keepNext/>
        <w:spacing w:before="200" w:after="80" w:line="312" w:lineRule="auto"/>
        <w:jc w:val="center"/>
      </w:pPr>
      <w:r>
        <w:rPr>
          <w:rFonts w:ascii="標楷體" w:hAnsi="標楷體" w:eastAsia="標楷體" w:cs="標楷體"/>
          <w:b/>
          <w:i w:val="0"/>
          <w:sz w:val="24"/>
        </w:rPr>
        <w:t>表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4-12</w:t>
      </w:r>
      <w:r>
        <w:rPr>
          <w:rFonts w:ascii="標楷體" w:hAnsi="標楷體" w:eastAsia="標楷體" w:cs="標楷體"/>
          <w:b/>
          <w:i w:val="0"/>
          <w:sz w:val="24"/>
        </w:rPr>
        <w:t xml:space="preserve">　特徵重要性：各次訓練的分布與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permutation importance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24000" cy="30728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-1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072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 w:line="300" w:lineRule="auto"/>
        <w:jc w:val="both"/>
      </w:pPr>
      <w:r>
        <w:rPr>
          <w:rFonts w:ascii="標楷體" w:hAnsi="標楷體" w:eastAsia="標楷體" w:cs="標楷體"/>
          <w:b w:val="0"/>
          <w:i w:val="0"/>
          <w:sz w:val="20"/>
        </w:rPr>
        <w:t>註：內建重要性為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33 </w:t>
      </w:r>
      <w:r>
        <w:rPr>
          <w:rFonts w:ascii="標楷體" w:hAnsi="標楷體" w:eastAsia="標楷體" w:cs="標楷體"/>
          <w:b w:val="0"/>
          <w:i w:val="0"/>
          <w:sz w:val="20"/>
        </w:rPr>
        <w:t>次訓練的分布；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permutation importance </w:t>
      </w:r>
      <w:r>
        <w:rPr>
          <w:rFonts w:ascii="標楷體" w:hAnsi="標楷體" w:eastAsia="標楷體" w:cs="標楷體"/>
          <w:b w:val="0"/>
          <w:i w:val="0"/>
          <w:sz w:val="20"/>
        </w:rPr>
        <w:t>另以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2026-03-27 </w:t>
      </w:r>
      <w:r>
        <w:rPr>
          <w:rFonts w:ascii="標楷體" w:hAnsi="標楷體" w:eastAsia="標楷體" w:cs="標楷體"/>
          <w:b w:val="0"/>
          <w:i w:val="0"/>
          <w:sz w:val="20"/>
        </w:rPr>
        <w:t>以前的資料訓練模型，在之後的調倉日（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>2026-04-14</w:t>
      </w:r>
      <w:r>
        <w:rPr>
          <w:rFonts w:ascii="標楷體" w:hAnsi="標楷體" w:eastAsia="標楷體" w:cs="標楷體"/>
          <w:b w:val="0"/>
          <w:i w:val="0"/>
          <w:sz w:val="20"/>
        </w:rPr>
        <w:t>～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>2026-09-18</w:t>
      </w:r>
      <w:r>
        <w:rPr>
          <w:rFonts w:ascii="標楷體" w:hAnsi="標楷體" w:eastAsia="標楷體" w:cs="標楷體"/>
          <w:b w:val="0"/>
          <w:i w:val="0"/>
          <w:sz w:val="20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12 </w:t>
      </w:r>
      <w:r>
        <w:rPr>
          <w:rFonts w:ascii="標楷體" w:hAnsi="標楷體" w:eastAsia="標楷體" w:cs="標楷體"/>
          <w:b w:val="0"/>
          <w:i w:val="0"/>
          <w:sz w:val="20"/>
        </w:rPr>
        <w:t>期，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3599 </w:t>
      </w:r>
      <w:r>
        <w:rPr>
          <w:rFonts w:ascii="標楷體" w:hAnsi="標楷體" w:eastAsia="標楷體" w:cs="標楷體"/>
          <w:b w:val="0"/>
          <w:i w:val="0"/>
          <w:sz w:val="20"/>
        </w:rPr>
        <w:t>筆））逐一在同日內打亂某特徵，計算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Rank IC </w:t>
      </w:r>
      <w:r>
        <w:rPr>
          <w:rFonts w:ascii="標楷體" w:hAnsi="標楷體" w:eastAsia="標楷體" w:cs="標楷體"/>
          <w:b w:val="0"/>
          <w:i w:val="0"/>
          <w:sz w:val="20"/>
        </w:rPr>
        <w:t>平均下降（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10 </w:t>
      </w:r>
      <w:r>
        <w:rPr>
          <w:rFonts w:ascii="標楷體" w:hAnsi="標楷體" w:eastAsia="標楷體" w:cs="標楷體"/>
          <w:b w:val="0"/>
          <w:i w:val="0"/>
          <w:sz w:val="20"/>
        </w:rPr>
        <w:t>次平均；該模型在評估窗的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Rank IC </w:t>
      </w:r>
      <w:r>
        <w:rPr>
          <w:rFonts w:ascii="標楷體" w:hAnsi="標楷體" w:eastAsia="標楷體" w:cs="標楷體"/>
          <w:b w:val="0"/>
          <w:i w:val="0"/>
          <w:sz w:val="20"/>
        </w:rPr>
        <w:t>為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-0.0004</w:t>
      </w:r>
      <w:r>
        <w:rPr>
          <w:rFonts w:ascii="標楷體" w:hAnsi="標楷體" w:eastAsia="標楷體" w:cs="標楷體"/>
          <w:b w:val="0"/>
          <w:i w:val="0"/>
          <w:sz w:val="20"/>
        </w:rPr>
        <w:t>）。重要性只描述模型使用特徵的程度，不代表因果關係。來源：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>tables/table_4_8a_importance_distribution.csv</w:t>
      </w:r>
      <w:r>
        <w:rPr>
          <w:rFonts w:ascii="標楷體" w:hAnsi="標楷體" w:eastAsia="標楷體" w:cs="標楷體"/>
          <w:b w:val="0"/>
          <w:i w:val="0"/>
          <w:sz w:val="20"/>
        </w:rPr>
        <w:t>、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>table_4_8b_permutation_importance.csv</w:t>
      </w:r>
      <w:r>
        <w:rPr>
          <w:rFonts w:ascii="標楷體" w:hAnsi="標楷體" w:eastAsia="標楷體" w:cs="標楷體"/>
          <w:b w:val="0"/>
          <w:i w:val="0"/>
          <w:sz w:val="20"/>
        </w:rPr>
        <w:t>。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平均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Rank IC </w:t>
      </w:r>
      <w:r>
        <w:rPr>
          <w:rFonts w:ascii="標楷體" w:hAnsi="標楷體" w:eastAsia="標楷體" w:cs="標楷體"/>
          <w:b w:val="0"/>
          <w:i w:val="0"/>
          <w:sz w:val="24"/>
        </w:rPr>
        <w:t>為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0.0056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HAC p = 0.654</w:t>
      </w:r>
      <w:r>
        <w:rPr>
          <w:rFonts w:ascii="標楷體" w:hAnsi="標楷體" w:eastAsia="標楷體" w:cs="標楷體"/>
          <w:b w:val="0"/>
          <w:i w:val="0"/>
          <w:sz w:val="24"/>
        </w:rPr>
        <w:t>），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53% </w:t>
      </w:r>
      <w:r>
        <w:rPr>
          <w:rFonts w:ascii="標楷體" w:hAnsi="標楷體" w:eastAsia="標楷體" w:cs="標楷體"/>
          <w:b w:val="0"/>
          <w:i w:val="0"/>
          <w:sz w:val="24"/>
        </w:rPr>
        <w:t>的調倉日為正，模型的整體排序能力幾乎為零、統計上不顯著；前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20 </w:t>
      </w:r>
      <w:r>
        <w:rPr>
          <w:rFonts w:ascii="標楷體" w:hAnsi="標楷體" w:eastAsia="標楷體" w:cs="標楷體"/>
          <w:b w:val="0"/>
          <w:i w:val="0"/>
          <w:sz w:val="24"/>
        </w:rPr>
        <w:t>檔每期平均超額報酬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0.97%</w:t>
      </w:r>
      <w:r>
        <w:rPr>
          <w:rFonts w:ascii="標楷體" w:hAnsi="標楷體" w:eastAsia="標楷體" w:cs="標楷體"/>
          <w:b w:val="0"/>
          <w:i w:val="0"/>
          <w:sz w:val="24"/>
        </w:rPr>
        <w:t>（未扣成本，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HAC p = 0.029</w:t>
      </w:r>
      <w:r>
        <w:rPr>
          <w:rFonts w:ascii="標楷體" w:hAnsi="標楷體" w:eastAsia="標楷體" w:cs="標楷體"/>
          <w:b w:val="0"/>
          <w:i w:val="0"/>
          <w:sz w:val="24"/>
        </w:rPr>
        <w:t>），顯示模型對排名最前段的股票略有辨識力，但扣除每期約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0.45% </w:t>
      </w:r>
      <w:r>
        <w:rPr>
          <w:rFonts w:ascii="標楷體" w:hAnsi="標楷體" w:eastAsia="標楷體" w:cs="標楷體"/>
          <w:b w:val="0"/>
          <w:i w:val="0"/>
          <w:sz w:val="24"/>
        </w:rPr>
        <w:t>的交易成本後所剩無幾。內建重要性在各次訓練中相當穩定，月線乖離率、距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20 </w:t>
      </w:r>
      <w:r>
        <w:rPr>
          <w:rFonts w:ascii="標楷體" w:hAnsi="標楷體" w:eastAsia="標楷體" w:cs="標楷體"/>
          <w:b w:val="0"/>
          <w:i w:val="0"/>
          <w:sz w:val="24"/>
        </w:rPr>
        <w:t>日高點跌幅、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20 </w:t>
      </w:r>
      <w:r>
        <w:rPr>
          <w:rFonts w:ascii="標楷體" w:hAnsi="標楷體" w:eastAsia="標楷體" w:cs="標楷體"/>
          <w:b w:val="0"/>
          <w:i w:val="0"/>
          <w:sz w:val="24"/>
        </w:rPr>
        <w:t>日波動率在多數訓練中居前三，價格類特徵遠比估值重要，與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Gu et al.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2020</w:t>
      </w:r>
      <w:r>
        <w:rPr>
          <w:rFonts w:ascii="標楷體" w:hAnsi="標楷體" w:eastAsia="標楷體" w:cs="標楷體"/>
          <w:b w:val="0"/>
          <w:i w:val="0"/>
          <w:sz w:val="24"/>
        </w:rPr>
        <w:t>）的發現一致；但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permutation </w:t>
      </w:r>
      <w:r>
        <w:rPr>
          <w:rFonts w:ascii="標楷體" w:hAnsi="標楷體" w:eastAsia="標楷體" w:cs="標楷體"/>
          <w:b w:val="0"/>
          <w:i w:val="0"/>
          <w:sz w:val="24"/>
        </w:rPr>
        <w:t>評估窗內模型本身幾乎沒有排序能力，因此特徵重要性只能描述模型如何使用資料，不能解讀為預測報酬的可靠因子。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十、假說檢驗彙整</w:t>
      </w:r>
    </w:p>
    <w:p>
      <w:pPr>
        <w:keepNext/>
        <w:spacing w:before="200" w:after="80" w:line="312" w:lineRule="auto"/>
        <w:jc w:val="center"/>
      </w:pPr>
      <w:r>
        <w:rPr>
          <w:rFonts w:ascii="標楷體" w:hAnsi="標楷體" w:eastAsia="標楷體" w:cs="標楷體"/>
          <w:b/>
          <w:i w:val="0"/>
          <w:sz w:val="24"/>
        </w:rPr>
        <w:t>表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4-13</w:t>
      </w:r>
      <w:r>
        <w:rPr>
          <w:rFonts w:ascii="標楷體" w:hAnsi="標楷體" w:eastAsia="標楷體" w:cs="標楷體"/>
          <w:b/>
          <w:i w:val="0"/>
          <w:sz w:val="24"/>
        </w:rPr>
        <w:t xml:space="preserve">　假說檢驗彙整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2707"/>
        <w:gridCol w:w="1624"/>
        <w:gridCol w:w="4693"/>
      </w:tblGrid>
      <w:tr>
        <w:trPr>
          <w:cantSplit/>
          <w:tblHeader/>
        </w:trPr>
        <w:tc>
          <w:tcPr>
            <w:tcW w:type="dxa" w:w="2708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21"/>
              </w:rPr>
              <w:t>假說</w:t>
            </w:r>
          </w:p>
        </w:tc>
        <w:tc>
          <w:tcPr>
            <w:tcW w:type="dxa" w:w="1625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21"/>
              </w:rPr>
              <w:t>結果</w:t>
            </w:r>
          </w:p>
        </w:tc>
        <w:tc>
          <w:tcPr>
            <w:tcW w:type="dxa" w:w="4693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21"/>
              </w:rPr>
              <w:t>依據</w:t>
            </w:r>
          </w:p>
        </w:tc>
      </w:tr>
      <w:tr>
        <w:trPr>
          <w:cantSplit/>
        </w:trPr>
        <w:tc>
          <w:tcPr>
            <w:tcW w:type="dxa" w:w="2708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H1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 xml:space="preserve">　規則式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ESG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篩選優於大盤與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00850</w:t>
            </w:r>
          </w:p>
        </w:tc>
        <w:tc>
          <w:tcPr>
            <w:tcW w:type="dxa" w:w="1625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未獲支持</w:t>
            </w:r>
          </w:p>
        </w:tc>
        <w:tc>
          <w:tcPr>
            <w:tcW w:type="dxa" w:w="4693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相對加權指數年化差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−5.1%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（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Holm p = 1.000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）、相對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00850 −9.8%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（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p = 0.730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）；主要特色是低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Beta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與較小回撤</w:t>
            </w:r>
          </w:p>
        </w:tc>
      </w:tr>
      <w:tr>
        <w:trPr>
          <w:cantSplit/>
        </w:trPr>
        <w:tc>
          <w:tcPr>
            <w:tcW w:type="dxa" w:w="2708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H2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 xml:space="preserve">　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AI+ESG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優於規則式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ESG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篩選</w:t>
            </w:r>
          </w:p>
        </w:tc>
        <w:tc>
          <w:tcPr>
            <w:tcW w:type="dxa" w:w="1625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點估計為正但不顯著</w:t>
            </w:r>
          </w:p>
        </w:tc>
        <w:tc>
          <w:tcPr>
            <w:tcW w:type="dxa" w:w="4693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年化差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+7.2%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Holm p = 1.000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；報酬提升伴隨波動與回撤上升</w:t>
            </w:r>
          </w:p>
        </w:tc>
      </w:tr>
      <w:tr>
        <w:trPr>
          <w:cantSplit/>
        </w:trPr>
        <w:tc>
          <w:tcPr>
            <w:tcW w:type="dxa" w:w="2708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H3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 xml:space="preserve">　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AI+ESG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相對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00850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有顯著超額報酬</w:t>
            </w:r>
          </w:p>
        </w:tc>
        <w:tc>
          <w:tcPr>
            <w:tcW w:type="dxa" w:w="1625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未獲支持</w:t>
            </w:r>
          </w:p>
        </w:tc>
        <w:tc>
          <w:tcPr>
            <w:tcW w:type="dxa" w:w="4693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日報酬差年化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−2.6%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（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Holm p = 1.000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）；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CAPM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α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Holm p = 1.000</w:t>
            </w:r>
          </w:p>
        </w:tc>
      </w:tr>
      <w:tr>
        <w:trPr>
          <w:cantSplit/>
        </w:trPr>
        <w:tc>
          <w:tcPr>
            <w:tcW w:type="dxa" w:w="2708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H4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 xml:space="preserve">　不同情境表現不同</w:t>
            </w:r>
          </w:p>
        </w:tc>
        <w:tc>
          <w:tcPr>
            <w:tcW w:type="dxa" w:w="1625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描述性支持</w:t>
            </w:r>
          </w:p>
        </w:tc>
        <w:tc>
          <w:tcPr>
            <w:tcW w:type="dxa" w:w="4693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相對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00850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，單純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AI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在盤整、高波動情境較佳、在多頭、空頭情境較差；情境天數不均，未做正式檢定</w:t>
            </w:r>
          </w:p>
        </w:tc>
      </w:tr>
      <w:tr>
        <w:trPr>
          <w:cantSplit/>
        </w:trPr>
        <w:tc>
          <w:tcPr>
            <w:tcW w:type="dxa" w:w="2708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>H5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 xml:space="preserve">　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AI+ESG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保有永續品質</w:t>
            </w:r>
          </w:p>
        </w:tc>
        <w:tc>
          <w:tcPr>
            <w:tcW w:type="dxa" w:w="1625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支持（描述性）</w:t>
            </w:r>
          </w:p>
        </w:tc>
        <w:tc>
          <w:tcPr>
            <w:tcW w:type="dxa" w:w="4693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持股加權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TESG 70.5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，股票池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61.6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、單純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 AI 56.8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；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1"/>
              </w:rPr>
              <w:t xml:space="preserve">100% </w:t>
            </w:r>
            <w:r>
              <w:rPr>
                <w:rFonts w:ascii="標楷體" w:hAnsi="標楷體" w:eastAsia="標楷體" w:cs="標楷體"/>
                <w:b w:val="0"/>
                <w:i w:val="0"/>
                <w:sz w:val="21"/>
              </w:rPr>
              <w:t>的調倉日高於股票池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0" w:after="360" w:line="312" w:lineRule="auto"/>
        <w:jc w:val="center"/>
      </w:pPr>
      <w:r>
        <w:rPr>
          <w:rFonts w:ascii="標楷體" w:hAnsi="標楷體" w:eastAsia="標楷體" w:cs="標楷體"/>
          <w:b/>
          <w:i w:val="0"/>
          <w:sz w:val="36"/>
        </w:rPr>
        <w:t>第五章　結論與建議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一、研究發現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在本研究所使用的股票樣本（逐期成交金額前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300 </w:t>
      </w:r>
      <w:r>
        <w:rPr>
          <w:rFonts w:ascii="標楷體" w:hAnsi="標楷體" w:eastAsia="標楷體" w:cs="標楷體"/>
          <w:b w:val="0"/>
          <w:i w:val="0"/>
          <w:sz w:val="24"/>
        </w:rPr>
        <w:t>大、含之後下市的股票）、資料截點（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2026-10-20</w:t>
      </w:r>
      <w:r>
        <w:rPr>
          <w:rFonts w:ascii="標楷體" w:hAnsi="標楷體" w:eastAsia="標楷體" w:cs="標楷體"/>
          <w:b w:val="0"/>
          <w:i w:val="0"/>
          <w:sz w:val="24"/>
        </w:rPr>
        <w:t>）與交易假設（收盤價成交、手續費與證交稅）下：</w:t>
      </w:r>
    </w:p>
    <w:p>
      <w:pPr>
        <w:keepNext w:val="0"/>
        <w:spacing w:before="0" w:after="60" w:line="360" w:lineRule="auto"/>
        <w:ind w:left="760" w:hanging="2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•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標楷體" w:hAnsi="標楷體" w:eastAsia="標楷體" w:cs="標楷體"/>
          <w:b/>
          <w:i w:val="0"/>
          <w:sz w:val="24"/>
        </w:rPr>
        <w:t>修正股票池後，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AI </w:t>
      </w:r>
      <w:r>
        <w:rPr>
          <w:rFonts w:ascii="標楷體" w:hAnsi="標楷體" w:eastAsia="標楷體" w:cs="標楷體"/>
          <w:b/>
          <w:i w:val="0"/>
          <w:sz w:val="24"/>
        </w:rPr>
        <w:t>選股不再明顯領先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ETF</w:t>
      </w:r>
      <w:r>
        <w:rPr>
          <w:rFonts w:ascii="標楷體" w:hAnsi="標楷體" w:eastAsia="標楷體" w:cs="標楷體"/>
          <w:b/>
          <w:i w:val="0"/>
          <w:sz w:val="24"/>
        </w:rPr>
        <w:t>：</w:t>
      </w:r>
      <w:r>
        <w:rPr>
          <w:rFonts w:ascii="標楷體" w:hAnsi="標楷體" w:eastAsia="標楷體" w:cs="標楷體"/>
          <w:b w:val="0"/>
          <w:i w:val="0"/>
          <w:sz w:val="24"/>
        </w:rPr>
        <w:t>單純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AI </w:t>
      </w:r>
      <w:r>
        <w:rPr>
          <w:rFonts w:ascii="標楷體" w:hAnsi="標楷體" w:eastAsia="標楷體" w:cs="標楷體"/>
          <w:b w:val="0"/>
          <w:i w:val="0"/>
          <w:sz w:val="24"/>
        </w:rPr>
        <w:t>年化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45.5%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95% CI −4%</w:t>
      </w:r>
      <w:r>
        <w:rPr>
          <w:rFonts w:ascii="標楷體" w:hAnsi="標楷體" w:eastAsia="標楷體" w:cs="標楷體"/>
          <w:b w:val="0"/>
          <w:i w:val="0"/>
          <w:sz w:val="24"/>
        </w:rPr>
        <w:t>～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119%</w:t>
      </w:r>
      <w:r>
        <w:rPr>
          <w:rFonts w:ascii="標楷體" w:hAnsi="標楷體" w:eastAsia="標楷體" w:cs="標楷體"/>
          <w:b w:val="0"/>
          <w:i w:val="0"/>
          <w:sz w:val="24"/>
        </w:rPr>
        <w:t>），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0050 </w:t>
      </w:r>
      <w:r>
        <w:rPr>
          <w:rFonts w:ascii="標楷體" w:hAnsi="標楷體" w:eastAsia="標楷體" w:cs="標楷體"/>
          <w:b w:val="0"/>
          <w:i w:val="0"/>
          <w:sz w:val="24"/>
        </w:rPr>
        <w:t>為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50.8%</w:t>
      </w:r>
      <w:r>
        <w:rPr>
          <w:rFonts w:ascii="標楷體" w:hAnsi="標楷體" w:eastAsia="標楷體" w:cs="標楷體"/>
          <w:b w:val="0"/>
          <w:i w:val="0"/>
          <w:sz w:val="24"/>
        </w:rPr>
        <w:t>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00850 </w:t>
      </w:r>
      <w:r>
        <w:rPr>
          <w:rFonts w:ascii="標楷體" w:hAnsi="標楷體" w:eastAsia="標楷體" w:cs="標楷體"/>
          <w:b w:val="0"/>
          <w:i w:val="0"/>
          <w:sz w:val="24"/>
        </w:rPr>
        <w:t>為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46.1%</w:t>
      </w:r>
      <w:r>
        <w:rPr>
          <w:rFonts w:ascii="標楷體" w:hAnsi="標楷體" w:eastAsia="標楷體" w:cs="標楷體"/>
          <w:b w:val="0"/>
          <w:i w:val="0"/>
          <w:sz w:val="24"/>
        </w:rPr>
        <w:t>；相對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00850 </w:t>
      </w:r>
      <w:r>
        <w:rPr>
          <w:rFonts w:ascii="標楷體" w:hAnsi="標楷體" w:eastAsia="標楷體" w:cs="標楷體"/>
          <w:b w:val="0"/>
          <w:i w:val="0"/>
          <w:sz w:val="24"/>
        </w:rPr>
        <w:t>的日報酬差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Holm p = 1.000</w:t>
      </w:r>
      <w:r>
        <w:rPr>
          <w:rFonts w:ascii="標楷體" w:hAnsi="標楷體" w:eastAsia="標楷體" w:cs="標楷體"/>
          <w:b w:val="0"/>
          <w:i w:val="0"/>
          <w:sz w:val="24"/>
        </w:rPr>
        <w:t>。夏普值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1.10 </w:t>
      </w:r>
      <w:r>
        <w:rPr>
          <w:rFonts w:ascii="標楷體" w:hAnsi="標楷體" w:eastAsia="標楷體" w:cs="標楷體"/>
          <w:b w:val="0"/>
          <w:i w:val="0"/>
          <w:sz w:val="24"/>
        </w:rPr>
        <w:t>低於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ETF</w:t>
      </w:r>
      <w:r>
        <w:rPr>
          <w:rFonts w:ascii="標楷體" w:hAnsi="標楷體" w:eastAsia="標楷體" w:cs="標楷體"/>
          <w:b w:val="0"/>
          <w:i w:val="0"/>
          <w:sz w:val="24"/>
        </w:rPr>
        <w:t>，最大回撤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−46.1%</w:t>
      </w:r>
      <w:r>
        <w:rPr>
          <w:rFonts w:ascii="標楷體" w:hAnsi="標楷體" w:eastAsia="標楷體" w:cs="標楷體"/>
          <w:b w:val="0"/>
          <w:i w:val="0"/>
          <w:sz w:val="24"/>
        </w:rPr>
        <w:t>。</w:t>
      </w:r>
    </w:p>
    <w:p>
      <w:pPr>
        <w:keepNext w:val="0"/>
        <w:spacing w:before="0" w:after="60" w:line="360" w:lineRule="auto"/>
        <w:ind w:left="760" w:hanging="2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•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標楷體" w:hAnsi="標楷體" w:eastAsia="標楷體" w:cs="標楷體"/>
          <w:b/>
          <w:i w:val="0"/>
          <w:sz w:val="24"/>
        </w:rPr>
        <w:t>股票池的後見之明偏誤是先前高報酬的主要來源：</w:t>
      </w:r>
      <w:r>
        <w:rPr>
          <w:rFonts w:ascii="標楷體" w:hAnsi="標楷體" w:eastAsia="標楷體" w:cs="標楷體"/>
          <w:b w:val="0"/>
          <w:i w:val="0"/>
          <w:sz w:val="24"/>
        </w:rPr>
        <w:t>若改用資料截點當時的前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300 </w:t>
      </w:r>
      <w:r>
        <w:rPr>
          <w:rFonts w:ascii="標楷體" w:hAnsi="標楷體" w:eastAsia="標楷體" w:cs="標楷體"/>
          <w:b w:val="0"/>
          <w:i w:val="0"/>
          <w:sz w:val="24"/>
        </w:rPr>
        <w:t>大作為整段期間的股票池，單純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AI </w:t>
      </w:r>
      <w:r>
        <w:rPr>
          <w:rFonts w:ascii="標楷體" w:hAnsi="標楷體" w:eastAsia="標楷體" w:cs="標楷體"/>
          <w:b w:val="0"/>
          <w:i w:val="0"/>
          <w:sz w:val="24"/>
        </w:rPr>
        <w:t>年化報酬會變成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132.1%</w:t>
      </w:r>
      <w:r>
        <w:rPr>
          <w:rFonts w:ascii="標楷體" w:hAnsi="標楷體" w:eastAsia="標楷體" w:cs="標楷體"/>
          <w:b w:val="0"/>
          <w:i w:val="0"/>
          <w:sz w:val="24"/>
        </w:rPr>
        <w:t>，平台網站與本研究初稿採用的就是這種做法，其顯示的高報酬應視為高估。</w:t>
      </w:r>
    </w:p>
    <w:p>
      <w:pPr>
        <w:keepNext w:val="0"/>
        <w:spacing w:before="0" w:after="60" w:line="360" w:lineRule="auto"/>
        <w:ind w:left="760" w:hanging="2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•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ESG </w:t>
      </w:r>
      <w:r>
        <w:rPr>
          <w:rFonts w:ascii="標楷體" w:hAnsi="標楷體" w:eastAsia="標楷體" w:cs="標楷體"/>
          <w:b/>
          <w:i w:val="0"/>
          <w:sz w:val="24"/>
        </w:rPr>
        <w:t>評分的價值偏向風險控制：</w:t>
      </w:r>
      <w:r>
        <w:rPr>
          <w:rFonts w:ascii="標楷體" w:hAnsi="標楷體" w:eastAsia="標楷體" w:cs="標楷體"/>
          <w:b w:val="0"/>
          <w:i w:val="0"/>
          <w:sz w:val="24"/>
        </w:rPr>
        <w:t>規則式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篩選投組年化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33.1%</w:t>
      </w:r>
      <w:r>
        <w:rPr>
          <w:rFonts w:ascii="標楷體" w:hAnsi="標楷體" w:eastAsia="標楷體" w:cs="標楷體"/>
          <w:b w:val="0"/>
          <w:i w:val="0"/>
          <w:sz w:val="24"/>
        </w:rPr>
        <w:t>，和大盤及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00850 </w:t>
      </w:r>
      <w:r>
        <w:rPr>
          <w:rFonts w:ascii="標楷體" w:hAnsi="標楷體" w:eastAsia="標楷體" w:cs="標楷體"/>
          <w:b w:val="0"/>
          <w:i w:val="0"/>
          <w:sz w:val="24"/>
        </w:rPr>
        <w:t>都沒有顯著差異，但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Beta 0.79</w:t>
      </w:r>
      <w:r>
        <w:rPr>
          <w:rFonts w:ascii="標楷體" w:hAnsi="標楷體" w:eastAsia="標楷體" w:cs="標楷體"/>
          <w:b w:val="0"/>
          <w:i w:val="0"/>
          <w:sz w:val="24"/>
        </w:rPr>
        <w:t>、回撤較小、交易成本極低。</w:t>
      </w:r>
    </w:p>
    <w:p>
      <w:pPr>
        <w:keepNext w:val="0"/>
        <w:spacing w:before="0" w:after="60" w:line="360" w:lineRule="auto"/>
        <w:ind w:left="760" w:hanging="2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•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AI+ESG </w:t>
      </w:r>
      <w:r>
        <w:rPr>
          <w:rFonts w:ascii="標楷體" w:hAnsi="標楷體" w:eastAsia="標楷體" w:cs="標楷體"/>
          <w:b/>
          <w:i w:val="0"/>
          <w:sz w:val="24"/>
        </w:rPr>
        <w:t>保有較高的永續品質，但報酬未顯著提升：</w:t>
      </w:r>
      <w:r>
        <w:rPr>
          <w:rFonts w:ascii="標楷體" w:hAnsi="標楷體" w:eastAsia="標楷體" w:cs="標楷體"/>
          <w:b w:val="0"/>
          <w:i w:val="0"/>
          <w:sz w:val="24"/>
        </w:rPr>
        <w:t>年化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38.7%</w:t>
      </w:r>
      <w:r>
        <w:rPr>
          <w:rFonts w:ascii="標楷體" w:hAnsi="標楷體" w:eastAsia="標楷體" w:cs="標楷體"/>
          <w:b w:val="0"/>
          <w:i w:val="0"/>
          <w:sz w:val="24"/>
        </w:rPr>
        <w:t>，持股加權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TESG 70.5 </w:t>
      </w:r>
      <w:r>
        <w:rPr>
          <w:rFonts w:ascii="標楷體" w:hAnsi="標楷體" w:eastAsia="標楷體" w:cs="標楷體"/>
          <w:b w:val="0"/>
          <w:i w:val="0"/>
          <w:sz w:val="24"/>
        </w:rPr>
        <w:t>高於股票池與單純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AI</w:t>
      </w:r>
      <w:r>
        <w:rPr>
          <w:rFonts w:ascii="標楷體" w:hAnsi="標楷體" w:eastAsia="標楷體" w:cs="標楷體"/>
          <w:b w:val="0"/>
          <w:i w:val="0"/>
          <w:sz w:val="24"/>
        </w:rPr>
        <w:t>；相對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00850 </w:t>
      </w:r>
      <w:r>
        <w:rPr>
          <w:rFonts w:ascii="標楷體" w:hAnsi="標楷體" w:eastAsia="標楷體" w:cs="標楷體"/>
          <w:b w:val="0"/>
          <w:i w:val="0"/>
          <w:sz w:val="24"/>
        </w:rPr>
        <w:t>與規則式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篩選的差異均不顯著。</w:t>
      </w:r>
    </w:p>
    <w:p>
      <w:pPr>
        <w:keepNext w:val="0"/>
        <w:spacing w:before="0" w:after="60" w:line="360" w:lineRule="auto"/>
        <w:ind w:left="760" w:hanging="2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•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標楷體" w:hAnsi="標楷體" w:eastAsia="標楷體" w:cs="標楷體"/>
          <w:b/>
          <w:i w:val="0"/>
          <w:sz w:val="24"/>
        </w:rPr>
        <w:t>交易成本與時點敏感：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AI </w:t>
      </w:r>
      <w:r>
        <w:rPr>
          <w:rFonts w:ascii="標楷體" w:hAnsi="標楷體" w:eastAsia="標楷體" w:cs="標楷體"/>
          <w:b w:val="0"/>
          <w:i w:val="0"/>
          <w:sz w:val="24"/>
        </w:rPr>
        <w:t>策略平均週轉率約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77%</w:t>
      </w:r>
      <w:r>
        <w:rPr>
          <w:rFonts w:ascii="標楷體" w:hAnsi="標楷體" w:eastAsia="標楷體" w:cs="標楷體"/>
          <w:b w:val="0"/>
          <w:i w:val="0"/>
          <w:sz w:val="24"/>
        </w:rPr>
        <w:t>，每邊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20 bps </w:t>
      </w:r>
      <w:r>
        <w:rPr>
          <w:rFonts w:ascii="標楷體" w:hAnsi="標楷體" w:eastAsia="標楷體" w:cs="標楷體"/>
          <w:b w:val="0"/>
          <w:i w:val="0"/>
          <w:sz w:val="24"/>
        </w:rPr>
        <w:t>滑價即讓單純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AI </w:t>
      </w:r>
      <w:r>
        <w:rPr>
          <w:rFonts w:ascii="標楷體" w:hAnsi="標楷體" w:eastAsia="標楷體" w:cs="標楷體"/>
          <w:b w:val="0"/>
          <w:i w:val="0"/>
          <w:sz w:val="24"/>
        </w:rPr>
        <w:t>落後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00850</w:t>
      </w:r>
      <w:r>
        <w:rPr>
          <w:rFonts w:ascii="標楷體" w:hAnsi="標楷體" w:eastAsia="標楷體" w:cs="標楷體"/>
          <w:b w:val="0"/>
          <w:i w:val="0"/>
          <w:sz w:val="24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AI+ESG </w:t>
      </w:r>
      <w:r>
        <w:rPr>
          <w:rFonts w:ascii="標楷體" w:hAnsi="標楷體" w:eastAsia="標楷體" w:cs="標楷體"/>
          <w:b w:val="0"/>
          <w:i w:val="0"/>
          <w:sz w:val="24"/>
        </w:rPr>
        <w:t>在無滑價時已落後）；僅改變調倉日期網格，年化報酬就有明顯差異。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二、影響結論的條件與研究限制</w:t>
      </w:r>
    </w:p>
    <w:p>
      <w:pPr>
        <w:keepNext w:val="0"/>
        <w:spacing w:before="0" w:after="60" w:line="360" w:lineRule="auto"/>
        <w:ind w:left="760" w:hanging="2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•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標楷體" w:hAnsi="標楷體" w:eastAsia="標楷體" w:cs="標楷體"/>
          <w:b/>
          <w:i w:val="0"/>
          <w:sz w:val="24"/>
        </w:rPr>
        <w:t>參數選擇與測試期重疊：</w:t>
      </w:r>
      <w:r>
        <w:rPr>
          <w:rFonts w:ascii="標楷體" w:hAnsi="標楷體" w:eastAsia="標楷體" w:cs="標楷體"/>
          <w:b w:val="0"/>
          <w:i w:val="0"/>
          <w:sz w:val="24"/>
        </w:rPr>
        <w:t>模型、持股數、調倉頻率與特徵是在涵蓋評估期的資料上比較後選定，評估期結果屬探索性，可能因資料探勘而偏樂觀；真正的保留測試從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2026-10-21 </w:t>
      </w:r>
      <w:r>
        <w:rPr>
          <w:rFonts w:ascii="標楷體" w:hAnsi="標楷體" w:eastAsia="標楷體" w:cs="標楷體"/>
          <w:b w:val="0"/>
          <w:i w:val="0"/>
          <w:sz w:val="24"/>
        </w:rPr>
        <w:t>才開始。</w:t>
      </w:r>
    </w:p>
    <w:p>
      <w:pPr>
        <w:keepNext w:val="0"/>
        <w:spacing w:before="0" w:after="60" w:line="360" w:lineRule="auto"/>
        <w:ind w:left="760" w:hanging="2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•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標楷體" w:hAnsi="標楷體" w:eastAsia="標楷體" w:cs="標楷體"/>
          <w:b/>
          <w:i w:val="0"/>
          <w:sz w:val="24"/>
        </w:rPr>
        <w:t>存活者偏誤已降低但未完全排除：</w:t>
      </w:r>
      <w:r>
        <w:rPr>
          <w:rFonts w:ascii="標楷體" w:hAnsi="標楷體" w:eastAsia="標楷體" w:cs="標楷體"/>
          <w:b w:val="0"/>
          <w:i w:val="0"/>
          <w:sz w:val="24"/>
        </w:rPr>
        <w:t>股票池已改為逐期重建並保留下市股票，但下市後以最後收盤價計算，未反映下市前的流動性折價；上市股票的成交金額以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Yahoo </w:t>
      </w:r>
      <w:r>
        <w:rPr>
          <w:rFonts w:ascii="標楷體" w:hAnsi="標楷體" w:eastAsia="標楷體" w:cs="標楷體"/>
          <w:b w:val="0"/>
          <w:i w:val="0"/>
          <w:sz w:val="24"/>
        </w:rPr>
        <w:t>收盤價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24"/>
        </w:rPr>
        <w:t>×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24"/>
        </w:rPr>
        <w:t>成交量近似；上櫃股缺少估值資料。</w:t>
      </w:r>
    </w:p>
    <w:p>
      <w:pPr>
        <w:keepNext w:val="0"/>
        <w:spacing w:before="0" w:after="60" w:line="360" w:lineRule="auto"/>
        <w:ind w:left="760" w:hanging="2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•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標楷體" w:hAnsi="標楷體" w:eastAsia="標楷體" w:cs="標楷體"/>
          <w:b/>
          <w:i w:val="0"/>
          <w:sz w:val="24"/>
        </w:rPr>
        <w:t>交易可執行性：</w:t>
      </w:r>
      <w:r>
        <w:rPr>
          <w:rFonts w:ascii="標楷體" w:hAnsi="標楷體" w:eastAsia="標楷體" w:cs="標楷體"/>
          <w:b w:val="0"/>
          <w:i w:val="0"/>
          <w:sz w:val="24"/>
        </w:rPr>
        <w:t>假設以收盤價成交、無資金容量限制；未設單筆成交量上限。</w:t>
      </w:r>
    </w:p>
    <w:p>
      <w:pPr>
        <w:keepNext w:val="0"/>
        <w:spacing w:before="0" w:after="60" w:line="360" w:lineRule="auto"/>
        <w:ind w:left="760" w:hanging="2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•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ETF </w:t>
      </w:r>
      <w:r>
        <w:rPr>
          <w:rFonts w:ascii="標楷體" w:hAnsi="標楷體" w:eastAsia="標楷體" w:cs="標楷體"/>
          <w:b/>
          <w:i w:val="0"/>
          <w:sz w:val="24"/>
        </w:rPr>
        <w:t>可比性：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00850</w:t>
      </w:r>
      <w:r>
        <w:rPr>
          <w:rFonts w:ascii="標楷體" w:hAnsi="標楷體" w:eastAsia="標楷體" w:cs="標楷體"/>
          <w:b w:val="0"/>
          <w:i w:val="0"/>
          <w:sz w:val="24"/>
        </w:rPr>
        <w:t>、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00878 </w:t>
      </w:r>
      <w:r>
        <w:rPr>
          <w:rFonts w:ascii="標楷體" w:hAnsi="標楷體" w:eastAsia="標楷體" w:cs="標楷體"/>
          <w:b w:val="0"/>
          <w:i w:val="0"/>
          <w:sz w:val="24"/>
        </w:rPr>
        <w:t>的成分、權重、再平衡與費用皆與本研究投組不同；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ETF </w:t>
      </w:r>
      <w:r>
        <w:rPr>
          <w:rFonts w:ascii="標楷體" w:hAnsi="標楷體" w:eastAsia="標楷體" w:cs="標楷體"/>
          <w:b w:val="0"/>
          <w:i w:val="0"/>
          <w:sz w:val="24"/>
        </w:rPr>
        <w:t>歷史成分無法取得，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ESG </w:t>
      </w:r>
      <w:r>
        <w:rPr>
          <w:rFonts w:ascii="標楷體" w:hAnsi="標楷體" w:eastAsia="標楷體" w:cs="標楷體"/>
          <w:b w:val="0"/>
          <w:i w:val="0"/>
          <w:sz w:val="24"/>
        </w:rPr>
        <w:t>品質比較只能以股票池代理。</w:t>
      </w:r>
    </w:p>
    <w:p>
      <w:pPr>
        <w:keepNext w:val="0"/>
        <w:spacing w:before="0" w:after="60" w:line="360" w:lineRule="auto"/>
        <w:ind w:left="760" w:hanging="2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•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標楷體" w:hAnsi="標楷體" w:eastAsia="標楷體" w:cs="標楷體"/>
          <w:b/>
          <w:i w:val="0"/>
          <w:sz w:val="24"/>
        </w:rPr>
        <w:t>比較基準：</w:t>
      </w:r>
      <w:r>
        <w:rPr>
          <w:rFonts w:ascii="標楷體" w:hAnsi="標楷體" w:eastAsia="標楷體" w:cs="標楷體"/>
          <w:b w:val="0"/>
          <w:i w:val="0"/>
          <w:sz w:val="24"/>
        </w:rPr>
        <w:t>加權指數為價格指數（不含股利），會讓含息投組相對大盤的超額報酬偏高，因此主要比較以含息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ETF </w:t>
      </w:r>
      <w:r>
        <w:rPr>
          <w:rFonts w:ascii="標楷體" w:hAnsi="標楷體" w:eastAsia="標楷體" w:cs="標楷體"/>
          <w:b w:val="0"/>
          <w:i w:val="0"/>
          <w:sz w:val="24"/>
        </w:rPr>
        <w:t>為準。</w:t>
      </w:r>
    </w:p>
    <w:p>
      <w:pPr>
        <w:keepNext w:val="0"/>
        <w:spacing w:before="0" w:after="60" w:line="360" w:lineRule="auto"/>
        <w:ind w:left="760" w:hanging="2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•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ESG </w:t>
      </w:r>
      <w:r>
        <w:rPr>
          <w:rFonts w:ascii="標楷體" w:hAnsi="標楷體" w:eastAsia="標楷體" w:cs="標楷體"/>
          <w:b/>
          <w:i w:val="0"/>
          <w:sz w:val="24"/>
        </w:rPr>
        <w:t>資料期數有限：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TEJ TESG </w:t>
      </w:r>
      <w:r>
        <w:rPr>
          <w:rFonts w:ascii="標楷體" w:hAnsi="標楷體" w:eastAsia="標楷體" w:cs="標楷體"/>
          <w:b w:val="0"/>
          <w:i w:val="0"/>
          <w:sz w:val="24"/>
        </w:rPr>
        <w:t>自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2022-11 </w:t>
      </w:r>
      <w:r>
        <w:rPr>
          <w:rFonts w:ascii="標楷體" w:hAnsi="標楷體" w:eastAsia="標楷體" w:cs="標楷體"/>
          <w:b w:val="0"/>
          <w:i w:val="0"/>
          <w:sz w:val="24"/>
        </w:rPr>
        <w:t>起僅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8 </w:t>
      </w:r>
      <w:r>
        <w:rPr>
          <w:rFonts w:ascii="標楷體" w:hAnsi="標楷體" w:eastAsia="標楷體" w:cs="標楷體"/>
          <w:b w:val="0"/>
          <w:i w:val="0"/>
          <w:sz w:val="24"/>
        </w:rPr>
        <w:t>期、半年更新；原規劃的爭議與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EPS </w:t>
      </w:r>
      <w:r>
        <w:rPr>
          <w:rFonts w:ascii="標楷體" w:hAnsi="標楷體" w:eastAsia="標楷體" w:cs="標楷體"/>
          <w:b w:val="0"/>
          <w:i w:val="0"/>
          <w:sz w:val="24"/>
        </w:rPr>
        <w:t>排除條件因欄位不足未能套用。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三、結論表述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綜合上述，本研究的主要結論為：「在本研究所使用的逐期股票樣本（含已下市股票）、資料截點與交易假設下，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AI </w:t>
      </w:r>
      <w:r>
        <w:rPr>
          <w:rFonts w:ascii="標楷體" w:hAnsi="標楷體" w:eastAsia="標楷體" w:cs="標楷體"/>
          <w:b w:val="0"/>
          <w:i w:val="0"/>
          <w:sz w:val="24"/>
        </w:rPr>
        <w:t>與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結合策略維持了較高的持股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分數，但其歷史回測報酬並未顯著優於市售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ETF</w:t>
      </w:r>
      <w:r>
        <w:rPr>
          <w:rFonts w:ascii="標楷體" w:hAnsi="標楷體" w:eastAsia="標楷體" w:cs="標楷體"/>
          <w:b w:val="0"/>
          <w:i w:val="0"/>
          <w:sz w:val="24"/>
        </w:rPr>
        <w:t>；先前以現存熱門股建構股票池所得的高報酬，主要來自後見之明偏誤。結果不能代表未來可實現報酬。」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四、管理意涵</w:t>
      </w:r>
    </w:p>
    <w:p>
      <w:pPr>
        <w:keepNext w:val="0"/>
        <w:spacing w:before="0" w:after="60" w:line="360" w:lineRule="auto"/>
        <w:ind w:left="760" w:hanging="2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•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24"/>
        </w:rPr>
        <w:t>評估任何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AI </w:t>
      </w:r>
      <w:r>
        <w:rPr>
          <w:rFonts w:ascii="標楷體" w:hAnsi="標楷體" w:eastAsia="標楷體" w:cs="標楷體"/>
          <w:b w:val="0"/>
          <w:i w:val="0"/>
          <w:sz w:val="24"/>
        </w:rPr>
        <w:t>選股回測時，應優先確認股票池是否逐期建構、是否含下市股、參數選擇期間與交易成本假設；本研究顯示這些設定足以改變結論。</w:t>
      </w:r>
    </w:p>
    <w:p>
      <w:pPr>
        <w:keepNext w:val="0"/>
        <w:spacing w:before="0" w:after="60" w:line="360" w:lineRule="auto"/>
        <w:ind w:left="760" w:hanging="2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•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24"/>
        </w:rPr>
        <w:t>對重視永續與穩定的投資人，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ESG ETF </w:t>
      </w:r>
      <w:r>
        <w:rPr>
          <w:rFonts w:ascii="標楷體" w:hAnsi="標楷體" w:eastAsia="標楷體" w:cs="標楷體"/>
          <w:b w:val="0"/>
          <w:i w:val="0"/>
          <w:sz w:val="24"/>
        </w:rPr>
        <w:t>或規則式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篩選投組以較低成本提供相近報酬與較低波動。</w:t>
      </w:r>
    </w:p>
    <w:p>
      <w:pPr>
        <w:keepNext w:val="0"/>
        <w:spacing w:before="0" w:after="60" w:line="360" w:lineRule="auto"/>
        <w:ind w:left="760" w:hanging="2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•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AI+ESG </w:t>
      </w:r>
      <w:r>
        <w:rPr>
          <w:rFonts w:ascii="標楷體" w:hAnsi="標楷體" w:eastAsia="標楷體" w:cs="標楷體"/>
          <w:b w:val="0"/>
          <w:i w:val="0"/>
          <w:sz w:val="24"/>
        </w:rPr>
        <w:t>可在不犧牲太多報酬的情況下提高持股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4"/>
        </w:rPr>
        <w:t>品質，但高週轉帶來的成本是實務上的主要障礙，可考慮降低調倉頻率或加入換手限制。</w:t>
      </w:r>
    </w:p>
    <w:p>
      <w:pPr>
        <w:pStyle w:val="Heading2"/>
        <w:keepNext/>
        <w:spacing w:before="360" w:after="160" w:line="312" w:lineRule="auto"/>
      </w:pPr>
      <w:r>
        <w:rPr>
          <w:rFonts w:ascii="標楷體" w:hAnsi="標楷體" w:eastAsia="標楷體" w:cs="標楷體"/>
          <w:b/>
          <w:i w:val="0"/>
          <w:sz w:val="30"/>
        </w:rPr>
        <w:t>五、後續研究</w:t>
      </w:r>
    </w:p>
    <w:p>
      <w:pPr>
        <w:keepNext w:val="0"/>
        <w:spacing w:before="0" w:after="60" w:line="360" w:lineRule="auto"/>
        <w:ind w:left="760" w:hanging="2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•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24"/>
        </w:rPr>
        <w:t>以鎖定設定追蹤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2026-10-21 </w:t>
      </w:r>
      <w:r>
        <w:rPr>
          <w:rFonts w:ascii="標楷體" w:hAnsi="標楷體" w:eastAsia="標楷體" w:cs="標楷體"/>
          <w:b w:val="0"/>
          <w:i w:val="0"/>
          <w:sz w:val="24"/>
        </w:rPr>
        <w:t>之後的保留測試，至少累積一年後再評估。</w:t>
      </w:r>
    </w:p>
    <w:p>
      <w:pPr>
        <w:keepNext w:val="0"/>
        <w:spacing w:before="0" w:after="60" w:line="360" w:lineRule="auto"/>
        <w:ind w:left="760" w:hanging="2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•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24"/>
        </w:rPr>
        <w:t>將平台網站的股票池也改為逐期建構，並以本研究的檢定方式定期更新。</w:t>
      </w:r>
    </w:p>
    <w:p>
      <w:pPr>
        <w:keepNext w:val="0"/>
        <w:spacing w:before="0" w:after="60" w:line="360" w:lineRule="auto"/>
        <w:ind w:left="760" w:hanging="2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•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24"/>
        </w:rPr>
        <w:t>加入換手率限制、較長持有期或成交量限制，檢驗降低交易成本後的淨報酬。</w:t>
      </w:r>
    </w:p>
    <w:p>
      <w:pPr>
        <w:keepNext w:val="0"/>
        <w:spacing w:before="0" w:after="60" w:line="360" w:lineRule="auto"/>
        <w:ind w:left="760" w:hanging="2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•</w:t>
      </w:r>
      <w:r>
        <w:rPr>
          <w:rFonts w:ascii="標楷體" w:hAnsi="標楷體" w:eastAsia="標楷體" w:cs="標楷體"/>
          <w:b w:val="0"/>
          <w:i w:val="0"/>
          <w:sz w:val="24"/>
        </w:rPr>
        <w:t xml:space="preserve"> </w:t>
      </w:r>
      <w:r>
        <w:rPr>
          <w:rFonts w:ascii="標楷體" w:hAnsi="標楷體" w:eastAsia="標楷體" w:cs="標楷體"/>
          <w:b w:val="0"/>
          <w:i w:val="0"/>
          <w:sz w:val="24"/>
        </w:rPr>
        <w:t>以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Fama-French </w:t>
      </w:r>
      <w:r>
        <w:rPr>
          <w:rFonts w:ascii="標楷體" w:hAnsi="標楷體" w:eastAsia="標楷體" w:cs="標楷體"/>
          <w:b w:val="0"/>
          <w:i w:val="0"/>
          <w:sz w:val="24"/>
        </w:rPr>
        <w:t>或台灣多因子模型拆解報酬來源；取得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ETF </w:t>
      </w:r>
      <w:r>
        <w:rPr>
          <w:rFonts w:ascii="標楷體" w:hAnsi="標楷體" w:eastAsia="標楷體" w:cs="標楷體"/>
          <w:b w:val="0"/>
          <w:i w:val="0"/>
          <w:sz w:val="24"/>
        </w:rPr>
        <w:t>歷史成分、碳排放與爭議事件資料，直接比較永續品質。</w:t>
      </w:r>
    </w:p>
    <w:p>
      <w:pPr>
        <w:pStyle w:val="Heading1"/>
        <w:keepNext/>
        <w:pageBreakBefore/>
        <w:spacing w:before="0" w:after="360" w:line="312" w:lineRule="auto"/>
        <w:jc w:val="center"/>
      </w:pPr>
      <w:r>
        <w:rPr>
          <w:rFonts w:ascii="標楷體" w:hAnsi="標楷體" w:eastAsia="標楷體" w:cs="標楷體"/>
          <w:b/>
          <w:i w:val="0"/>
          <w:sz w:val="36"/>
        </w:rPr>
        <w:t>參考文獻</w:t>
      </w:r>
    </w:p>
    <w:p>
      <w:pPr>
        <w:keepNext w:val="0"/>
        <w:spacing w:before="0" w:after="160" w:line="360" w:lineRule="auto"/>
        <w:ind w:left="480" w:hanging="480"/>
      </w:pPr>
      <w:r>
        <w:rPr>
          <w:rFonts w:ascii="標楷體" w:hAnsi="標楷體" w:eastAsia="標楷體" w:cs="標楷體"/>
          <w:b w:val="0"/>
          <w:i w:val="0"/>
          <w:sz w:val="22"/>
        </w:rPr>
        <w:t>鄭雅萍（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2025</w:t>
      </w:r>
      <w:r>
        <w:rPr>
          <w:rFonts w:ascii="標楷體" w:hAnsi="標楷體" w:eastAsia="標楷體" w:cs="標楷體"/>
          <w:b w:val="0"/>
          <w:i w:val="0"/>
          <w:sz w:val="22"/>
        </w:rPr>
        <w:t>）。機器學習下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2"/>
        </w:rPr>
        <w:t>選股之投資績效探討〔碩士論文，國立勤益科技大學〕。臺灣博碩士論文知識加值系統。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https://hdl.handle.net/11296/m62b99</w:t>
      </w:r>
    </w:p>
    <w:p>
      <w:pPr>
        <w:keepNext w:val="0"/>
        <w:spacing w:before="0" w:after="160" w:line="360" w:lineRule="auto"/>
        <w:ind w:left="480" w:hanging="48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Breiman, L. (2001). Random forests. Machine Learning, 45(1), 5</w:t>
      </w:r>
      <w:r>
        <w:rPr>
          <w:rFonts w:ascii="標楷體" w:hAnsi="標楷體" w:eastAsia="標楷體" w:cs="標楷體"/>
          <w:b w:val="0"/>
          <w:i w:val="0"/>
          <w:sz w:val="22"/>
        </w:rPr>
        <w:t>–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32. https://doi.org/10.1023/A:1010933404324</w:t>
      </w:r>
    </w:p>
    <w:p>
      <w:pPr>
        <w:keepNext w:val="0"/>
        <w:spacing w:before="0" w:after="160" w:line="360" w:lineRule="auto"/>
        <w:ind w:left="480" w:hanging="48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Brown, S. J., Goetzmann, W., Ibbotson, R. G., &amp; Ross, S. A. (1992). Survivorship bias in performance studies. The Review of Financial Studies, 5(4), 553</w:t>
      </w:r>
      <w:r>
        <w:rPr>
          <w:rFonts w:ascii="標楷體" w:hAnsi="標楷體" w:eastAsia="標楷體" w:cs="標楷體"/>
          <w:b w:val="0"/>
          <w:i w:val="0"/>
          <w:sz w:val="22"/>
        </w:rPr>
        <w:t>–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580. https://doi.org/10.1093/rfs/5.4.553</w:t>
      </w:r>
    </w:p>
    <w:p>
      <w:pPr>
        <w:keepNext w:val="0"/>
        <w:spacing w:before="0" w:after="160" w:line="360" w:lineRule="auto"/>
        <w:ind w:left="480" w:hanging="48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Carlei, V., Furia, D., Ceccarelli, A., &amp; Cascioli, P. (2025). Outperforming ESG stocks portfolio: A machine learning ranking model with catboots regressor. The North American Journal of Economics and Finance, 80, 102517. https://doi.org/10.1016/j.najef.2025.102517</w:t>
      </w:r>
    </w:p>
    <w:p>
      <w:pPr>
        <w:keepNext w:val="0"/>
        <w:spacing w:before="0" w:after="160" w:line="360" w:lineRule="auto"/>
        <w:ind w:left="480" w:hanging="48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Chen, T., &amp; Guestrin, C. (2016). XGBoost: A scalable tree boosting system. Proceedings of the 22nd ACM SIGKDD International Conference on Knowledge Discovery and Data Mining, 785</w:t>
      </w:r>
      <w:r>
        <w:rPr>
          <w:rFonts w:ascii="標楷體" w:hAnsi="標楷體" w:eastAsia="標楷體" w:cs="標楷體"/>
          <w:b w:val="0"/>
          <w:i w:val="0"/>
          <w:sz w:val="22"/>
        </w:rPr>
        <w:t>–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794. https://doi.org/10.1145/2939672.2939785</w:t>
      </w:r>
    </w:p>
    <w:p>
      <w:pPr>
        <w:keepNext w:val="0"/>
        <w:spacing w:before="0" w:after="160" w:line="360" w:lineRule="auto"/>
        <w:ind w:left="480" w:hanging="48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Friede, G., Busch, T., &amp; Bassen, A. (2015). ESG and financial performance: Aggregated evidence from more than 2000 empirical studies. Journal of Sustainable Finance &amp; Investment, 5(4), 210</w:t>
      </w:r>
      <w:r>
        <w:rPr>
          <w:rFonts w:ascii="標楷體" w:hAnsi="標楷體" w:eastAsia="標楷體" w:cs="標楷體"/>
          <w:b w:val="0"/>
          <w:i w:val="0"/>
          <w:sz w:val="22"/>
        </w:rPr>
        <w:t>–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233. https://doi.org/10.1080/20430795.2015.1118917</w:t>
      </w:r>
    </w:p>
    <w:p>
      <w:pPr>
        <w:keepNext w:val="0"/>
        <w:spacing w:before="0" w:after="160" w:line="360" w:lineRule="auto"/>
        <w:ind w:left="480" w:hanging="48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Gu, S., Kelly, B., &amp; Xiu, D. (2020). Empirical asset pricing via machine learning. The Review of Financial Studies, 33(5), 2223</w:t>
      </w:r>
      <w:r>
        <w:rPr>
          <w:rFonts w:ascii="標楷體" w:hAnsi="標楷體" w:eastAsia="標楷體" w:cs="標楷體"/>
          <w:b w:val="0"/>
          <w:i w:val="0"/>
          <w:sz w:val="22"/>
        </w:rPr>
        <w:t>–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2273. https://doi.org/10.1093/rfs/hhaa009</w:t>
      </w:r>
    </w:p>
    <w:p>
      <w:pPr>
        <w:keepNext w:val="0"/>
        <w:spacing w:before="0" w:after="160" w:line="360" w:lineRule="auto"/>
        <w:ind w:left="480" w:hanging="48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Harvey, C. R., Liu, Y., &amp; Zhu, H. (2016). </w:t>
      </w:r>
      <w:r>
        <w:rPr>
          <w:rFonts w:ascii="標楷體" w:hAnsi="標楷體" w:eastAsia="標楷體" w:cs="標楷體"/>
          <w:b w:val="0"/>
          <w:i w:val="0"/>
          <w:sz w:val="22"/>
        </w:rPr>
        <w:t>…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and the cross-section of expected returns. The Review of Financial Studies, 29(1), 5</w:t>
      </w:r>
      <w:r>
        <w:rPr>
          <w:rFonts w:ascii="標楷體" w:hAnsi="標楷體" w:eastAsia="標楷體" w:cs="標楷體"/>
          <w:b w:val="0"/>
          <w:i w:val="0"/>
          <w:sz w:val="22"/>
        </w:rPr>
        <w:t>–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68. https://doi.org/10.1093/rfs/hhv059</w:t>
      </w:r>
    </w:p>
    <w:p>
      <w:pPr>
        <w:keepNext w:val="0"/>
        <w:spacing w:before="0" w:after="160" w:line="360" w:lineRule="auto"/>
        <w:ind w:left="480" w:hanging="48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Holm, S. (1979). A simple sequentially rejective multiple test procedure. Scandinavian Journal of Statistics, 6(2), 65</w:t>
      </w:r>
      <w:r>
        <w:rPr>
          <w:rFonts w:ascii="標楷體" w:hAnsi="標楷體" w:eastAsia="標楷體" w:cs="標楷體"/>
          <w:b w:val="0"/>
          <w:i w:val="0"/>
          <w:sz w:val="22"/>
        </w:rPr>
        <w:t>–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70.</w:t>
      </w:r>
    </w:p>
    <w:p>
      <w:pPr>
        <w:keepNext w:val="0"/>
        <w:spacing w:before="0" w:after="160" w:line="360" w:lineRule="auto"/>
        <w:ind w:left="480" w:hanging="48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Jensen, M. C. (1968). The performance of mutual funds in the period 1945</w:t>
      </w:r>
      <w:r>
        <w:rPr>
          <w:rFonts w:ascii="標楷體" w:hAnsi="標楷體" w:eastAsia="標楷體" w:cs="標楷體"/>
          <w:b w:val="0"/>
          <w:i w:val="0"/>
          <w:sz w:val="22"/>
        </w:rPr>
        <w:t>–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1964. The Journal of Finance, 23(2), 389</w:t>
      </w:r>
      <w:r>
        <w:rPr>
          <w:rFonts w:ascii="標楷體" w:hAnsi="標楷體" w:eastAsia="標楷體" w:cs="標楷體"/>
          <w:b w:val="0"/>
          <w:i w:val="0"/>
          <w:sz w:val="22"/>
        </w:rPr>
        <w:t>–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416. https://doi.org/10.1111/j.1540-6261.1968.tb00815.x</w:t>
      </w:r>
    </w:p>
    <w:p>
      <w:pPr>
        <w:keepNext w:val="0"/>
        <w:spacing w:before="0" w:after="160" w:line="360" w:lineRule="auto"/>
        <w:ind w:left="480" w:hanging="48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K</w:t>
      </w:r>
      <w:r>
        <w:rPr>
          <w:rFonts w:ascii="標楷體" w:hAnsi="標楷體" w:eastAsia="標楷體" w:cs="標楷體"/>
          <w:b w:val="0"/>
          <w:i w:val="0"/>
          <w:sz w:val="22"/>
        </w:rPr>
        <w:t>ü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nsch, H. R. (1989). The jackknife and the bootstrap for general stationary observations. The Annals of Statistics, 17(3), 1217</w:t>
      </w:r>
      <w:r>
        <w:rPr>
          <w:rFonts w:ascii="標楷體" w:hAnsi="標楷體" w:eastAsia="標楷體" w:cs="標楷體"/>
          <w:b w:val="0"/>
          <w:i w:val="0"/>
          <w:sz w:val="22"/>
        </w:rPr>
        <w:t>–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1241. https://doi.org/10.1214/aos/1176347265</w:t>
      </w:r>
    </w:p>
    <w:p>
      <w:pPr>
        <w:keepNext w:val="0"/>
        <w:spacing w:before="0" w:after="160" w:line="360" w:lineRule="auto"/>
        <w:ind w:left="480" w:hanging="48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Newey, W. K., &amp; West, K. D. (1987). A simple, positive semi-definite, heteroskedasticity and autocorrelation consistent covariance matrix. Econometrica, 55(3), 703</w:t>
      </w:r>
      <w:r>
        <w:rPr>
          <w:rFonts w:ascii="標楷體" w:hAnsi="標楷體" w:eastAsia="標楷體" w:cs="標楷體"/>
          <w:b w:val="0"/>
          <w:i w:val="0"/>
          <w:sz w:val="22"/>
        </w:rPr>
        <w:t>–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708. https://doi.org/10.2307/1913610</w:t>
      </w:r>
    </w:p>
    <w:p>
      <w:pPr>
        <w:keepNext w:val="0"/>
        <w:spacing w:before="0" w:after="160" w:line="360" w:lineRule="auto"/>
        <w:ind w:left="480" w:hanging="48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Newey, W. K., &amp; West, K. D. (1994). Automatic lag selection in covariance matrix estimation. The Review of Economic Studies, 61(4), 631</w:t>
      </w:r>
      <w:r>
        <w:rPr>
          <w:rFonts w:ascii="標楷體" w:hAnsi="標楷體" w:eastAsia="標楷體" w:cs="標楷體"/>
          <w:b w:val="0"/>
          <w:i w:val="0"/>
          <w:sz w:val="22"/>
        </w:rPr>
        <w:t>–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653. https://doi.org/10.2307/2297912</w:t>
      </w:r>
    </w:p>
    <w:p>
      <w:pPr>
        <w:keepNext w:val="0"/>
        <w:spacing w:before="0" w:after="160" w:line="360" w:lineRule="auto"/>
        <w:ind w:left="480" w:hanging="48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Novy-Marx, R., &amp; Velikov, M. (2016). A taxonomy of anomalies and their trading costs. The Review of Financial Studies, 29(1), 104</w:t>
      </w:r>
      <w:r>
        <w:rPr>
          <w:rFonts w:ascii="標楷體" w:hAnsi="標楷體" w:eastAsia="標楷體" w:cs="標楷體"/>
          <w:b w:val="0"/>
          <w:i w:val="0"/>
          <w:sz w:val="22"/>
        </w:rPr>
        <w:t>–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147. https://doi.org/10.1093/rfs/hhv063</w:t>
      </w:r>
    </w:p>
    <w:p>
      <w:pPr>
        <w:keepNext w:val="0"/>
        <w:spacing w:before="0" w:after="160" w:line="360" w:lineRule="auto"/>
        <w:ind w:left="480" w:hanging="48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Pedersen, L. H., Fitzgibbons, S., &amp; Pomorski, L. (2021). Responsible investing: The ESG-efficient frontier. Journal of Financial Economics, 142(2), 572</w:t>
      </w:r>
      <w:r>
        <w:rPr>
          <w:rFonts w:ascii="標楷體" w:hAnsi="標楷體" w:eastAsia="標楷體" w:cs="標楷體"/>
          <w:b w:val="0"/>
          <w:i w:val="0"/>
          <w:sz w:val="22"/>
        </w:rPr>
        <w:t>–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597. https://doi.org/10.1016/j.jfineco.2020.11.001</w:t>
      </w:r>
    </w:p>
    <w:p>
      <w:pPr>
        <w:keepNext w:val="0"/>
        <w:spacing w:before="0" w:after="160" w:line="360" w:lineRule="auto"/>
        <w:ind w:left="480" w:hanging="48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Shen, K.-Y. (2024). Fuzzy</w:t>
      </w:r>
      <w:r>
        <w:rPr>
          <w:rFonts w:ascii="標楷體" w:hAnsi="標楷體" w:eastAsia="標楷體" w:cs="標楷體"/>
          <w:b w:val="0"/>
          <w:i w:val="0"/>
          <w:sz w:val="22"/>
        </w:rPr>
        <w:t>–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rough analysis of ESG ratings and financial and growth ratios on the stock returns of blue-chip stocks in Taiwan. Mathematics, 12(16), 2511. https://doi.org/10.3390/math12162511</w:t>
      </w:r>
    </w:p>
    <w:p>
      <w:pPr>
        <w:keepNext w:val="0"/>
        <w:spacing w:before="0" w:after="160" w:line="360" w:lineRule="auto"/>
        <w:ind w:left="480" w:hanging="48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Sullivan, R., Timmermann, A., &amp; White, H. (1999). Data-snooping, technical trading rule performance, and the bootstrap. The Journal of Finance, 54(5), 1647</w:t>
      </w:r>
      <w:r>
        <w:rPr>
          <w:rFonts w:ascii="標楷體" w:hAnsi="標楷體" w:eastAsia="標楷體" w:cs="標楷體"/>
          <w:b w:val="0"/>
          <w:i w:val="0"/>
          <w:sz w:val="22"/>
        </w:rPr>
        <w:t>–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1691. https://doi.org/10.1111/0022-1082.00163</w:t>
      </w:r>
    </w:p>
    <w:p>
      <w:pPr>
        <w:keepNext w:val="0"/>
        <w:spacing w:before="0" w:after="160" w:line="360" w:lineRule="auto"/>
        <w:ind w:left="480" w:hanging="480"/>
      </w:pPr>
      <w:r>
        <w:rPr>
          <w:rFonts w:ascii="標楷體" w:hAnsi="標楷體" w:eastAsia="標楷體" w:cs="標楷體"/>
          <w:b w:val="0"/>
          <w:i w:val="0"/>
          <w:sz w:val="22"/>
        </w:rPr>
        <w:t>元大證券投資信託（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2026</w:t>
      </w:r>
      <w:r>
        <w:rPr>
          <w:rFonts w:ascii="標楷體" w:hAnsi="標楷體" w:eastAsia="標楷體" w:cs="標楷體"/>
          <w:b w:val="0"/>
          <w:i w:val="0"/>
          <w:sz w:val="22"/>
        </w:rPr>
        <w:t>）。元大臺灣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ESG </w:t>
      </w:r>
      <w:r>
        <w:rPr>
          <w:rFonts w:ascii="標楷體" w:hAnsi="標楷體" w:eastAsia="標楷體" w:cs="標楷體"/>
          <w:b w:val="0"/>
          <w:i w:val="0"/>
          <w:sz w:val="22"/>
        </w:rPr>
        <w:t>永續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ETF</w:t>
      </w:r>
      <w:r>
        <w:rPr>
          <w:rFonts w:ascii="標楷體" w:hAnsi="標楷體" w:eastAsia="標楷體" w:cs="標楷體"/>
          <w:b w:val="0"/>
          <w:i w:val="0"/>
          <w:sz w:val="22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00850</w:t>
      </w:r>
      <w:r>
        <w:rPr>
          <w:rFonts w:ascii="標楷體" w:hAnsi="標楷體" w:eastAsia="標楷體" w:cs="標楷體"/>
          <w:b w:val="0"/>
          <w:i w:val="0"/>
          <w:sz w:val="22"/>
        </w:rPr>
        <w:t>）產品資訊。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https://www.yuantaetfs.com/product/detail/00850/</w:t>
      </w:r>
      <w:r>
        <w:rPr>
          <w:rFonts w:ascii="標楷體" w:hAnsi="標楷體" w:eastAsia="標楷體" w:cs="標楷體"/>
          <w:b w:val="0"/>
          <w:i w:val="0"/>
          <w:sz w:val="22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2026 </w:t>
      </w:r>
      <w:r>
        <w:rPr>
          <w:rFonts w:ascii="標楷體" w:hAnsi="標楷體" w:eastAsia="標楷體" w:cs="標楷體"/>
          <w:b w:val="0"/>
          <w:i w:val="0"/>
          <w:sz w:val="22"/>
        </w:rPr>
        <w:t>年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10 </w:t>
      </w:r>
      <w:r>
        <w:rPr>
          <w:rFonts w:ascii="標楷體" w:hAnsi="標楷體" w:eastAsia="標楷體" w:cs="標楷體"/>
          <w:b w:val="0"/>
          <w:i w:val="0"/>
          <w:sz w:val="22"/>
        </w:rPr>
        <w:t>月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25 </w:t>
      </w:r>
      <w:r>
        <w:rPr>
          <w:rFonts w:ascii="標楷體" w:hAnsi="標楷體" w:eastAsia="標楷體" w:cs="標楷體"/>
          <w:b w:val="0"/>
          <w:i w:val="0"/>
          <w:sz w:val="22"/>
        </w:rPr>
        <w:t>日查詢）</w:t>
      </w:r>
    </w:p>
    <w:p>
      <w:pPr>
        <w:keepNext w:val="0"/>
        <w:spacing w:before="0" w:after="160" w:line="360" w:lineRule="auto"/>
        <w:ind w:left="480" w:hanging="480"/>
      </w:pPr>
      <w:r>
        <w:rPr>
          <w:rFonts w:ascii="標楷體" w:hAnsi="標楷體" w:eastAsia="標楷體" w:cs="標楷體"/>
          <w:b w:val="0"/>
          <w:i w:val="0"/>
          <w:sz w:val="22"/>
        </w:rPr>
        <w:t>國泰證券投資信託（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2026</w:t>
      </w:r>
      <w:r>
        <w:rPr>
          <w:rFonts w:ascii="標楷體" w:hAnsi="標楷體" w:eastAsia="標楷體" w:cs="標楷體"/>
          <w:b w:val="0"/>
          <w:i w:val="0"/>
          <w:sz w:val="22"/>
        </w:rPr>
        <w:t>）。國泰永續高股息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ETF</w:t>
      </w:r>
      <w:r>
        <w:rPr>
          <w:rFonts w:ascii="標楷體" w:hAnsi="標楷體" w:eastAsia="標楷體" w:cs="標楷體"/>
          <w:b w:val="0"/>
          <w:i w:val="0"/>
          <w:sz w:val="22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00878</w:t>
      </w:r>
      <w:r>
        <w:rPr>
          <w:rFonts w:ascii="標楷體" w:hAnsi="標楷體" w:eastAsia="標楷體" w:cs="標楷體"/>
          <w:b w:val="0"/>
          <w:i w:val="0"/>
          <w:sz w:val="22"/>
        </w:rPr>
        <w:t>）產品資訊。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https://www.cathaysite.com.tw/</w:t>
      </w:r>
      <w:r>
        <w:rPr>
          <w:rFonts w:ascii="標楷體" w:hAnsi="標楷體" w:eastAsia="標楷體" w:cs="標楷體"/>
          <w:b w:val="0"/>
          <w:i w:val="0"/>
          <w:sz w:val="22"/>
        </w:rPr>
        <w:t>（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2026 </w:t>
      </w:r>
      <w:r>
        <w:rPr>
          <w:rFonts w:ascii="標楷體" w:hAnsi="標楷體" w:eastAsia="標楷體" w:cs="標楷體"/>
          <w:b w:val="0"/>
          <w:i w:val="0"/>
          <w:sz w:val="22"/>
        </w:rPr>
        <w:t>年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10 </w:t>
      </w:r>
      <w:r>
        <w:rPr>
          <w:rFonts w:ascii="標楷體" w:hAnsi="標楷體" w:eastAsia="標楷體" w:cs="標楷體"/>
          <w:b w:val="0"/>
          <w:i w:val="0"/>
          <w:sz w:val="22"/>
        </w:rPr>
        <w:t>月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25 </w:t>
      </w:r>
      <w:r>
        <w:rPr>
          <w:rFonts w:ascii="標楷體" w:hAnsi="標楷體" w:eastAsia="標楷體" w:cs="標楷體"/>
          <w:b w:val="0"/>
          <w:i w:val="0"/>
          <w:sz w:val="22"/>
        </w:rPr>
        <w:t>日查詢）</w:t>
      </w:r>
    </w:p>
    <w:p>
      <w:pPr>
        <w:pStyle w:val="Heading1"/>
        <w:keepNext/>
        <w:pageBreakBefore/>
        <w:spacing w:before="0" w:after="360" w:line="312" w:lineRule="auto"/>
        <w:jc w:val="center"/>
      </w:pPr>
      <w:r>
        <w:rPr>
          <w:rFonts w:ascii="標楷體" w:hAnsi="標楷體" w:eastAsia="標楷體" w:cs="標楷體"/>
          <w:b/>
          <w:i w:val="0"/>
          <w:sz w:val="36"/>
        </w:rPr>
        <w:t>附錄</w:t>
      </w:r>
      <w:r>
        <w:rPr>
          <w:rFonts w:ascii="Times New Roman" w:hAnsi="Times New Roman" w:eastAsia="Times New Roman" w:cs="Times New Roman"/>
          <w:b/>
          <w:i w:val="0"/>
          <w:sz w:val="36"/>
        </w:rPr>
        <w:t xml:space="preserve"> A</w:t>
      </w:r>
      <w:r>
        <w:rPr>
          <w:rFonts w:ascii="標楷體" w:hAnsi="標楷體" w:eastAsia="標楷體" w:cs="標楷體"/>
          <w:b/>
          <w:i w:val="0"/>
          <w:sz w:val="36"/>
        </w:rPr>
        <w:t xml:space="preserve">　研究版本與重現方式</w:t>
      </w:r>
    </w:p>
    <w:p>
      <w:pPr>
        <w:keepNext w:val="0"/>
        <w:spacing w:before="0" w:after="120" w:line="384" w:lineRule="auto"/>
        <w:ind w:firstLine="480"/>
        <w:jc w:val="both"/>
      </w:pPr>
      <w:r>
        <w:rPr>
          <w:rFonts w:ascii="標楷體" w:hAnsi="標楷體" w:eastAsia="標楷體" w:cs="標楷體"/>
          <w:b w:val="0"/>
          <w:i w:val="0"/>
          <w:sz w:val="24"/>
        </w:rPr>
        <w:t>在乾淨環境重現本論文的步驟：</w:t>
      </w:r>
    </w:p>
    <w:p>
      <w:pPr>
        <w:keepNext w:val="0"/>
        <w:spacing w:before="0" w:after="60" w:line="336" w:lineRule="auto"/>
        <w:ind w:left="760" w:hanging="280"/>
      </w:pPr>
      <w:r>
        <w:rPr>
          <w:rFonts w:ascii="標楷體" w:hAnsi="標楷體" w:eastAsia="標楷體" w:cs="標楷體"/>
          <w:b w:val="0"/>
          <w:i w:val="0"/>
          <w:sz w:val="22"/>
        </w:rPr>
        <w:t>•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git clone https://github.com/Hendrick0815/ESG_AI_Dashboard.git </w:t>
      </w:r>
      <w:r>
        <w:rPr>
          <w:rFonts w:ascii="標楷體" w:hAnsi="標楷體" w:eastAsia="標楷體" w:cs="標楷體"/>
          <w:b w:val="0"/>
          <w:i w:val="0"/>
          <w:sz w:val="22"/>
        </w:rPr>
        <w:t>並切換到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manifest.json </w:t>
      </w:r>
      <w:r>
        <w:rPr>
          <w:rFonts w:ascii="標楷體" w:hAnsi="標楷體" w:eastAsia="標楷體" w:cs="標楷體"/>
          <w:b w:val="0"/>
          <w:i w:val="0"/>
          <w:sz w:val="22"/>
        </w:rPr>
        <w:t>記錄的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commit</w:t>
      </w:r>
    </w:p>
    <w:p>
      <w:pPr>
        <w:keepNext w:val="0"/>
        <w:spacing w:before="0" w:after="60" w:line="336" w:lineRule="auto"/>
        <w:ind w:left="760" w:hanging="280"/>
      </w:pPr>
      <w:r>
        <w:rPr>
          <w:rFonts w:ascii="標楷體" w:hAnsi="標楷體" w:eastAsia="標楷體" w:cs="標楷體"/>
          <w:b w:val="0"/>
          <w:i w:val="0"/>
          <w:sz w:val="22"/>
        </w:rPr>
        <w:t>•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pip install -r requirements-lock.txt</w:t>
      </w:r>
      <w:r>
        <w:rPr>
          <w:rFonts w:ascii="標楷體" w:hAnsi="標楷體" w:eastAsia="標楷體" w:cs="標楷體"/>
          <w:b w:val="0"/>
          <w:i w:val="0"/>
          <w:sz w:val="22"/>
        </w:rPr>
        <w:t>（固定版本）</w:t>
      </w:r>
    </w:p>
    <w:p>
      <w:pPr>
        <w:keepNext w:val="0"/>
        <w:spacing w:before="0" w:after="60" w:line="336" w:lineRule="auto"/>
        <w:ind w:left="760" w:hanging="280"/>
      </w:pPr>
      <w:r>
        <w:rPr>
          <w:rFonts w:ascii="標楷體" w:hAnsi="標楷體" w:eastAsia="標楷體" w:cs="標楷體"/>
          <w:b w:val="0"/>
          <w:i w:val="0"/>
          <w:sz w:val="22"/>
        </w:rPr>
        <w:t>•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python scripts/backfill_daily_quotes.py 2017-07-03 2026-10-20 tpex</w:t>
      </w:r>
      <w:r>
        <w:rPr>
          <w:rFonts w:ascii="標楷體" w:hAnsi="標楷體" w:eastAsia="標楷體" w:cs="標楷體"/>
          <w:b w:val="0"/>
          <w:i w:val="0"/>
          <w:sz w:val="22"/>
        </w:rPr>
        <w:t>（上櫃逐日行情；上市年度檔已存於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data/raw/daily_quotes_twse/</w:t>
      </w:r>
      <w:r>
        <w:rPr>
          <w:rFonts w:ascii="標楷體" w:hAnsi="標楷體" w:eastAsia="標楷體" w:cs="標楷體"/>
          <w:b w:val="0"/>
          <w:i w:val="0"/>
          <w:sz w:val="22"/>
        </w:rPr>
        <w:t>）</w:t>
      </w:r>
    </w:p>
    <w:p>
      <w:pPr>
        <w:keepNext w:val="0"/>
        <w:spacing w:before="0" w:after="60" w:line="336" w:lineRule="auto"/>
        <w:ind w:left="760" w:hanging="280"/>
      </w:pPr>
      <w:r>
        <w:rPr>
          <w:rFonts w:ascii="標楷體" w:hAnsi="標楷體" w:eastAsia="標楷體" w:cs="標楷體"/>
          <w:b w:val="0"/>
          <w:i w:val="0"/>
          <w:sz w:val="22"/>
        </w:rPr>
        <w:t>•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python scripts/research/run_research.py</w:t>
      </w:r>
      <w:r>
        <w:rPr>
          <w:rFonts w:ascii="標楷體" w:hAnsi="標楷體" w:eastAsia="標楷體" w:cs="標楷體"/>
          <w:b w:val="0"/>
          <w:i w:val="0"/>
          <w:sz w:val="22"/>
        </w:rPr>
        <w:t>（約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30</w:t>
      </w:r>
      <w:r>
        <w:rPr>
          <w:rFonts w:ascii="標楷體" w:hAnsi="標楷體" w:eastAsia="標楷體" w:cs="標楷體"/>
          <w:b w:val="0"/>
          <w:i w:val="0"/>
          <w:sz w:val="22"/>
        </w:rPr>
        <w:t>～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60 </w:t>
      </w:r>
      <w:r>
        <w:rPr>
          <w:rFonts w:ascii="標楷體" w:hAnsi="標楷體" w:eastAsia="標楷體" w:cs="標楷體"/>
          <w:b w:val="0"/>
          <w:i w:val="0"/>
          <w:sz w:val="22"/>
        </w:rPr>
        <w:t>分鐘；輸出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outputs/research/thesis_2026-10-20/</w:t>
      </w:r>
      <w:r>
        <w:rPr>
          <w:rFonts w:ascii="標楷體" w:hAnsi="標楷體" w:eastAsia="標楷體" w:cs="標楷體"/>
          <w:b w:val="0"/>
          <w:i w:val="0"/>
          <w:sz w:val="22"/>
        </w:rPr>
        <w:t>）</w:t>
      </w:r>
    </w:p>
    <w:p>
      <w:pPr>
        <w:keepNext w:val="0"/>
        <w:spacing w:before="0" w:after="60" w:line="336" w:lineRule="auto"/>
        <w:ind w:left="760" w:hanging="280"/>
      </w:pPr>
      <w:r>
        <w:rPr>
          <w:rFonts w:ascii="標楷體" w:hAnsi="標楷體" w:eastAsia="標楷體" w:cs="標楷體"/>
          <w:b w:val="0"/>
          <w:i w:val="0"/>
          <w:sz w:val="22"/>
        </w:rPr>
        <w:t>•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python scripts/research/build_report.py</w:t>
      </w:r>
      <w:r>
        <w:rPr>
          <w:rFonts w:ascii="標楷體" w:hAnsi="標楷體" w:eastAsia="標楷體" w:cs="標楷體"/>
          <w:b w:val="0"/>
          <w:i w:val="0"/>
          <w:sz w:val="22"/>
        </w:rPr>
        <w:t>（由表格檔產生本論文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Word</w:t>
      </w:r>
      <w:r>
        <w:rPr>
          <w:rFonts w:ascii="標楷體" w:hAnsi="標楷體" w:eastAsia="標楷體" w:cs="標楷體"/>
          <w:b w:val="0"/>
          <w:i w:val="0"/>
          <w:sz w:val="22"/>
        </w:rPr>
        <w:t>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PDF </w:t>
      </w:r>
      <w:r>
        <w:rPr>
          <w:rFonts w:ascii="標楷體" w:hAnsi="標楷體" w:eastAsia="標楷體" w:cs="標楷體"/>
          <w:b w:val="0"/>
          <w:i w:val="0"/>
          <w:sz w:val="22"/>
        </w:rPr>
        <w:t>與網站表格檔）</w:t>
      </w:r>
    </w:p>
    <w:p>
      <w:pPr>
        <w:keepNext w:val="0"/>
        <w:spacing w:before="0" w:after="60" w:line="336" w:lineRule="auto"/>
        <w:ind w:left="760" w:hanging="280"/>
      </w:pPr>
      <w:r>
        <w:rPr>
          <w:rFonts w:ascii="標楷體" w:hAnsi="標楷體" w:eastAsia="標楷體" w:cs="標楷體"/>
          <w:b w:val="0"/>
          <w:i w:val="0"/>
          <w:sz w:val="22"/>
        </w:rPr>
        <w:t>•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python scripts/research/capture_web.py</w:t>
      </w:r>
      <w:r>
        <w:rPr>
          <w:rFonts w:ascii="標楷體" w:hAnsi="標楷體" w:eastAsia="標楷體" w:cs="標楷體"/>
          <w:b w:val="0"/>
          <w:i w:val="0"/>
          <w:sz w:val="22"/>
        </w:rPr>
        <w:t>（啟動網站並截取「論文正式版本」頁面的表格與圖），再執行一次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build_report.py </w:t>
      </w:r>
      <w:r>
        <w:rPr>
          <w:rFonts w:ascii="標楷體" w:hAnsi="標楷體" w:eastAsia="標楷體" w:cs="標楷體"/>
          <w:b w:val="0"/>
          <w:i w:val="0"/>
          <w:sz w:val="22"/>
        </w:rPr>
        <w:t>放入截圖</w:t>
      </w:r>
    </w:p>
    <w:p>
      <w:pPr>
        <w:keepNext w:val="0"/>
        <w:spacing w:before="0" w:after="60" w:line="336" w:lineRule="auto"/>
        <w:ind w:left="760" w:hanging="280"/>
      </w:pPr>
      <w:r>
        <w:rPr>
          <w:rFonts w:ascii="標楷體" w:hAnsi="標楷體" w:eastAsia="標楷體" w:cs="標楷體"/>
          <w:b w:val="0"/>
          <w:i w:val="0"/>
          <w:sz w:val="22"/>
        </w:rPr>
        <w:t>•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pytest tests/</w:t>
      </w:r>
      <w:r>
        <w:rPr>
          <w:rFonts w:ascii="標楷體" w:hAnsi="標楷體" w:eastAsia="標楷體" w:cs="標楷體"/>
          <w:b w:val="0"/>
          <w:i w:val="0"/>
          <w:sz w:val="22"/>
        </w:rPr>
        <w:t>（核心邏輯測試）</w:t>
      </w:r>
    </w:p>
    <w:p>
      <w:pPr>
        <w:keepNext/>
        <w:spacing w:before="200" w:after="80" w:line="312" w:lineRule="auto"/>
        <w:jc w:val="center"/>
      </w:pPr>
      <w:r>
        <w:rPr>
          <w:rFonts w:ascii="標楷體" w:hAnsi="標楷體" w:eastAsia="標楷體" w:cs="標楷體"/>
          <w:b/>
          <w:i w:val="0"/>
          <w:sz w:val="24"/>
        </w:rPr>
        <w:t>表</w:t>
      </w: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 A-1</w:t>
      </w:r>
      <w:r>
        <w:rPr>
          <w:rFonts w:ascii="標楷體" w:hAnsi="標楷體" w:eastAsia="標楷體" w:cs="標楷體"/>
          <w:b/>
          <w:i w:val="0"/>
          <w:sz w:val="24"/>
        </w:rPr>
        <w:t xml:space="preserve">　本次執行的版本紀錄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3249"/>
        <w:gridCol w:w="5776"/>
      </w:tblGrid>
      <w:tr>
        <w:trPr>
          <w:cantSplit/>
          <w:tblHeader/>
        </w:trPr>
        <w:tc>
          <w:tcPr>
            <w:tcW w:type="dxa" w:w="3249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5776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執行時間</w:t>
            </w:r>
          </w:p>
        </w:tc>
        <w:tc>
          <w:tcPr>
            <w:tcW w:type="dxa" w:w="577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2026-10-25T22:39:32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～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2026-10-25T22:54:10</w:t>
            </w:r>
          </w:p>
        </w:tc>
      </w:tr>
      <w:tr>
        <w:trPr>
          <w:cantSplit/>
        </w:trPr>
        <w:tc>
          <w:tcPr>
            <w:tcW w:type="dxa" w:w="324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程式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commit</w:t>
            </w:r>
          </w:p>
        </w:tc>
        <w:tc>
          <w:tcPr>
            <w:tcW w:type="dxa" w:w="577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（見程式檔雜湊值）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Python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／套件</w:t>
            </w:r>
          </w:p>
        </w:tc>
        <w:tc>
          <w:tcPr>
            <w:tcW w:type="dxa" w:w="577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Python 3.13.15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；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pandas 3.0.5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numpy 2.5.3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scikit-learn 1.9.1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scipy 1.18.1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statsmodels 0.15.0</w:t>
            </w:r>
          </w:p>
        </w:tc>
      </w:tr>
      <w:tr>
        <w:trPr>
          <w:cantSplit/>
        </w:trPr>
        <w:tc>
          <w:tcPr>
            <w:tcW w:type="dxa" w:w="324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隨機種子</w:t>
            </w:r>
          </w:p>
        </w:tc>
        <w:tc>
          <w:tcPr>
            <w:tcW w:type="dxa" w:w="577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訓練次數</w:t>
            </w:r>
          </w:p>
        </w:tc>
        <w:tc>
          <w:tcPr>
            <w:tcW w:type="dxa" w:w="577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33</w:t>
            </w:r>
          </w:p>
        </w:tc>
      </w:tr>
      <w:tr>
        <w:trPr>
          <w:cantSplit/>
        </w:trPr>
        <w:tc>
          <w:tcPr>
            <w:tcW w:type="dxa" w:w="324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data/raw/tej/tesg_2022-2026.csv</w:t>
            </w:r>
          </w:p>
        </w:tc>
        <w:tc>
          <w:tcPr>
            <w:tcW w:type="dxa" w:w="577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14e8fb87c5ecae00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…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data/raw/tej/tesg_2026Q2.csv</w:t>
            </w:r>
          </w:p>
        </w:tc>
        <w:tc>
          <w:tcPr>
            <w:tcW w:type="dxa" w:w="577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2c1fc25b61ca2627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…</w:t>
            </w:r>
          </w:p>
        </w:tc>
      </w:tr>
      <w:tr>
        <w:trPr>
          <w:cantSplit/>
        </w:trPr>
        <w:tc>
          <w:tcPr>
            <w:tcW w:type="dxa" w:w="324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data/processed/benchmarks.csv</w:t>
            </w:r>
          </w:p>
        </w:tc>
        <w:tc>
          <w:tcPr>
            <w:tcW w:type="dxa" w:w="577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7a6c350e05d223a6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…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data/processed/valuation.csv</w:t>
            </w:r>
          </w:p>
        </w:tc>
        <w:tc>
          <w:tcPr>
            <w:tcW w:type="dxa" w:w="577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08eaedc20be61fb9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…</w:t>
            </w:r>
          </w:p>
        </w:tc>
      </w:tr>
      <w:tr>
        <w:trPr>
          <w:cantSplit/>
        </w:trPr>
        <w:tc>
          <w:tcPr>
            <w:tcW w:type="dxa" w:w="324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data/processed/listing.csv</w:t>
            </w:r>
          </w:p>
        </w:tc>
        <w:tc>
          <w:tcPr>
            <w:tcW w:type="dxa" w:w="577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93c54ba44c366673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…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data/raw/daily_quotes*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（合計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2491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檔）</w:t>
            </w:r>
          </w:p>
        </w:tc>
        <w:tc>
          <w:tcPr>
            <w:tcW w:type="dxa" w:w="577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1a8450c9837a40f0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…</w:t>
            </w:r>
          </w:p>
        </w:tc>
      </w:tr>
    </w:tbl>
    <w:p>
      <w:pPr>
        <w:spacing w:after="0"/>
      </w:pPr>
    </w:p>
    <w:p>
      <w:pPr>
        <w:keepNext w:val="0"/>
        <w:spacing w:before="60" w:after="200" w:line="300" w:lineRule="auto"/>
        <w:jc w:val="both"/>
      </w:pPr>
      <w:r>
        <w:rPr>
          <w:rFonts w:ascii="標楷體" w:hAnsi="標楷體" w:eastAsia="標楷體" w:cs="標楷體"/>
          <w:b w:val="0"/>
          <w:i w:val="0"/>
          <w:sz w:val="20"/>
        </w:rPr>
        <w:t>註：完整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SHA-256 </w:t>
      </w:r>
      <w:r>
        <w:rPr>
          <w:rFonts w:ascii="標楷體" w:hAnsi="標楷體" w:eastAsia="標楷體" w:cs="標楷體"/>
          <w:b w:val="0"/>
          <w:i w:val="0"/>
          <w:sz w:val="20"/>
        </w:rPr>
        <w:t>雜湊值見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manifest.json</w:t>
      </w:r>
      <w:r>
        <w:rPr>
          <w:rFonts w:ascii="標楷體" w:hAnsi="標楷體" w:eastAsia="標楷體" w:cs="標楷體"/>
          <w:b w:val="0"/>
          <w:i w:val="0"/>
          <w:sz w:val="20"/>
        </w:rPr>
        <w:t>。</w:t>
      </w:r>
    </w:p>
    <w:p>
      <w:pPr>
        <w:pStyle w:val="Heading1"/>
        <w:keepNext/>
        <w:pageBreakBefore/>
        <w:spacing w:before="0" w:after="360" w:line="312" w:lineRule="auto"/>
        <w:jc w:val="center"/>
      </w:pPr>
      <w:r>
        <w:rPr>
          <w:rFonts w:ascii="標楷體" w:hAnsi="標楷體" w:eastAsia="標楷體" w:cs="標楷體"/>
          <w:b/>
          <w:i w:val="0"/>
          <w:sz w:val="36"/>
        </w:rPr>
        <w:t>附錄</w:t>
      </w:r>
      <w:r>
        <w:rPr>
          <w:rFonts w:ascii="Times New Roman" w:hAnsi="Times New Roman" w:eastAsia="Times New Roman" w:cs="Times New Roman"/>
          <w:b/>
          <w:i w:val="0"/>
          <w:sz w:val="36"/>
        </w:rPr>
        <w:t xml:space="preserve"> B</w:t>
      </w:r>
      <w:r>
        <w:rPr>
          <w:rFonts w:ascii="標楷體" w:hAnsi="標楷體" w:eastAsia="標楷體" w:cs="標楷體"/>
          <w:b/>
          <w:i w:val="0"/>
          <w:sz w:val="36"/>
        </w:rPr>
        <w:t xml:space="preserve">　資料字典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3068"/>
        <w:gridCol w:w="3249"/>
        <w:gridCol w:w="2707"/>
      </w:tblGrid>
      <w:tr>
        <w:trPr>
          <w:cantSplit/>
          <w:tblHeader/>
        </w:trPr>
        <w:tc>
          <w:tcPr>
            <w:tcW w:type="dxa" w:w="3069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19"/>
              </w:rPr>
              <w:t>檔案</w:t>
            </w:r>
          </w:p>
        </w:tc>
        <w:tc>
          <w:tcPr>
            <w:tcW w:type="dxa" w:w="3249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2708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19"/>
              </w:rPr>
              <w:t>說明與可得日</w:t>
            </w:r>
          </w:p>
        </w:tc>
      </w:tr>
      <w:tr>
        <w:trPr>
          <w:cantSplit/>
        </w:trPr>
        <w:tc>
          <w:tcPr>
            <w:tcW w:type="dxa" w:w="3069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data/raw/daily_quotes/*.csv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daily_quotes_twse/*.csv.gz</w:t>
            </w:r>
          </w:p>
        </w:tc>
        <w:tc>
          <w:tcPr>
            <w:tcW w:type="dxa" w:w="3249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date, code, name, volume, value, close, sign, change, next_ref</w:t>
            </w:r>
          </w:p>
        </w:tc>
        <w:tc>
          <w:tcPr>
            <w:tcW w:type="dxa" w:w="2708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交易所逐日行情；當日收盤可得；含已下市股票</w:t>
            </w:r>
          </w:p>
        </w:tc>
      </w:tr>
      <w:tr>
        <w:trPr>
          <w:cantSplit/>
        </w:trPr>
        <w:tc>
          <w:tcPr>
            <w:tcW w:type="dxa" w:w="306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data/processed/benchmarks.csv</w:t>
            </w:r>
          </w:p>
        </w:tc>
        <w:tc>
          <w:tcPr>
            <w:tcW w:type="dxa" w:w="324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date, ticker, close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…</w:t>
            </w:r>
          </w:p>
        </w:tc>
        <w:tc>
          <w:tcPr>
            <w:tcW w:type="dxa" w:w="2708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Yahoo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還原收盤價（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ETF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）與加權指數價格指數</w:t>
            </w:r>
          </w:p>
        </w:tc>
      </w:tr>
      <w:tr>
        <w:trPr>
          <w:cantSplit/>
        </w:trPr>
        <w:tc>
          <w:tcPr>
            <w:tcW w:type="dxa" w:w="3069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data/processed/valuation.csv</w:t>
            </w:r>
          </w:p>
        </w:tc>
        <w:tc>
          <w:tcPr>
            <w:tcW w:type="dxa" w:w="3249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available_date, ticker, pe, pb, dividend_yield</w:t>
            </w:r>
          </w:p>
        </w:tc>
        <w:tc>
          <w:tcPr>
            <w:tcW w:type="dxa" w:w="2708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證交所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BWIBBU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月底資料；資料日期當日可得</w:t>
            </w:r>
          </w:p>
        </w:tc>
      </w:tr>
      <w:tr>
        <w:trPr>
          <w:cantSplit/>
        </w:trPr>
        <w:tc>
          <w:tcPr>
            <w:tcW w:type="dxa" w:w="306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data/raw/tej/*.csv</w:t>
            </w:r>
          </w:p>
        </w:tc>
        <w:tc>
          <w:tcPr>
            <w:tcW w:type="dxa" w:w="324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代號、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TESG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評等季度、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TESG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評等公告日、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TESG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分數、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S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G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、事件雷達轉換計分</w:t>
            </w:r>
          </w:p>
        </w:tc>
        <w:tc>
          <w:tcPr>
            <w:tcW w:type="dxa" w:w="2708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以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TESG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評等公告日作為可得日</w:t>
            </w:r>
          </w:p>
        </w:tc>
      </w:tr>
      <w:tr>
        <w:trPr>
          <w:cantSplit/>
        </w:trPr>
        <w:tc>
          <w:tcPr>
            <w:tcW w:type="dxa" w:w="3069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outputs/research/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…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/universe_history.csv</w:t>
            </w:r>
          </w:p>
        </w:tc>
        <w:tc>
          <w:tcPr>
            <w:tcW w:type="dxa" w:w="3249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date, ticker, avg_value, n_days, rank</w:t>
            </w:r>
          </w:p>
        </w:tc>
        <w:tc>
          <w:tcPr>
            <w:tcW w:type="dxa" w:w="2708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逐期股票池（調倉日）</w:t>
            </w:r>
          </w:p>
        </w:tc>
      </w:tr>
      <w:tr>
        <w:trPr>
          <w:cantSplit/>
        </w:trPr>
        <w:tc>
          <w:tcPr>
            <w:tcW w:type="dxa" w:w="306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outputs/research/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…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/holdings.csv</w:t>
            </w:r>
          </w:p>
        </w:tc>
        <w:tc>
          <w:tcPr>
            <w:tcW w:type="dxa" w:w="324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date, portfolio, ticker, weight, score</w:t>
            </w:r>
          </w:p>
        </w:tc>
        <w:tc>
          <w:tcPr>
            <w:tcW w:type="dxa" w:w="2708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每次調倉持股</w:t>
            </w:r>
          </w:p>
        </w:tc>
      </w:tr>
      <w:tr>
        <w:trPr>
          <w:cantSplit/>
        </w:trPr>
        <w:tc>
          <w:tcPr>
            <w:tcW w:type="dxa" w:w="3069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outputs/research/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…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/strategy_returns.csv</w:t>
            </w:r>
          </w:p>
        </w:tc>
        <w:tc>
          <w:tcPr>
            <w:tcW w:type="dxa" w:w="3249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date, portfolio, ret, nav</w:t>
            </w:r>
          </w:p>
        </w:tc>
        <w:tc>
          <w:tcPr>
            <w:tcW w:type="dxa" w:w="2708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每日策略與基準報酬</w:t>
            </w:r>
          </w:p>
        </w:tc>
      </w:tr>
      <w:tr>
        <w:trPr>
          <w:cantSplit/>
        </w:trPr>
        <w:tc>
          <w:tcPr>
            <w:tcW w:type="dxa" w:w="306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data/demo/</w:t>
            </w:r>
          </w:p>
        </w:tc>
        <w:tc>
          <w:tcPr>
            <w:tcW w:type="dxa" w:w="324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708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合成示範資料，僅供網站展示，未用於論文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0" w:after="360" w:line="312" w:lineRule="auto"/>
        <w:jc w:val="center"/>
      </w:pPr>
      <w:r>
        <w:rPr>
          <w:rFonts w:ascii="標楷體" w:hAnsi="標楷體" w:eastAsia="標楷體" w:cs="標楷體"/>
          <w:b/>
          <w:i w:val="0"/>
          <w:sz w:val="36"/>
        </w:rPr>
        <w:t>附錄</w:t>
      </w:r>
      <w:r>
        <w:rPr>
          <w:rFonts w:ascii="Times New Roman" w:hAnsi="Times New Roman" w:eastAsia="Times New Roman" w:cs="Times New Roman"/>
          <w:b/>
          <w:i w:val="0"/>
          <w:sz w:val="36"/>
        </w:rPr>
        <w:t xml:space="preserve"> C</w:t>
      </w:r>
      <w:r>
        <w:rPr>
          <w:rFonts w:ascii="標楷體" w:hAnsi="標楷體" w:eastAsia="標楷體" w:cs="標楷體"/>
          <w:b/>
          <w:i w:val="0"/>
          <w:sz w:val="36"/>
        </w:rPr>
        <w:t xml:space="preserve">　人工核對範例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1415"/>
        <w:gridCol w:w="2300"/>
        <w:gridCol w:w="973"/>
        <w:gridCol w:w="973"/>
        <w:gridCol w:w="1238"/>
        <w:gridCol w:w="1327"/>
        <w:gridCol w:w="796"/>
      </w:tblGrid>
      <w:tr>
        <w:trPr>
          <w:cantSplit/>
          <w:tblHeader/>
        </w:trPr>
        <w:tc>
          <w:tcPr>
            <w:tcW w:type="dxa" w:w="1416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19"/>
              </w:rPr>
              <w:t>調倉日</w:t>
            </w:r>
          </w:p>
        </w:tc>
        <w:tc>
          <w:tcPr>
            <w:tcW w:type="dxa" w:w="2301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19"/>
              </w:rPr>
              <w:t>股票</w:t>
            </w:r>
          </w:p>
        </w:tc>
        <w:tc>
          <w:tcPr>
            <w:tcW w:type="dxa" w:w="973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9"/>
              </w:rPr>
              <w:t xml:space="preserve">AI </w:t>
            </w:r>
            <w:r>
              <w:rPr>
                <w:rFonts w:ascii="標楷體" w:hAnsi="標楷體" w:eastAsia="標楷體" w:cs="標楷體"/>
                <w:b/>
                <w:i w:val="0"/>
                <w:color w:val="FFFFFF"/>
                <w:sz w:val="19"/>
              </w:rPr>
              <w:t>分數</w:t>
            </w:r>
          </w:p>
        </w:tc>
        <w:tc>
          <w:tcPr>
            <w:tcW w:type="dxa" w:w="973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19"/>
              </w:rPr>
              <w:t>股票池排名</w:t>
            </w:r>
          </w:p>
        </w:tc>
        <w:tc>
          <w:tcPr>
            <w:tcW w:type="dxa" w:w="1239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9"/>
              </w:rPr>
              <w:t xml:space="preserve">20 </w:t>
            </w:r>
            <w:r>
              <w:rPr>
                <w:rFonts w:ascii="標楷體" w:hAnsi="標楷體" w:eastAsia="標楷體" w:cs="標楷體"/>
                <w:b/>
                <w:i w:val="0"/>
                <w:color w:val="FFFFFF"/>
                <w:sz w:val="19"/>
              </w:rPr>
              <w:t>日均成交（億）</w:t>
            </w:r>
          </w:p>
        </w:tc>
        <w:tc>
          <w:tcPr>
            <w:tcW w:type="dxa" w:w="1327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9"/>
              </w:rPr>
              <w:t xml:space="preserve">TESG </w:t>
            </w:r>
            <w:r>
              <w:rPr>
                <w:rFonts w:ascii="標楷體" w:hAnsi="標楷體" w:eastAsia="標楷體" w:cs="標楷體"/>
                <w:b/>
                <w:i w:val="0"/>
                <w:color w:val="FFFFFF"/>
                <w:sz w:val="19"/>
              </w:rPr>
              <w:t>公告日</w:t>
            </w:r>
          </w:p>
        </w:tc>
        <w:tc>
          <w:tcPr>
            <w:tcW w:type="dxa" w:w="796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9"/>
              </w:rPr>
              <w:t>TESG</w:t>
            </w:r>
          </w:p>
        </w:tc>
      </w:tr>
      <w:tr>
        <w:trPr>
          <w:cantSplit/>
        </w:trPr>
        <w:tc>
          <w:tcPr>
            <w:tcW w:type="dxa" w:w="141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2022-11-01</w:t>
            </w:r>
          </w:p>
        </w:tc>
        <w:tc>
          <w:tcPr>
            <w:tcW w:type="dxa" w:w="230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3228.TWO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金麗科</w:t>
            </w:r>
          </w:p>
        </w:tc>
        <w:tc>
          <w:tcPr>
            <w:tcW w:type="dxa" w:w="973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0.0949</w:t>
            </w:r>
          </w:p>
        </w:tc>
        <w:tc>
          <w:tcPr>
            <w:tcW w:type="dxa" w:w="973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128</w:t>
            </w:r>
          </w:p>
        </w:tc>
        <w:tc>
          <w:tcPr>
            <w:tcW w:type="dxa" w:w="1239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3.5</w:t>
            </w:r>
          </w:p>
        </w:tc>
        <w:tc>
          <w:tcPr>
            <w:tcW w:type="dxa" w:w="132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2022-11-01</w:t>
            </w:r>
          </w:p>
        </w:tc>
        <w:tc>
          <w:tcPr>
            <w:tcW w:type="dxa" w:w="796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45.9</w:t>
            </w:r>
          </w:p>
        </w:tc>
      </w:tr>
      <w:tr>
        <w:trPr>
          <w:cantSplit/>
        </w:trPr>
        <w:tc>
          <w:tcPr>
            <w:tcW w:type="dxa" w:w="141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2022-11-01</w:t>
            </w:r>
          </w:p>
        </w:tc>
        <w:tc>
          <w:tcPr>
            <w:tcW w:type="dxa" w:w="2301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3081.TWO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聯亞</w:t>
            </w:r>
          </w:p>
        </w:tc>
        <w:tc>
          <w:tcPr>
            <w:tcW w:type="dxa" w:w="973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0.0506</w:t>
            </w:r>
          </w:p>
        </w:tc>
        <w:tc>
          <w:tcPr>
            <w:tcW w:type="dxa" w:w="973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172</w:t>
            </w:r>
          </w:p>
        </w:tc>
        <w:tc>
          <w:tcPr>
            <w:tcW w:type="dxa" w:w="123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2.4</w:t>
            </w:r>
          </w:p>
        </w:tc>
        <w:tc>
          <w:tcPr>
            <w:tcW w:type="dxa" w:w="1327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2022-11-01</w:t>
            </w:r>
          </w:p>
        </w:tc>
        <w:tc>
          <w:tcPr>
            <w:tcW w:type="dxa" w:w="79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66.7</w:t>
            </w:r>
          </w:p>
        </w:tc>
      </w:tr>
      <w:tr>
        <w:trPr>
          <w:cantSplit/>
        </w:trPr>
        <w:tc>
          <w:tcPr>
            <w:tcW w:type="dxa" w:w="141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2022-11-01</w:t>
            </w:r>
          </w:p>
        </w:tc>
        <w:tc>
          <w:tcPr>
            <w:tcW w:type="dxa" w:w="230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2465.TW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麗臺</w:t>
            </w:r>
          </w:p>
        </w:tc>
        <w:tc>
          <w:tcPr>
            <w:tcW w:type="dxa" w:w="973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0.0362</w:t>
            </w:r>
          </w:p>
        </w:tc>
        <w:tc>
          <w:tcPr>
            <w:tcW w:type="dxa" w:w="973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184</w:t>
            </w:r>
          </w:p>
        </w:tc>
        <w:tc>
          <w:tcPr>
            <w:tcW w:type="dxa" w:w="1239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2.2</w:t>
            </w:r>
          </w:p>
        </w:tc>
        <w:tc>
          <w:tcPr>
            <w:tcW w:type="dxa" w:w="132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2022-11-01</w:t>
            </w:r>
          </w:p>
        </w:tc>
        <w:tc>
          <w:tcPr>
            <w:tcW w:type="dxa" w:w="796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51.8</w:t>
            </w:r>
          </w:p>
        </w:tc>
      </w:tr>
      <w:tr>
        <w:trPr>
          <w:cantSplit/>
        </w:trPr>
        <w:tc>
          <w:tcPr>
            <w:tcW w:type="dxa" w:w="141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2022-11-01</w:t>
            </w:r>
          </w:p>
        </w:tc>
        <w:tc>
          <w:tcPr>
            <w:tcW w:type="dxa" w:w="2301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2364.TW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倫飛</w:t>
            </w:r>
          </w:p>
        </w:tc>
        <w:tc>
          <w:tcPr>
            <w:tcW w:type="dxa" w:w="973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0.0248</w:t>
            </w:r>
          </w:p>
        </w:tc>
        <w:tc>
          <w:tcPr>
            <w:tcW w:type="dxa" w:w="973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143</w:t>
            </w:r>
          </w:p>
        </w:tc>
        <w:tc>
          <w:tcPr>
            <w:tcW w:type="dxa" w:w="123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3.1</w:t>
            </w:r>
          </w:p>
        </w:tc>
        <w:tc>
          <w:tcPr>
            <w:tcW w:type="dxa" w:w="1327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2022-11-01</w:t>
            </w:r>
          </w:p>
        </w:tc>
        <w:tc>
          <w:tcPr>
            <w:tcW w:type="dxa" w:w="79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52.5</w:t>
            </w:r>
          </w:p>
        </w:tc>
      </w:tr>
      <w:tr>
        <w:trPr>
          <w:cantSplit/>
        </w:trPr>
        <w:tc>
          <w:tcPr>
            <w:tcW w:type="dxa" w:w="141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2022-11-01</w:t>
            </w:r>
          </w:p>
        </w:tc>
        <w:tc>
          <w:tcPr>
            <w:tcW w:type="dxa" w:w="230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3272.TWO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東碩</w:t>
            </w:r>
          </w:p>
        </w:tc>
        <w:tc>
          <w:tcPr>
            <w:tcW w:type="dxa" w:w="973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0.0140</w:t>
            </w:r>
          </w:p>
        </w:tc>
        <w:tc>
          <w:tcPr>
            <w:tcW w:type="dxa" w:w="973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222</w:t>
            </w:r>
          </w:p>
        </w:tc>
        <w:tc>
          <w:tcPr>
            <w:tcW w:type="dxa" w:w="1239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1.7</w:t>
            </w:r>
          </w:p>
        </w:tc>
        <w:tc>
          <w:tcPr>
            <w:tcW w:type="dxa" w:w="132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2022-11-01</w:t>
            </w:r>
          </w:p>
        </w:tc>
        <w:tc>
          <w:tcPr>
            <w:tcW w:type="dxa" w:w="796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61.5</w:t>
            </w:r>
          </w:p>
        </w:tc>
      </w:tr>
      <w:tr>
        <w:trPr>
          <w:cantSplit/>
        </w:trPr>
        <w:tc>
          <w:tcPr>
            <w:tcW w:type="dxa" w:w="141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2024-10-29</w:t>
            </w:r>
          </w:p>
        </w:tc>
        <w:tc>
          <w:tcPr>
            <w:tcW w:type="dxa" w:w="2301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6546.TWO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正基</w:t>
            </w:r>
          </w:p>
        </w:tc>
        <w:tc>
          <w:tcPr>
            <w:tcW w:type="dxa" w:w="973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0.0828</w:t>
            </w:r>
          </w:p>
        </w:tc>
        <w:tc>
          <w:tcPr>
            <w:tcW w:type="dxa" w:w="973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116</w:t>
            </w:r>
          </w:p>
        </w:tc>
        <w:tc>
          <w:tcPr>
            <w:tcW w:type="dxa" w:w="123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7.8</w:t>
            </w:r>
          </w:p>
        </w:tc>
        <w:tc>
          <w:tcPr>
            <w:tcW w:type="dxa" w:w="1327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2024-05-02</w:t>
            </w:r>
          </w:p>
        </w:tc>
        <w:tc>
          <w:tcPr>
            <w:tcW w:type="dxa" w:w="79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46.0</w:t>
            </w:r>
          </w:p>
        </w:tc>
      </w:tr>
      <w:tr>
        <w:trPr>
          <w:cantSplit/>
        </w:trPr>
        <w:tc>
          <w:tcPr>
            <w:tcW w:type="dxa" w:w="141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2024-10-29</w:t>
            </w:r>
          </w:p>
        </w:tc>
        <w:tc>
          <w:tcPr>
            <w:tcW w:type="dxa" w:w="230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6763.TWO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綠界科技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*</w:t>
            </w:r>
          </w:p>
        </w:tc>
        <w:tc>
          <w:tcPr>
            <w:tcW w:type="dxa" w:w="973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0.0605</w:t>
            </w:r>
          </w:p>
        </w:tc>
        <w:tc>
          <w:tcPr>
            <w:tcW w:type="dxa" w:w="973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209</w:t>
            </w:r>
          </w:p>
        </w:tc>
        <w:tc>
          <w:tcPr>
            <w:tcW w:type="dxa" w:w="1239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4.1</w:t>
            </w:r>
          </w:p>
        </w:tc>
        <w:tc>
          <w:tcPr>
            <w:tcW w:type="dxa" w:w="132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2024-05-02</w:t>
            </w:r>
          </w:p>
        </w:tc>
        <w:tc>
          <w:tcPr>
            <w:tcW w:type="dxa" w:w="796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59.7</w:t>
            </w:r>
          </w:p>
        </w:tc>
      </w:tr>
      <w:tr>
        <w:trPr>
          <w:cantSplit/>
        </w:trPr>
        <w:tc>
          <w:tcPr>
            <w:tcW w:type="dxa" w:w="141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2024-10-29</w:t>
            </w:r>
          </w:p>
        </w:tc>
        <w:tc>
          <w:tcPr>
            <w:tcW w:type="dxa" w:w="2301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3447.TW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展達</w:t>
            </w:r>
          </w:p>
        </w:tc>
        <w:tc>
          <w:tcPr>
            <w:tcW w:type="dxa" w:w="973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0.0301</w:t>
            </w:r>
          </w:p>
        </w:tc>
        <w:tc>
          <w:tcPr>
            <w:tcW w:type="dxa" w:w="973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190</w:t>
            </w:r>
          </w:p>
        </w:tc>
        <w:tc>
          <w:tcPr>
            <w:tcW w:type="dxa" w:w="123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4.5</w:t>
            </w:r>
          </w:p>
        </w:tc>
        <w:tc>
          <w:tcPr>
            <w:tcW w:type="dxa" w:w="1327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2024-05-02</w:t>
            </w:r>
          </w:p>
        </w:tc>
        <w:tc>
          <w:tcPr>
            <w:tcW w:type="dxa" w:w="79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48.3</w:t>
            </w:r>
          </w:p>
        </w:tc>
      </w:tr>
      <w:tr>
        <w:trPr>
          <w:cantSplit/>
        </w:trPr>
        <w:tc>
          <w:tcPr>
            <w:tcW w:type="dxa" w:w="141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2024-10-29</w:t>
            </w:r>
          </w:p>
        </w:tc>
        <w:tc>
          <w:tcPr>
            <w:tcW w:type="dxa" w:w="230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8032.TWO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光菱</w:t>
            </w:r>
          </w:p>
        </w:tc>
        <w:tc>
          <w:tcPr>
            <w:tcW w:type="dxa" w:w="973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0.0262</w:t>
            </w:r>
          </w:p>
        </w:tc>
        <w:tc>
          <w:tcPr>
            <w:tcW w:type="dxa" w:w="973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195</w:t>
            </w:r>
          </w:p>
        </w:tc>
        <w:tc>
          <w:tcPr>
            <w:tcW w:type="dxa" w:w="1239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4.3</w:t>
            </w:r>
          </w:p>
        </w:tc>
        <w:tc>
          <w:tcPr>
            <w:tcW w:type="dxa" w:w="132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2024-05-02</w:t>
            </w:r>
          </w:p>
        </w:tc>
        <w:tc>
          <w:tcPr>
            <w:tcW w:type="dxa" w:w="796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49.7</w:t>
            </w:r>
          </w:p>
        </w:tc>
      </w:tr>
      <w:tr>
        <w:trPr>
          <w:cantSplit/>
        </w:trPr>
        <w:tc>
          <w:tcPr>
            <w:tcW w:type="dxa" w:w="141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2024-10-29</w:t>
            </w:r>
          </w:p>
        </w:tc>
        <w:tc>
          <w:tcPr>
            <w:tcW w:type="dxa" w:w="2301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3551.TWO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世禾</w:t>
            </w:r>
          </w:p>
        </w:tc>
        <w:tc>
          <w:tcPr>
            <w:tcW w:type="dxa" w:w="973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0.0239</w:t>
            </w:r>
          </w:p>
        </w:tc>
        <w:tc>
          <w:tcPr>
            <w:tcW w:type="dxa" w:w="973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133</w:t>
            </w:r>
          </w:p>
        </w:tc>
        <w:tc>
          <w:tcPr>
            <w:tcW w:type="dxa" w:w="123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6.6</w:t>
            </w:r>
          </w:p>
        </w:tc>
        <w:tc>
          <w:tcPr>
            <w:tcW w:type="dxa" w:w="1327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2024-05-02</w:t>
            </w:r>
          </w:p>
        </w:tc>
        <w:tc>
          <w:tcPr>
            <w:tcW w:type="dxa" w:w="79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39.5</w:t>
            </w:r>
          </w:p>
        </w:tc>
      </w:tr>
      <w:tr>
        <w:trPr>
          <w:cantSplit/>
        </w:trPr>
        <w:tc>
          <w:tcPr>
            <w:tcW w:type="dxa" w:w="141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2026-10-06</w:t>
            </w:r>
          </w:p>
        </w:tc>
        <w:tc>
          <w:tcPr>
            <w:tcW w:type="dxa" w:w="230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2221.TWO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大甲</w:t>
            </w:r>
          </w:p>
        </w:tc>
        <w:tc>
          <w:tcPr>
            <w:tcW w:type="dxa" w:w="973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0.1129</w:t>
            </w:r>
          </w:p>
        </w:tc>
        <w:tc>
          <w:tcPr>
            <w:tcW w:type="dxa" w:w="973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207</w:t>
            </w:r>
          </w:p>
        </w:tc>
        <w:tc>
          <w:tcPr>
            <w:tcW w:type="dxa" w:w="1239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6.7</w:t>
            </w:r>
          </w:p>
        </w:tc>
        <w:tc>
          <w:tcPr>
            <w:tcW w:type="dxa" w:w="132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2026-05-04</w:t>
            </w:r>
          </w:p>
        </w:tc>
        <w:tc>
          <w:tcPr>
            <w:tcW w:type="dxa" w:w="796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55.0</w:t>
            </w:r>
          </w:p>
        </w:tc>
      </w:tr>
      <w:tr>
        <w:trPr>
          <w:cantSplit/>
        </w:trPr>
        <w:tc>
          <w:tcPr>
            <w:tcW w:type="dxa" w:w="141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2026-10-06</w:t>
            </w:r>
          </w:p>
        </w:tc>
        <w:tc>
          <w:tcPr>
            <w:tcW w:type="dxa" w:w="2301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8227.TWO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巨有科技</w:t>
            </w:r>
          </w:p>
        </w:tc>
        <w:tc>
          <w:tcPr>
            <w:tcW w:type="dxa" w:w="973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0.0668</w:t>
            </w:r>
          </w:p>
        </w:tc>
        <w:tc>
          <w:tcPr>
            <w:tcW w:type="dxa" w:w="973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157</w:t>
            </w:r>
          </w:p>
        </w:tc>
        <w:tc>
          <w:tcPr>
            <w:tcW w:type="dxa" w:w="123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10.0</w:t>
            </w:r>
          </w:p>
        </w:tc>
        <w:tc>
          <w:tcPr>
            <w:tcW w:type="dxa" w:w="1327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2026-05-04</w:t>
            </w:r>
          </w:p>
        </w:tc>
        <w:tc>
          <w:tcPr>
            <w:tcW w:type="dxa" w:w="79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50.3</w:t>
            </w:r>
          </w:p>
        </w:tc>
      </w:tr>
      <w:tr>
        <w:trPr>
          <w:cantSplit/>
        </w:trPr>
        <w:tc>
          <w:tcPr>
            <w:tcW w:type="dxa" w:w="141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2026-10-06</w:t>
            </w:r>
          </w:p>
        </w:tc>
        <w:tc>
          <w:tcPr>
            <w:tcW w:type="dxa" w:w="230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3016.TW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嘉晶</w:t>
            </w:r>
          </w:p>
        </w:tc>
        <w:tc>
          <w:tcPr>
            <w:tcW w:type="dxa" w:w="973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0.0563</w:t>
            </w:r>
          </w:p>
        </w:tc>
        <w:tc>
          <w:tcPr>
            <w:tcW w:type="dxa" w:w="973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82</w:t>
            </w:r>
          </w:p>
        </w:tc>
        <w:tc>
          <w:tcPr>
            <w:tcW w:type="dxa" w:w="1239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29.8</w:t>
            </w:r>
          </w:p>
        </w:tc>
        <w:tc>
          <w:tcPr>
            <w:tcW w:type="dxa" w:w="132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2026-05-04</w:t>
            </w:r>
          </w:p>
        </w:tc>
        <w:tc>
          <w:tcPr>
            <w:tcW w:type="dxa" w:w="796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50.7</w:t>
            </w:r>
          </w:p>
        </w:tc>
      </w:tr>
      <w:tr>
        <w:trPr>
          <w:cantSplit/>
        </w:trPr>
        <w:tc>
          <w:tcPr>
            <w:tcW w:type="dxa" w:w="141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2026-10-06</w:t>
            </w:r>
          </w:p>
        </w:tc>
        <w:tc>
          <w:tcPr>
            <w:tcW w:type="dxa" w:w="2301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5314.TWO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世紀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*</w:t>
            </w:r>
          </w:p>
        </w:tc>
        <w:tc>
          <w:tcPr>
            <w:tcW w:type="dxa" w:w="973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0.0525</w:t>
            </w:r>
          </w:p>
        </w:tc>
        <w:tc>
          <w:tcPr>
            <w:tcW w:type="dxa" w:w="973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144</w:t>
            </w:r>
          </w:p>
        </w:tc>
        <w:tc>
          <w:tcPr>
            <w:tcW w:type="dxa" w:w="1239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11.1</w:t>
            </w:r>
          </w:p>
        </w:tc>
        <w:tc>
          <w:tcPr>
            <w:tcW w:type="dxa" w:w="1327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2026-05-04</w:t>
            </w:r>
          </w:p>
        </w:tc>
        <w:tc>
          <w:tcPr>
            <w:tcW w:type="dxa" w:w="79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44.9</w:t>
            </w:r>
          </w:p>
        </w:tc>
      </w:tr>
      <w:tr>
        <w:trPr>
          <w:cantSplit/>
        </w:trPr>
        <w:tc>
          <w:tcPr>
            <w:tcW w:type="dxa" w:w="141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2026-10-06</w:t>
            </w:r>
          </w:p>
        </w:tc>
        <w:tc>
          <w:tcPr>
            <w:tcW w:type="dxa" w:w="230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6672.TW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騰輝電子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-KY</w:t>
            </w:r>
          </w:p>
        </w:tc>
        <w:tc>
          <w:tcPr>
            <w:tcW w:type="dxa" w:w="973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0.0398</w:t>
            </w:r>
          </w:p>
        </w:tc>
        <w:tc>
          <w:tcPr>
            <w:tcW w:type="dxa" w:w="973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83</w:t>
            </w:r>
          </w:p>
        </w:tc>
        <w:tc>
          <w:tcPr>
            <w:tcW w:type="dxa" w:w="1239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27.8</w:t>
            </w:r>
          </w:p>
        </w:tc>
        <w:tc>
          <w:tcPr>
            <w:tcW w:type="dxa" w:w="132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2026-05-04</w:t>
            </w:r>
          </w:p>
        </w:tc>
        <w:tc>
          <w:tcPr>
            <w:tcW w:type="dxa" w:w="796"/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53.3</w:t>
            </w:r>
          </w:p>
        </w:tc>
      </w:tr>
    </w:tbl>
    <w:p>
      <w:pPr>
        <w:spacing w:after="0"/>
      </w:pPr>
    </w:p>
    <w:p>
      <w:pPr>
        <w:keepNext w:val="0"/>
        <w:spacing w:before="60" w:after="200" w:line="300" w:lineRule="auto"/>
        <w:jc w:val="both"/>
      </w:pPr>
      <w:r>
        <w:rPr>
          <w:rFonts w:ascii="標楷體" w:hAnsi="標楷體" w:eastAsia="標楷體" w:cs="標楷體"/>
          <w:b w:val="0"/>
          <w:i w:val="0"/>
          <w:sz w:val="20"/>
        </w:rPr>
        <w:t>註：每個調倉日列出單純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AI </w:t>
      </w:r>
      <w:r>
        <w:rPr>
          <w:rFonts w:ascii="標楷體" w:hAnsi="標楷體" w:eastAsia="標楷體" w:cs="標楷體"/>
          <w:b w:val="0"/>
          <w:i w:val="0"/>
          <w:sz w:val="20"/>
        </w:rPr>
        <w:t>分數最高的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5 </w:t>
      </w:r>
      <w:r>
        <w:rPr>
          <w:rFonts w:ascii="標楷體" w:hAnsi="標楷體" w:eastAsia="標楷體" w:cs="標楷體"/>
          <w:b w:val="0"/>
          <w:i w:val="0"/>
          <w:sz w:val="20"/>
        </w:rPr>
        <w:t>檔，核對其股票池排名與使用的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TESG </w:t>
      </w:r>
      <w:r>
        <w:rPr>
          <w:rFonts w:ascii="標楷體" w:hAnsi="標楷體" w:eastAsia="標楷體" w:cs="標楷體"/>
          <w:b w:val="0"/>
          <w:i w:val="0"/>
          <w:sz w:val="20"/>
        </w:rPr>
        <w:t>公告日皆不晚於調倉日。來源：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>manual_checks.csv</w:t>
      </w:r>
      <w:r>
        <w:rPr>
          <w:rFonts w:ascii="標楷體" w:hAnsi="標楷體" w:eastAsia="標楷體" w:cs="標楷體"/>
          <w:b w:val="0"/>
          <w:i w:val="0"/>
          <w:sz w:val="20"/>
        </w:rPr>
        <w:t>。</w:t>
      </w:r>
    </w:p>
    <w:p>
      <w:pPr>
        <w:pStyle w:val="Heading1"/>
        <w:keepNext/>
        <w:pageBreakBefore/>
        <w:spacing w:before="0" w:after="360" w:line="312" w:lineRule="auto"/>
        <w:jc w:val="center"/>
      </w:pPr>
      <w:r>
        <w:rPr>
          <w:rFonts w:ascii="標楷體" w:hAnsi="標楷體" w:eastAsia="標楷體" w:cs="標楷體"/>
          <w:b/>
          <w:i w:val="0"/>
          <w:sz w:val="36"/>
        </w:rPr>
        <w:t>附錄</w:t>
      </w:r>
      <w:r>
        <w:rPr>
          <w:rFonts w:ascii="Times New Roman" w:hAnsi="Times New Roman" w:eastAsia="Times New Roman" w:cs="Times New Roman"/>
          <w:b/>
          <w:i w:val="0"/>
          <w:sz w:val="36"/>
        </w:rPr>
        <w:t xml:space="preserve"> D</w:t>
      </w:r>
      <w:r>
        <w:rPr>
          <w:rFonts w:ascii="標楷體" w:hAnsi="標楷體" w:eastAsia="標楷體" w:cs="標楷體"/>
          <w:b/>
          <w:i w:val="0"/>
          <w:sz w:val="36"/>
        </w:rPr>
        <w:t xml:space="preserve">　指導教授修訂建議對照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2346"/>
        <w:gridCol w:w="4693"/>
        <w:gridCol w:w="1985"/>
      </w:tblGrid>
      <w:tr>
        <w:trPr>
          <w:cantSplit/>
          <w:tblHeader/>
        </w:trPr>
        <w:tc>
          <w:tcPr>
            <w:tcW w:type="dxa" w:w="2347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19"/>
              </w:rPr>
              <w:t>修訂建議</w:t>
            </w:r>
          </w:p>
        </w:tc>
        <w:tc>
          <w:tcPr>
            <w:tcW w:type="dxa" w:w="4693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19"/>
              </w:rPr>
              <w:t>處理方式</w:t>
            </w:r>
          </w:p>
        </w:tc>
        <w:tc>
          <w:tcPr>
            <w:tcW w:type="dxa" w:w="1986"/>
            <w:vAlign w:val="center"/>
            <w:shd w:val="clear" w:color="auto" w:fill="1F386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FFFFFF"/>
                <w:sz w:val="19"/>
              </w:rPr>
              <w:t>位置</w:t>
            </w:r>
          </w:p>
        </w:tc>
      </w:tr>
      <w:tr>
        <w:trPr>
          <w:cantSplit/>
        </w:trPr>
        <w:tc>
          <w:tcPr>
            <w:tcW w:type="dxa" w:w="234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固定正式版本並重產表格</w:t>
            </w:r>
          </w:p>
        </w:tc>
        <w:tc>
          <w:tcPr>
            <w:tcW w:type="dxa" w:w="4693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研究設定檔、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manifest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、產表與產文程式；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README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與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config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統一為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Top 20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；資料截點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2026-10-20</w:t>
            </w:r>
          </w:p>
        </w:tc>
        <w:tc>
          <w:tcPr>
            <w:tcW w:type="dxa" w:w="198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第三章第一節、附錄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A</w:t>
            </w:r>
          </w:p>
        </w:tc>
      </w:tr>
      <w:tr>
        <w:trPr>
          <w:cantSplit/>
        </w:trPr>
        <w:tc>
          <w:tcPr>
            <w:tcW w:type="dxa" w:w="2347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修正股票池與資料可得日</w:t>
            </w:r>
          </w:p>
        </w:tc>
        <w:tc>
          <w:tcPr>
            <w:tcW w:type="dxa" w:w="4693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以交易所逐日行情逐期重建前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300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大（含下市股）；可得日檢查表與人工核對</w:t>
            </w:r>
          </w:p>
        </w:tc>
        <w:tc>
          <w:tcPr>
            <w:tcW w:type="dxa" w:w="198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第三章第二、三節；第四章第一節；附錄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C</w:t>
            </w:r>
          </w:p>
        </w:tc>
      </w:tr>
      <w:tr>
        <w:trPr>
          <w:cantSplit/>
        </w:trPr>
        <w:tc>
          <w:tcPr>
            <w:tcW w:type="dxa" w:w="234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重新界定模型選擇與測試期間</w:t>
            </w:r>
          </w:p>
        </w:tc>
        <w:tc>
          <w:tcPr>
            <w:tcW w:type="dxa" w:w="4693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期間切分、參數試驗紀錄；評估期改列探索性；設定鎖定後保留測試</w:t>
            </w:r>
          </w:p>
        </w:tc>
        <w:tc>
          <w:tcPr>
            <w:tcW w:type="dxa" w:w="198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第三章第七節</w:t>
            </w:r>
          </w:p>
        </w:tc>
      </w:tr>
      <w:tr>
        <w:trPr>
          <w:cantSplit/>
        </w:trPr>
        <w:tc>
          <w:tcPr>
            <w:tcW w:type="dxa" w:w="2347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補足統計檢定與交易假設</w:t>
            </w:r>
          </w:p>
        </w:tc>
        <w:tc>
          <w:tcPr>
            <w:tcW w:type="dxa" w:w="4693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Newey-West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標準誤、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CAPM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α／β／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²、信賴區間、效果量、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Holm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調整；價格與交易假設表；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10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30 bps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滑價</w:t>
            </w:r>
          </w:p>
        </w:tc>
        <w:tc>
          <w:tcPr>
            <w:tcW w:type="dxa" w:w="198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第三章第八、九節；第四章第六、七節</w:t>
            </w:r>
          </w:p>
        </w:tc>
      </w:tr>
      <w:tr>
        <w:trPr>
          <w:cantSplit/>
        </w:trPr>
        <w:tc>
          <w:tcPr>
            <w:tcW w:type="dxa" w:w="234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證明永續品質差異</w:t>
            </w:r>
          </w:p>
        </w:tc>
        <w:tc>
          <w:tcPr>
            <w:tcW w:type="dxa" w:w="4693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持股加權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TESG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S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G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／事件雷達、低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ESG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比例、產業集中度、涵蓋率；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ETF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成分不可得已註明</w:t>
            </w:r>
          </w:p>
        </w:tc>
        <w:tc>
          <w:tcPr>
            <w:tcW w:type="dxa" w:w="198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第四章第八節</w:t>
            </w:r>
          </w:p>
        </w:tc>
      </w:tr>
      <w:tr>
        <w:trPr>
          <w:cantSplit/>
        </w:trPr>
        <w:tc>
          <w:tcPr>
            <w:tcW w:type="dxa" w:w="2347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市場情境事前規則</w:t>
            </w:r>
          </w:p>
        </w:tc>
        <w:tc>
          <w:tcPr>
            <w:tcW w:type="dxa" w:w="4693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60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日報酬、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20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日波動、回撤門檻；涵蓋全部日期並報告天數</w:t>
            </w:r>
          </w:p>
        </w:tc>
        <w:tc>
          <w:tcPr>
            <w:tcW w:type="dxa" w:w="198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表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3-10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、表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4-4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、表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4-5</w:t>
            </w:r>
          </w:p>
        </w:tc>
      </w:tr>
      <w:tr>
        <w:trPr>
          <w:cantSplit/>
        </w:trPr>
        <w:tc>
          <w:tcPr>
            <w:tcW w:type="dxa" w:w="234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文獻補齊</w:t>
            </w:r>
          </w:p>
        </w:tc>
        <w:tc>
          <w:tcPr>
            <w:tcW w:type="dxa" w:w="4693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全部附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DOI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；更正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S&amp;P 500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文獻為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Carlei et al.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（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2025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）；補台灣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ESG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、機器學習資產定價、資料探勘、交易成本文獻</w:t>
            </w:r>
          </w:p>
        </w:tc>
        <w:tc>
          <w:tcPr>
            <w:tcW w:type="dxa" w:w="198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第二章、參考文獻</w:t>
            </w:r>
          </w:p>
        </w:tc>
      </w:tr>
      <w:tr>
        <w:trPr>
          <w:cantSplit/>
        </w:trPr>
        <w:tc>
          <w:tcPr>
            <w:tcW w:type="dxa" w:w="2347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名詞與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ETF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差異</w:t>
            </w:r>
          </w:p>
        </w:tc>
        <w:tc>
          <w:tcPr>
            <w:tcW w:type="dxa" w:w="4693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「單純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ESG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」改稱「規則式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ESG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篩選投組」；列出與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00850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00878 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的差異</w:t>
            </w:r>
          </w:p>
        </w:tc>
        <w:tc>
          <w:tcPr>
            <w:tcW w:type="dxa" w:w="1986"/>
            <w:vAlign w:val="center"/>
            <w:shd w:val="clear" w:color="auto" w:fill="EEF1F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表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3-4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、表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3-5</w:t>
            </w:r>
          </w:p>
        </w:tc>
      </w:tr>
      <w:tr>
        <w:trPr>
          <w:cantSplit/>
        </w:trPr>
        <w:tc>
          <w:tcPr>
            <w:tcW w:type="dxa" w:w="2347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模型解釋</w:t>
            </w:r>
          </w:p>
        </w:tc>
        <w:tc>
          <w:tcPr>
            <w:tcW w:type="dxa" w:w="4693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各次訓練重要性分布＋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permutation importance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；避免因果敘述</w:t>
            </w:r>
          </w:p>
        </w:tc>
        <w:tc>
          <w:tcPr>
            <w:tcW w:type="dxa" w:w="1986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表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4-11</w:t>
            </w:r>
            <w:r>
              <w:rPr>
                <w:rFonts w:ascii="標楷體" w:hAnsi="標楷體" w:eastAsia="標楷體" w:cs="標楷體"/>
                <w:b w:val="0"/>
                <w:i w:val="0"/>
                <w:sz w:val="19"/>
              </w:rPr>
              <w:t>、表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4-12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  <w:pgNumType w:fmt="lowerRoman" w:start="1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 w:eastAsia="Times New Roman"/>
          <w:sz w:val="22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 w:eastAsia="Times New Roman"/>
          <w:sz w:val="22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標楷體" w:cs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標楷體" w:cs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標楷體" w:cs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