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Lecturer: Dr Thuseethan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r w:rsidRPr="00C445A2">
        <w:rPr>
          <w:rFonts w:ascii="Times New Roman" w:eastAsia="Times New Roman" w:hAnsi="Times New Roman" w:cs="Times New Roman"/>
          <w:b/>
          <w:bCs/>
          <w:color w:val="1F497D" w:themeColor="text2"/>
          <w:sz w:val="24"/>
          <w:szCs w:val="24"/>
          <w:lang w:val="en-AU"/>
        </w:rPr>
        <w:t>ssessment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r w:rsidR="00D350ED" w:rsidRPr="008F73D5">
              <w:rPr>
                <w:rFonts w:ascii="Times New Roman" w:eastAsia="Times New Roman" w:hAnsi="Times New Roman" w:cs="Times New Roman"/>
                <w:color w:val="000000" w:themeColor="text1"/>
                <w:sz w:val="24"/>
                <w:szCs w:val="24"/>
                <w:lang w:val="en-AU"/>
              </w:rPr>
              <w:t>Streamlit</w:t>
            </w:r>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w:t>
            </w:r>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r w:rsidR="00254896" w:rsidRPr="008F73D5">
              <w:rPr>
                <w:rFonts w:ascii="Times New Roman" w:eastAsia="Times New Roman" w:hAnsi="Times New Roman" w:cs="Times New Roman"/>
                <w:sz w:val="24"/>
                <w:szCs w:val="24"/>
                <w:lang w:val="en-AU"/>
              </w:rPr>
              <w:t>Streamlit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Streamlit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SerPro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Nt.Gov.Au.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05"/>
        <w:gridCol w:w="1796"/>
        <w:gridCol w:w="3220"/>
        <w:gridCol w:w="2395"/>
      </w:tblGrid>
      <w:tr w:rsidR="003B409D" w:rsidRPr="003B409D" w14:paraId="7C187E6D" w14:textId="77777777" w:rsidTr="003B409D">
        <w:tc>
          <w:tcPr>
            <w:tcW w:w="0" w:type="auto"/>
            <w:hideMark/>
          </w:tcPr>
          <w:p w14:paraId="51754FF3"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Area</w:t>
            </w:r>
          </w:p>
        </w:tc>
        <w:tc>
          <w:tcPr>
            <w:tcW w:w="0" w:type="auto"/>
            <w:hideMark/>
          </w:tcPr>
          <w:p w14:paraId="1C89089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Previous State</w:t>
            </w:r>
          </w:p>
        </w:tc>
        <w:tc>
          <w:tcPr>
            <w:tcW w:w="0" w:type="auto"/>
            <w:hideMark/>
          </w:tcPr>
          <w:p w14:paraId="501ACD70"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Current State</w:t>
            </w:r>
          </w:p>
        </w:tc>
        <w:tc>
          <w:tcPr>
            <w:tcW w:w="0" w:type="auto"/>
            <w:hideMark/>
          </w:tcPr>
          <w:p w14:paraId="2F4819F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Justification</w:t>
            </w:r>
          </w:p>
        </w:tc>
      </w:tr>
      <w:tr w:rsidR="003B409D" w:rsidRPr="003B409D" w14:paraId="28AAA530" w14:textId="77777777" w:rsidTr="003B409D">
        <w:tc>
          <w:tcPr>
            <w:tcW w:w="0" w:type="auto"/>
            <w:hideMark/>
          </w:tcPr>
          <w:p w14:paraId="52B7252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Architecture diagram</w:t>
            </w:r>
          </w:p>
        </w:tc>
        <w:tc>
          <w:tcPr>
            <w:tcW w:w="0" w:type="auto"/>
            <w:hideMark/>
          </w:tcPr>
          <w:p w14:paraId="5719A8F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mapped to cleaning stage</w:t>
            </w:r>
          </w:p>
        </w:tc>
        <w:tc>
          <w:tcPr>
            <w:tcW w:w="0" w:type="auto"/>
            <w:hideMark/>
          </w:tcPr>
          <w:p w14:paraId="0E746E2B"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Corrected to AWS Glue ETL</w:t>
            </w:r>
          </w:p>
        </w:tc>
        <w:tc>
          <w:tcPr>
            <w:tcW w:w="0" w:type="auto"/>
            <w:hideMark/>
          </w:tcPr>
          <w:p w14:paraId="23B317F4"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is a query/catalog tool, not an ETL engine</w:t>
            </w:r>
          </w:p>
        </w:tc>
      </w:tr>
      <w:tr w:rsidR="003B409D" w:rsidRPr="003B409D" w14:paraId="7CED5711" w14:textId="77777777" w:rsidTr="003B409D">
        <w:tc>
          <w:tcPr>
            <w:tcW w:w="0" w:type="auto"/>
            <w:hideMark/>
          </w:tcPr>
          <w:p w14:paraId="358FE919"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Modelling validation</w:t>
            </w:r>
          </w:p>
        </w:tc>
        <w:tc>
          <w:tcPr>
            <w:tcW w:w="0" w:type="auto"/>
            <w:hideMark/>
          </w:tcPr>
          <w:p w14:paraId="6CEE2292"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Single train/test split comparison</w:t>
            </w:r>
          </w:p>
        </w:tc>
        <w:tc>
          <w:tcPr>
            <w:tcW w:w="0" w:type="auto"/>
            <w:hideMark/>
          </w:tcPr>
          <w:p w14:paraId="06B1279D"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Added </w:t>
            </w:r>
            <w:r w:rsidRPr="003B409D">
              <w:rPr>
                <w:rFonts w:ascii="Courier New" w:eastAsia="Times New Roman" w:hAnsi="Courier New" w:cs="Courier New"/>
                <w:lang w:val="en-US" w:eastAsia="en-US"/>
              </w:rPr>
              <w:t>evaluation.py</w:t>
            </w:r>
            <w:r w:rsidRPr="003B409D">
              <w:rPr>
                <w:rFonts w:ascii="Times New Roman" w:eastAsia="Times New Roman" w:hAnsi="Times New Roman"/>
                <w:sz w:val="24"/>
                <w:szCs w:val="24"/>
                <w:lang w:val="en-US" w:eastAsia="en-US"/>
              </w:rPr>
              <w:t>: naive baselines, leakage-free CV, rolling-origin backtest</w:t>
            </w:r>
          </w:p>
        </w:tc>
        <w:tc>
          <w:tcPr>
            <w:tcW w:w="0" w:type="auto"/>
            <w:hideMark/>
          </w:tcPr>
          <w:p w14:paraId="55496D27"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Responds directly to A1 feedback on validation rigour</w:t>
            </w:r>
          </w:p>
        </w:tc>
      </w:tr>
    </w:tbl>
    <w:p w14:paraId="459F4818" w14:textId="77777777" w:rsidR="003B409D" w:rsidRDefault="003B409D" w:rsidP="00C777BC">
      <w:pPr>
        <w:spacing w:before="120" w:after="240" w:line="276" w:lineRule="auto"/>
        <w:jc w:val="both"/>
        <w:rPr>
          <w:rFonts w:ascii="Times New Roman" w:eastAsiaTheme="minorEastAsia" w:hAnsi="Times New Roman"/>
          <w:sz w:val="24"/>
          <w:szCs w:val="24"/>
        </w:rPr>
      </w:pPr>
    </w:p>
    <w:p w14:paraId="7ED0EB24" w14:textId="327174EC"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lastRenderedPageBreak/>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bookmarkEnd w:id="19"/>
    <w:p w14:paraId="0BCACE92"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Three datasets were acquired (Table 1): NT Crime Statistics (2020–2023 and current), Population estimates (1986–2025), and Wholesale Alcohol Supply (2023–2025). Raw files are stored untouched in dataset/source/; any correction happens in code (data_processing.py), never by hand-editing the source.</w:t>
      </w:r>
    </w:p>
    <w:p w14:paraId="7E635D06" w14:textId="0544E5E4"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Acquisition is handled by ingest.py:</w:t>
      </w:r>
    </w:p>
    <w:p w14:paraId="44F4B2E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Fuzzy filename matching — handles naming differences between teammates' downloads (punctuation, Windows "(2)" duplicate suffixes).</w:t>
      </w:r>
    </w:p>
    <w:p w14:paraId="7A802E5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Validation checks — empty dataframes, duplicated columns, fully-null columns flagged before proceeding.</w:t>
      </w:r>
    </w:p>
    <w:p w14:paraId="227ECB6C"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Provenance tracking — each run writes to dataset/raw/ plus a manifest.json recording row/column counts and warnings.</w:t>
      </w:r>
    </w:p>
    <w:p w14:paraId="754EC5F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Storage follows a three-stage convention: dataset/source/ → dataset/raw/ (ingest.py) → dataset/processed/ (data_processing.py, Section 2). GitHub was chosen for version-controlled history and individually-attributable commits (Section 6) at no cost.</w:t>
      </w:r>
    </w:p>
    <w:p w14:paraId="0D6C261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The Assessment 1 feedback correctly flagged GitHub as a weak primary data store for production use. A SQL layer (SQLite/PostgreSQL) was considered but not adopted this milestone, for three reasons:</w:t>
      </w:r>
    </w:p>
    <w:p w14:paraId="08FE515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Scale doesn't warrant it — current volume (~72,000 rows across all sources) doesn't need the concurrent-access or indexing capabilities a relational database provides.</w:t>
      </w:r>
    </w:p>
    <w:p w14:paraId="1F8362A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Functionality already exists — the joins and aggregations a SQL layer would offer are already handled by the existing ingest.py/data_processing.py scripts; adding one would duplicate rather than extend capability.</w:t>
      </w:r>
    </w:p>
    <w:p w14:paraId="0E6C77AA"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Timing risk — refactoring the already-tested Ingest, Processing, and Engineering stages (Section 3.5) mid-semester could destabilise working code during the weeks reserved for modelling and dashboard delivery (Table 3).</w:t>
      </w:r>
    </w:p>
    <w:p w14:paraId="723763CF" w14:textId="77777777" w:rsid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 structured store remains scoped in the technology roadmap (Table 2) and will be revisited if the dashboard (Weeks 7–10) requires concurrent read access beyond what flat files support.</w:t>
      </w:r>
    </w:p>
    <w:p w14:paraId="24226211" w14:textId="3A391BCE"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eastAsia="en-US"/>
        </w:rPr>
        <w:t>5 Vs characterisation</w:t>
      </w:r>
    </w:p>
    <w:tbl>
      <w:tblPr>
        <w:tblW w:w="8740" w:type="dxa"/>
        <w:tblLook w:val="04A0" w:firstRow="1" w:lastRow="0" w:firstColumn="1" w:lastColumn="0" w:noHBand="0" w:noVBand="1"/>
      </w:tblPr>
      <w:tblGrid>
        <w:gridCol w:w="4460"/>
        <w:gridCol w:w="4280"/>
      </w:tblGrid>
      <w:tr w:rsidR="00EE2AB2" w:rsidRPr="00EE2AB2" w14:paraId="0214E149" w14:textId="77777777" w:rsidTr="00EE2AB2">
        <w:trPr>
          <w:trHeight w:val="288"/>
        </w:trPr>
        <w:tc>
          <w:tcPr>
            <w:tcW w:w="4460"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EE2AB2" w:rsidRDefault="00EE2AB2" w:rsidP="00EE2AB2">
            <w:pPr>
              <w:jc w:val="center"/>
              <w:rPr>
                <w:rFonts w:ascii="Calibri" w:eastAsia="Times New Roman" w:hAnsi="Calibri" w:cs="Calibri"/>
                <w:b/>
                <w:bCs/>
                <w:color w:val="000000"/>
                <w:sz w:val="22"/>
                <w:szCs w:val="22"/>
                <w:lang w:val="en-US" w:eastAsia="en-US"/>
              </w:rPr>
            </w:pPr>
            <w:r>
              <w:rPr>
                <w:rFonts w:ascii="Calibri" w:eastAsia="Times New Roman" w:hAnsi="Calibri" w:cs="Calibri"/>
                <w:b/>
                <w:bCs/>
                <w:color w:val="000000"/>
                <w:sz w:val="22"/>
                <w:szCs w:val="22"/>
                <w:lang w:val="en-US" w:eastAsia="en-US"/>
              </w:rPr>
              <w:t>5</w:t>
            </w:r>
            <w:r w:rsidRPr="00EE2AB2">
              <w:rPr>
                <w:rFonts w:ascii="Calibri" w:eastAsia="Times New Roman" w:hAnsi="Calibri" w:cs="Calibri"/>
                <w:b/>
                <w:bCs/>
                <w:color w:val="000000"/>
                <w:sz w:val="22"/>
                <w:szCs w:val="22"/>
                <w:lang w:val="en-US" w:eastAsia="en-US"/>
              </w:rPr>
              <w:t>V</w:t>
            </w:r>
            <w:r>
              <w:rPr>
                <w:rFonts w:ascii="Calibri" w:eastAsia="Times New Roman" w:hAnsi="Calibri" w:cs="Calibri"/>
                <w:b/>
                <w:bCs/>
                <w:color w:val="000000"/>
                <w:sz w:val="22"/>
                <w:szCs w:val="22"/>
                <w:lang w:val="en-US" w:eastAsia="en-US"/>
              </w:rPr>
              <w:t>s</w:t>
            </w:r>
          </w:p>
        </w:tc>
        <w:tc>
          <w:tcPr>
            <w:tcW w:w="4280" w:type="dxa"/>
            <w:tcBorders>
              <w:top w:val="single" w:sz="4" w:space="0" w:color="auto"/>
              <w:left w:val="nil"/>
              <w:bottom w:val="single" w:sz="4" w:space="0" w:color="auto"/>
              <w:right w:val="single" w:sz="4" w:space="0" w:color="auto"/>
            </w:tcBorders>
            <w:vAlign w:val="center"/>
            <w:hideMark/>
          </w:tcPr>
          <w:p w14:paraId="1D1D24AE" w14:textId="77777777" w:rsidR="00EE2AB2" w:rsidRPr="00EE2AB2" w:rsidRDefault="00EE2AB2" w:rsidP="00EE2AB2">
            <w:pPr>
              <w:jc w:val="cente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Characterisation</w:t>
            </w:r>
          </w:p>
        </w:tc>
      </w:tr>
      <w:tr w:rsidR="00EE2AB2" w:rsidRPr="00EE2AB2" w14:paraId="4CBAA9E2" w14:textId="77777777" w:rsidTr="00EE2AB2">
        <w:trPr>
          <w:trHeight w:val="1152"/>
        </w:trPr>
        <w:tc>
          <w:tcPr>
            <w:tcW w:w="4460" w:type="dxa"/>
            <w:tcBorders>
              <w:top w:val="nil"/>
              <w:left w:val="single" w:sz="4" w:space="0" w:color="auto"/>
              <w:bottom w:val="single" w:sz="4" w:space="0" w:color="auto"/>
              <w:right w:val="single" w:sz="4" w:space="0" w:color="auto"/>
            </w:tcBorders>
            <w:vAlign w:val="center"/>
            <w:hideMark/>
          </w:tcPr>
          <w:p w14:paraId="7613583A" w14:textId="77777777" w:rsidR="00EE2AB2" w:rsidRPr="00EE2AB2" w:rsidRDefault="00EE2AB2" w:rsidP="00EE2AB2">
            <w:pP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Volume</w:t>
            </w:r>
          </w:p>
        </w:tc>
        <w:tc>
          <w:tcPr>
            <w:tcW w:w="4280" w:type="dxa"/>
            <w:tcBorders>
              <w:top w:val="nil"/>
              <w:left w:val="nil"/>
              <w:bottom w:val="single" w:sz="4" w:space="0" w:color="auto"/>
              <w:right w:val="single" w:sz="4" w:space="0" w:color="auto"/>
            </w:tcBorders>
            <w:vAlign w:val="center"/>
            <w:hideMark/>
          </w:tcPr>
          <w:p w14:paraId="5F2C9771"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55,148 raw crime records; 17,280 population rows; 87 alcohol rows → 66 region-year population rows and one merged region-month panel after cleaning</w:t>
            </w:r>
          </w:p>
        </w:tc>
      </w:tr>
      <w:tr w:rsidR="00EE2AB2" w:rsidRPr="00EE2AB2" w14:paraId="72A19F46" w14:textId="77777777" w:rsidTr="00EE2AB2">
        <w:trPr>
          <w:trHeight w:val="1152"/>
        </w:trPr>
        <w:tc>
          <w:tcPr>
            <w:tcW w:w="4460" w:type="dxa"/>
            <w:tcBorders>
              <w:top w:val="nil"/>
              <w:left w:val="single" w:sz="4" w:space="0" w:color="auto"/>
              <w:bottom w:val="single" w:sz="4" w:space="0" w:color="auto"/>
              <w:right w:val="single" w:sz="4" w:space="0" w:color="auto"/>
            </w:tcBorders>
            <w:vAlign w:val="center"/>
            <w:hideMark/>
          </w:tcPr>
          <w:p w14:paraId="30142928" w14:textId="77777777" w:rsidR="00EE2AB2" w:rsidRPr="00EE2AB2" w:rsidRDefault="00EE2AB2" w:rsidP="00EE2AB2">
            <w:pP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Velocity</w:t>
            </w:r>
          </w:p>
        </w:tc>
        <w:tc>
          <w:tcPr>
            <w:tcW w:w="4280" w:type="dxa"/>
            <w:tcBorders>
              <w:top w:val="nil"/>
              <w:left w:val="nil"/>
              <w:bottom w:val="single" w:sz="4" w:space="0" w:color="auto"/>
              <w:right w:val="single" w:sz="4" w:space="0" w:color="auto"/>
            </w:tcBorders>
            <w:vAlign w:val="center"/>
            <w:hideMark/>
          </w:tcPr>
          <w:p w14:paraId="107BA625"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Crime: irregular, multi-month cycle. Population: annual. Alcohol: quarterly. No source supports real-time ingestion — batch refresh only</w:t>
            </w:r>
          </w:p>
        </w:tc>
      </w:tr>
      <w:tr w:rsidR="00EE2AB2" w:rsidRPr="00EE2AB2" w14:paraId="1B2935BE" w14:textId="77777777" w:rsidTr="00EE2AB2">
        <w:trPr>
          <w:trHeight w:val="864"/>
        </w:trPr>
        <w:tc>
          <w:tcPr>
            <w:tcW w:w="4460" w:type="dxa"/>
            <w:tcBorders>
              <w:top w:val="nil"/>
              <w:left w:val="single" w:sz="4" w:space="0" w:color="auto"/>
              <w:bottom w:val="single" w:sz="4" w:space="0" w:color="auto"/>
              <w:right w:val="single" w:sz="4" w:space="0" w:color="auto"/>
            </w:tcBorders>
            <w:vAlign w:val="center"/>
            <w:hideMark/>
          </w:tcPr>
          <w:p w14:paraId="3D68255C" w14:textId="77777777" w:rsidR="00EE2AB2" w:rsidRPr="00EE2AB2" w:rsidRDefault="00EE2AB2" w:rsidP="00EE2AB2">
            <w:pP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lastRenderedPageBreak/>
              <w:t>Variety</w:t>
            </w:r>
          </w:p>
        </w:tc>
        <w:tc>
          <w:tcPr>
            <w:tcW w:w="4280" w:type="dxa"/>
            <w:tcBorders>
              <w:top w:val="nil"/>
              <w:left w:val="nil"/>
              <w:bottom w:val="single" w:sz="4" w:space="0" w:color="auto"/>
              <w:right w:val="single" w:sz="4" w:space="0" w:color="auto"/>
            </w:tcBorders>
            <w:vAlign w:val="center"/>
            <w:hideMark/>
          </w:tcPr>
          <w:p w14:paraId="5F6E07AC"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Two CSV transaction logs, one wide Excel demographic table, three quarterly Excel extracts — merged into one long-format panel</w:t>
            </w:r>
          </w:p>
        </w:tc>
      </w:tr>
      <w:tr w:rsidR="00EE2AB2" w:rsidRPr="00EE2AB2" w14:paraId="6BAC7867" w14:textId="77777777" w:rsidTr="00EE2AB2">
        <w:trPr>
          <w:trHeight w:val="1440"/>
        </w:trPr>
        <w:tc>
          <w:tcPr>
            <w:tcW w:w="4460" w:type="dxa"/>
            <w:tcBorders>
              <w:top w:val="nil"/>
              <w:left w:val="single" w:sz="4" w:space="0" w:color="auto"/>
              <w:bottom w:val="single" w:sz="4" w:space="0" w:color="auto"/>
              <w:right w:val="single" w:sz="4" w:space="0" w:color="auto"/>
            </w:tcBorders>
            <w:vAlign w:val="center"/>
            <w:hideMark/>
          </w:tcPr>
          <w:p w14:paraId="16FF6EDA" w14:textId="77777777" w:rsidR="00EE2AB2" w:rsidRPr="00EE2AB2" w:rsidRDefault="00EE2AB2" w:rsidP="00EE2AB2">
            <w:pP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Veracity</w:t>
            </w:r>
          </w:p>
        </w:tc>
        <w:tc>
          <w:tcPr>
            <w:tcW w:w="4280" w:type="dxa"/>
            <w:tcBorders>
              <w:top w:val="nil"/>
              <w:left w:val="nil"/>
              <w:bottom w:val="single" w:sz="4" w:space="0" w:color="auto"/>
              <w:right w:val="single" w:sz="4" w:space="0" w:color="auto"/>
            </w:tcBorders>
            <w:vAlign w:val="center"/>
            <w:hideMark/>
          </w:tcPr>
          <w:p w14:paraId="604C56D8"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PROMIS→SerPro recording change (Nov 2023), category-label mismatch between crime files, missing Nov 2023, alcohol data from 2023 only, mismatched region boundaries (7 police vs 6 NTG regions)</w:t>
            </w:r>
          </w:p>
        </w:tc>
      </w:tr>
      <w:tr w:rsidR="00EE2AB2" w:rsidRPr="00EE2AB2" w14:paraId="4074C890" w14:textId="77777777" w:rsidTr="00EE2AB2">
        <w:trPr>
          <w:trHeight w:val="864"/>
        </w:trPr>
        <w:tc>
          <w:tcPr>
            <w:tcW w:w="4460" w:type="dxa"/>
            <w:tcBorders>
              <w:top w:val="nil"/>
              <w:left w:val="single" w:sz="4" w:space="0" w:color="auto"/>
              <w:bottom w:val="single" w:sz="4" w:space="0" w:color="auto"/>
              <w:right w:val="single" w:sz="4" w:space="0" w:color="auto"/>
            </w:tcBorders>
            <w:vAlign w:val="center"/>
            <w:hideMark/>
          </w:tcPr>
          <w:p w14:paraId="529402C0" w14:textId="77777777" w:rsidR="00EE2AB2" w:rsidRPr="00EE2AB2" w:rsidRDefault="00EE2AB2" w:rsidP="00EE2AB2">
            <w:pP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Value</w:t>
            </w:r>
          </w:p>
        </w:tc>
        <w:tc>
          <w:tcPr>
            <w:tcW w:w="4280" w:type="dxa"/>
            <w:tcBorders>
              <w:top w:val="nil"/>
              <w:left w:val="nil"/>
              <w:bottom w:val="single" w:sz="4" w:space="0" w:color="auto"/>
              <w:right w:val="single" w:sz="4" w:space="0" w:color="auto"/>
            </w:tcBorders>
            <w:vAlign w:val="center"/>
            <w:hideMark/>
          </w:tcPr>
          <w:p w14:paraId="133A58FE"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Crime = forecasting target; population = per-capita normalisation; alcohol = candidate predictor (alcohol–violence link)</w:t>
            </w:r>
          </w:p>
        </w:tc>
      </w:tr>
    </w:tbl>
    <w:p w14:paraId="04F8EA33" w14:textId="77777777" w:rsidR="00A74318" w:rsidRDefault="00A74318" w:rsidP="00C777BC">
      <w:pPr>
        <w:spacing w:before="120" w:line="276" w:lineRule="auto"/>
        <w:jc w:val="both"/>
        <w:rPr>
          <w:rFonts w:ascii="Times New Roman" w:eastAsia="Times New Roman" w:hAnsi="Times New Roman"/>
          <w:b/>
          <w:bCs/>
          <w:sz w:val="24"/>
          <w:szCs w:val="24"/>
          <w:highlight w:val="yellow"/>
          <w:lang w:val="en-US"/>
        </w:rPr>
      </w:pPr>
    </w:p>
    <w:p w14:paraId="358BAFCE" w14:textId="77777777" w:rsidR="00EE2AB2" w:rsidRPr="00EE2AB2" w:rsidRDefault="00EE2AB2" w:rsidP="00C777BC">
      <w:pPr>
        <w:spacing w:before="120" w:line="276" w:lineRule="auto"/>
        <w:jc w:val="both"/>
        <w:rPr>
          <w:rFonts w:ascii="Times New Roman" w:eastAsia="Times New Roman" w:hAnsi="Times New Roman"/>
          <w:b/>
          <w:bCs/>
          <w:sz w:val="24"/>
          <w:szCs w:val="24"/>
          <w:highlight w:val="yellow"/>
          <w:lang w:val="en-US"/>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It is retained as NaN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Nhulunbuy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lastRenderedPageBreak/>
        <w:t xml:space="preserve">Any unrecognised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r>
        <w:rPr>
          <w:rFonts w:ascii="Times New Roman" w:eastAsia="Times New Roman" w:hAnsi="Times New Roman"/>
          <w:sz w:val="24"/>
          <w:szCs w:val="24"/>
        </w:rPr>
        <w:t xml:space="preserve">nalysis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2022 remain NaN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Property</w:t>
            </w:r>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Value</w:t>
            </w:r>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Output file</w:t>
            </w:r>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2022 PAC NaN</w:t>
            </w:r>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r w:rsidRPr="000C0621">
        <w:rPr>
          <w:rFonts w:ascii="Times New Roman" w:eastAsia="Times New Roman" w:hAnsi="Times New Roman"/>
          <w:sz w:val="24"/>
          <w:szCs w:val="24"/>
          <w:lang w:val="vi-VN"/>
        </w:rPr>
        <w:lastRenderedPageBreak/>
        <w:t>Raw</w:t>
      </w:r>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Log_assault_rate:</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Sin_month and cos_month:</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is_new_year:</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et al. ,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Because of the nature of time-series data, results are susceptible to previous information. The dataset needs to be split into train and test using a temporal cut-off, ensuring that training data </w:t>
      </w:r>
      <w:r>
        <w:rPr>
          <w:rStyle w:val="normaltextrun"/>
        </w:rPr>
        <w:lastRenderedPageBreak/>
        <w:t>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a large number of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t>
      </w:r>
      <w:r w:rsidRPr="000A7469">
        <w:rPr>
          <w:rFonts w:ascii="Times New Roman" w:eastAsia="Times New Roman" w:hAnsi="Times New Roman" w:cs="Times New Roman"/>
          <w:sz w:val="24"/>
          <w:szCs w:val="24"/>
          <w:lang w:val="en-AU" w:eastAsia="ja-JP"/>
        </w:rPr>
        <w:lastRenderedPageBreak/>
        <w:t>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(Dertli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 xml:space="preserve">Across all models tested, Linear Regression delivered the strongest performance, achieving the lowest RMSE(log) and RMSE on the original scale, indicating that the relationship between predictors and assault rates is predominantly linear and stable. Regularised models (Ridge and </w:t>
      </w:r>
      <w:r w:rsidRPr="000A7469">
        <w:rPr>
          <w:rFonts w:ascii="Times New Roman" w:eastAsia="Times New Roman" w:hAnsi="Times New Roman"/>
          <w:sz w:val="24"/>
          <w:szCs w:val="24"/>
        </w:rPr>
        <w:lastRenderedPageBreak/>
        <w:t>Lasso) showed slightly higher error and progressively smaller alcohol_per_capita coefficients, suggesting that this variable contributes only modestly once collinearity is controlled. Lasso’s near</w:t>
      </w:r>
      <w:r w:rsidRPr="000A7469">
        <w:rPr>
          <w:rFonts w:ascii="Times New Roman" w:eastAsia="Times New Roman" w:hAnsi="Times New Roman"/>
          <w:sz w:val="24"/>
          <w:szCs w:val="24"/>
        </w:rPr>
        <w:noBreakHyphen/>
        <w:t>zero coefficient further implies that alcohol supply is a weak predictor relative to other socioeconomic factors. XGBoost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alcohol_per_capita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BD45B1">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Since Assessment 1, progress has been made across five of the eight pipeline stages in Table 2:</w:t>
      </w:r>
    </w:p>
    <w:p w14:paraId="45C8004C"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Ingest &amp; Data Store (Will)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Six raw datasets ingested with validation and provenance tracking (Section 3.1).</w:t>
      </w:r>
    </w:p>
    <w:p w14:paraId="24C04565"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Data Processing (Emma)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Datasets cleaned, region-matched, and merged into a single analysis-ready panel (Section 3.2).</w:t>
      </w:r>
    </w:p>
    <w:p w14:paraId="7F32E8BD"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Data Engineering (Will/Emma)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Per-capita normalisation, cyclical/lagged features, temporal train/test split (Section 3.3).</w:t>
      </w:r>
    </w:p>
    <w:p w14:paraId="5F178B93"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Analytics/ML (Hendrick) — </w:t>
      </w:r>
      <w:r w:rsidRPr="000A3F5B">
        <w:rPr>
          <w:rFonts w:ascii="Times New Roman" w:eastAsia="Times New Roman" w:hAnsi="Times New Roman"/>
          <w:i/>
          <w:iCs/>
          <w:sz w:val="24"/>
          <w:szCs w:val="24"/>
          <w:lang w:val="en-US" w:eastAsia="en-US"/>
        </w:rPr>
        <w:t>In progress.</w:t>
      </w:r>
      <w:r w:rsidRPr="000A3F5B">
        <w:rPr>
          <w:rFonts w:ascii="Times New Roman" w:eastAsia="Times New Roman" w:hAnsi="Times New Roman"/>
          <w:sz w:val="24"/>
          <w:szCs w:val="24"/>
          <w:lang w:val="en-US" w:eastAsia="en-US"/>
        </w:rPr>
        <w:t xml:space="preserve"> Baseline pipeline covers EDA, PCA, feature-variant selection, multicollinearity screening, and four candidate models. A second, independent module (</w:t>
      </w:r>
      <w:r w:rsidRPr="000A3F5B">
        <w:rPr>
          <w:rFonts w:ascii="Courier New" w:eastAsia="Times New Roman" w:hAnsi="Courier New" w:cs="Courier New"/>
          <w:lang w:val="en-US" w:eastAsia="en-US"/>
        </w:rPr>
        <w:t>evaluation.py</w:t>
      </w:r>
      <w:r w:rsidRPr="000A3F5B">
        <w:rPr>
          <w:rFonts w:ascii="Times New Roman" w:eastAsia="Times New Roman" w:hAnsi="Times New Roman"/>
          <w:sz w:val="24"/>
          <w:szCs w:val="24"/>
          <w:lang w:val="en-US" w:eastAsia="en-US"/>
        </w:rPr>
        <w:t>) adds naive baselines, leakage-free feature selection, rolling-origin backtesting, and empirical prediction intervals, responding directly to the Assessment 1 feedback on validation rigour (Section 4, Hendrick).</w:t>
      </w:r>
    </w:p>
    <w:p w14:paraId="25527C6B"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Dashboard, Deploy, Monitor, Incremental-learning — </w:t>
      </w:r>
      <w:r w:rsidRPr="000A3F5B">
        <w:rPr>
          <w:rFonts w:ascii="Times New Roman" w:eastAsia="Times New Roman" w:hAnsi="Times New Roman"/>
          <w:i/>
          <w:iCs/>
          <w:sz w:val="24"/>
          <w:szCs w:val="24"/>
          <w:lang w:val="en-US" w:eastAsia="en-US"/>
        </w:rPr>
        <w:t>Not yet started.</w:t>
      </w:r>
      <w:r w:rsidRPr="000A3F5B">
        <w:rPr>
          <w:rFonts w:ascii="Times New Roman" w:eastAsia="Times New Roman" w:hAnsi="Times New Roman"/>
          <w:sz w:val="24"/>
          <w:szCs w:val="24"/>
          <w:lang w:val="en-US" w:eastAsia="en-US"/>
        </w:rPr>
        <w:t xml:space="preserve"> Scheduled for Weeks 7–8 (dashboard) and Week 10 (deployment/monitoring) per the workflow plan (Table 3).</w:t>
      </w:r>
    </w:p>
    <w:p w14:paraId="757D93B4" w14:textId="2DB0DD05" w:rsidR="00E9659F"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The updated workflow table below records progress against each week's planned deliverable at the time of this submission.</w:t>
      </w: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3). Weeks immediately preceding each submission are used for </w:t>
      </w:r>
      <w:r w:rsidRPr="008F73D5">
        <w:rPr>
          <w:rFonts w:ascii="Times New Roman" w:eastAsia="Times New Roman" w:hAnsi="Times New Roman" w:cs="Times New Roman"/>
          <w:sz w:val="24"/>
          <w:szCs w:val="24"/>
          <w:lang w:val="en-AU"/>
        </w:rPr>
        <w:lastRenderedPageBreak/>
        <w:t>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 xml:space="preserve">Consolidate pipeline evidence and baseline </w:t>
            </w:r>
            <w:r w:rsidRPr="008F73D5">
              <w:rPr>
                <w:rFonts w:ascii="Times New Roman" w:eastAsia="Times New Roman" w:hAnsi="Times New Roman" w:cs="Times New Roman"/>
                <w:b/>
                <w:bCs/>
                <w:sz w:val="24"/>
                <w:szCs w:val="24"/>
                <w:lang w:val="en-AU"/>
              </w:rPr>
              <w:lastRenderedPageBreak/>
              <w:t>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 xml:space="preserve">Assessment 2 submitted: Progress </w:t>
            </w:r>
            <w:r w:rsidRPr="008F73D5">
              <w:rPr>
                <w:rFonts w:ascii="Times New Roman" w:eastAsia="Times New Roman" w:hAnsi="Times New Roman" w:cs="Times New Roman"/>
                <w:b/>
                <w:bCs/>
                <w:sz w:val="24"/>
                <w:szCs w:val="24"/>
                <w:lang w:val="en-AU"/>
              </w:rPr>
              <w:lastRenderedPageBreak/>
              <w:t>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lastRenderedPageBreak/>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t>In addition, all predictive analytics activities seek to comply with ethical standards to minimise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SerPro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xml:space="preserve">, so the data must be used carefully and respectfully. The project follows the CARE </w:t>
      </w:r>
      <w:r w:rsidRPr="008F73D5">
        <w:rPr>
          <w:rFonts w:ascii="Times New Roman" w:eastAsia="Times New Roman" w:hAnsi="Times New Roman"/>
          <w:sz w:val="24"/>
          <w:szCs w:val="24"/>
        </w:rPr>
        <w:lastRenderedPageBreak/>
        <w:t>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bookmarkStart w:id="21" w:name="OLE_LINK8"/>
      <w:r w:rsidRPr="00C22D6D">
        <w:rPr>
          <w:b/>
          <w:bCs/>
          <w:highlight w:val="yellow"/>
          <w:lang w:val="vi-VN"/>
        </w:rPr>
        <w:t xml:space="preserve">Evaluation </w:t>
      </w:r>
      <w:r w:rsidRPr="00C22D6D">
        <w:rPr>
          <w:b/>
          <w:bCs/>
          <w:highlight w:val="yellow"/>
          <w:lang w:val="en-AU"/>
        </w:rPr>
        <w:t>of progress</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t>Any other relevant technical developments</w:t>
      </w:r>
    </w:p>
    <w:bookmarkEnd w:id="21"/>
    <w:p w14:paraId="4DEC5908" w14:textId="77777777" w:rsidR="00426331" w:rsidRPr="008F73D5" w:rsidRDefault="00426331" w:rsidP="00C777BC">
      <w:pPr>
        <w:spacing w:before="120" w:line="276" w:lineRule="auto"/>
        <w:jc w:val="both"/>
        <w:rPr>
          <w:rFonts w:ascii="Times New Roman" w:eastAsia="Times New Roman" w:hAnsi="Times New Roman"/>
          <w:b/>
          <w:bCs/>
          <w:sz w:val="24"/>
          <w:szCs w:val="24"/>
        </w:rPr>
      </w:pP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lastRenderedPageBreak/>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p w14:paraId="31397055" w14:textId="77777777" w:rsidR="00AC10A7" w:rsidRPr="0011568D" w:rsidRDefault="00AC10A7" w:rsidP="00844CF2">
      <w:pPr>
        <w:spacing w:line="276" w:lineRule="auto"/>
        <w:jc w:val="both"/>
        <w:rPr>
          <w:lang w:val="vi-VN"/>
        </w:rPr>
      </w:pPr>
      <w:hyperlink r:id="rId49" w:history="1">
        <w:r w:rsidRPr="00A1702F">
          <w:rPr>
            <w:rStyle w:val="Hyperlink"/>
            <w:rFonts w:ascii="Times New Roman" w:eastAsia="Times New Roman" w:hAnsi="Times New Roman"/>
            <w:sz w:val="24"/>
            <w:szCs w:val="24"/>
          </w:rPr>
          <w:t>https://github.com/HendrickDang/PRT661-DATA-SCIENCE-PRACTICE/commits?author=EmmaTran56</w:t>
        </w:r>
      </w:hyperlink>
    </w:p>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hyperlink r:id="rId50" w:history="1">
        <w:r w:rsidRPr="00A1702F">
          <w:rPr>
            <w:rStyle w:val="Hyperlink"/>
            <w:rFonts w:ascii="Times New Roman" w:eastAsia="Times New Roman" w:hAnsi="Times New Roman"/>
            <w:sz w:val="24"/>
            <w:szCs w:val="24"/>
            <w:lang w:val="vi-VN"/>
          </w:rPr>
          <w:t>https://github.com/HendrickDang/PRT661-DATA-SCIENCE-PRACTICE/commits/main/eda_plots</w:t>
        </w:r>
      </w:hyperlink>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1"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2"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78B77E33"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0F43159">
        <w:rPr>
          <w:rFonts w:ascii="Times New Roman" w:eastAsia="Times New Roman" w:hAnsi="Times New Roman"/>
          <w:sz w:val="24"/>
          <w:szCs w:val="24"/>
        </w:rPr>
        <w:t>S38</w:t>
      </w:r>
      <w:r w:rsidR="003B409D">
        <w:rPr>
          <w:rFonts w:ascii="Times New Roman" w:eastAsia="Times New Roman" w:hAnsi="Times New Roman"/>
          <w:sz w:val="24"/>
          <w:szCs w:val="24"/>
        </w:rPr>
        <w:t>6</w:t>
      </w:r>
      <w:r w:rsidR="00F43159">
        <w:rPr>
          <w:rFonts w:ascii="Times New Roman" w:eastAsia="Times New Roman" w:hAnsi="Times New Roman"/>
          <w:sz w:val="24"/>
          <w:szCs w:val="24"/>
        </w:rPr>
        <w:t>80</w:t>
      </w:r>
      <w:r w:rsidR="003B409D">
        <w:rPr>
          <w:rFonts w:ascii="Times New Roman" w:eastAsia="Times New Roman" w:hAnsi="Times New Roman"/>
          <w:sz w:val="24"/>
          <w:szCs w:val="24"/>
        </w:rPr>
        <w:t>5</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9F7AB7E" w:rsidR="00202B0D" w:rsidRPr="00C41CDC" w:rsidRDefault="00F43159" w:rsidP="00C777BC">
      <w:pPr>
        <w:spacing w:before="120" w:line="276" w:lineRule="auto"/>
        <w:ind w:left="426"/>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3"/>
                    <a:stretch>
                      <a:fillRect/>
                    </a:stretch>
                  </pic:blipFill>
                  <pic:spPr>
                    <a:xfrm>
                      <a:off x="0" y="0"/>
                      <a:ext cx="5731510" cy="3223895"/>
                    </a:xfrm>
                    <a:prstGeom prst="rect">
                      <a:avLst/>
                    </a:prstGeom>
                  </pic:spPr>
                </pic:pic>
              </a:graphicData>
            </a:graphic>
          </wp:inline>
        </w:drawing>
      </w: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236AEA6" w14:textId="77777777" w:rsidR="00F43159" w:rsidRPr="00B60E28" w:rsidRDefault="00F43159" w:rsidP="00F43159">
      <w:pPr>
        <w:pStyle w:val="ListParagraph"/>
        <w:spacing w:line="276" w:lineRule="auto"/>
        <w:jc w:val="both"/>
        <w:rPr>
          <w:rFonts w:ascii="Times New Roman" w:eastAsia="Times New Roman" w:hAnsi="Times New Roman"/>
          <w:sz w:val="24"/>
          <w:szCs w:val="24"/>
          <w:lang w:val="en-AU"/>
        </w:rPr>
      </w:pPr>
      <w:r w:rsidRPr="00B60E28">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4849AD76" w:rsidR="00F43159" w:rsidRDefault="00F43159" w:rsidP="00C777BC">
      <w:pPr>
        <w:pStyle w:val="ListParagraph"/>
        <w:spacing w:before="120" w:after="0" w:line="276" w:lineRule="auto"/>
        <w:ind w:left="426"/>
        <w:contextualSpacing w:val="0"/>
        <w:jc w:val="both"/>
        <w:rPr>
          <w:rFonts w:ascii="Times New Roman" w:eastAsia="Times New Roman" w:hAnsi="Times New Roman"/>
          <w:sz w:val="24"/>
          <w:szCs w:val="24"/>
          <w:lang w:val="en-AU"/>
        </w:rPr>
      </w:pPr>
      <w:r w:rsidRPr="00372633">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w:t>
      </w:r>
      <w:r w:rsidRPr="00372633">
        <w:rPr>
          <w:rFonts w:ascii="Times New Roman" w:eastAsia="Times New Roman" w:hAnsi="Times New Roman"/>
          <w:sz w:val="24"/>
          <w:szCs w:val="24"/>
          <w:lang w:val="en-AU"/>
        </w:rPr>
        <w:lastRenderedPageBreak/>
        <w:t>correctness, not just absence of errors: the VIF calculation and an unsafe eval() call ran without crashing, yet one was statistically biased and the other insecure.</w:t>
      </w:r>
    </w:p>
    <w:p w14:paraId="4D906B99" w14:textId="77777777" w:rsidR="00F43159" w:rsidRDefault="00F43159">
      <w:pPr>
        <w:rPr>
          <w:rFonts w:ascii="Times New Roman" w:eastAsia="Times New Roman" w:hAnsi="Times New Roman" w:cstheme="minorBidi"/>
          <w:sz w:val="24"/>
          <w:szCs w:val="24"/>
          <w:lang w:eastAsia="en-US"/>
        </w:rPr>
      </w:pPr>
      <w:r>
        <w:rPr>
          <w:rFonts w:ascii="Times New Roman" w:eastAsia="Times New Roman" w:hAnsi="Times New Roman"/>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backtesting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solving skills. Working with different machine learning models improved my understanding of model selection, evaluation, and optimisation,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45396" w14:textId="77777777" w:rsidR="00055180" w:rsidRPr="008F73D5" w:rsidRDefault="00055180">
      <w:r w:rsidRPr="008F73D5">
        <w:separator/>
      </w:r>
    </w:p>
  </w:endnote>
  <w:endnote w:type="continuationSeparator" w:id="0">
    <w:p w14:paraId="219FA551" w14:textId="77777777" w:rsidR="00055180" w:rsidRPr="008F73D5" w:rsidRDefault="00055180">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2AD18" w14:textId="77777777" w:rsidR="00055180" w:rsidRPr="008F73D5" w:rsidRDefault="00055180">
      <w:r w:rsidRPr="008F73D5">
        <w:separator/>
      </w:r>
    </w:p>
  </w:footnote>
  <w:footnote w:type="continuationSeparator" w:id="0">
    <w:p w14:paraId="1F133D71" w14:textId="77777777" w:rsidR="00055180" w:rsidRPr="008F73D5" w:rsidRDefault="00055180">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2"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3"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5"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7"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8"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9"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3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3"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4"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5"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6"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0"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1"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2"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4"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5"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6"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7"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9"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50"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5"/>
  </w:num>
  <w:num w:numId="2" w16cid:durableId="897129016">
    <w:abstractNumId w:val="17"/>
  </w:num>
  <w:num w:numId="3" w16cid:durableId="1075594455">
    <w:abstractNumId w:val="33"/>
  </w:num>
  <w:num w:numId="4" w16cid:durableId="1412510016">
    <w:abstractNumId w:val="46"/>
  </w:num>
  <w:num w:numId="5" w16cid:durableId="2009137674">
    <w:abstractNumId w:val="40"/>
  </w:num>
  <w:num w:numId="6" w16cid:durableId="846213150">
    <w:abstractNumId w:val="8"/>
  </w:num>
  <w:num w:numId="7" w16cid:durableId="723069717">
    <w:abstractNumId w:val="50"/>
  </w:num>
  <w:num w:numId="8" w16cid:durableId="594020350">
    <w:abstractNumId w:val="21"/>
  </w:num>
  <w:num w:numId="9" w16cid:durableId="1871139909">
    <w:abstractNumId w:val="35"/>
  </w:num>
  <w:num w:numId="10" w16cid:durableId="1461849459">
    <w:abstractNumId w:val="27"/>
  </w:num>
  <w:num w:numId="11" w16cid:durableId="1461875675">
    <w:abstractNumId w:val="26"/>
  </w:num>
  <w:num w:numId="12" w16cid:durableId="739134311">
    <w:abstractNumId w:val="24"/>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2"/>
  </w:num>
  <w:num w:numId="20" w16cid:durableId="1911693795">
    <w:abstractNumId w:val="7"/>
  </w:num>
  <w:num w:numId="21" w16cid:durableId="1029336402">
    <w:abstractNumId w:val="29"/>
  </w:num>
  <w:num w:numId="22" w16cid:durableId="30309308">
    <w:abstractNumId w:val="31"/>
  </w:num>
  <w:num w:numId="23" w16cid:durableId="2122872688">
    <w:abstractNumId w:val="38"/>
  </w:num>
  <w:num w:numId="24" w16cid:durableId="533344833">
    <w:abstractNumId w:val="15"/>
  </w:num>
  <w:num w:numId="25" w16cid:durableId="1975255196">
    <w:abstractNumId w:val="11"/>
  </w:num>
  <w:num w:numId="26" w16cid:durableId="18237308">
    <w:abstractNumId w:val="5"/>
  </w:num>
  <w:num w:numId="27" w16cid:durableId="2031491238">
    <w:abstractNumId w:val="28"/>
  </w:num>
  <w:num w:numId="28" w16cid:durableId="1868635507">
    <w:abstractNumId w:val="49"/>
  </w:num>
  <w:num w:numId="29" w16cid:durableId="1752383533">
    <w:abstractNumId w:val="12"/>
  </w:num>
  <w:num w:numId="30" w16cid:durableId="869300735">
    <w:abstractNumId w:val="32"/>
  </w:num>
  <w:num w:numId="31" w16cid:durableId="1486553807">
    <w:abstractNumId w:val="3"/>
  </w:num>
  <w:num w:numId="32" w16cid:durableId="1151754292">
    <w:abstractNumId w:val="44"/>
  </w:num>
  <w:num w:numId="33" w16cid:durableId="659816737">
    <w:abstractNumId w:val="2"/>
  </w:num>
  <w:num w:numId="34" w16cid:durableId="1126462383">
    <w:abstractNumId w:val="23"/>
  </w:num>
  <w:num w:numId="35" w16cid:durableId="42486870">
    <w:abstractNumId w:val="48"/>
  </w:num>
  <w:num w:numId="36" w16cid:durableId="2077891357">
    <w:abstractNumId w:val="6"/>
  </w:num>
  <w:num w:numId="37" w16cid:durableId="1066682934">
    <w:abstractNumId w:val="25"/>
  </w:num>
  <w:num w:numId="38" w16cid:durableId="849414355">
    <w:abstractNumId w:val="39"/>
  </w:num>
  <w:num w:numId="39" w16cid:durableId="1693145615">
    <w:abstractNumId w:val="18"/>
  </w:num>
  <w:num w:numId="40" w16cid:durableId="1341198504">
    <w:abstractNumId w:val="14"/>
  </w:num>
  <w:num w:numId="41" w16cid:durableId="1059134594">
    <w:abstractNumId w:val="30"/>
  </w:num>
  <w:num w:numId="42" w16cid:durableId="1221937138">
    <w:abstractNumId w:val="37"/>
  </w:num>
  <w:num w:numId="43" w16cid:durableId="7295156">
    <w:abstractNumId w:val="36"/>
  </w:num>
  <w:num w:numId="44" w16cid:durableId="876312708">
    <w:abstractNumId w:val="41"/>
  </w:num>
  <w:num w:numId="45" w16cid:durableId="125399183">
    <w:abstractNumId w:val="43"/>
  </w:num>
  <w:num w:numId="46" w16cid:durableId="438378632">
    <w:abstractNumId w:val="10"/>
  </w:num>
  <w:num w:numId="47" w16cid:durableId="833229641">
    <w:abstractNumId w:val="34"/>
  </w:num>
  <w:num w:numId="48" w16cid:durableId="919632611">
    <w:abstractNumId w:val="13"/>
  </w:num>
  <w:num w:numId="49" w16cid:durableId="1537543361">
    <w:abstractNumId w:val="47"/>
  </w:num>
  <w:num w:numId="50" w16cid:durableId="758991847">
    <w:abstractNumId w:val="42"/>
  </w:num>
  <w:num w:numId="51" w16cid:durableId="1199006307">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180"/>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da_plots" TargetMode="External"/><Relationship Id="rId55"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image" Target="media/image12.png"/><Relationship Id="rId58"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main/End%20to%20End%20pipeline.py" TargetMode="External"/><Relationship Id="rId60"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documents"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34</Pages>
  <Words>7932</Words>
  <Characters>45217</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56</cp:revision>
  <cp:lastPrinted>2026-03-20T06:14:00Z</cp:lastPrinted>
  <dcterms:created xsi:type="dcterms:W3CDTF">2026-09-09T02:33:00Z</dcterms:created>
  <dcterms:modified xsi:type="dcterms:W3CDTF">2026-09-10T06:42:00Z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