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7E7A7" w14:textId="77777777" w:rsidR="006E5C57" w:rsidRDefault="00000000">
      <w:pPr>
        <w:spacing w:after="80"/>
        <w:jc w:val="center"/>
      </w:pPr>
      <w:r>
        <w:rPr>
          <w:rFonts w:eastAsia="Calibri"/>
          <w:b/>
          <w:color w:val="1A365D"/>
          <w:sz w:val="28"/>
        </w:rPr>
        <w:t>Monitoring Design for the NT Assault Forecasting System</w:t>
      </w:r>
    </w:p>
    <w:p w14:paraId="10AEC43E" w14:textId="4FCBAD7E" w:rsidR="006E5C57" w:rsidRDefault="00000000">
      <w:pPr>
        <w:spacing w:after="160"/>
        <w:jc w:val="center"/>
      </w:pPr>
      <w:r>
        <w:rPr>
          <w:rFonts w:eastAsia="Calibri"/>
          <w:i/>
          <w:color w:val="4A5568"/>
          <w:sz w:val="20"/>
        </w:rPr>
        <w:t>Draft section for the Assessment report (Deployment &amp; Operations)</w:t>
      </w:r>
    </w:p>
    <w:p w14:paraId="1BAB3872" w14:textId="77777777" w:rsidR="006E5C57" w:rsidRDefault="00000000">
      <w:pPr>
        <w:spacing w:before="200" w:after="80"/>
      </w:pPr>
      <w:r>
        <w:rPr>
          <w:rFonts w:eastAsia="Calibri"/>
          <w:b/>
          <w:color w:val="1A365D"/>
          <w:sz w:val="24"/>
        </w:rPr>
        <w:t>1. Purpose and scope</w:t>
      </w:r>
    </w:p>
    <w:p w14:paraId="12A1308E" w14:textId="77777777" w:rsidR="006E5C57" w:rsidRDefault="00000000">
      <w:pPr>
        <w:spacing w:after="80"/>
      </w:pPr>
      <w:r>
        <w:rPr>
          <w:rFonts w:eastAsia="Calibri"/>
        </w:rPr>
        <w:t>This monitoring design specifies how the deployed forecasting workflow will be observed after release. The end user is NT Police, Fire and Emergency Services (PFES). The system produces region-month assault-rate forecasts for the six NT Government service regions (Barkly, Big Rivers, Central Australia, East Arnhem, Greater Darwin, Top End) using the 2015–2025 harmonised panel.</w:t>
      </w:r>
    </w:p>
    <w:p w14:paraId="4CD06178" w14:textId="77777777" w:rsidR="006E5C57" w:rsidRDefault="00000000">
      <w:pPr>
        <w:spacing w:after="80"/>
      </w:pPr>
      <w:r>
        <w:rPr>
          <w:rFonts w:eastAsia="Calibri"/>
        </w:rPr>
        <w:t>Monitoring is distinct from exploratory analysis and from one-off model validation. It answers three operational questions each time new official statistics are published: (1) Is the input data complete and timely? (2) Are forecasts still accurate enough for planning? (3) Should the team investigate, alert frontline users, or retrain?</w:t>
      </w:r>
    </w:p>
    <w:p w14:paraId="71382709" w14:textId="77777777" w:rsidR="006E5C57" w:rsidRDefault="00000000">
      <w:pPr>
        <w:spacing w:after="80"/>
      </w:pPr>
      <w:r>
        <w:rPr>
          <w:rFonts w:eastAsia="Calibri"/>
        </w:rPr>
        <w:t>Scope includes the batch pipeline (Updated_End_to_End_pipeline.py), the evaluation module (evaluation.py), and the Streamlit dual-role dashboard. It does not assume a live streaming service; NT crime and alcohol releases are periodic open-data publications.</w:t>
      </w:r>
    </w:p>
    <w:p w14:paraId="123E7A6F" w14:textId="77777777" w:rsidR="006E5C57" w:rsidRDefault="00000000">
      <w:pPr>
        <w:spacing w:before="200" w:after="80"/>
      </w:pPr>
      <w:r>
        <w:rPr>
          <w:rFonts w:eastAsia="Calibri"/>
          <w:b/>
          <w:color w:val="1A365D"/>
          <w:sz w:val="24"/>
        </w:rPr>
        <w:t>2. What is monitored</w:t>
      </w:r>
    </w:p>
    <w:p w14:paraId="01EBB90A" w14:textId="77777777" w:rsidR="006E5C57" w:rsidRDefault="00000000">
      <w:pPr>
        <w:spacing w:before="120" w:after="40"/>
      </w:pPr>
      <w:r>
        <w:rPr>
          <w:rFonts w:eastAsia="Calibri"/>
          <w:b/>
        </w:rPr>
        <w:t>2.1 Data quality and freshness</w:t>
      </w:r>
    </w:p>
    <w:p w14:paraId="4B265766" w14:textId="77777777" w:rsidR="006E5C57" w:rsidRDefault="00000000">
      <w:pPr>
        <w:spacing w:after="80"/>
      </w:pPr>
      <w:r>
        <w:rPr>
          <w:rFonts w:eastAsia="Calibri"/>
        </w:rPr>
        <w:t>New months enter as provisional and are understated until late reports arrive. Alcohol wholesale PAC exists only from 2023 and is published roughly three months in arrears. Structural breaks (PROMIS to SerPro; ANZSOC reclassification) can recur as labelling or coverage changes.</w:t>
      </w:r>
    </w:p>
    <w:tbl>
      <w:tblPr>
        <w:tblStyle w:val="TableGrid"/>
        <w:tblW w:w="0" w:type="auto"/>
        <w:tblLook w:val="04A0" w:firstRow="1" w:lastRow="0" w:firstColumn="1" w:lastColumn="0" w:noHBand="0" w:noVBand="1"/>
      </w:tblPr>
      <w:tblGrid>
        <w:gridCol w:w="2340"/>
        <w:gridCol w:w="2340"/>
        <w:gridCol w:w="2340"/>
        <w:gridCol w:w="2340"/>
      </w:tblGrid>
      <w:tr w:rsidR="006E5C57" w14:paraId="66D6CD0A" w14:textId="77777777">
        <w:tc>
          <w:tcPr>
            <w:tcW w:w="2340" w:type="dxa"/>
            <w:shd w:val="clear" w:color="auto" w:fill="1A365D"/>
          </w:tcPr>
          <w:p w14:paraId="18F3C8B0" w14:textId="77777777" w:rsidR="006E5C57" w:rsidRDefault="00000000">
            <w:r>
              <w:rPr>
                <w:rFonts w:eastAsia="Calibri"/>
                <w:b/>
                <w:color w:val="FFFFFF"/>
                <w:sz w:val="18"/>
              </w:rPr>
              <w:t>Check</w:t>
            </w:r>
          </w:p>
        </w:tc>
        <w:tc>
          <w:tcPr>
            <w:tcW w:w="2340" w:type="dxa"/>
            <w:shd w:val="clear" w:color="auto" w:fill="1A365D"/>
          </w:tcPr>
          <w:p w14:paraId="5B66D03E" w14:textId="77777777" w:rsidR="006E5C57" w:rsidRDefault="00000000">
            <w:r>
              <w:rPr>
                <w:rFonts w:eastAsia="Calibri"/>
                <w:b/>
                <w:color w:val="FFFFFF"/>
                <w:sz w:val="18"/>
              </w:rPr>
              <w:t>Metric / rule</w:t>
            </w:r>
          </w:p>
        </w:tc>
        <w:tc>
          <w:tcPr>
            <w:tcW w:w="2340" w:type="dxa"/>
            <w:shd w:val="clear" w:color="auto" w:fill="1A365D"/>
          </w:tcPr>
          <w:p w14:paraId="124FBF3B" w14:textId="77777777" w:rsidR="006E5C57" w:rsidRDefault="00000000">
            <w:r>
              <w:rPr>
                <w:rFonts w:eastAsia="Calibri"/>
                <w:b/>
                <w:color w:val="FFFFFF"/>
                <w:sz w:val="18"/>
              </w:rPr>
              <w:t>Frequency</w:t>
            </w:r>
          </w:p>
        </w:tc>
        <w:tc>
          <w:tcPr>
            <w:tcW w:w="2340" w:type="dxa"/>
            <w:shd w:val="clear" w:color="auto" w:fill="1A365D"/>
          </w:tcPr>
          <w:p w14:paraId="1867F2B5" w14:textId="77777777" w:rsidR="006E5C57" w:rsidRDefault="00000000">
            <w:r>
              <w:rPr>
                <w:rFonts w:eastAsia="Calibri"/>
                <w:b/>
                <w:color w:val="FFFFFF"/>
                <w:sz w:val="18"/>
              </w:rPr>
              <w:t>Action if fail</w:t>
            </w:r>
          </w:p>
        </w:tc>
      </w:tr>
      <w:tr w:rsidR="006E5C57" w14:paraId="0A839DE3" w14:textId="77777777">
        <w:tc>
          <w:tcPr>
            <w:tcW w:w="2340" w:type="dxa"/>
          </w:tcPr>
          <w:p w14:paraId="5984D6D1" w14:textId="77777777" w:rsidR="006E5C57" w:rsidRDefault="00000000">
            <w:r>
              <w:rPr>
                <w:rFonts w:eastAsia="Calibri"/>
                <w:sz w:val="18"/>
              </w:rPr>
              <w:t>Source file presence</w:t>
            </w:r>
          </w:p>
        </w:tc>
        <w:tc>
          <w:tcPr>
            <w:tcW w:w="2340" w:type="dxa"/>
          </w:tcPr>
          <w:p w14:paraId="5831F620" w14:textId="77777777" w:rsidR="006E5C57" w:rsidRDefault="00000000">
            <w:r>
              <w:rPr>
                <w:rFonts w:eastAsia="Calibri"/>
                <w:sz w:val="18"/>
              </w:rPr>
              <w:t>Six expected files resolve under dataset/source/ (fuzzy name match OK)</w:t>
            </w:r>
          </w:p>
        </w:tc>
        <w:tc>
          <w:tcPr>
            <w:tcW w:w="2340" w:type="dxa"/>
          </w:tcPr>
          <w:p w14:paraId="0FBC208A" w14:textId="77777777" w:rsidR="006E5C57" w:rsidRDefault="00000000">
            <w:r>
              <w:rPr>
                <w:rFonts w:eastAsia="Calibri"/>
                <w:sz w:val="18"/>
              </w:rPr>
              <w:t>Each ingest</w:t>
            </w:r>
          </w:p>
        </w:tc>
        <w:tc>
          <w:tcPr>
            <w:tcW w:w="2340" w:type="dxa"/>
          </w:tcPr>
          <w:p w14:paraId="3F390BB9" w14:textId="77777777" w:rsidR="006E5C57" w:rsidRDefault="00000000">
            <w:r>
              <w:rPr>
                <w:rFonts w:eastAsia="Calibri"/>
                <w:sz w:val="18"/>
              </w:rPr>
              <w:t>Block pipeline; log missing file in manifest</w:t>
            </w:r>
          </w:p>
        </w:tc>
      </w:tr>
      <w:tr w:rsidR="006E5C57" w14:paraId="25F98F18" w14:textId="77777777">
        <w:tc>
          <w:tcPr>
            <w:tcW w:w="2340" w:type="dxa"/>
          </w:tcPr>
          <w:p w14:paraId="764CD398" w14:textId="77777777" w:rsidR="006E5C57" w:rsidRDefault="00000000">
            <w:r>
              <w:rPr>
                <w:rFonts w:eastAsia="Calibri"/>
                <w:sz w:val="18"/>
              </w:rPr>
              <w:t>Schema / category map</w:t>
            </w:r>
          </w:p>
        </w:tc>
        <w:tc>
          <w:tcPr>
            <w:tcW w:w="2340" w:type="dxa"/>
          </w:tcPr>
          <w:p w14:paraId="7C5E6F04" w14:textId="77777777" w:rsidR="006E5C57" w:rsidRDefault="00000000">
            <w:r>
              <w:rPr>
                <w:rFonts w:eastAsia="Calibri"/>
                <w:sz w:val="18"/>
              </w:rPr>
              <w:t>No unmapped PROMIS categories; region remap covers all rows</w:t>
            </w:r>
          </w:p>
        </w:tc>
        <w:tc>
          <w:tcPr>
            <w:tcW w:w="2340" w:type="dxa"/>
          </w:tcPr>
          <w:p w14:paraId="4DD5F5F2" w14:textId="77777777" w:rsidR="006E5C57" w:rsidRDefault="00000000">
            <w:r>
              <w:rPr>
                <w:rFonts w:eastAsia="Calibri"/>
                <w:sz w:val="18"/>
              </w:rPr>
              <w:t>Each ingest</w:t>
            </w:r>
          </w:p>
        </w:tc>
        <w:tc>
          <w:tcPr>
            <w:tcW w:w="2340" w:type="dxa"/>
          </w:tcPr>
          <w:p w14:paraId="24492ABE" w14:textId="77777777" w:rsidR="006E5C57" w:rsidRDefault="00000000">
            <w:r>
              <w:rPr>
                <w:rFonts w:eastAsia="Calibri"/>
                <w:sz w:val="18"/>
              </w:rPr>
              <w:t>Fail ingest; update CATEGORY_MAP / SA2 map</w:t>
            </w:r>
          </w:p>
        </w:tc>
      </w:tr>
      <w:tr w:rsidR="006E5C57" w14:paraId="5330F1CE" w14:textId="77777777">
        <w:tc>
          <w:tcPr>
            <w:tcW w:w="2340" w:type="dxa"/>
          </w:tcPr>
          <w:p w14:paraId="71F35DEA" w14:textId="77777777" w:rsidR="006E5C57" w:rsidRDefault="00000000">
            <w:r>
              <w:rPr>
                <w:rFonts w:eastAsia="Calibri"/>
                <w:sz w:val="18"/>
              </w:rPr>
              <w:t>Calendar completeness</w:t>
            </w:r>
          </w:p>
        </w:tc>
        <w:tc>
          <w:tcPr>
            <w:tcW w:w="2340" w:type="dxa"/>
          </w:tcPr>
          <w:p w14:paraId="2066BDD1" w14:textId="77777777" w:rsidR="006E5C57" w:rsidRDefault="00000000">
            <w:r>
              <w:rPr>
                <w:rFonts w:eastAsia="Calibri"/>
                <w:sz w:val="18"/>
              </w:rPr>
              <w:t>Expected region-month grid; genuine gaps flagged, not imputed</w:t>
            </w:r>
          </w:p>
        </w:tc>
        <w:tc>
          <w:tcPr>
            <w:tcW w:w="2340" w:type="dxa"/>
          </w:tcPr>
          <w:p w14:paraId="208CAC4E" w14:textId="77777777" w:rsidR="006E5C57" w:rsidRDefault="00000000">
            <w:r>
              <w:rPr>
                <w:rFonts w:eastAsia="Calibri"/>
                <w:sz w:val="18"/>
              </w:rPr>
              <w:t>Each panel build</w:t>
            </w:r>
          </w:p>
        </w:tc>
        <w:tc>
          <w:tcPr>
            <w:tcW w:w="2340" w:type="dxa"/>
          </w:tcPr>
          <w:p w14:paraId="4FBAFAB6" w14:textId="77777777" w:rsidR="006E5C57" w:rsidRDefault="00000000">
            <w:r>
              <w:rPr>
                <w:rFonts w:eastAsia="Calibri"/>
                <w:sz w:val="18"/>
              </w:rPr>
              <w:t>WARN and retain NaN; document the gap</w:t>
            </w:r>
          </w:p>
        </w:tc>
      </w:tr>
      <w:tr w:rsidR="006E5C57" w14:paraId="6C155B01" w14:textId="77777777">
        <w:tc>
          <w:tcPr>
            <w:tcW w:w="2340" w:type="dxa"/>
          </w:tcPr>
          <w:p w14:paraId="17B955F0" w14:textId="77777777" w:rsidR="006E5C57" w:rsidRDefault="00000000">
            <w:r>
              <w:rPr>
                <w:rFonts w:eastAsia="Calibri"/>
                <w:sz w:val="18"/>
              </w:rPr>
              <w:t>Provisional window</w:t>
            </w:r>
          </w:p>
        </w:tc>
        <w:tc>
          <w:tcPr>
            <w:tcW w:w="2340" w:type="dxa"/>
          </w:tcPr>
          <w:p w14:paraId="3C229375" w14:textId="77777777" w:rsidR="006E5C57" w:rsidRDefault="00000000">
            <w:r>
              <w:rPr>
                <w:rFonts w:eastAsia="Calibri"/>
                <w:sz w:val="18"/>
              </w:rPr>
              <w:t>Last 6 months flagged is_provisional; excluded from scored metrics</w:t>
            </w:r>
          </w:p>
        </w:tc>
        <w:tc>
          <w:tcPr>
            <w:tcW w:w="2340" w:type="dxa"/>
          </w:tcPr>
          <w:p w14:paraId="157FBCFC" w14:textId="77777777" w:rsidR="006E5C57" w:rsidRDefault="00000000">
            <w:r>
              <w:rPr>
                <w:rFonts w:eastAsia="Calibri"/>
                <w:sz w:val="18"/>
              </w:rPr>
              <w:t>Monthly</w:t>
            </w:r>
          </w:p>
        </w:tc>
        <w:tc>
          <w:tcPr>
            <w:tcW w:w="2340" w:type="dxa"/>
          </w:tcPr>
          <w:p w14:paraId="6081BBFA" w14:textId="77777777" w:rsidR="006E5C57" w:rsidRDefault="00000000">
            <w:r>
              <w:rPr>
                <w:rFonts w:eastAsia="Calibri"/>
                <w:sz w:val="18"/>
              </w:rPr>
              <w:t>Do not score FAIL on provisional actuals</w:t>
            </w:r>
          </w:p>
        </w:tc>
      </w:tr>
      <w:tr w:rsidR="006E5C57" w14:paraId="72BFB583" w14:textId="77777777">
        <w:tc>
          <w:tcPr>
            <w:tcW w:w="2340" w:type="dxa"/>
          </w:tcPr>
          <w:p w14:paraId="0A5138DE" w14:textId="77777777" w:rsidR="006E5C57" w:rsidRDefault="00000000">
            <w:r>
              <w:rPr>
                <w:rFonts w:eastAsia="Calibri"/>
                <w:sz w:val="18"/>
              </w:rPr>
              <w:t>Alcohol lag</w:t>
            </w:r>
          </w:p>
        </w:tc>
        <w:tc>
          <w:tcPr>
            <w:tcW w:w="2340" w:type="dxa"/>
          </w:tcPr>
          <w:p w14:paraId="68FF47BB" w14:textId="77777777" w:rsidR="006E5C57" w:rsidRDefault="00000000">
            <w:r>
              <w:rPr>
                <w:rFonts w:eastAsia="Calibri"/>
                <w:sz w:val="18"/>
              </w:rPr>
              <w:t>PAC null before 2023 expected; recent quarters must not be empty</w:t>
            </w:r>
          </w:p>
        </w:tc>
        <w:tc>
          <w:tcPr>
            <w:tcW w:w="2340" w:type="dxa"/>
          </w:tcPr>
          <w:p w14:paraId="246FBBC9" w14:textId="77777777" w:rsidR="006E5C57" w:rsidRDefault="00000000">
            <w:r>
              <w:rPr>
                <w:rFonts w:eastAsia="Calibri"/>
                <w:sz w:val="18"/>
              </w:rPr>
              <w:t>Quarterly</w:t>
            </w:r>
          </w:p>
        </w:tc>
        <w:tc>
          <w:tcPr>
            <w:tcW w:w="2340" w:type="dxa"/>
          </w:tcPr>
          <w:p w14:paraId="6D83C23E" w14:textId="77777777" w:rsidR="006E5C57" w:rsidRDefault="00000000">
            <w:r>
              <w:rPr>
                <w:rFonts w:eastAsia="Calibri"/>
                <w:sz w:val="18"/>
              </w:rPr>
              <w:t>WARN; disable Model B features if PAC missing</w:t>
            </w:r>
          </w:p>
        </w:tc>
      </w:tr>
    </w:tbl>
    <w:p w14:paraId="3FA35F7F" w14:textId="77777777" w:rsidR="006E5C57" w:rsidRDefault="006E5C57">
      <w:pPr>
        <w:spacing w:after="40"/>
      </w:pPr>
    </w:p>
    <w:p w14:paraId="79935D2E" w14:textId="77777777" w:rsidR="006E5C57" w:rsidRDefault="00000000">
      <w:pPr>
        <w:spacing w:before="120" w:after="40"/>
      </w:pPr>
      <w:r>
        <w:rPr>
          <w:rFonts w:eastAsia="Calibri"/>
          <w:b/>
        </w:rPr>
        <w:t>2.2 Forecast performance</w:t>
      </w:r>
    </w:p>
    <w:p w14:paraId="256AA9F2" w14:textId="77777777" w:rsidR="006E5C57" w:rsidRDefault="00000000">
      <w:pPr>
        <w:spacing w:after="80"/>
      </w:pPr>
      <w:r>
        <w:rPr>
          <w:rFonts w:eastAsia="Calibri"/>
        </w:rPr>
        <w:t>Performance monitoring follows the Assessment evaluation design: metrics on the assault-rate scale (per 100,000), compared with seasonal-naive and 12-month moving-average baselines, separately by horizon. This matches Section 4.6, where no single model dominates all horizons.</w:t>
      </w:r>
    </w:p>
    <w:tbl>
      <w:tblPr>
        <w:tblStyle w:val="TableGrid"/>
        <w:tblW w:w="0" w:type="auto"/>
        <w:tblLook w:val="04A0" w:firstRow="1" w:lastRow="0" w:firstColumn="1" w:lastColumn="0" w:noHBand="0" w:noVBand="1"/>
      </w:tblPr>
      <w:tblGrid>
        <w:gridCol w:w="1872"/>
        <w:gridCol w:w="1872"/>
        <w:gridCol w:w="1872"/>
        <w:gridCol w:w="1872"/>
        <w:gridCol w:w="1872"/>
      </w:tblGrid>
      <w:tr w:rsidR="006E5C57" w14:paraId="56E54B9D" w14:textId="77777777">
        <w:tc>
          <w:tcPr>
            <w:tcW w:w="1872" w:type="dxa"/>
            <w:shd w:val="clear" w:color="auto" w:fill="1A365D"/>
          </w:tcPr>
          <w:p w14:paraId="080662B0" w14:textId="77777777" w:rsidR="006E5C57" w:rsidRDefault="00000000">
            <w:r>
              <w:rPr>
                <w:rFonts w:eastAsia="Calibri"/>
                <w:b/>
                <w:color w:val="FFFFFF"/>
                <w:sz w:val="18"/>
              </w:rPr>
              <w:t>Horizon</w:t>
            </w:r>
          </w:p>
        </w:tc>
        <w:tc>
          <w:tcPr>
            <w:tcW w:w="1872" w:type="dxa"/>
            <w:shd w:val="clear" w:color="auto" w:fill="1A365D"/>
          </w:tcPr>
          <w:p w14:paraId="7804AF22" w14:textId="77777777" w:rsidR="006E5C57" w:rsidRDefault="00000000">
            <w:r>
              <w:rPr>
                <w:rFonts w:eastAsia="Calibri"/>
                <w:b/>
                <w:color w:val="FFFFFF"/>
                <w:sz w:val="18"/>
              </w:rPr>
              <w:t>Primary model (ops)</w:t>
            </w:r>
          </w:p>
        </w:tc>
        <w:tc>
          <w:tcPr>
            <w:tcW w:w="1872" w:type="dxa"/>
            <w:shd w:val="clear" w:color="auto" w:fill="1A365D"/>
          </w:tcPr>
          <w:p w14:paraId="66BFAA34" w14:textId="77777777" w:rsidR="006E5C57" w:rsidRDefault="00000000">
            <w:r>
              <w:rPr>
                <w:rFonts w:eastAsia="Calibri"/>
                <w:b/>
                <w:color w:val="FFFFFF"/>
                <w:sz w:val="18"/>
              </w:rPr>
              <w:t>Baseline</w:t>
            </w:r>
          </w:p>
        </w:tc>
        <w:tc>
          <w:tcPr>
            <w:tcW w:w="1872" w:type="dxa"/>
            <w:shd w:val="clear" w:color="auto" w:fill="1A365D"/>
          </w:tcPr>
          <w:p w14:paraId="61F17AA9" w14:textId="77777777" w:rsidR="006E5C57" w:rsidRDefault="00000000">
            <w:r>
              <w:rPr>
                <w:rFonts w:eastAsia="Calibri"/>
                <w:b/>
                <w:color w:val="FFFFFF"/>
                <w:sz w:val="18"/>
              </w:rPr>
              <w:t>Monitor metric</w:t>
            </w:r>
          </w:p>
        </w:tc>
        <w:tc>
          <w:tcPr>
            <w:tcW w:w="1872" w:type="dxa"/>
            <w:shd w:val="clear" w:color="auto" w:fill="1A365D"/>
          </w:tcPr>
          <w:p w14:paraId="07FB8335" w14:textId="77777777" w:rsidR="006E5C57" w:rsidRDefault="00000000">
            <w:r>
              <w:rPr>
                <w:rFonts w:eastAsia="Calibri"/>
                <w:b/>
                <w:color w:val="FFFFFF"/>
                <w:sz w:val="18"/>
              </w:rPr>
              <w:t>Initial threshold (draft)</w:t>
            </w:r>
          </w:p>
        </w:tc>
      </w:tr>
      <w:tr w:rsidR="006E5C57" w14:paraId="6213EE40" w14:textId="77777777">
        <w:tc>
          <w:tcPr>
            <w:tcW w:w="1872" w:type="dxa"/>
          </w:tcPr>
          <w:p w14:paraId="3592AB30" w14:textId="77777777" w:rsidR="006E5C57" w:rsidRDefault="00000000">
            <w:r>
              <w:rPr>
                <w:rFonts w:eastAsia="Calibri"/>
                <w:sz w:val="18"/>
              </w:rPr>
              <w:t>h = 1 month</w:t>
            </w:r>
          </w:p>
        </w:tc>
        <w:tc>
          <w:tcPr>
            <w:tcW w:w="1872" w:type="dxa"/>
          </w:tcPr>
          <w:p w14:paraId="56BE3284" w14:textId="77777777" w:rsidR="006E5C57" w:rsidRDefault="00000000">
            <w:r>
              <w:rPr>
                <w:rFonts w:eastAsia="Calibri"/>
                <w:sz w:val="18"/>
              </w:rPr>
              <w:t>XGBoost</w:t>
            </w:r>
          </w:p>
        </w:tc>
        <w:tc>
          <w:tcPr>
            <w:tcW w:w="1872" w:type="dxa"/>
          </w:tcPr>
          <w:p w14:paraId="59A4E93D" w14:textId="77777777" w:rsidR="006E5C57" w:rsidRDefault="00000000">
            <w:r>
              <w:rPr>
                <w:rFonts w:eastAsia="Calibri"/>
                <w:sz w:val="18"/>
              </w:rPr>
              <w:t>Seasonal naive</w:t>
            </w:r>
          </w:p>
        </w:tc>
        <w:tc>
          <w:tcPr>
            <w:tcW w:w="1872" w:type="dxa"/>
          </w:tcPr>
          <w:p w14:paraId="2694A998" w14:textId="77777777" w:rsidR="006E5C57" w:rsidRDefault="00000000">
            <w:r>
              <w:rPr>
                <w:rFonts w:eastAsia="Calibri"/>
                <w:sz w:val="18"/>
              </w:rPr>
              <w:t>RMSE and skill vs naive</w:t>
            </w:r>
          </w:p>
        </w:tc>
        <w:tc>
          <w:tcPr>
            <w:tcW w:w="1872" w:type="dxa"/>
          </w:tcPr>
          <w:p w14:paraId="303AFD4B" w14:textId="77777777" w:rsidR="006E5C57" w:rsidRDefault="00000000">
            <w:r>
              <w:rPr>
                <w:rFonts w:eastAsia="Calibri"/>
                <w:sz w:val="18"/>
              </w:rPr>
              <w:t xml:space="preserve">WARN if skill &lt; 10%; FAIL if skill &lt; 0% over </w:t>
            </w:r>
            <w:r>
              <w:rPr>
                <w:rFonts w:eastAsia="Calibri"/>
                <w:sz w:val="18"/>
              </w:rPr>
              <w:lastRenderedPageBreak/>
              <w:t>rolling 6 scored origins</w:t>
            </w:r>
          </w:p>
        </w:tc>
      </w:tr>
      <w:tr w:rsidR="006E5C57" w14:paraId="25FC45A3" w14:textId="77777777">
        <w:tc>
          <w:tcPr>
            <w:tcW w:w="1872" w:type="dxa"/>
          </w:tcPr>
          <w:p w14:paraId="31A7FC72" w14:textId="77777777" w:rsidR="006E5C57" w:rsidRDefault="00000000">
            <w:r>
              <w:rPr>
                <w:rFonts w:eastAsia="Calibri"/>
                <w:sz w:val="18"/>
              </w:rPr>
              <w:lastRenderedPageBreak/>
              <w:t>h = 3, 6, 12</w:t>
            </w:r>
          </w:p>
        </w:tc>
        <w:tc>
          <w:tcPr>
            <w:tcW w:w="1872" w:type="dxa"/>
          </w:tcPr>
          <w:p w14:paraId="148C6A2C" w14:textId="77777777" w:rsidR="006E5C57" w:rsidRDefault="00000000">
            <w:r>
              <w:rPr>
                <w:rFonts w:eastAsia="Calibri"/>
                <w:sz w:val="18"/>
              </w:rPr>
              <w:t>12-month moving average</w:t>
            </w:r>
          </w:p>
        </w:tc>
        <w:tc>
          <w:tcPr>
            <w:tcW w:w="1872" w:type="dxa"/>
          </w:tcPr>
          <w:p w14:paraId="69D1DBC5" w14:textId="77777777" w:rsidR="006E5C57" w:rsidRDefault="00000000">
            <w:r>
              <w:rPr>
                <w:rFonts w:eastAsia="Calibri"/>
                <w:sz w:val="18"/>
              </w:rPr>
              <w:t>Seasonal naive</w:t>
            </w:r>
          </w:p>
        </w:tc>
        <w:tc>
          <w:tcPr>
            <w:tcW w:w="1872" w:type="dxa"/>
          </w:tcPr>
          <w:p w14:paraId="32E900D7" w14:textId="77777777" w:rsidR="006E5C57" w:rsidRDefault="00000000">
            <w:r>
              <w:rPr>
                <w:rFonts w:eastAsia="Calibri"/>
                <w:sz w:val="18"/>
              </w:rPr>
              <w:t>RMSE and skill vs naive</w:t>
            </w:r>
          </w:p>
        </w:tc>
        <w:tc>
          <w:tcPr>
            <w:tcW w:w="1872" w:type="dxa"/>
          </w:tcPr>
          <w:p w14:paraId="2FD1FDA4" w14:textId="77777777" w:rsidR="006E5C57" w:rsidRDefault="00000000">
            <w:r>
              <w:rPr>
                <w:rFonts w:eastAsia="Calibri"/>
                <w:sz w:val="18"/>
              </w:rPr>
              <w:t>WARN if RMSE &gt; 1.25x backtest RMSE; FAIL if skill &lt; 0%</w:t>
            </w:r>
          </w:p>
        </w:tc>
      </w:tr>
      <w:tr w:rsidR="006E5C57" w14:paraId="5F1D4618" w14:textId="77777777">
        <w:tc>
          <w:tcPr>
            <w:tcW w:w="1872" w:type="dxa"/>
          </w:tcPr>
          <w:p w14:paraId="5A083583" w14:textId="77777777" w:rsidR="006E5C57" w:rsidRDefault="00000000">
            <w:r>
              <w:rPr>
                <w:rFonts w:eastAsia="Calibri"/>
                <w:sz w:val="18"/>
              </w:rPr>
              <w:t>All scored h</w:t>
            </w:r>
          </w:p>
        </w:tc>
        <w:tc>
          <w:tcPr>
            <w:tcW w:w="1872" w:type="dxa"/>
          </w:tcPr>
          <w:p w14:paraId="07F9BE61" w14:textId="77777777" w:rsidR="006E5C57" w:rsidRDefault="00000000">
            <w:r>
              <w:rPr>
                <w:rFonts w:eastAsia="Calibri"/>
                <w:sz w:val="18"/>
              </w:rPr>
              <w:t>Empirical 80% intervals</w:t>
            </w:r>
          </w:p>
        </w:tc>
        <w:tc>
          <w:tcPr>
            <w:tcW w:w="1872" w:type="dxa"/>
          </w:tcPr>
          <w:p w14:paraId="13095646" w14:textId="77777777" w:rsidR="006E5C57" w:rsidRDefault="00000000">
            <w:r>
              <w:rPr>
                <w:rFonts w:eastAsia="Calibri"/>
                <w:sz w:val="18"/>
              </w:rPr>
              <w:t>Nominal 80%</w:t>
            </w:r>
          </w:p>
        </w:tc>
        <w:tc>
          <w:tcPr>
            <w:tcW w:w="1872" w:type="dxa"/>
          </w:tcPr>
          <w:p w14:paraId="683F7665" w14:textId="77777777" w:rsidR="006E5C57" w:rsidRDefault="00000000">
            <w:r>
              <w:rPr>
                <w:rFonts w:eastAsia="Calibri"/>
                <w:sz w:val="18"/>
              </w:rPr>
              <w:t>Realised coverage</w:t>
            </w:r>
          </w:p>
        </w:tc>
        <w:tc>
          <w:tcPr>
            <w:tcW w:w="1872" w:type="dxa"/>
          </w:tcPr>
          <w:p w14:paraId="65ADFF05" w14:textId="77777777" w:rsidR="006E5C57" w:rsidRDefault="00000000">
            <w:r>
              <w:rPr>
                <w:rFonts w:eastAsia="Calibri"/>
                <w:sz w:val="18"/>
              </w:rPr>
              <w:t>WARN if coverage outside 70-90% over a rolling year</w:t>
            </w:r>
          </w:p>
        </w:tc>
      </w:tr>
    </w:tbl>
    <w:p w14:paraId="0116FA6A" w14:textId="77777777" w:rsidR="006E5C57" w:rsidRDefault="006E5C57">
      <w:pPr>
        <w:spacing w:after="40"/>
      </w:pPr>
    </w:p>
    <w:p w14:paraId="69915300" w14:textId="77777777" w:rsidR="006E5C57" w:rsidRDefault="00000000">
      <w:pPr>
        <w:spacing w:after="80"/>
      </w:pPr>
      <w:r>
        <w:rPr>
          <w:rFonts w:eastAsia="Calibri"/>
        </w:rPr>
        <w:t>Thresholds above are initial operating rules derived from current backtest behaviour (realised interval coverage about 78-80% against nominal 80%; XGBoost h=1 skill about 29.7% in the frozen evaluation). They will be reviewed after two further quarterly data releases and adjusted only via a CHANGELOG entry.</w:t>
      </w:r>
    </w:p>
    <w:p w14:paraId="072A246F" w14:textId="77777777" w:rsidR="006E5C57" w:rsidRDefault="00000000">
      <w:pPr>
        <w:spacing w:before="120" w:after="40"/>
      </w:pPr>
      <w:r>
        <w:rPr>
          <w:rFonts w:eastAsia="Calibri"/>
          <w:b/>
        </w:rPr>
        <w:t>2.3 Concept / distribution drift</w:t>
      </w:r>
    </w:p>
    <w:p w14:paraId="76C477CF" w14:textId="77777777" w:rsidR="006E5C57" w:rsidRDefault="00000000">
      <w:pPr>
        <w:pStyle w:val="ListBullet"/>
        <w:spacing w:after="40"/>
      </w:pPr>
      <w:r>
        <w:rPr>
          <w:rFonts w:eastAsia="Calibri"/>
        </w:rPr>
        <w:t>Regional mean assault rate (final months only) versus the same calendar month in the prior three years.</w:t>
      </w:r>
    </w:p>
    <w:p w14:paraId="6A3536F5" w14:textId="77777777" w:rsidR="006E5C57" w:rsidRDefault="00000000">
      <w:pPr>
        <w:pStyle w:val="ListBullet"/>
        <w:spacing w:after="40"/>
      </w:pPr>
      <w:r>
        <w:rPr>
          <w:rFonts w:eastAsia="Calibri"/>
        </w:rPr>
        <w:t>Share of alcohol-involved and DV-involved assault offences (offence-weighted counts, not source-row counts).</w:t>
      </w:r>
    </w:p>
    <w:p w14:paraId="168A5176" w14:textId="77777777" w:rsidR="006E5C57" w:rsidRDefault="00000000">
      <w:pPr>
        <w:pStyle w:val="ListBullet"/>
        <w:spacing w:after="40"/>
      </w:pPr>
      <w:r>
        <w:rPr>
          <w:rFonts w:eastAsia="Calibri"/>
        </w:rPr>
        <w:t>Population revision shocks (Status changes that would double-count if mishandled).</w:t>
      </w:r>
    </w:p>
    <w:p w14:paraId="5363EA64" w14:textId="77777777" w:rsidR="006E5C57" w:rsidRDefault="00000000">
      <w:pPr>
        <w:spacing w:after="80"/>
      </w:pPr>
      <w:r>
        <w:rPr>
          <w:rFonts w:eastAsia="Calibri"/>
        </w:rPr>
        <w:t>A drift WARN does not automatically retrain. It triggers a human review of whether the change is a reporting artefact (systems transition) or a genuine shift in demand.</w:t>
      </w:r>
    </w:p>
    <w:p w14:paraId="3B23E5F4" w14:textId="77777777" w:rsidR="006E5C57" w:rsidRDefault="00000000">
      <w:pPr>
        <w:spacing w:before="200" w:after="80"/>
      </w:pPr>
      <w:r>
        <w:rPr>
          <w:rFonts w:eastAsia="Calibri"/>
          <w:b/>
          <w:color w:val="1A365D"/>
          <w:sz w:val="24"/>
        </w:rPr>
        <w:t>3. Monitoring workflow and ownership</w:t>
      </w:r>
    </w:p>
    <w:p w14:paraId="6B39A37F" w14:textId="77777777" w:rsidR="006E5C57" w:rsidRDefault="00000000">
      <w:pPr>
        <w:spacing w:after="80"/>
      </w:pPr>
      <w:r>
        <w:rPr>
          <w:rFonts w:eastAsia="Calibri"/>
        </w:rPr>
        <w:t>Cadence: within five working days of each NT crime statistics release (monthly) and each wholesale alcohol update (quarterly).</w:t>
      </w:r>
    </w:p>
    <w:p w14:paraId="1D422185" w14:textId="77777777" w:rsidR="006E5C57" w:rsidRDefault="00000000">
      <w:pPr>
        <w:pStyle w:val="ListBullet"/>
        <w:spacing w:after="40"/>
      </w:pPr>
      <w:r>
        <w:rPr>
          <w:rFonts w:eastAsia="Calibri"/>
          <w:b/>
        </w:rPr>
        <w:t xml:space="preserve">Data engineering lead: </w:t>
      </w:r>
      <w:r>
        <w:rPr>
          <w:rFonts w:eastAsia="Calibri"/>
        </w:rPr>
        <w:t>run ingest to panel; confirm manifest.json and freshness checks.</w:t>
      </w:r>
    </w:p>
    <w:p w14:paraId="0D0CB1D4" w14:textId="77777777" w:rsidR="006E5C57" w:rsidRDefault="00000000">
      <w:pPr>
        <w:pStyle w:val="ListBullet"/>
        <w:spacing w:after="40"/>
      </w:pPr>
      <w:r>
        <w:rPr>
          <w:rFonts w:eastAsia="Calibri"/>
          <w:b/>
        </w:rPr>
        <w:t xml:space="preserve">Analytics lead: </w:t>
      </w:r>
      <w:r>
        <w:rPr>
          <w:rFonts w:eastAsia="Calibri"/>
        </w:rPr>
        <w:t>run evaluation.py (or a thin monitoring wrapper); compare against thresholds; file WARN/FAIL.</w:t>
      </w:r>
    </w:p>
    <w:p w14:paraId="3B0EC292" w14:textId="77777777" w:rsidR="006E5C57" w:rsidRDefault="00000000">
      <w:pPr>
        <w:pStyle w:val="ListBullet"/>
        <w:spacing w:after="40"/>
      </w:pPr>
      <w:r>
        <w:rPr>
          <w:rFonts w:eastAsia="Calibri"/>
          <w:b/>
        </w:rPr>
        <w:t xml:space="preserve">Dashboard steward: </w:t>
      </w:r>
      <w:r>
        <w:rPr>
          <w:rFonts w:eastAsia="Calibri"/>
        </w:rPr>
        <w:t>refresh processed artefacts used by Streamlit; verify Administrator alert tiers remain sensible.</w:t>
      </w:r>
    </w:p>
    <w:p w14:paraId="404B297D" w14:textId="77777777" w:rsidR="006E5C57" w:rsidRDefault="00000000">
      <w:pPr>
        <w:pStyle w:val="ListBullet"/>
        <w:spacing w:after="40"/>
      </w:pPr>
      <w:r>
        <w:rPr>
          <w:rFonts w:eastAsia="Calibri"/>
          <w:b/>
        </w:rPr>
        <w:t xml:space="preserve">Governance: </w:t>
      </w:r>
      <w:r>
        <w:rPr>
          <w:rFonts w:eastAsia="Calibri"/>
        </w:rPr>
        <w:t>log the outcome in CHANGELOG / meeting minutes; escalate unresolved FAIL within two working days.</w:t>
      </w:r>
    </w:p>
    <w:p w14:paraId="1E838112" w14:textId="77777777" w:rsidR="006E5C57" w:rsidRDefault="00000000">
      <w:pPr>
        <w:spacing w:after="80"/>
      </w:pPr>
      <w:r>
        <w:rPr>
          <w:rFonts w:eastAsia="Calibri"/>
        </w:rPr>
        <w:t>Severity: PASS (no action); WARN (document and watch the next release); FAIL (do not promote new forecasts into the Administrator Portal briefing; open an investigation; consider retrain only if FAIL repeats or is explained by lasting drift).</w:t>
      </w:r>
    </w:p>
    <w:p w14:paraId="35FB4F27" w14:textId="77777777" w:rsidR="006E5C57" w:rsidRDefault="00000000">
      <w:pPr>
        <w:spacing w:before="200" w:after="80"/>
      </w:pPr>
      <w:r>
        <w:rPr>
          <w:rFonts w:eastAsia="Calibri"/>
          <w:b/>
          <w:color w:val="1A365D"/>
          <w:sz w:val="24"/>
        </w:rPr>
        <w:t>4. Implementation plan (lightweight)</w:t>
      </w:r>
    </w:p>
    <w:p w14:paraId="05186D2E" w14:textId="77777777" w:rsidR="006E5C57" w:rsidRDefault="00000000">
      <w:pPr>
        <w:spacing w:after="80"/>
      </w:pPr>
      <w:r>
        <w:rPr>
          <w:rFonts w:eastAsia="Calibri"/>
        </w:rPr>
        <w:t>For this unit project, monitoring is implemented as a batch checklist plus a small script (proposed monitoring.py), not a full MLOps stack. The script will: read dataset/processed/ and Outputs/ backtest summaries; score the latest non-provisional month against h=1 predictions; write a CSV log (date, region, actual, prediction, error, flag); and print PASS/WARN/FAIL. Dashboard alerts (critical / elevated rate tiers) remain a complementary operational view, not a substitute for offline performance logs.</w:t>
      </w:r>
    </w:p>
    <w:p w14:paraId="1521214E" w14:textId="77777777" w:rsidR="006E5C57" w:rsidRDefault="00000000">
      <w:pPr>
        <w:spacing w:after="80"/>
      </w:pPr>
      <w:r>
        <w:rPr>
          <w:rFonts w:eastAsia="Calibri"/>
        </w:rPr>
        <w:t>Retraining (incremental learning) is gated by monitoring: models are refit only after a documented FAIL or after a planned quarterly refresh, using the same leakage-safe CV protocol ([A15]-[A17]). Pinned dependency versions (especially xgboost==2.1.4) remain mandatory so monitored metrics stay comparable to the report.</w:t>
      </w:r>
    </w:p>
    <w:p w14:paraId="33076B87" w14:textId="77777777" w:rsidR="006E5C57" w:rsidRDefault="00000000">
      <w:pPr>
        <w:spacing w:before="200" w:after="80"/>
      </w:pPr>
      <w:r>
        <w:rPr>
          <w:rFonts w:eastAsia="Calibri"/>
          <w:b/>
          <w:color w:val="1A365D"/>
          <w:sz w:val="24"/>
        </w:rPr>
        <w:t>5. Limitations</w:t>
      </w:r>
    </w:p>
    <w:p w14:paraId="3EB4EABE" w14:textId="77777777" w:rsidR="006E5C57" w:rsidRDefault="00000000">
      <w:pPr>
        <w:pStyle w:val="ListBullet"/>
        <w:spacing w:after="40"/>
      </w:pPr>
      <w:r>
        <w:rPr>
          <w:rFonts w:eastAsia="Calibri"/>
        </w:rPr>
        <w:lastRenderedPageBreak/>
        <w:t>Open-data latency and provisional revisions mean early actuals are biased low; scoring ignores the trailing six months.</w:t>
      </w:r>
    </w:p>
    <w:p w14:paraId="3D9E468D" w14:textId="77777777" w:rsidR="006E5C57" w:rsidRDefault="00000000">
      <w:pPr>
        <w:pStyle w:val="ListBullet"/>
        <w:spacing w:after="40"/>
      </w:pPr>
      <w:r>
        <w:rPr>
          <w:rFonts w:eastAsia="Calibri"/>
        </w:rPr>
        <w:t>Alcohol-informed Model B cannot be monitored on the same window as the main 2015-2025 models.</w:t>
      </w:r>
    </w:p>
    <w:p w14:paraId="7C056CA8" w14:textId="77777777" w:rsidR="006E5C57" w:rsidRDefault="00000000">
      <w:pPr>
        <w:pStyle w:val="ListBullet"/>
        <w:spacing w:after="40"/>
      </w:pPr>
      <w:r>
        <w:rPr>
          <w:rFonts w:eastAsia="Calibri"/>
        </w:rPr>
        <w:t>Six-region aggregation hides community-level hot spots that PFES may care about operationally.</w:t>
      </w:r>
    </w:p>
    <w:p w14:paraId="77265646" w14:textId="77777777" w:rsidR="006E5C57" w:rsidRDefault="00000000">
      <w:pPr>
        <w:pStyle w:val="ListBullet"/>
        <w:spacing w:after="40"/>
      </w:pPr>
      <w:r>
        <w:rPr>
          <w:rFonts w:eastAsia="Calibri"/>
        </w:rPr>
        <w:t>This design supports academic demonstration and group operations; it is not a production PFES security operations centre.</w:t>
      </w:r>
    </w:p>
    <w:p w14:paraId="14C8B557" w14:textId="77777777" w:rsidR="006E5C57" w:rsidRDefault="00000000">
      <w:pPr>
        <w:spacing w:before="160"/>
      </w:pPr>
      <w:r>
        <w:rPr>
          <w:rFonts w:eastAsia="Calibri"/>
          <w:i/>
          <w:color w:val="718096"/>
          <w:sz w:val="18"/>
        </w:rPr>
        <w:t>Related artefacts: Updated_End_to_End_pipeline.py (assumptions [A1]-[A17]); evaluation.py (Section 4.6); core_data.py / app.py (dashboard); CHANGELOG.md (open item: monitoring stage).</w:t>
      </w:r>
    </w:p>
    <w:sectPr w:rsidR="006E5C5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5214173">
    <w:abstractNumId w:val="8"/>
  </w:num>
  <w:num w:numId="2" w16cid:durableId="2051490527">
    <w:abstractNumId w:val="6"/>
  </w:num>
  <w:num w:numId="3" w16cid:durableId="932014608">
    <w:abstractNumId w:val="5"/>
  </w:num>
  <w:num w:numId="4" w16cid:durableId="246159274">
    <w:abstractNumId w:val="4"/>
  </w:num>
  <w:num w:numId="5" w16cid:durableId="96491605">
    <w:abstractNumId w:val="7"/>
  </w:num>
  <w:num w:numId="6" w16cid:durableId="925304116">
    <w:abstractNumId w:val="3"/>
  </w:num>
  <w:num w:numId="7" w16cid:durableId="1184367162">
    <w:abstractNumId w:val="2"/>
  </w:num>
  <w:num w:numId="8" w16cid:durableId="171722013">
    <w:abstractNumId w:val="1"/>
  </w:num>
  <w:num w:numId="9" w16cid:durableId="128970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C57"/>
    <w:rsid w:val="00AA1D8D"/>
    <w:rsid w:val="00B47730"/>
    <w:rsid w:val="00B9180C"/>
    <w:rsid w:val="00CB0664"/>
    <w:rsid w:val="00E05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9809EF0-2871-4308-BBA2-5C249FCD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 Tran</cp:lastModifiedBy>
  <cp:revision>2</cp:revision>
  <dcterms:created xsi:type="dcterms:W3CDTF">2013-12-23T23:15:00Z</dcterms:created>
  <dcterms:modified xsi:type="dcterms:W3CDTF">2026-10-04T06:45:00Z</dcterms:modified>
  <cp:category/>
</cp:coreProperties>
</file>