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Culture and do plasmid extractions of HF47 PET28b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Protocol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Culture 2 mL of HF47 PET28b overnight (liquid culture) (add 1ul of 50mg/mL Kan stock)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 Pellet 400ul of culture into microcentrifuge tubes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Follow extraction protocol: Genejet plasmid miniprep kit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Quantify DNA using qubit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