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F1F7" w14:textId="1994BF33" w:rsidR="00787478" w:rsidRPr="00625836" w:rsidRDefault="00787478" w:rsidP="00787478">
      <w:pPr>
        <w:jc w:val="right"/>
        <w:rPr>
          <w:rFonts w:asciiTheme="minorHAnsi" w:hAnsiTheme="minorHAnsi" w:cstheme="minorHAnsi"/>
          <w:b/>
          <w:bCs/>
          <w:sz w:val="23"/>
          <w:szCs w:val="23"/>
        </w:rPr>
      </w:pPr>
      <w:r w:rsidRPr="00625836">
        <w:rPr>
          <w:rFonts w:asciiTheme="minorHAnsi" w:hAnsiTheme="minorHAnsi" w:cstheme="minorHAnsi"/>
          <w:b/>
          <w:bCs/>
          <w:sz w:val="23"/>
          <w:szCs w:val="23"/>
        </w:rPr>
        <w:t>CC0003 / Ethics and Civics in a Multicultural World</w:t>
      </w:r>
    </w:p>
    <w:p w14:paraId="7A77C125" w14:textId="5895DFCF" w:rsidR="00787478" w:rsidRPr="00625836" w:rsidRDefault="00787478" w:rsidP="00787478">
      <w:pPr>
        <w:jc w:val="right"/>
        <w:rPr>
          <w:rFonts w:asciiTheme="minorHAnsi" w:hAnsiTheme="minorHAnsi" w:cstheme="minorHAnsi"/>
          <w:b/>
          <w:bCs/>
          <w:sz w:val="23"/>
          <w:szCs w:val="23"/>
        </w:rPr>
      </w:pPr>
      <w:r w:rsidRPr="00625836">
        <w:rPr>
          <w:rFonts w:asciiTheme="minorHAnsi" w:hAnsiTheme="minorHAnsi" w:cstheme="minorHAnsi"/>
          <w:b/>
          <w:bCs/>
          <w:sz w:val="23"/>
          <w:szCs w:val="23"/>
        </w:rPr>
        <w:t>Sem 1 AY21-22</w:t>
      </w:r>
    </w:p>
    <w:p w14:paraId="08B7F05A" w14:textId="25F72AB9" w:rsidR="00787478" w:rsidRPr="00625836" w:rsidRDefault="00787478" w:rsidP="00787478">
      <w:pPr>
        <w:jc w:val="right"/>
        <w:rPr>
          <w:rFonts w:asciiTheme="minorHAnsi" w:hAnsiTheme="minorHAnsi" w:cstheme="minorHAnsi"/>
          <w:b/>
          <w:bCs/>
          <w:sz w:val="23"/>
          <w:szCs w:val="23"/>
        </w:rPr>
      </w:pPr>
    </w:p>
    <w:p w14:paraId="116E1A93" w14:textId="6D208646" w:rsidR="00787478" w:rsidRPr="00625836" w:rsidRDefault="005D7F85" w:rsidP="00787478">
      <w:pPr>
        <w:jc w:val="center"/>
        <w:rPr>
          <w:rFonts w:asciiTheme="minorHAnsi" w:hAnsiTheme="minorHAnsi" w:cstheme="minorHAnsi"/>
          <w:b/>
          <w:bCs/>
          <w:sz w:val="23"/>
          <w:szCs w:val="23"/>
        </w:rPr>
      </w:pPr>
      <w:r w:rsidRPr="00625836">
        <w:rPr>
          <w:rFonts w:asciiTheme="minorHAnsi" w:hAnsiTheme="minorHAnsi" w:cstheme="minorHAnsi"/>
          <w:b/>
          <w:bCs/>
          <w:sz w:val="23"/>
          <w:szCs w:val="23"/>
        </w:rPr>
        <w:t>Case Stud</w:t>
      </w:r>
      <w:r w:rsidR="00C56D88">
        <w:rPr>
          <w:rFonts w:asciiTheme="minorHAnsi" w:hAnsiTheme="minorHAnsi" w:cstheme="minorHAnsi"/>
          <w:b/>
          <w:bCs/>
          <w:sz w:val="23"/>
          <w:szCs w:val="23"/>
        </w:rPr>
        <w:t>ies</w:t>
      </w:r>
      <w:r w:rsidR="00787478" w:rsidRPr="00625836">
        <w:rPr>
          <w:rFonts w:asciiTheme="minorHAnsi" w:hAnsiTheme="minorHAnsi" w:cstheme="minorHAnsi"/>
          <w:b/>
          <w:bCs/>
          <w:sz w:val="23"/>
          <w:szCs w:val="23"/>
        </w:rPr>
        <w:t xml:space="preserve"> for Week 0</w:t>
      </w:r>
      <w:r w:rsidR="004B1D12" w:rsidRPr="00625836">
        <w:rPr>
          <w:rFonts w:asciiTheme="minorHAnsi" w:hAnsiTheme="minorHAnsi" w:cstheme="minorHAnsi"/>
          <w:b/>
          <w:bCs/>
          <w:sz w:val="23"/>
          <w:szCs w:val="23"/>
        </w:rPr>
        <w:t>6</w:t>
      </w:r>
      <w:r w:rsidR="00787478" w:rsidRPr="00625836">
        <w:rPr>
          <w:rFonts w:asciiTheme="minorHAnsi" w:hAnsiTheme="minorHAnsi" w:cstheme="minorHAnsi"/>
          <w:b/>
          <w:bCs/>
          <w:sz w:val="23"/>
          <w:szCs w:val="23"/>
        </w:rPr>
        <w:t>:</w:t>
      </w:r>
      <w:r w:rsidR="00C10D10">
        <w:rPr>
          <w:rFonts w:asciiTheme="minorHAnsi" w:hAnsiTheme="minorHAnsi" w:cstheme="minorHAnsi"/>
          <w:b/>
          <w:bCs/>
          <w:sz w:val="23"/>
          <w:szCs w:val="23"/>
        </w:rPr>
        <w:t xml:space="preserve"> </w:t>
      </w:r>
      <w:r w:rsidR="000A3ED2">
        <w:rPr>
          <w:rFonts w:asciiTheme="minorHAnsi" w:hAnsiTheme="minorHAnsi" w:cstheme="minorHAnsi"/>
          <w:b/>
          <w:bCs/>
          <w:sz w:val="23"/>
          <w:szCs w:val="23"/>
        </w:rPr>
        <w:t>Rights and Disabilities</w:t>
      </w:r>
    </w:p>
    <w:p w14:paraId="7BA81571" w14:textId="77777777" w:rsidR="00787478" w:rsidRPr="00625836" w:rsidRDefault="00787478" w:rsidP="00787478">
      <w:pPr>
        <w:jc w:val="center"/>
        <w:rPr>
          <w:rFonts w:asciiTheme="minorHAnsi" w:hAnsiTheme="minorHAnsi" w:cstheme="minorHAnsi"/>
          <w:b/>
          <w:bCs/>
          <w:sz w:val="23"/>
          <w:szCs w:val="23"/>
        </w:rPr>
      </w:pPr>
    </w:p>
    <w:p w14:paraId="68A517FF" w14:textId="53F1ACB6" w:rsidR="00B724CB" w:rsidRPr="00625836" w:rsidRDefault="005D7F85" w:rsidP="00787478">
      <w:pPr>
        <w:rPr>
          <w:rFonts w:asciiTheme="minorHAnsi" w:hAnsiTheme="minorHAnsi" w:cstheme="minorHAnsi"/>
          <w:b/>
          <w:bCs/>
          <w:sz w:val="23"/>
          <w:szCs w:val="23"/>
        </w:rPr>
      </w:pPr>
      <w:r w:rsidRPr="00625836">
        <w:rPr>
          <w:rFonts w:asciiTheme="minorHAnsi" w:hAnsiTheme="minorHAnsi" w:cstheme="minorHAnsi"/>
          <w:b/>
          <w:bCs/>
          <w:sz w:val="23"/>
          <w:szCs w:val="23"/>
        </w:rPr>
        <w:t>Reference:</w:t>
      </w:r>
    </w:p>
    <w:p w14:paraId="3410075A" w14:textId="6F188581" w:rsidR="005D7F85" w:rsidRPr="00625836" w:rsidRDefault="00625836" w:rsidP="00625836">
      <w:pPr>
        <w:rPr>
          <w:rFonts w:asciiTheme="minorHAnsi" w:hAnsiTheme="minorHAnsi" w:cstheme="minorHAnsi"/>
          <w:sz w:val="23"/>
          <w:szCs w:val="23"/>
        </w:rPr>
      </w:pPr>
      <w:r w:rsidRPr="00625836">
        <w:rPr>
          <w:rFonts w:asciiTheme="minorHAnsi" w:hAnsiTheme="minorHAnsi" w:cstheme="minorHAnsi"/>
          <w:sz w:val="23"/>
          <w:szCs w:val="23"/>
        </w:rPr>
        <w:t>“</w:t>
      </w:r>
      <w:r w:rsidRPr="00625836">
        <w:rPr>
          <w:rFonts w:asciiTheme="minorHAnsi" w:hAnsiTheme="minorHAnsi" w:cstheme="minorHAnsi"/>
          <w:i/>
          <w:iCs/>
          <w:sz w:val="23"/>
          <w:szCs w:val="23"/>
        </w:rPr>
        <w:t>Equality Case Studies</w:t>
      </w:r>
      <w:r w:rsidRPr="00625836">
        <w:rPr>
          <w:rFonts w:asciiTheme="minorHAnsi" w:hAnsiTheme="minorHAnsi" w:cstheme="minorHAnsi"/>
          <w:sz w:val="23"/>
          <w:szCs w:val="23"/>
        </w:rPr>
        <w:t xml:space="preserve">” (16 May 2016). Equality and Human Rights Commission. </w:t>
      </w:r>
      <w:hyperlink r:id="rId5" w:history="1">
        <w:r w:rsidR="00C56D88" w:rsidRPr="009B33D4">
          <w:rPr>
            <w:rStyle w:val="Hyperlink"/>
            <w:rFonts w:asciiTheme="minorHAnsi" w:hAnsiTheme="minorHAnsi" w:cstheme="minorHAnsi"/>
            <w:sz w:val="23"/>
            <w:szCs w:val="23"/>
          </w:rPr>
          <w:t>https://www.equalityhumanrights.com/en/secondary-education-resources/useful-information/equality-case-studies</w:t>
        </w:r>
      </w:hyperlink>
      <w:r w:rsidR="00C56D88">
        <w:rPr>
          <w:rFonts w:asciiTheme="minorHAnsi" w:hAnsiTheme="minorHAnsi" w:cstheme="minorHAnsi"/>
          <w:sz w:val="23"/>
          <w:szCs w:val="23"/>
        </w:rPr>
        <w:t xml:space="preserve"> </w:t>
      </w:r>
    </w:p>
    <w:p w14:paraId="45E74292" w14:textId="1C538147" w:rsidR="005D7F85" w:rsidRPr="00625836" w:rsidRDefault="005D7F85" w:rsidP="005D7F85">
      <w:pPr>
        <w:pStyle w:val="ListParagraph"/>
        <w:rPr>
          <w:rFonts w:asciiTheme="minorHAnsi" w:hAnsiTheme="minorHAnsi" w:cstheme="minorHAnsi"/>
          <w:sz w:val="23"/>
          <w:szCs w:val="23"/>
        </w:rPr>
      </w:pPr>
    </w:p>
    <w:p w14:paraId="3E489D03" w14:textId="69AA2B52" w:rsidR="00D64F8C" w:rsidRPr="00625836" w:rsidRDefault="00D64F8C" w:rsidP="005D7F85">
      <w:pPr>
        <w:pStyle w:val="ListParagraph"/>
        <w:ind w:left="0"/>
        <w:rPr>
          <w:rFonts w:asciiTheme="minorHAnsi" w:hAnsiTheme="minorHAnsi" w:cstheme="minorHAnsi"/>
          <w:b/>
          <w:bCs/>
          <w:sz w:val="23"/>
          <w:szCs w:val="23"/>
        </w:rPr>
      </w:pPr>
      <w:r w:rsidRPr="00625836">
        <w:rPr>
          <w:rFonts w:asciiTheme="minorHAnsi" w:hAnsiTheme="minorHAnsi" w:cstheme="minorHAnsi"/>
          <w:b/>
          <w:bCs/>
          <w:sz w:val="23"/>
          <w:szCs w:val="23"/>
        </w:rPr>
        <w:t>Here are a few short case</w:t>
      </w:r>
      <w:r w:rsidR="00C56D88">
        <w:rPr>
          <w:rFonts w:asciiTheme="minorHAnsi" w:hAnsiTheme="minorHAnsi" w:cstheme="minorHAnsi"/>
          <w:b/>
          <w:bCs/>
          <w:sz w:val="23"/>
          <w:szCs w:val="23"/>
        </w:rPr>
        <w:t>s</w:t>
      </w:r>
      <w:r w:rsidRPr="00625836">
        <w:rPr>
          <w:rFonts w:asciiTheme="minorHAnsi" w:hAnsiTheme="minorHAnsi" w:cstheme="minorHAnsi"/>
          <w:b/>
          <w:bCs/>
          <w:sz w:val="23"/>
          <w:szCs w:val="23"/>
        </w:rPr>
        <w:t xml:space="preserve"> for your consideration:</w:t>
      </w:r>
    </w:p>
    <w:p w14:paraId="433661D5" w14:textId="185410E8" w:rsidR="00D64F8C" w:rsidRPr="00625836" w:rsidRDefault="00D64F8C" w:rsidP="005D7F85">
      <w:pPr>
        <w:pStyle w:val="ListParagraph"/>
        <w:ind w:left="0"/>
        <w:rPr>
          <w:rFonts w:asciiTheme="minorHAnsi" w:hAnsiTheme="minorHAnsi" w:cstheme="minorHAnsi"/>
          <w:b/>
          <w:bCs/>
          <w:sz w:val="23"/>
          <w:szCs w:val="23"/>
        </w:rPr>
      </w:pPr>
    </w:p>
    <w:p w14:paraId="1D86478F" w14:textId="6B09FB27" w:rsidR="00D64F8C" w:rsidRPr="00625836" w:rsidRDefault="00D64F8C" w:rsidP="005D7F85">
      <w:pPr>
        <w:pStyle w:val="ListParagraph"/>
        <w:ind w:left="0"/>
        <w:rPr>
          <w:rFonts w:asciiTheme="minorHAnsi" w:hAnsiTheme="minorHAnsi" w:cstheme="minorHAnsi"/>
          <w:b/>
          <w:bCs/>
          <w:color w:val="000000" w:themeColor="text1"/>
          <w:sz w:val="23"/>
          <w:szCs w:val="23"/>
        </w:rPr>
      </w:pPr>
      <w:r w:rsidRPr="00625836">
        <w:rPr>
          <w:rFonts w:asciiTheme="minorHAnsi" w:hAnsiTheme="minorHAnsi" w:cstheme="minorHAnsi"/>
          <w:b/>
          <w:bCs/>
          <w:color w:val="000000" w:themeColor="text1"/>
          <w:sz w:val="23"/>
          <w:szCs w:val="23"/>
        </w:rPr>
        <w:t>Case 1:</w:t>
      </w:r>
    </w:p>
    <w:p w14:paraId="78F5050B" w14:textId="6ACF7D31" w:rsidR="00D64F8C" w:rsidRPr="00625836" w:rsidRDefault="00D64F8C" w:rsidP="005D7F85">
      <w:pPr>
        <w:pStyle w:val="ListParagraph"/>
        <w:ind w:left="0"/>
        <w:rPr>
          <w:rFonts w:asciiTheme="minorHAnsi" w:hAnsiTheme="minorHAnsi" w:cstheme="minorHAnsi"/>
          <w:b/>
          <w:bCs/>
          <w:color w:val="000000" w:themeColor="text1"/>
          <w:sz w:val="23"/>
          <w:szCs w:val="23"/>
        </w:rPr>
      </w:pPr>
    </w:p>
    <w:p w14:paraId="27FF0068" w14:textId="5ACB633E" w:rsidR="00D64F8C" w:rsidRDefault="00D64F8C" w:rsidP="00D64F8C">
      <w:pPr>
        <w:rPr>
          <w:rFonts w:asciiTheme="minorHAnsi" w:hAnsiTheme="minorHAnsi" w:cstheme="minorHAnsi"/>
          <w:color w:val="000000" w:themeColor="text1"/>
          <w:sz w:val="23"/>
          <w:szCs w:val="23"/>
          <w:shd w:val="clear" w:color="auto" w:fill="FFFFFF"/>
        </w:rPr>
      </w:pPr>
      <w:r w:rsidRPr="00625836">
        <w:rPr>
          <w:rFonts w:asciiTheme="minorHAnsi" w:hAnsiTheme="minorHAnsi" w:cstheme="minorHAnsi"/>
          <w:color w:val="000000" w:themeColor="text1"/>
          <w:sz w:val="23"/>
          <w:szCs w:val="23"/>
          <w:shd w:val="clear" w:color="auto" w:fill="FFFFFF"/>
        </w:rPr>
        <w:t>A school finds out that a pupil has been diagnosed as autistic and immediately excludes him from the school play (an event that all the pupils participate in) as they suspect he will ‘not be able to cope’. </w:t>
      </w:r>
    </w:p>
    <w:p w14:paraId="47AB3630" w14:textId="541426AF" w:rsidR="00C2430A" w:rsidRPr="001B7065" w:rsidRDefault="00C2430A" w:rsidP="00D64F8C">
      <w:pPr>
        <w:rPr>
          <w:rFonts w:asciiTheme="minorHAnsi" w:hAnsiTheme="minorHAnsi" w:cstheme="minorHAnsi"/>
          <w:color w:val="FF0000"/>
          <w:sz w:val="23"/>
          <w:szCs w:val="23"/>
          <w:shd w:val="clear" w:color="auto" w:fill="FFFFFF"/>
        </w:rPr>
      </w:pPr>
    </w:p>
    <w:p w14:paraId="241CDB7F" w14:textId="102B7C74" w:rsidR="00431215" w:rsidRPr="001B7065" w:rsidRDefault="00A90137" w:rsidP="00D64F8C">
      <w:pPr>
        <w:rPr>
          <w:rFonts w:asciiTheme="minorHAnsi" w:hAnsiTheme="minorHAnsi" w:cstheme="minorHAnsi"/>
          <w:color w:val="FF0000"/>
          <w:sz w:val="23"/>
          <w:szCs w:val="23"/>
          <w:shd w:val="clear" w:color="auto" w:fill="FFFFFF"/>
        </w:rPr>
      </w:pPr>
      <w:r w:rsidRPr="001B7065">
        <w:rPr>
          <w:rFonts w:asciiTheme="minorHAnsi" w:hAnsiTheme="minorHAnsi" w:cstheme="minorHAnsi"/>
          <w:color w:val="FF0000"/>
          <w:sz w:val="23"/>
          <w:szCs w:val="23"/>
          <w:shd w:val="clear" w:color="auto" w:fill="FFFFFF"/>
        </w:rPr>
        <w:t>Human right to not to be discriminate</w:t>
      </w:r>
      <w:r w:rsidR="00DC4415">
        <w:rPr>
          <w:rFonts w:asciiTheme="minorHAnsi" w:hAnsiTheme="minorHAnsi" w:cstheme="minorHAnsi"/>
          <w:color w:val="FF0000"/>
          <w:sz w:val="23"/>
          <w:szCs w:val="23"/>
          <w:shd w:val="clear" w:color="auto" w:fill="FFFFFF"/>
        </w:rPr>
        <w:t xml:space="preserve"> human</w:t>
      </w:r>
    </w:p>
    <w:p w14:paraId="492800F1" w14:textId="0AB8FB17" w:rsidR="00065B1C" w:rsidRPr="001B7065" w:rsidRDefault="00065B1C" w:rsidP="00D64F8C">
      <w:pPr>
        <w:rPr>
          <w:rFonts w:asciiTheme="minorHAnsi" w:hAnsiTheme="minorHAnsi" w:cstheme="minorHAnsi"/>
          <w:color w:val="FF0000"/>
          <w:sz w:val="23"/>
          <w:szCs w:val="23"/>
          <w:shd w:val="clear" w:color="auto" w:fill="FFFFFF"/>
        </w:rPr>
      </w:pPr>
      <w:r w:rsidRPr="001B7065">
        <w:rPr>
          <w:rFonts w:asciiTheme="minorHAnsi" w:hAnsiTheme="minorHAnsi" w:cstheme="minorHAnsi"/>
          <w:color w:val="FF0000"/>
          <w:sz w:val="23"/>
          <w:szCs w:val="23"/>
          <w:shd w:val="clear" w:color="auto" w:fill="FFFFFF"/>
        </w:rPr>
        <w:t>As it is event where all pupils are participating</w:t>
      </w:r>
    </w:p>
    <w:p w14:paraId="2FE51FF4" w14:textId="040797FB" w:rsidR="00D64F8C" w:rsidRPr="00625836" w:rsidRDefault="00D64F8C" w:rsidP="00D64F8C">
      <w:pPr>
        <w:rPr>
          <w:rFonts w:asciiTheme="minorHAnsi" w:hAnsiTheme="minorHAnsi" w:cstheme="minorHAnsi"/>
          <w:color w:val="000000" w:themeColor="text1"/>
          <w:sz w:val="23"/>
          <w:szCs w:val="23"/>
          <w:shd w:val="clear" w:color="auto" w:fill="FFFFFF"/>
        </w:rPr>
      </w:pPr>
    </w:p>
    <w:p w14:paraId="325E1E79" w14:textId="7500B529" w:rsidR="00D64F8C" w:rsidRPr="00625836" w:rsidRDefault="00D64F8C" w:rsidP="00D64F8C">
      <w:pPr>
        <w:rPr>
          <w:rFonts w:asciiTheme="minorHAnsi" w:hAnsiTheme="minorHAnsi" w:cstheme="minorHAnsi"/>
          <w:b/>
          <w:bCs/>
          <w:color w:val="000000" w:themeColor="text1"/>
          <w:sz w:val="23"/>
          <w:szCs w:val="23"/>
          <w:shd w:val="clear" w:color="auto" w:fill="FFFFFF"/>
        </w:rPr>
      </w:pPr>
      <w:r w:rsidRPr="00625836">
        <w:rPr>
          <w:rFonts w:asciiTheme="minorHAnsi" w:hAnsiTheme="minorHAnsi" w:cstheme="minorHAnsi"/>
          <w:b/>
          <w:bCs/>
          <w:color w:val="000000" w:themeColor="text1"/>
          <w:sz w:val="23"/>
          <w:szCs w:val="23"/>
          <w:shd w:val="clear" w:color="auto" w:fill="FFFFFF"/>
        </w:rPr>
        <w:t>Case 2:</w:t>
      </w:r>
    </w:p>
    <w:p w14:paraId="3732D46A" w14:textId="340BBD5A" w:rsidR="00D64F8C" w:rsidRPr="00625836" w:rsidRDefault="00D64F8C" w:rsidP="00D64F8C">
      <w:pPr>
        <w:rPr>
          <w:rFonts w:asciiTheme="minorHAnsi" w:hAnsiTheme="minorHAnsi" w:cstheme="minorHAnsi"/>
          <w:color w:val="000000" w:themeColor="text1"/>
          <w:sz w:val="23"/>
          <w:szCs w:val="23"/>
          <w:shd w:val="clear" w:color="auto" w:fill="FFFFFF"/>
        </w:rPr>
      </w:pPr>
    </w:p>
    <w:p w14:paraId="724F66C8" w14:textId="667A7681" w:rsidR="00D64F8C" w:rsidRPr="00625836" w:rsidRDefault="00D64F8C" w:rsidP="00D64F8C">
      <w:pPr>
        <w:rPr>
          <w:rFonts w:asciiTheme="minorHAnsi" w:hAnsiTheme="minorHAnsi" w:cstheme="minorHAnsi"/>
          <w:color w:val="000000" w:themeColor="text1"/>
          <w:sz w:val="23"/>
          <w:szCs w:val="23"/>
        </w:rPr>
      </w:pPr>
      <w:r w:rsidRPr="00625836">
        <w:rPr>
          <w:rFonts w:asciiTheme="minorHAnsi" w:hAnsiTheme="minorHAnsi" w:cstheme="minorHAnsi"/>
          <w:color w:val="000000" w:themeColor="text1"/>
          <w:sz w:val="23"/>
          <w:szCs w:val="23"/>
          <w:shd w:val="clear" w:color="auto" w:fill="FFFFFF"/>
        </w:rPr>
        <w:t xml:space="preserve">A pupil with cerebral palsy who is a wheelchair user is told she will be unable to attend a school trip to a local theatre putting on a production of a play she is currently studying in English, because the building is not wheelchair accessible. There is another building, about an extra hours drive away, that is putting on the same production, and is wheelchair accessible. The school is aware of this, but has not chosen this option. </w:t>
      </w:r>
    </w:p>
    <w:p w14:paraId="416BED2D" w14:textId="6B26EC7B" w:rsidR="00D64F8C" w:rsidRPr="00625836" w:rsidRDefault="00D64F8C" w:rsidP="00D64F8C">
      <w:pPr>
        <w:rPr>
          <w:rFonts w:asciiTheme="minorHAnsi" w:hAnsiTheme="minorHAnsi" w:cstheme="minorHAnsi"/>
          <w:color w:val="000000" w:themeColor="text1"/>
          <w:sz w:val="23"/>
          <w:szCs w:val="23"/>
        </w:rPr>
      </w:pPr>
    </w:p>
    <w:p w14:paraId="4F4B2531" w14:textId="38E30703" w:rsidR="00D64F8C" w:rsidRPr="00625836" w:rsidRDefault="00D64F8C" w:rsidP="00D64F8C">
      <w:pPr>
        <w:rPr>
          <w:rFonts w:asciiTheme="minorHAnsi" w:hAnsiTheme="minorHAnsi" w:cstheme="minorHAnsi"/>
          <w:b/>
          <w:bCs/>
          <w:color w:val="000000" w:themeColor="text1"/>
          <w:sz w:val="23"/>
          <w:szCs w:val="23"/>
        </w:rPr>
      </w:pPr>
      <w:r w:rsidRPr="00625836">
        <w:rPr>
          <w:rFonts w:asciiTheme="minorHAnsi" w:hAnsiTheme="minorHAnsi" w:cstheme="minorHAnsi"/>
          <w:b/>
          <w:bCs/>
          <w:color w:val="000000" w:themeColor="text1"/>
          <w:sz w:val="23"/>
          <w:szCs w:val="23"/>
        </w:rPr>
        <w:t>Case 3:</w:t>
      </w:r>
    </w:p>
    <w:p w14:paraId="38019F86" w14:textId="77777777" w:rsidR="00D64F8C" w:rsidRPr="00625836" w:rsidRDefault="00D64F8C" w:rsidP="00D64F8C">
      <w:pPr>
        <w:rPr>
          <w:rFonts w:asciiTheme="minorHAnsi" w:hAnsiTheme="minorHAnsi" w:cstheme="minorHAnsi"/>
          <w:color w:val="000000" w:themeColor="text1"/>
          <w:sz w:val="23"/>
          <w:szCs w:val="23"/>
        </w:rPr>
      </w:pPr>
    </w:p>
    <w:p w14:paraId="294BFA07" w14:textId="137CF689" w:rsidR="00D64F8C" w:rsidRPr="00625836" w:rsidRDefault="00D64F8C" w:rsidP="00D64F8C">
      <w:pPr>
        <w:rPr>
          <w:rFonts w:asciiTheme="minorHAnsi" w:hAnsiTheme="minorHAnsi" w:cstheme="minorHAnsi"/>
          <w:color w:val="000000" w:themeColor="text1"/>
          <w:sz w:val="23"/>
          <w:szCs w:val="23"/>
        </w:rPr>
      </w:pPr>
      <w:r w:rsidRPr="00625836">
        <w:rPr>
          <w:rFonts w:asciiTheme="minorHAnsi" w:hAnsiTheme="minorHAnsi" w:cstheme="minorHAnsi"/>
          <w:color w:val="000000" w:themeColor="text1"/>
          <w:sz w:val="23"/>
          <w:szCs w:val="23"/>
        </w:rPr>
        <w:t>During an interview, a job applicant tells the potential employer that he has multiple sclerosis. The employer decides not to appoint him even though he’s the best candidate they have interviewed, because they assume he will need a lot of time off sick</w:t>
      </w:r>
      <w:r w:rsidR="00D56417" w:rsidRPr="00625836">
        <w:rPr>
          <w:rFonts w:asciiTheme="minorHAnsi" w:hAnsiTheme="minorHAnsi" w:cstheme="minorHAnsi"/>
          <w:color w:val="000000" w:themeColor="text1"/>
          <w:sz w:val="23"/>
          <w:szCs w:val="23"/>
        </w:rPr>
        <w:t>.</w:t>
      </w:r>
    </w:p>
    <w:p w14:paraId="3502A6EE" w14:textId="4F422E65" w:rsidR="00D64F8C" w:rsidRDefault="00D64F8C" w:rsidP="005D7F85">
      <w:pPr>
        <w:pStyle w:val="ListParagraph"/>
        <w:ind w:left="0"/>
        <w:rPr>
          <w:rFonts w:asciiTheme="minorHAnsi" w:hAnsiTheme="minorHAnsi" w:cstheme="minorHAnsi"/>
          <w:b/>
          <w:bCs/>
          <w:sz w:val="23"/>
          <w:szCs w:val="23"/>
        </w:rPr>
      </w:pPr>
    </w:p>
    <w:p w14:paraId="38FAC976" w14:textId="77777777" w:rsidR="007F5CD3" w:rsidRPr="00625836" w:rsidRDefault="007F5CD3" w:rsidP="005D7F85">
      <w:pPr>
        <w:pStyle w:val="ListParagraph"/>
        <w:ind w:left="0"/>
        <w:rPr>
          <w:rFonts w:asciiTheme="minorHAnsi" w:hAnsiTheme="minorHAnsi" w:cstheme="minorHAnsi"/>
          <w:b/>
          <w:bCs/>
          <w:sz w:val="23"/>
          <w:szCs w:val="23"/>
        </w:rPr>
      </w:pPr>
    </w:p>
    <w:p w14:paraId="51E2D279" w14:textId="77777777" w:rsidR="00C302AC" w:rsidRPr="00625836" w:rsidRDefault="00C302AC" w:rsidP="005D7F85">
      <w:pPr>
        <w:pStyle w:val="ListParagraph"/>
        <w:ind w:left="0"/>
        <w:rPr>
          <w:rFonts w:asciiTheme="minorHAnsi" w:hAnsiTheme="minorHAnsi" w:cstheme="minorHAnsi"/>
          <w:sz w:val="23"/>
          <w:szCs w:val="23"/>
        </w:rPr>
      </w:pPr>
    </w:p>
    <w:p w14:paraId="7530BDEB" w14:textId="39139668" w:rsidR="006F26B3" w:rsidRPr="00625836" w:rsidRDefault="00C302AC" w:rsidP="00D64F8C">
      <w:pPr>
        <w:rPr>
          <w:rFonts w:asciiTheme="minorHAnsi" w:hAnsiTheme="minorHAnsi" w:cstheme="minorHAnsi"/>
          <w:b/>
          <w:bCs/>
          <w:sz w:val="23"/>
          <w:szCs w:val="23"/>
        </w:rPr>
      </w:pPr>
      <w:r w:rsidRPr="00625836">
        <w:rPr>
          <w:rFonts w:asciiTheme="minorHAnsi" w:hAnsiTheme="minorHAnsi" w:cstheme="minorHAnsi"/>
          <w:b/>
          <w:bCs/>
          <w:sz w:val="23"/>
          <w:szCs w:val="23"/>
        </w:rPr>
        <w:t>Questions for Discussion:</w:t>
      </w:r>
    </w:p>
    <w:p w14:paraId="3F7DDA70" w14:textId="5A31DF8A" w:rsidR="00F6262E" w:rsidRPr="00625836" w:rsidRDefault="00F6262E" w:rsidP="00D64F8C">
      <w:pPr>
        <w:rPr>
          <w:rFonts w:asciiTheme="minorHAnsi" w:hAnsiTheme="minorHAnsi" w:cstheme="minorHAnsi"/>
          <w:b/>
          <w:bCs/>
          <w:sz w:val="23"/>
          <w:szCs w:val="23"/>
        </w:rPr>
      </w:pPr>
    </w:p>
    <w:p w14:paraId="76BC3C53" w14:textId="77777777" w:rsidR="00F6262E" w:rsidRPr="00625836" w:rsidRDefault="00F6262E" w:rsidP="00F6262E">
      <w:pPr>
        <w:pStyle w:val="ListParagraph"/>
        <w:numPr>
          <w:ilvl w:val="0"/>
          <w:numId w:val="10"/>
        </w:numPr>
        <w:rPr>
          <w:rFonts w:asciiTheme="minorHAnsi" w:hAnsiTheme="minorHAnsi" w:cstheme="minorHAnsi"/>
          <w:sz w:val="23"/>
          <w:szCs w:val="23"/>
        </w:rPr>
      </w:pPr>
      <w:r w:rsidRPr="00625836">
        <w:rPr>
          <w:rFonts w:asciiTheme="minorHAnsi" w:hAnsiTheme="minorHAnsi" w:cstheme="minorHAnsi"/>
          <w:sz w:val="23"/>
          <w:szCs w:val="23"/>
        </w:rPr>
        <w:t>In each of the cases above, do you think anyone’s rights were infringed?</w:t>
      </w:r>
    </w:p>
    <w:p w14:paraId="41DCC5CE" w14:textId="02FB5913" w:rsidR="00F6262E" w:rsidRPr="00625836" w:rsidRDefault="00F6262E" w:rsidP="00F6262E">
      <w:pPr>
        <w:pStyle w:val="ListParagraph"/>
        <w:numPr>
          <w:ilvl w:val="0"/>
          <w:numId w:val="10"/>
        </w:numPr>
        <w:rPr>
          <w:rFonts w:asciiTheme="minorHAnsi" w:hAnsiTheme="minorHAnsi" w:cstheme="minorHAnsi"/>
          <w:sz w:val="23"/>
          <w:szCs w:val="23"/>
        </w:rPr>
      </w:pPr>
      <w:r w:rsidRPr="00625836">
        <w:rPr>
          <w:rFonts w:asciiTheme="minorHAnsi" w:hAnsiTheme="minorHAnsi" w:cstheme="minorHAnsi"/>
          <w:sz w:val="23"/>
          <w:szCs w:val="23"/>
        </w:rPr>
        <w:t>I</w:t>
      </w:r>
      <w:r w:rsidR="00625836">
        <w:rPr>
          <w:rFonts w:asciiTheme="minorHAnsi" w:hAnsiTheme="minorHAnsi" w:cstheme="minorHAnsi"/>
          <w:sz w:val="23"/>
          <w:szCs w:val="23"/>
        </w:rPr>
        <w:t>f so, in</w:t>
      </w:r>
      <w:r w:rsidRPr="00625836">
        <w:rPr>
          <w:rFonts w:asciiTheme="minorHAnsi" w:hAnsiTheme="minorHAnsi" w:cstheme="minorHAnsi"/>
          <w:sz w:val="23"/>
          <w:szCs w:val="23"/>
        </w:rPr>
        <w:t xml:space="preserve"> each case, whose rights were infringed? </w:t>
      </w:r>
    </w:p>
    <w:p w14:paraId="46599DB4" w14:textId="2E633610" w:rsidR="00F6262E" w:rsidRPr="00625836" w:rsidRDefault="00F6262E" w:rsidP="00F6262E">
      <w:pPr>
        <w:pStyle w:val="ListParagraph"/>
        <w:numPr>
          <w:ilvl w:val="0"/>
          <w:numId w:val="10"/>
        </w:numPr>
        <w:rPr>
          <w:rFonts w:asciiTheme="minorHAnsi" w:hAnsiTheme="minorHAnsi" w:cstheme="minorHAnsi"/>
          <w:sz w:val="23"/>
          <w:szCs w:val="23"/>
        </w:rPr>
      </w:pPr>
      <w:r w:rsidRPr="00625836">
        <w:rPr>
          <w:rFonts w:asciiTheme="minorHAnsi" w:hAnsiTheme="minorHAnsi" w:cstheme="minorHAnsi"/>
          <w:sz w:val="23"/>
          <w:szCs w:val="23"/>
        </w:rPr>
        <w:t>In each case, which rights (legal, moral and/or human) were infringed? Why do you think so?</w:t>
      </w:r>
    </w:p>
    <w:p w14:paraId="2F1DCBAC" w14:textId="0380FFC3" w:rsidR="00F6262E" w:rsidRPr="00625836" w:rsidRDefault="00F6262E" w:rsidP="00F6262E">
      <w:pPr>
        <w:pStyle w:val="ListParagraph"/>
        <w:numPr>
          <w:ilvl w:val="0"/>
          <w:numId w:val="10"/>
        </w:numPr>
        <w:rPr>
          <w:rFonts w:asciiTheme="minorHAnsi" w:hAnsiTheme="minorHAnsi" w:cstheme="minorHAnsi"/>
          <w:sz w:val="23"/>
          <w:szCs w:val="23"/>
        </w:rPr>
      </w:pPr>
      <w:r w:rsidRPr="00625836">
        <w:rPr>
          <w:rFonts w:asciiTheme="minorHAnsi" w:hAnsiTheme="minorHAnsi" w:cstheme="minorHAnsi"/>
          <w:sz w:val="23"/>
          <w:szCs w:val="23"/>
        </w:rPr>
        <w:t>In any of these cases, was there a conflict of rights? If so, what was the nature of that conflict?</w:t>
      </w:r>
    </w:p>
    <w:p w14:paraId="189BE8BC" w14:textId="10960687" w:rsidR="00F6262E" w:rsidRPr="00625836" w:rsidRDefault="00F6262E" w:rsidP="00F6262E">
      <w:pPr>
        <w:pStyle w:val="ListParagraph"/>
        <w:numPr>
          <w:ilvl w:val="0"/>
          <w:numId w:val="10"/>
        </w:numPr>
        <w:rPr>
          <w:rFonts w:asciiTheme="minorHAnsi" w:hAnsiTheme="minorHAnsi" w:cstheme="minorHAnsi"/>
          <w:sz w:val="23"/>
          <w:szCs w:val="23"/>
        </w:rPr>
      </w:pPr>
      <w:r w:rsidRPr="00625836">
        <w:rPr>
          <w:rFonts w:asciiTheme="minorHAnsi" w:hAnsiTheme="minorHAnsi" w:cstheme="minorHAnsi"/>
          <w:sz w:val="23"/>
          <w:szCs w:val="23"/>
        </w:rPr>
        <w:t>What decision would you have made in each of these cases? How would you justify that decision?</w:t>
      </w:r>
    </w:p>
    <w:p w14:paraId="1AFBBD51" w14:textId="2FF981BE" w:rsidR="00FE4F43" w:rsidRPr="00625836" w:rsidRDefault="00FE4F43" w:rsidP="00F0728B">
      <w:pPr>
        <w:ind w:left="360"/>
        <w:rPr>
          <w:rFonts w:asciiTheme="minorHAnsi" w:hAnsiTheme="minorHAnsi" w:cstheme="minorHAnsi"/>
          <w:sz w:val="23"/>
          <w:szCs w:val="23"/>
        </w:rPr>
      </w:pPr>
    </w:p>
    <w:p w14:paraId="544819DE" w14:textId="6D1547B7" w:rsidR="00625836" w:rsidRPr="00625836" w:rsidRDefault="00625836" w:rsidP="00625836">
      <w:pPr>
        <w:ind w:left="360"/>
        <w:rPr>
          <w:rFonts w:asciiTheme="minorHAnsi" w:hAnsiTheme="minorHAnsi" w:cstheme="minorHAnsi"/>
          <w:sz w:val="23"/>
          <w:szCs w:val="23"/>
        </w:rPr>
      </w:pPr>
      <w:r w:rsidRPr="00625836">
        <w:rPr>
          <w:rFonts w:asciiTheme="minorHAnsi" w:hAnsiTheme="minorHAnsi" w:cstheme="minorHAnsi"/>
          <w:sz w:val="23"/>
          <w:szCs w:val="23"/>
        </w:rPr>
        <w:t>To learn more about disability in the Singapore context, you can look here:</w:t>
      </w:r>
    </w:p>
    <w:p w14:paraId="13A3A306" w14:textId="751CE2AC" w:rsidR="00625836" w:rsidRPr="00625836" w:rsidRDefault="009C6F40" w:rsidP="00F0728B">
      <w:pPr>
        <w:ind w:left="360"/>
        <w:rPr>
          <w:rFonts w:asciiTheme="minorHAnsi" w:hAnsiTheme="minorHAnsi" w:cstheme="minorHAnsi"/>
          <w:sz w:val="23"/>
          <w:szCs w:val="23"/>
        </w:rPr>
      </w:pPr>
      <w:hyperlink r:id="rId6" w:history="1">
        <w:r w:rsidR="00625836" w:rsidRPr="00625836">
          <w:rPr>
            <w:rStyle w:val="Hyperlink"/>
            <w:rFonts w:asciiTheme="minorHAnsi" w:hAnsiTheme="minorHAnsi" w:cstheme="minorHAnsi"/>
            <w:sz w:val="23"/>
            <w:szCs w:val="23"/>
          </w:rPr>
          <w:t>https://www.msf.gov.sg/policies/International-Conventions/Pages/UN-Convention-on-the-rights-of-persons-with-disabilities-UNCRPD.aspx</w:t>
        </w:r>
      </w:hyperlink>
    </w:p>
    <w:p w14:paraId="5ABF9696" w14:textId="7030C436" w:rsidR="00625836" w:rsidRPr="00625836" w:rsidRDefault="00625836" w:rsidP="00F0728B">
      <w:pPr>
        <w:ind w:left="360"/>
        <w:rPr>
          <w:rFonts w:asciiTheme="minorHAnsi" w:hAnsiTheme="minorHAnsi" w:cstheme="minorHAnsi"/>
          <w:sz w:val="23"/>
          <w:szCs w:val="23"/>
        </w:rPr>
      </w:pPr>
    </w:p>
    <w:p w14:paraId="6ED1D903" w14:textId="0BA9A559" w:rsidR="00625836" w:rsidRPr="00625836" w:rsidRDefault="009C6F40" w:rsidP="00625836">
      <w:pPr>
        <w:ind w:left="360"/>
        <w:rPr>
          <w:rFonts w:asciiTheme="minorHAnsi" w:hAnsiTheme="minorHAnsi" w:cstheme="minorHAnsi"/>
          <w:sz w:val="23"/>
          <w:szCs w:val="23"/>
        </w:rPr>
      </w:pPr>
      <w:hyperlink r:id="rId7" w:history="1">
        <w:r w:rsidR="00625836" w:rsidRPr="00625836">
          <w:rPr>
            <w:rStyle w:val="Hyperlink"/>
            <w:rFonts w:asciiTheme="minorHAnsi" w:hAnsiTheme="minorHAnsi" w:cstheme="minorHAnsi"/>
            <w:sz w:val="23"/>
            <w:szCs w:val="23"/>
          </w:rPr>
          <w:t>https://www.dpa.org.sg/wp-content/uploads/2015/06/Singapore-and-UN-CRPD.pdf</w:t>
        </w:r>
      </w:hyperlink>
    </w:p>
    <w:sectPr w:rsidR="00625836" w:rsidRPr="00625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B0B"/>
    <w:multiLevelType w:val="hybridMultilevel"/>
    <w:tmpl w:val="7004A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7BD2908"/>
    <w:multiLevelType w:val="hybridMultilevel"/>
    <w:tmpl w:val="9F503A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B6D38C3"/>
    <w:multiLevelType w:val="hybridMultilevel"/>
    <w:tmpl w:val="C54695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BA2121A"/>
    <w:multiLevelType w:val="hybridMultilevel"/>
    <w:tmpl w:val="52E23134"/>
    <w:lvl w:ilvl="0" w:tplc="B4FA4AA0">
      <w:start w:val="1"/>
      <w:numFmt w:val="upp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64F454C"/>
    <w:multiLevelType w:val="multilevel"/>
    <w:tmpl w:val="76BE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852DC"/>
    <w:multiLevelType w:val="multilevel"/>
    <w:tmpl w:val="FFBA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E7DA6"/>
    <w:multiLevelType w:val="multilevel"/>
    <w:tmpl w:val="3C96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54706"/>
    <w:multiLevelType w:val="hybridMultilevel"/>
    <w:tmpl w:val="DD966B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6841A45"/>
    <w:multiLevelType w:val="hybridMultilevel"/>
    <w:tmpl w:val="DA220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6D294F"/>
    <w:multiLevelType w:val="hybridMultilevel"/>
    <w:tmpl w:val="F32A53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0"/>
  </w:num>
  <w:num w:numId="5">
    <w:abstractNumId w:val="7"/>
  </w:num>
  <w:num w:numId="6">
    <w:abstractNumId w:val="2"/>
  </w:num>
  <w:num w:numId="7">
    <w:abstractNumId w:val="6"/>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78"/>
    <w:rsid w:val="00065B1C"/>
    <w:rsid w:val="000A3ED2"/>
    <w:rsid w:val="00110081"/>
    <w:rsid w:val="001B7065"/>
    <w:rsid w:val="002344F6"/>
    <w:rsid w:val="002564EF"/>
    <w:rsid w:val="002D0E8D"/>
    <w:rsid w:val="002F71F4"/>
    <w:rsid w:val="00384E8A"/>
    <w:rsid w:val="00431215"/>
    <w:rsid w:val="004B1D12"/>
    <w:rsid w:val="005D7F85"/>
    <w:rsid w:val="00625836"/>
    <w:rsid w:val="00643E4C"/>
    <w:rsid w:val="006F26B3"/>
    <w:rsid w:val="00787478"/>
    <w:rsid w:val="007F08DD"/>
    <w:rsid w:val="007F5CD3"/>
    <w:rsid w:val="00913A1D"/>
    <w:rsid w:val="009C6F40"/>
    <w:rsid w:val="00A90137"/>
    <w:rsid w:val="00B44C55"/>
    <w:rsid w:val="00B724CB"/>
    <w:rsid w:val="00C10D10"/>
    <w:rsid w:val="00C2430A"/>
    <w:rsid w:val="00C302AC"/>
    <w:rsid w:val="00C56D88"/>
    <w:rsid w:val="00CD4986"/>
    <w:rsid w:val="00D04FF8"/>
    <w:rsid w:val="00D56417"/>
    <w:rsid w:val="00D64F8C"/>
    <w:rsid w:val="00DC4415"/>
    <w:rsid w:val="00EF1BEE"/>
    <w:rsid w:val="00F0728B"/>
    <w:rsid w:val="00F6262E"/>
    <w:rsid w:val="00FE4F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FAF2"/>
  <w15:chartTrackingRefBased/>
  <w15:docId w15:val="{0F49FBC7-3D37-41F3-AE3B-A7E0EB19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8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78"/>
    <w:pPr>
      <w:ind w:left="720"/>
      <w:contextualSpacing/>
    </w:pPr>
  </w:style>
  <w:style w:type="table" w:styleId="TableGrid">
    <w:name w:val="Table Grid"/>
    <w:basedOn w:val="TableNormal"/>
    <w:uiPriority w:val="39"/>
    <w:rsid w:val="007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7F85"/>
    <w:rPr>
      <w:color w:val="0563C1" w:themeColor="hyperlink"/>
      <w:u w:val="single"/>
    </w:rPr>
  </w:style>
  <w:style w:type="character" w:styleId="UnresolvedMention">
    <w:name w:val="Unresolved Mention"/>
    <w:basedOn w:val="DefaultParagraphFont"/>
    <w:uiPriority w:val="99"/>
    <w:semiHidden/>
    <w:unhideWhenUsed/>
    <w:rsid w:val="005D7F85"/>
    <w:rPr>
      <w:color w:val="605E5C"/>
      <w:shd w:val="clear" w:color="auto" w:fill="E1DFDD"/>
    </w:rPr>
  </w:style>
  <w:style w:type="paragraph" w:styleId="NormalWeb">
    <w:name w:val="Normal (Web)"/>
    <w:basedOn w:val="Normal"/>
    <w:uiPriority w:val="99"/>
    <w:semiHidden/>
    <w:unhideWhenUsed/>
    <w:rsid w:val="00643E4C"/>
  </w:style>
  <w:style w:type="character" w:styleId="FollowedHyperlink">
    <w:name w:val="FollowedHyperlink"/>
    <w:basedOn w:val="DefaultParagraphFont"/>
    <w:uiPriority w:val="99"/>
    <w:semiHidden/>
    <w:unhideWhenUsed/>
    <w:rsid w:val="00C10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5299">
      <w:bodyDiv w:val="1"/>
      <w:marLeft w:val="0"/>
      <w:marRight w:val="0"/>
      <w:marTop w:val="0"/>
      <w:marBottom w:val="0"/>
      <w:divBdr>
        <w:top w:val="none" w:sz="0" w:space="0" w:color="auto"/>
        <w:left w:val="none" w:sz="0" w:space="0" w:color="auto"/>
        <w:bottom w:val="none" w:sz="0" w:space="0" w:color="auto"/>
        <w:right w:val="none" w:sz="0" w:space="0" w:color="auto"/>
      </w:divBdr>
    </w:div>
    <w:div w:id="321588788">
      <w:bodyDiv w:val="1"/>
      <w:marLeft w:val="0"/>
      <w:marRight w:val="0"/>
      <w:marTop w:val="0"/>
      <w:marBottom w:val="0"/>
      <w:divBdr>
        <w:top w:val="none" w:sz="0" w:space="0" w:color="auto"/>
        <w:left w:val="none" w:sz="0" w:space="0" w:color="auto"/>
        <w:bottom w:val="none" w:sz="0" w:space="0" w:color="auto"/>
        <w:right w:val="none" w:sz="0" w:space="0" w:color="auto"/>
      </w:divBdr>
    </w:div>
    <w:div w:id="408894595">
      <w:bodyDiv w:val="1"/>
      <w:marLeft w:val="0"/>
      <w:marRight w:val="0"/>
      <w:marTop w:val="0"/>
      <w:marBottom w:val="0"/>
      <w:divBdr>
        <w:top w:val="none" w:sz="0" w:space="0" w:color="auto"/>
        <w:left w:val="none" w:sz="0" w:space="0" w:color="auto"/>
        <w:bottom w:val="none" w:sz="0" w:space="0" w:color="auto"/>
        <w:right w:val="none" w:sz="0" w:space="0" w:color="auto"/>
      </w:divBdr>
    </w:div>
    <w:div w:id="533543592">
      <w:bodyDiv w:val="1"/>
      <w:marLeft w:val="0"/>
      <w:marRight w:val="0"/>
      <w:marTop w:val="0"/>
      <w:marBottom w:val="0"/>
      <w:divBdr>
        <w:top w:val="none" w:sz="0" w:space="0" w:color="auto"/>
        <w:left w:val="none" w:sz="0" w:space="0" w:color="auto"/>
        <w:bottom w:val="none" w:sz="0" w:space="0" w:color="auto"/>
        <w:right w:val="none" w:sz="0" w:space="0" w:color="auto"/>
      </w:divBdr>
    </w:div>
    <w:div w:id="789931045">
      <w:bodyDiv w:val="1"/>
      <w:marLeft w:val="0"/>
      <w:marRight w:val="0"/>
      <w:marTop w:val="0"/>
      <w:marBottom w:val="0"/>
      <w:divBdr>
        <w:top w:val="none" w:sz="0" w:space="0" w:color="auto"/>
        <w:left w:val="none" w:sz="0" w:space="0" w:color="auto"/>
        <w:bottom w:val="none" w:sz="0" w:space="0" w:color="auto"/>
        <w:right w:val="none" w:sz="0" w:space="0" w:color="auto"/>
      </w:divBdr>
    </w:div>
    <w:div w:id="844974032">
      <w:bodyDiv w:val="1"/>
      <w:marLeft w:val="0"/>
      <w:marRight w:val="0"/>
      <w:marTop w:val="0"/>
      <w:marBottom w:val="0"/>
      <w:divBdr>
        <w:top w:val="none" w:sz="0" w:space="0" w:color="auto"/>
        <w:left w:val="none" w:sz="0" w:space="0" w:color="auto"/>
        <w:bottom w:val="none" w:sz="0" w:space="0" w:color="auto"/>
        <w:right w:val="none" w:sz="0" w:space="0" w:color="auto"/>
      </w:divBdr>
    </w:div>
    <w:div w:id="886144310">
      <w:bodyDiv w:val="1"/>
      <w:marLeft w:val="0"/>
      <w:marRight w:val="0"/>
      <w:marTop w:val="0"/>
      <w:marBottom w:val="0"/>
      <w:divBdr>
        <w:top w:val="none" w:sz="0" w:space="0" w:color="auto"/>
        <w:left w:val="none" w:sz="0" w:space="0" w:color="auto"/>
        <w:bottom w:val="none" w:sz="0" w:space="0" w:color="auto"/>
        <w:right w:val="none" w:sz="0" w:space="0" w:color="auto"/>
      </w:divBdr>
    </w:div>
    <w:div w:id="961694133">
      <w:bodyDiv w:val="1"/>
      <w:marLeft w:val="0"/>
      <w:marRight w:val="0"/>
      <w:marTop w:val="0"/>
      <w:marBottom w:val="0"/>
      <w:divBdr>
        <w:top w:val="none" w:sz="0" w:space="0" w:color="auto"/>
        <w:left w:val="none" w:sz="0" w:space="0" w:color="auto"/>
        <w:bottom w:val="none" w:sz="0" w:space="0" w:color="auto"/>
        <w:right w:val="none" w:sz="0" w:space="0" w:color="auto"/>
      </w:divBdr>
    </w:div>
    <w:div w:id="1010647808">
      <w:bodyDiv w:val="1"/>
      <w:marLeft w:val="0"/>
      <w:marRight w:val="0"/>
      <w:marTop w:val="0"/>
      <w:marBottom w:val="0"/>
      <w:divBdr>
        <w:top w:val="none" w:sz="0" w:space="0" w:color="auto"/>
        <w:left w:val="none" w:sz="0" w:space="0" w:color="auto"/>
        <w:bottom w:val="none" w:sz="0" w:space="0" w:color="auto"/>
        <w:right w:val="none" w:sz="0" w:space="0" w:color="auto"/>
      </w:divBdr>
    </w:div>
    <w:div w:id="1044061669">
      <w:bodyDiv w:val="1"/>
      <w:marLeft w:val="0"/>
      <w:marRight w:val="0"/>
      <w:marTop w:val="0"/>
      <w:marBottom w:val="0"/>
      <w:divBdr>
        <w:top w:val="none" w:sz="0" w:space="0" w:color="auto"/>
        <w:left w:val="none" w:sz="0" w:space="0" w:color="auto"/>
        <w:bottom w:val="none" w:sz="0" w:space="0" w:color="auto"/>
        <w:right w:val="none" w:sz="0" w:space="0" w:color="auto"/>
      </w:divBdr>
    </w:div>
    <w:div w:id="1439982473">
      <w:bodyDiv w:val="1"/>
      <w:marLeft w:val="0"/>
      <w:marRight w:val="0"/>
      <w:marTop w:val="0"/>
      <w:marBottom w:val="0"/>
      <w:divBdr>
        <w:top w:val="none" w:sz="0" w:space="0" w:color="auto"/>
        <w:left w:val="none" w:sz="0" w:space="0" w:color="auto"/>
        <w:bottom w:val="none" w:sz="0" w:space="0" w:color="auto"/>
        <w:right w:val="none" w:sz="0" w:space="0" w:color="auto"/>
      </w:divBdr>
    </w:div>
    <w:div w:id="1485929499">
      <w:bodyDiv w:val="1"/>
      <w:marLeft w:val="0"/>
      <w:marRight w:val="0"/>
      <w:marTop w:val="0"/>
      <w:marBottom w:val="0"/>
      <w:divBdr>
        <w:top w:val="none" w:sz="0" w:space="0" w:color="auto"/>
        <w:left w:val="none" w:sz="0" w:space="0" w:color="auto"/>
        <w:bottom w:val="none" w:sz="0" w:space="0" w:color="auto"/>
        <w:right w:val="none" w:sz="0" w:space="0" w:color="auto"/>
      </w:divBdr>
    </w:div>
    <w:div w:id="1590506242">
      <w:bodyDiv w:val="1"/>
      <w:marLeft w:val="0"/>
      <w:marRight w:val="0"/>
      <w:marTop w:val="0"/>
      <w:marBottom w:val="0"/>
      <w:divBdr>
        <w:top w:val="none" w:sz="0" w:space="0" w:color="auto"/>
        <w:left w:val="none" w:sz="0" w:space="0" w:color="auto"/>
        <w:bottom w:val="none" w:sz="0" w:space="0" w:color="auto"/>
        <w:right w:val="none" w:sz="0" w:space="0" w:color="auto"/>
      </w:divBdr>
    </w:div>
    <w:div w:id="18982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pa.org.sg/wp-content/uploads/2015/06/Singapore-and-UN-CRP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f.gov.sg/policies/International-Conventions/Pages/UN-Convention-on-the-rights-of-persons-with-disabilities-UNCRPD.aspx" TargetMode="External"/><Relationship Id="rId5" Type="http://schemas.openxmlformats.org/officeDocument/2006/relationships/hyperlink" Target="https://www.equalityhumanrights.com/en/secondary-education-resources/useful-information/equality-case-stud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Luco</dc:creator>
  <cp:keywords/>
  <dc:description/>
  <cp:lastModifiedBy>#HENDY#</cp:lastModifiedBy>
  <cp:revision>11</cp:revision>
  <dcterms:created xsi:type="dcterms:W3CDTF">2021-08-22T08:23:00Z</dcterms:created>
  <dcterms:modified xsi:type="dcterms:W3CDTF">2021-09-09T18:27:00Z</dcterms:modified>
</cp:coreProperties>
</file>