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908189" cy="1775545"/>
            <wp:effectExtent b="0" l="0" r="0" t="0"/>
            <wp:docPr descr="Image result for ntu logo" id="6" name="image5.jpg"/>
            <a:graphic>
              <a:graphicData uri="http://schemas.openxmlformats.org/drawingml/2006/picture">
                <pic:pic>
                  <pic:nvPicPr>
                    <pic:cNvPr descr="Image result for ntu logo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189" cy="17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SC2207 Lab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Group A34, Group 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Hendy (U2122559J)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 Kaihang (U2121031J) 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 Jin Feng, Alexus (U2121689H)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Yeoh Ming Wei (U2123351B)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Sim Wei Feng (U2122824G)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spacing w:after="0" w:before="86" w:line="240" w:lineRule="auto"/>
        <w:rPr>
          <w:rFonts w:ascii="Georgia" w:cs="Georgia" w:eastAsia="Georgia" w:hAnsi="Georgia"/>
          <w:b w:val="1"/>
          <w:sz w:val="23"/>
          <w:szCs w:val="23"/>
        </w:rPr>
      </w:pPr>
      <w:bookmarkStart w:colFirst="0" w:colLast="0" w:name="_6hcf187ekbqk" w:id="0"/>
      <w:bookmarkEnd w:id="0"/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spacing w:after="0" w:before="86" w:line="240" w:lineRule="auto"/>
        <w:rPr>
          <w:rFonts w:ascii="Georgia" w:cs="Georgia" w:eastAsia="Georgia" w:hAnsi="Georgia"/>
          <w:sz w:val="23"/>
          <w:szCs w:val="23"/>
        </w:rPr>
      </w:pPr>
      <w:bookmarkStart w:colFirst="0" w:colLast="0" w:name="_p2v8kirqgd4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0" w:before="86" w:line="240" w:lineRule="auto"/>
        <w:rPr>
          <w:rFonts w:ascii="Georgia" w:cs="Georgia" w:eastAsia="Georgia" w:hAnsi="Georgia"/>
          <w:b w:val="1"/>
          <w:sz w:val="23"/>
          <w:szCs w:val="23"/>
        </w:rPr>
      </w:pPr>
      <w:bookmarkStart w:colFirst="0" w:colLast="0" w:name="_w0o3po2tax3u" w:id="2"/>
      <w:bookmarkEnd w:id="2"/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rtl w:val="0"/>
        </w:rPr>
        <w:t xml:space="preserve">INDIVIDUAL CONTRIBUTION FORM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" w:line="240" w:lineRule="auto"/>
        <w:rPr>
          <w:rFonts w:ascii="Georgia" w:cs="Georgia" w:eastAsia="Georgia" w:hAnsi="Georg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2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30"/>
        <w:gridCol w:w="4860"/>
        <w:gridCol w:w="1425"/>
        <w:gridCol w:w="1860"/>
        <w:tblGridChange w:id="0">
          <w:tblGrid>
            <w:gridCol w:w="1830"/>
            <w:gridCol w:w="4860"/>
            <w:gridCol w:w="1425"/>
            <w:gridCol w:w="1860"/>
          </w:tblGrid>
        </w:tblGridChange>
      </w:tblGrid>
      <w:tr>
        <w:trPr>
          <w:cantSplit w:val="0"/>
          <w:trHeight w:val="666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before="171" w:line="240" w:lineRule="auto"/>
              <w:ind w:left="109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Full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before="171" w:line="240" w:lineRule="auto"/>
              <w:ind w:left="120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Individual Contribution to Lab 3 Submission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3" w:line="240" w:lineRule="auto"/>
              <w:ind w:left="115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Percentage of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9" w:line="240" w:lineRule="auto"/>
              <w:ind w:left="115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Contribution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before="171" w:line="240" w:lineRule="auto"/>
              <w:ind w:left="115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Hendy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and Designed Revised ER Diagram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Generation of Normalised Database Schema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700088" cy="44704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8" cy="4470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.26171874999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Lim Jin Feng, Alexus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and Designed Revised ER Diagram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Generation of Normalised Database Schema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781050" cy="495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Cai Kaihang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and Designed Revised ER Diagram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Generation of Normalised Database Schema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23863" cy="302759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302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Yeoh Ming Wei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and Designed Revised ER Diagram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Generation of Normalised Database Schema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781050" cy="3175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495048" y="1192025"/>
                                <a:ext cx="3378875" cy="1383800"/>
                              </a:xfrm>
                              <a:custGeom>
                                <a:rect b="b" l="l" r="r" t="t"/>
                                <a:pathLst>
                                  <a:path extrusionOk="0" h="55352" w="135155">
                                    <a:moveTo>
                                      <a:pt x="12425" y="0"/>
                                    </a:moveTo>
                                    <a:cubicBezTo>
                                      <a:pt x="11542" y="8832"/>
                                      <a:pt x="9828" y="25538"/>
                                      <a:pt x="18698" y="25879"/>
                                    </a:cubicBezTo>
                                    <a:cubicBezTo>
                                      <a:pt x="26510" y="26179"/>
                                      <a:pt x="29710" y="14443"/>
                                      <a:pt x="33206" y="7450"/>
                                    </a:cubicBezTo>
                                    <a:cubicBezTo>
                                      <a:pt x="34359" y="5144"/>
                                      <a:pt x="35697" y="-1360"/>
                                      <a:pt x="37128" y="784"/>
                                    </a:cubicBezTo>
                                    <a:cubicBezTo>
                                      <a:pt x="40176" y="5350"/>
                                      <a:pt x="37128" y="11763"/>
                                      <a:pt x="37128" y="17252"/>
                                    </a:cubicBezTo>
                                    <a:cubicBezTo>
                                      <a:pt x="37128" y="27567"/>
                                      <a:pt x="35358" y="37949"/>
                                      <a:pt x="32422" y="47837"/>
                                    </a:cubicBezTo>
                                    <a:cubicBezTo>
                                      <a:pt x="30888" y="53003"/>
                                      <a:pt x="22219" y="56753"/>
                                      <a:pt x="17522" y="54111"/>
                                    </a:cubicBezTo>
                                    <a:cubicBezTo>
                                      <a:pt x="13344" y="51761"/>
                                      <a:pt x="12265" y="44077"/>
                                      <a:pt x="14777" y="39995"/>
                                    </a:cubicBezTo>
                                    <a:cubicBezTo>
                                      <a:pt x="21124" y="29682"/>
                                      <a:pt x="34589" y="25921"/>
                                      <a:pt x="45362" y="20389"/>
                                    </a:cubicBezTo>
                                    <a:cubicBezTo>
                                      <a:pt x="49782" y="18119"/>
                                      <a:pt x="54914" y="15995"/>
                                      <a:pt x="57517" y="11763"/>
                                    </a:cubicBezTo>
                                    <a:cubicBezTo>
                                      <a:pt x="58535" y="10108"/>
                                      <a:pt x="59007" y="4388"/>
                                      <a:pt x="59478" y="6273"/>
                                    </a:cubicBezTo>
                                    <a:cubicBezTo>
                                      <a:pt x="61698" y="15154"/>
                                      <a:pt x="57427" y="24568"/>
                                      <a:pt x="54772" y="33329"/>
                                    </a:cubicBezTo>
                                    <a:cubicBezTo>
                                      <a:pt x="53549" y="37367"/>
                                      <a:pt x="52178" y="41370"/>
                                      <a:pt x="51243" y="45484"/>
                                    </a:cubicBezTo>
                                    <a:cubicBezTo>
                                      <a:pt x="50948" y="46784"/>
                                      <a:pt x="50678" y="50720"/>
                                      <a:pt x="50459" y="49405"/>
                                    </a:cubicBezTo>
                                    <a:cubicBezTo>
                                      <a:pt x="48647" y="38531"/>
                                      <a:pt x="52672" y="27256"/>
                                      <a:pt x="56341" y="16860"/>
                                    </a:cubicBezTo>
                                    <a:cubicBezTo>
                                      <a:pt x="57259" y="14260"/>
                                      <a:pt x="59124" y="7508"/>
                                      <a:pt x="60654" y="9802"/>
                                    </a:cubicBezTo>
                                    <a:cubicBezTo>
                                      <a:pt x="65087" y="16450"/>
                                      <a:pt x="64123" y="25455"/>
                                      <a:pt x="66928" y="32937"/>
                                    </a:cubicBezTo>
                                    <a:cubicBezTo>
                                      <a:pt x="67669" y="34914"/>
                                      <a:pt x="67233" y="39330"/>
                                      <a:pt x="69281" y="38818"/>
                                    </a:cubicBezTo>
                                    <a:cubicBezTo>
                                      <a:pt x="71619" y="38234"/>
                                      <a:pt x="70228" y="34089"/>
                                      <a:pt x="70849" y="31760"/>
                                    </a:cubicBezTo>
                                    <a:cubicBezTo>
                                      <a:pt x="72020" y="27367"/>
                                      <a:pt x="73505" y="23055"/>
                                      <a:pt x="75162" y="18821"/>
                                    </a:cubicBezTo>
                                    <a:cubicBezTo>
                                      <a:pt x="75717" y="17402"/>
                                      <a:pt x="76833" y="13537"/>
                                      <a:pt x="77515" y="14900"/>
                                    </a:cubicBezTo>
                                    <a:cubicBezTo>
                                      <a:pt x="81393" y="22659"/>
                                      <a:pt x="79227" y="32166"/>
                                      <a:pt x="80260" y="40779"/>
                                    </a:cubicBezTo>
                                    <a:cubicBezTo>
                                      <a:pt x="80498" y="42764"/>
                                      <a:pt x="79773" y="45551"/>
                                      <a:pt x="81436" y="46661"/>
                                    </a:cubicBezTo>
                                    <a:cubicBezTo>
                                      <a:pt x="82820" y="47584"/>
                                      <a:pt x="84277" y="44646"/>
                                      <a:pt x="84965" y="43132"/>
                                    </a:cubicBezTo>
                                    <a:cubicBezTo>
                                      <a:pt x="88279" y="35842"/>
                                      <a:pt x="89399" y="26691"/>
                                      <a:pt x="95552" y="21566"/>
                                    </a:cubicBezTo>
                                    <a:cubicBezTo>
                                      <a:pt x="97088" y="20287"/>
                                      <a:pt x="96547" y="25456"/>
                                      <a:pt x="96728" y="27447"/>
                                    </a:cubicBezTo>
                                    <a:cubicBezTo>
                                      <a:pt x="97207" y="32712"/>
                                      <a:pt x="94908" y="39886"/>
                                      <a:pt x="99081" y="43132"/>
                                    </a:cubicBezTo>
                                    <a:cubicBezTo>
                                      <a:pt x="103315" y="46425"/>
                                      <a:pt x="107051" y="28360"/>
                                      <a:pt x="110844" y="32153"/>
                                    </a:cubicBezTo>
                                    <a:cubicBezTo>
                                      <a:pt x="115284" y="36593"/>
                                      <a:pt x="108464" y="45550"/>
                                      <a:pt x="111628" y="50974"/>
                                    </a:cubicBezTo>
                                    <a:cubicBezTo>
                                      <a:pt x="112986" y="53301"/>
                                      <a:pt x="117140" y="49709"/>
                                      <a:pt x="119078" y="47837"/>
                                    </a:cubicBezTo>
                                    <a:cubicBezTo>
                                      <a:pt x="123441" y="43624"/>
                                      <a:pt x="126763" y="38421"/>
                                      <a:pt x="130058" y="33329"/>
                                    </a:cubicBezTo>
                                    <a:cubicBezTo>
                                      <a:pt x="135115" y="25514"/>
                                      <a:pt x="135155" y="26374"/>
                                      <a:pt x="135155" y="25879"/>
                                    </a:cubicBezTo>
                                    <a:cubicBezTo>
                                      <a:pt x="135155" y="24355"/>
                                      <a:pt x="132424" y="27279"/>
                                      <a:pt x="131234" y="28231"/>
                                    </a:cubicBezTo>
                                    <a:cubicBezTo>
                                      <a:pt x="126844" y="31743"/>
                                      <a:pt x="122245" y="35004"/>
                                      <a:pt x="117510" y="38034"/>
                                    </a:cubicBezTo>
                                    <a:cubicBezTo>
                                      <a:pt x="109768" y="42989"/>
                                      <a:pt x="102177" y="48475"/>
                                      <a:pt x="93591" y="51758"/>
                                    </a:cubicBezTo>
                                    <a:cubicBezTo>
                                      <a:pt x="73532" y="59428"/>
                                      <a:pt x="50119" y="53045"/>
                                      <a:pt x="29285" y="47837"/>
                                    </a:cubicBezTo>
                                    <a:cubicBezTo>
                                      <a:pt x="21651" y="45928"/>
                                      <a:pt x="13849" y="44765"/>
                                      <a:pt x="6151" y="43132"/>
                                    </a:cubicBezTo>
                                    <a:cubicBezTo>
                                      <a:pt x="4508" y="42783"/>
                                      <a:pt x="0" y="41742"/>
                                      <a:pt x="269" y="41563"/>
                                    </a:cubicBezTo>
                                    <a:cubicBezTo>
                                      <a:pt x="3097" y="39678"/>
                                      <a:pt x="7085" y="41203"/>
                                      <a:pt x="10464" y="41563"/>
                                    </a:cubicBezTo>
                                    <a:cubicBezTo>
                                      <a:pt x="19879" y="42565"/>
                                      <a:pt x="29275" y="43747"/>
                                      <a:pt x="38696" y="44700"/>
                                    </a:cubicBezTo>
                                    <a:cubicBezTo>
                                      <a:pt x="63799" y="47238"/>
                                      <a:pt x="88750" y="52542"/>
                                      <a:pt x="113981" y="5254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81050" cy="317500"/>
                      <wp:effectExtent b="0" l="0" r="0" t="0"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1050" cy="317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.261718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 Wei Feng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and Designed Revised ER Diagram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Generation of Normalised Database Schema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790575" cy="5207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alibri" w:cs="Calibri" w:eastAsia="Calibri" w:hAnsi="Calibri"/>
          <w:b w:val="1"/>
          <w:sz w:val="40"/>
          <w:szCs w:val="40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Revised ER diagram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rFonts w:ascii="Calibri" w:cs="Calibri" w:eastAsia="Calibri" w:hAnsi="Calibri"/>
          <w:sz w:val="32"/>
          <w:szCs w:val="32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8229600" cy="46355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Normalized relational schema (BCNF)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Magazine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publication-ID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issue number, title)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publication-ID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publication-ID 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publication-ID → issue number, publication-ID, title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Publication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publication-ID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publisher, year of publication)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publication-ID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publication-ID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publication-ID → publisher, year of publication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Book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publication-ID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title)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publication-ID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publication-ID 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publication-ID → title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Customer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name)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customerID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customerID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customerID → name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BookstoreComplaint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complaint-ID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company-ID)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complaint-ID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complaint-ID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complaint-ID → company-ID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OrderComplaint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complaint-ID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order-ID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complaint-ID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complaint-ID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complaint-ID → order-ID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Complaints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complaint-ID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employee-ID, customer-ID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message, status)</w:t>
      </w:r>
    </w:p>
    <w:p w:rsidR="00000000" w:rsidDel="00000000" w:rsidP="00000000" w:rsidRDefault="00000000" w:rsidRPr="00000000" w14:paraId="0000005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complaint-ID</w:t>
      </w:r>
    </w:p>
    <w:p w:rsidR="00000000" w:rsidDel="00000000" w:rsidP="00000000" w:rsidRDefault="00000000" w:rsidRPr="00000000" w14:paraId="000000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complaint-ID</w:t>
      </w:r>
    </w:p>
    <w:p w:rsidR="00000000" w:rsidDel="00000000" w:rsidP="00000000" w:rsidRDefault="00000000" w:rsidRPr="00000000" w14:paraId="0000006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complaint-ID → employee-ID, customer-ID, message, status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Employee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employee-ID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name, monthly-salary)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employee-ID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employee-ID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employee-ID → name, monthly-salary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Order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order-ID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shipping-addr, shipping-cost, timestamp,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customer-ID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order-ID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order-ID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order-ID → shipping-addr, shipping-cost, timestamp,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customer-ID (in BCNF)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shipping-addr → shipping-cost 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(Assumption: shipping source is always the same (from Amazon warehouse), so the shipping address determines shipping cost)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The relation order-ID → shipping-addr, shipping-cost, timestamp,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customer-ID is in BCNF while shipping-addr → shipping-cost 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not in BCNF.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u w:val="single"/>
          <w:rtl w:val="0"/>
        </w:rPr>
        <w:t xml:space="preserve">Perform normalization steps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R1(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shipping-addr,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shipping-cost)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R2(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order-ID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shipping-addr, timestamp, customer-ID)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Now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relations are in BCNF.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Inventory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inventory-ID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selling-price, qty-in-stock,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publication-ID, company-ID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inventory-ID, {company-ID, publication-ID}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inventory-ID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inventory-ID → selling-price, qty-in-stock, publication-ID, company-ID;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company-ID, publication-ID →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inventory-ID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Price_Records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time-updated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inventory-ID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price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 : time-updated, inventory-ID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time-updated, inventory-ID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rtl w:val="0"/>
        </w:rPr>
        <w:t xml:space="preserve">FDs: time-updated,inventory-ID → price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Bookstore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company-ID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company-ID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company-ID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Items_In_Order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item-ID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order-ID, inventory-ID, customer-ID, item-price, item-qty, status, delivery-date, rating, comment, date-time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Key: item-ID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Primary Key: item-ID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FDs: item-ID -&gt; order-ID, inventory-ID, customer-ID, item-price, item-qty, status, delivery-date, rating, comment, date-time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(Assumption: item-ID is unique, there is no repetition of item-ID across different orders. Similar to inventory-ID from Inventory table)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order-ID -&gt; customer-ID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Decompose Items_In_Order into Cust_Order(order-ID, customer-ID) and Items_In_Order(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item-ID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order-ID, inventory-ID, item-price, item-qty, status, delivery-date, rating, comment, date-time)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Since Cust_Order(order-ID, customer-ID) is a subset of Order(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u w:val="single"/>
          <w:rtl w:val="0"/>
        </w:rPr>
        <w:t xml:space="preserve">order-ID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shipping-addr, shipping-cost, timestamp,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customer-ID), we can exclude Cust_Order and just leave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Items_In_Order(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u w:val="single"/>
          <w:rtl w:val="0"/>
        </w:rPr>
        <w:t xml:space="preserve">item-ID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, order-ID, inventory-ID, item-price, item-qty, status, delivery-date, rating, comment, date-time). 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6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