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2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94"/>
        <w:gridCol w:w="7835"/>
        <w:tblGridChange w:id="0">
          <w:tblGrid>
            <w:gridCol w:w="1794"/>
            <w:gridCol w:w="783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8"/>
                <w:szCs w:val="1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8"/>
                <w:szCs w:val="108"/>
                <w:u w:val="none"/>
                <w:shd w:fill="auto" w:val="clear"/>
                <w:vertAlign w:val="baseline"/>
                <w:rtl w:val="0"/>
              </w:rPr>
              <w:t xml:space="preserve">!!!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UOC Sans" w:cs="UOC Sans" w:eastAsia="UOC Sans" w:hAnsi="UOC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UOC Sans" w:cs="UOC Sans" w:eastAsia="UOC Sans" w:hAnsi="UOC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Esta prueba sólo la pueden realizar los estudiantes que han aprobado la Evaluación Continua</w:t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Ficha técnica de la prueba de síntesis</w:t>
      </w:r>
    </w:p>
    <w:p w:rsidR="00000000" w:rsidDel="00000000" w:rsidP="00000000" w:rsidRDefault="00000000" w:rsidRPr="00000000" w14:paraId="00000006">
      <w:pPr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360" w:hanging="360"/>
        <w:rPr>
          <w:rFonts w:ascii="UOC Sans" w:cs="UOC Sans" w:eastAsia="UOC Sans" w:hAnsi="UOC Sans"/>
          <w:sz w:val="22"/>
          <w:szCs w:val="22"/>
        </w:rPr>
      </w:pPr>
      <w:r w:rsidDel="00000000" w:rsidR="00000000" w:rsidRPr="00000000">
        <w:rPr>
          <w:rFonts w:ascii="UOC Sans" w:cs="UOC Sans" w:eastAsia="UOC Sans" w:hAnsi="UOC Sans"/>
          <w:sz w:val="22"/>
          <w:szCs w:val="22"/>
          <w:rtl w:val="0"/>
        </w:rPr>
        <w:t xml:space="preserve">No es necesario que escribas tu nombre. Una vez resuelta la prueba final, solo se aceptan documentos en formato .doc, .docx (Word) y .pdf.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360" w:hanging="360"/>
        <w:rPr>
          <w:rFonts w:ascii="UOC Sans" w:cs="UOC Sans" w:eastAsia="UOC Sans" w:hAnsi="UOC Sans"/>
          <w:sz w:val="22"/>
          <w:szCs w:val="22"/>
        </w:rPr>
      </w:pPr>
      <w:r w:rsidDel="00000000" w:rsidR="00000000" w:rsidRPr="00000000">
        <w:rPr>
          <w:rFonts w:ascii="UOC Sans" w:cs="UOC Sans" w:eastAsia="UOC Sans" w:hAnsi="UOC Sans"/>
          <w:sz w:val="22"/>
          <w:szCs w:val="22"/>
          <w:rtl w:val="0"/>
        </w:rPr>
        <w:t xml:space="preserve">Comprueba que el código y el nombre de la asignatura corresponden a la asignatura de la que te has matriculado.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357" w:hanging="357"/>
        <w:rPr>
          <w:rFonts w:ascii="UOC Sans" w:cs="UOC Sans" w:eastAsia="UOC Sans" w:hAnsi="UOC Sans"/>
          <w:sz w:val="22"/>
          <w:szCs w:val="22"/>
        </w:rPr>
      </w:pPr>
      <w:bookmarkStart w:colFirst="0" w:colLast="0" w:name="_heading=h.h5h2x1oh50j3" w:id="0"/>
      <w:bookmarkEnd w:id="0"/>
      <w:r w:rsidDel="00000000" w:rsidR="00000000" w:rsidRPr="00000000">
        <w:rPr>
          <w:rFonts w:ascii="UOC Sans" w:cs="UOC Sans" w:eastAsia="UOC Sans" w:hAnsi="UOC Sans"/>
          <w:sz w:val="22"/>
          <w:szCs w:val="22"/>
          <w:rtl w:val="0"/>
        </w:rPr>
        <w:t xml:space="preserve">Tiempo total:  </w:t>
      </w:r>
      <w:r w:rsidDel="00000000" w:rsidR="00000000" w:rsidRPr="00000000">
        <w:rPr>
          <w:rFonts w:ascii="UOC Sans" w:cs="UOC Sans" w:eastAsia="UOC Sans" w:hAnsi="UOC Sans"/>
          <w:b w:val="1"/>
          <w:bCs w:val="1"/>
          <w:sz w:val="22"/>
          <w:szCs w:val="22"/>
          <w:rtl w:val="0"/>
        </w:rPr>
        <w:t xml:space="preserve">1  hora</w:t>
      </w:r>
      <w:r w:rsidDel="00000000" w:rsidR="00000000" w:rsidRPr="00000000">
        <w:rPr>
          <w:rFonts w:ascii="UOC Sans" w:cs="UOC Sans" w:eastAsia="UOC Sans" w:hAnsi="UOC Sans"/>
          <w:sz w:val="22"/>
          <w:szCs w:val="22"/>
          <w:rtl w:val="0"/>
        </w:rPr>
        <w:tab/>
        <w:tab/>
        <w:t xml:space="preserve">Valor de cada pregunta: </w:t>
      </w:r>
      <w:r w:rsidDel="00000000" w:rsidR="00000000" w:rsidRPr="00000000">
        <w:rPr>
          <w:rFonts w:ascii="UOC Sans" w:cs="UOC Sans" w:eastAsia="UOC Sans" w:hAnsi="UOC Sans"/>
          <w:b w:val="1"/>
          <w:bCs w:val="1"/>
          <w:sz w:val="22"/>
          <w:szCs w:val="22"/>
          <w:rtl w:val="0"/>
        </w:rPr>
        <w:t xml:space="preserve">     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360" w:hanging="360"/>
        <w:rPr>
          <w:rFonts w:ascii="UOC Sans" w:cs="UOC Sans" w:eastAsia="UOC Sans" w:hAnsi="UOC Sans"/>
          <w:sz w:val="22"/>
          <w:szCs w:val="22"/>
        </w:rPr>
      </w:pPr>
      <w:r w:rsidDel="00000000" w:rsidR="00000000" w:rsidRPr="00000000">
        <w:rPr>
          <w:rFonts w:ascii="UOC Sans" w:cs="UOC Sans" w:eastAsia="UOC Sans" w:hAnsi="UOC Sans"/>
          <w:sz w:val="22"/>
          <w:szCs w:val="22"/>
          <w:rtl w:val="0"/>
        </w:rPr>
        <w:t xml:space="preserve">¿Se puede consultar material durante la prueba? </w:t>
      </w:r>
      <w:r w:rsidDel="00000000" w:rsidR="00000000" w:rsidRPr="00000000">
        <w:rPr>
          <w:rFonts w:ascii="UOC Sans" w:cs="UOC Sans" w:eastAsia="UOC Sans" w:hAnsi="UOC Sans"/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UOC Sans" w:cs="UOC Sans" w:eastAsia="UOC Sans" w:hAnsi="UOC Sans"/>
          <w:sz w:val="22"/>
          <w:szCs w:val="22"/>
          <w:rtl w:val="0"/>
        </w:rPr>
        <w:t xml:space="preserve">  ¿Qué materiales están permitidos? </w:t>
      </w:r>
      <w:bookmarkStart w:colFirst="0" w:colLast="0" w:name="bookmark=id.rmx4eyyc1ssm" w:id="1"/>
      <w:bookmarkEnd w:id="1"/>
      <w:r w:rsidDel="00000000" w:rsidR="00000000" w:rsidRPr="00000000">
        <w:rPr>
          <w:rFonts w:ascii="UOC Sans" w:cs="UOC Sans" w:eastAsia="UOC Sans" w:hAnsi="UOC Sans"/>
          <w:b w:val="1"/>
          <w:bCs w:val="1"/>
          <w:sz w:val="22"/>
          <w:szCs w:val="22"/>
          <w:rtl w:val="0"/>
        </w:rPr>
        <w:t xml:space="preserve">Todos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360" w:hanging="360"/>
        <w:rPr>
          <w:rFonts w:ascii="UOC Sans" w:cs="UOC Sans" w:eastAsia="UOC Sans" w:hAnsi="UOC Sans"/>
          <w:sz w:val="22"/>
          <w:szCs w:val="22"/>
        </w:rPr>
      </w:pPr>
      <w:r w:rsidDel="00000000" w:rsidR="00000000" w:rsidRPr="00000000">
        <w:rPr>
          <w:rFonts w:ascii="UOC Sans" w:cs="UOC Sans" w:eastAsia="UOC Sans" w:hAnsi="UOC Sans"/>
          <w:sz w:val="22"/>
          <w:szCs w:val="22"/>
          <w:rtl w:val="0"/>
        </w:rPr>
        <w:t xml:space="preserve">¿Puede utilizarse calculadora?     ¿De qué tipo?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360" w:hanging="360"/>
        <w:rPr>
          <w:rFonts w:ascii="UOC Sans" w:cs="UOC Sans" w:eastAsia="UOC Sans" w:hAnsi="UOC Sans"/>
          <w:sz w:val="22"/>
          <w:szCs w:val="22"/>
        </w:rPr>
      </w:pPr>
      <w:r w:rsidDel="00000000" w:rsidR="00000000" w:rsidRPr="00000000">
        <w:rPr>
          <w:rFonts w:ascii="UOC Sans" w:cs="UOC Sans" w:eastAsia="UOC Sans" w:hAnsi="UOC Sans"/>
          <w:sz w:val="22"/>
          <w:szCs w:val="22"/>
          <w:rtl w:val="0"/>
        </w:rPr>
        <w:t xml:space="preserve">Si hay preguntas tipo test, ¿descuentan las respuestas erróneas? </w:t>
      </w:r>
      <w:bookmarkStart w:colFirst="0" w:colLast="0" w:name="bookmark=id.57y2iog3w5rb" w:id="2"/>
      <w:bookmarkEnd w:id="2"/>
      <w:r w:rsidDel="00000000" w:rsidR="00000000" w:rsidRPr="00000000">
        <w:rPr>
          <w:rFonts w:ascii="UOC Sans" w:cs="UOC Sans" w:eastAsia="UOC Sans" w:hAnsi="UOC Sans"/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UOC Sans" w:cs="UOC Sans" w:eastAsia="UOC Sans" w:hAnsi="UOC Sans"/>
          <w:sz w:val="22"/>
          <w:szCs w:val="22"/>
          <w:rtl w:val="0"/>
        </w:rPr>
        <w:t xml:space="preserve">  ¿Cuánto? </w:t>
      </w:r>
      <w:bookmarkStart w:colFirst="0" w:colLast="0" w:name="bookmark=id.euoc178mwgqr" w:id="3"/>
      <w:bookmarkEnd w:id="3"/>
      <w:r w:rsidDel="00000000" w:rsidR="00000000" w:rsidRPr="00000000">
        <w:rPr>
          <w:rFonts w:ascii="UOC Sans" w:cs="UOC Sans" w:eastAsia="UOC Sans" w:hAnsi="UOC Sans"/>
          <w:b w:val="1"/>
          <w:bCs w:val="1"/>
          <w:sz w:val="22"/>
          <w:szCs w:val="22"/>
          <w:rtl w:val="0"/>
        </w:rPr>
        <w:t xml:space="preserve">     </w:t>
      </w:r>
      <w:r w:rsidDel="00000000" w:rsidR="00000000" w:rsidRPr="00000000">
        <w:rPr>
          <w:rFonts w:ascii="UOC Sans" w:cs="UOC Sans" w:eastAsia="UOC Sans" w:hAnsi="UOC Sans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bottom w:color="000000" w:space="1" w:sz="4" w:val="single"/>
        </w:pBdr>
        <w:spacing w:line="360" w:lineRule="auto"/>
        <w:ind w:left="360" w:hanging="360"/>
        <w:rPr>
          <w:rFonts w:ascii="UOC Sans" w:cs="UOC Sans" w:eastAsia="UOC Sans" w:hAnsi="UOC Sans"/>
          <w:b w:val="1"/>
          <w:bCs w:val="1"/>
          <w:sz w:val="22"/>
          <w:szCs w:val="22"/>
        </w:rPr>
      </w:pPr>
      <w:r w:rsidDel="00000000" w:rsidR="00000000" w:rsidRPr="00000000">
        <w:rPr>
          <w:rFonts w:ascii="UOC Sans" w:cs="UOC Sans" w:eastAsia="UOC Sans" w:hAnsi="UOC Sans"/>
          <w:sz w:val="22"/>
          <w:szCs w:val="22"/>
          <w:rtl w:val="0"/>
        </w:rPr>
        <w:t xml:space="preserve">Indicaciones específicas para la realización de esta prueba de síntesis: </w:t>
      </w:r>
      <w:bookmarkStart w:colFirst="0" w:colLast="0" w:name="bookmark=id.j3mr5uemm0fe" w:id="4"/>
      <w:bookmarkEnd w:id="4"/>
      <w:r w:rsidDel="00000000" w:rsidR="00000000" w:rsidRPr="00000000">
        <w:rPr>
          <w:rFonts w:ascii="UOC Sans" w:cs="UOC Sans" w:eastAsia="UOC Sans" w:hAnsi="UOC Sans"/>
          <w:b w:val="1"/>
          <w:bCs w:val="1"/>
          <w:sz w:val="22"/>
          <w:szCs w:val="22"/>
          <w:rtl w:val="0"/>
        </w:rPr>
        <w:t xml:space="preserve">     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  <w:sectPr>
          <w:headerReference r:id="rId7" w:type="default"/>
          <w:footerReference r:id="rId8" w:type="default"/>
          <w:footerReference r:id="rId9" w:type="even"/>
          <w:pgSz w:h="16840" w:w="11907" w:orient="portrait"/>
          <w:pgMar w:bottom="1134" w:top="1134" w:left="1134" w:right="113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bottom w:color="000000" w:space="1" w:sz="6" w:val="single"/>
        </w:pBd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Enunciados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Pregunta 1 [2.5 puntos]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after="0" w:afterAutospacing="0" w:line="276" w:lineRule="auto"/>
        <w:ind w:left="720" w:hanging="360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¿Qué algoritmo de búsqueda garantiza encontrar primero el nodo objetivo a menor profundidad, independientemente de los costes de las aristas?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2"/>
        </w:numPr>
        <w:spacing w:after="0" w:afterAutospacing="0" w:line="276" w:lineRule="auto"/>
        <w:ind w:left="1440" w:hanging="360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Búsqueda en anchura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2"/>
        </w:numPr>
        <w:spacing w:after="0" w:afterAutospacing="0" w:line="276" w:lineRule="auto"/>
        <w:ind w:left="1440" w:hanging="360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Búsqueda de coste uniforme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2"/>
        </w:numPr>
        <w:spacing w:after="0" w:afterAutospacing="0" w:line="276" w:lineRule="auto"/>
        <w:ind w:left="1440" w:hanging="360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Búsqueda en profundidad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2"/>
        </w:numPr>
        <w:spacing w:after="140" w:line="276" w:lineRule="auto"/>
        <w:ind w:left="1440" w:hanging="360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Búsqueda voraz (Greedy Best-First Search)</w:t>
      </w:r>
    </w:p>
    <w:p w:rsidR="00000000" w:rsidDel="00000000" w:rsidP="00000000" w:rsidRDefault="00000000" w:rsidRPr="00000000" w14:paraId="00000017">
      <w:pPr>
        <w:widowControl w:val="0"/>
        <w:spacing w:after="140" w:line="276" w:lineRule="auto"/>
        <w:ind w:left="0" w:firstLine="0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after="0" w:afterAutospacing="0" w:line="276" w:lineRule="auto"/>
        <w:ind w:left="720" w:hanging="360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¿Qué algoritmo de búsqueda es más similar a la búsqueda A* cuando la heurística h(n)=0 para todos los nodos?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2"/>
        </w:numPr>
        <w:spacing w:after="0" w:afterAutospacing="0" w:line="276" w:lineRule="auto"/>
        <w:ind w:left="1440" w:hanging="360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Búsqueda de coste uniforme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2"/>
        </w:numPr>
        <w:spacing w:after="0" w:afterAutospacing="0" w:line="276" w:lineRule="auto"/>
        <w:ind w:left="1440" w:hanging="360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Algoritmo de Dijkstra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2"/>
        </w:numPr>
        <w:spacing w:after="0" w:afterAutospacing="0" w:line="276" w:lineRule="auto"/>
        <w:ind w:left="1440" w:hanging="360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Búsqueda en profundidad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2"/>
        </w:numPr>
        <w:spacing w:after="140" w:line="276" w:lineRule="auto"/>
        <w:ind w:left="1440" w:hanging="360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Búsqueda voraz (Greedy Best-First Search)</w:t>
      </w:r>
    </w:p>
    <w:p w:rsidR="00000000" w:rsidDel="00000000" w:rsidP="00000000" w:rsidRDefault="00000000" w:rsidRPr="00000000" w14:paraId="0000001D">
      <w:pPr>
        <w:widowControl w:val="0"/>
        <w:spacing w:after="140" w:line="276" w:lineRule="auto"/>
        <w:ind w:left="0" w:firstLine="0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after="0" w:afterAutospacing="0" w:line="276" w:lineRule="auto"/>
        <w:ind w:left="720" w:hanging="360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¿Cómo afecta el orden de evaluación de los nodos a la eficiencia de la poda alfa-beta?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2"/>
        </w:numPr>
        <w:spacing w:after="0" w:afterAutospacing="0" w:line="276" w:lineRule="auto"/>
        <w:ind w:left="1440" w:hanging="360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El orden de los nodos no tiene ningún efecto en el número de podas.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2"/>
        </w:numPr>
        <w:spacing w:after="0" w:afterAutospacing="0" w:line="276" w:lineRule="auto"/>
        <w:ind w:left="1440" w:hanging="360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El orden aleatorio es siempre tan eficiente como el orden óptimo.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2"/>
        </w:numPr>
        <w:spacing w:after="0" w:afterAutospacing="0" w:line="276" w:lineRule="auto"/>
        <w:ind w:left="1440" w:hanging="360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Evaluar primero los mejores movimientos maximiza el número de podas.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2"/>
        </w:numPr>
        <w:spacing w:after="140" w:line="276" w:lineRule="auto"/>
        <w:ind w:left="1440" w:hanging="360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Evaluar primero los peores movimientos es más eficiente.</w:t>
      </w:r>
    </w:p>
    <w:p w:rsidR="00000000" w:rsidDel="00000000" w:rsidP="00000000" w:rsidRDefault="00000000" w:rsidRPr="00000000" w14:paraId="00000023">
      <w:pPr>
        <w:widowControl w:val="0"/>
        <w:spacing w:after="140" w:line="276" w:lineRule="auto"/>
        <w:ind w:left="0" w:firstLine="0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after="140" w:line="276" w:lineRule="auto"/>
        <w:ind w:left="720" w:hanging="360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Si h1 y h2 son dos heurísticos tales que h2(n) &gt; h1(n) para todos los nodos que no son objetivo y ambos son admisibles, ¿cuál se considera mejor heurístico?</w:t>
      </w:r>
    </w:p>
    <w:p w:rsidR="00000000" w:rsidDel="00000000" w:rsidP="00000000" w:rsidRDefault="00000000" w:rsidRPr="00000000" w14:paraId="00000025">
      <w:pPr>
        <w:widowControl w:val="0"/>
        <w:spacing w:after="140" w:line="276" w:lineRule="auto"/>
        <w:ind w:left="720" w:firstLine="0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after="140" w:line="276" w:lineRule="auto"/>
        <w:ind w:left="720" w:hanging="360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¿Es óptima la búsqueda en anchura si los costes de las aristas no son uniformes (por ejemplo, algunas aristas cuestan 1 y otras 5)?</w:t>
      </w:r>
    </w:p>
    <w:p w:rsidR="00000000" w:rsidDel="00000000" w:rsidP="00000000" w:rsidRDefault="00000000" w:rsidRPr="00000000" w14:paraId="00000027">
      <w:pPr>
        <w:widowControl w:val="0"/>
        <w:spacing w:after="140" w:line="276" w:lineRule="auto"/>
        <w:ind w:left="720" w:firstLine="0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pacing w:after="140" w:line="276" w:lineRule="auto"/>
        <w:ind w:left="720" w:hanging="360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Cuando se devuelve un valor de un hijo a un padre en alfa-beta, ¿qué límites (α o β) se actualizan al nivel del padre?</w:t>
      </w:r>
    </w:p>
    <w:p w:rsidR="00000000" w:rsidDel="00000000" w:rsidP="00000000" w:rsidRDefault="00000000" w:rsidRPr="00000000" w14:paraId="00000029">
      <w:pPr>
        <w:widowControl w:val="0"/>
        <w:tabs>
          <w:tab w:val="left" w:leader="none" w:pos="0"/>
        </w:tabs>
        <w:spacing w:after="140" w:line="276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Pregunta 2 [2.5 puntos]</w:t>
      </w:r>
    </w:p>
    <w:p w:rsidR="00000000" w:rsidDel="00000000" w:rsidP="00000000" w:rsidRDefault="00000000" w:rsidRPr="00000000" w14:paraId="0000002B">
      <w:pPr>
        <w:spacing w:after="160" w:line="278.00000000000006" w:lineRule="auto"/>
        <w:jc w:val="both"/>
        <w:rPr>
          <w:rFonts w:ascii="Aptos" w:cs="Aptos" w:eastAsia="Aptos" w:hAnsi="Aptos"/>
          <w:color w:val="0000ff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 un sistema basado en reglas, supongamos que el hecho B no aparece en la base de hechos. Explica cómo se trataría esta situación bajo dos interpretaciones diferentes del conocimiento  (CWA/OWA) y cómo afectaría esto a la activación de una regla del tipo A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∧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¬B →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Pregunta 3 [2.5 puntos]</w:t>
      </w:r>
    </w:p>
    <w:p w:rsidR="00000000" w:rsidDel="00000000" w:rsidP="00000000" w:rsidRDefault="00000000" w:rsidRPr="00000000" w14:paraId="0000002F">
      <w:pPr>
        <w:spacing w:after="160" w:line="278.0000000000000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difuso definido en la PEC3 constaba de 2 bloques de reglas, B1 y B2. Las entradas de B1 eran VarA, VarB y VarC. Por otro lado las entradas de B2 eran la salida de B1, y VarD.</w:t>
      </w:r>
    </w:p>
    <w:p w:rsidR="00000000" w:rsidDel="00000000" w:rsidP="00000000" w:rsidRDefault="00000000" w:rsidRPr="00000000" w14:paraId="00000030">
      <w:pPr>
        <w:spacing w:after="160" w:line="278.0000000000000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esta división en dos bloques, entender el comportamiento global del sistema es complejo y los usuarios nos piden si se puede simplificar todo en un solo bloque de reglas manteniendo las 4 variables de entrada igual. </w:t>
      </w:r>
    </w:p>
    <w:p w:rsidR="00000000" w:rsidDel="00000000" w:rsidP="00000000" w:rsidRDefault="00000000" w:rsidRPr="00000000" w14:paraId="00000031">
      <w:pPr>
        <w:spacing w:after="160" w:line="278.0000000000000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Puedes razonar si podemos diseñar un nuevo sistema de reglas que tenga estas cuatro variables de entrada con una sola salida, y se comporte del mismo modo que el sistema original.</w:t>
      </w:r>
    </w:p>
    <w:p w:rsidR="00000000" w:rsidDel="00000000" w:rsidP="00000000" w:rsidRDefault="00000000" w:rsidRPr="00000000" w14:paraId="00000032">
      <w:pPr>
        <w:spacing w:after="20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Pregunta 4</w:t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 banco debe clasificar solicitudes de crédito como Aprobadas (A) o Rechazadas (R) basándose en tres atributos:</w:t>
      </w:r>
    </w:p>
    <w:tbl>
      <w:tblPr>
        <w:tblStyle w:val="Table2"/>
        <w:tblW w:w="6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1410"/>
        <w:gridCol w:w="1875"/>
        <w:gridCol w:w="1110"/>
        <w:gridCol w:w="1110"/>
        <w:tblGridChange w:id="0">
          <w:tblGrid>
            <w:gridCol w:w="495"/>
            <w:gridCol w:w="1410"/>
            <w:gridCol w:w="1875"/>
            <w:gridCol w:w="1110"/>
            <w:gridCol w:w="1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Ingresos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Historial 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Deuda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Excelente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Bueno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Bajos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Excelente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Bueno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Bajos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Excelente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a) Calcula la bondad de partición para cada atributo (Ingresos, Historial Crédito, Deuda) usando mayoría de clase. Muestra todos los conjuntos y ejemplos bien clasificados. [1 punto]</w:t>
      </w:r>
    </w:p>
    <w:p w:rsidR="00000000" w:rsidDel="00000000" w:rsidP="00000000" w:rsidRDefault="00000000" w:rsidRPr="00000000" w14:paraId="00000063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b) Selecciona el atributo raíz del árbol e indica si hay nodos terminales. [1 punto]</w:t>
      </w:r>
    </w:p>
    <w:p w:rsidR="00000000" w:rsidDel="00000000" w:rsidP="00000000" w:rsidRDefault="00000000" w:rsidRPr="00000000" w14:paraId="00000064">
      <w:pPr>
        <w:spacing w:after="240" w:before="24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c) ¿Cuál cree que es la principal ventaja de los árboles frente a kNN en un contexto bancario? [0.5 puntos]</w:t>
      </w:r>
      <w:r w:rsidDel="00000000" w:rsidR="00000000" w:rsidRPr="00000000">
        <w:rPr>
          <w:rtl w:val="0"/>
        </w:rPr>
      </w:r>
    </w:p>
    <w:sectPr>
      <w:type w:val="continuous"/>
      <w:pgSz w:h="16840" w:w="11907" w:orient="portrait"/>
      <w:pgMar w:bottom="1134" w:top="1134" w:left="1134" w:right="113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Courier New"/>
  <w:font w:name="Aptos"/>
  <w:font w:name="StoneSerif"/>
  <w:font w:name="UOC Sans"/>
  <w:font w:name="Noto Sans Symbols">
    <w:embedRegular w:fontKey="{00000000-0000-0000-0000-000000000000}" r:id="rId1" w:subsetted="0"/>
    <w:embedBold w:fontKey="{00000000-0000-0000-0000-000000000000}" r:id="rId2" w:subsetted="0"/>
  </w:font>
  <w:font w:name="Carli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Stone"/>
  <w:font w:name="Cambria Math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StoneSerif" w:cs="StoneSerif" w:eastAsia="StoneSerif" w:hAnsi="StoneSerif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-788351</wp:posOffset>
              </wp:positionH>
              <wp:positionV relativeFrom="paragraph">
                <wp:posOffset>-576896</wp:posOffset>
              </wp:positionV>
              <wp:extent cx="7667625" cy="9239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16950" y="3322800"/>
                        <a:ext cx="7658100" cy="914400"/>
                      </a:xfrm>
                      <a:prstGeom prst="rect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-788351</wp:posOffset>
              </wp:positionH>
              <wp:positionV relativeFrom="paragraph">
                <wp:posOffset>-576896</wp:posOffset>
              </wp:positionV>
              <wp:extent cx="7667625" cy="9239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67625" cy="923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359410</wp:posOffset>
          </wp:positionH>
          <wp:positionV relativeFrom="paragraph">
            <wp:posOffset>-572134</wp:posOffset>
          </wp:positionV>
          <wp:extent cx="5372100" cy="914400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72100" cy="9144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StoneSerif" w:cs="StoneSerif" w:eastAsia="StoneSerif" w:hAnsi="StoneSerif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Stone" w:cs="Stone" w:eastAsia="Stone" w:hAnsi="Stone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UOC Sans" w:cs="UOC Sans" w:eastAsia="UOC Sans" w:hAnsi="UOC Sans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Fonts w:ascii="UOC Sans" w:cs="UOC Sans" w:eastAsia="UOC Sans" w:hAnsi="UOC Sans"/>
        <w:b w:val="1"/>
        <w:bCs w:val="1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Prueba de síntesis </w:t>
    </w:r>
    <w:r w:rsidDel="00000000" w:rsidR="00000000" w:rsidRPr="00000000">
      <w:rPr>
        <w:rFonts w:ascii="UOC Sans" w:cs="UOC Sans" w:eastAsia="UOC Sans" w:hAnsi="UOC Sans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2025/26-2</w:t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Stone" w:cs="Stone" w:eastAsia="Stone" w:hAnsi="Ston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851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024"/>
      <w:gridCol w:w="1276"/>
      <w:gridCol w:w="1275"/>
      <w:gridCol w:w="1276"/>
      <w:tblGridChange w:id="0">
        <w:tblGrid>
          <w:gridCol w:w="6024"/>
          <w:gridCol w:w="1276"/>
          <w:gridCol w:w="1275"/>
          <w:gridCol w:w="1276"/>
        </w:tblGrid>
      </w:tblGridChange>
    </w:tblGrid>
    <w:tr>
      <w:trPr>
        <w:cantSplit w:val="0"/>
        <w:trHeight w:val="38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B">
          <w:pPr>
            <w:pStyle w:val="Heading5"/>
            <w:rPr/>
          </w:pPr>
          <w:r w:rsidDel="00000000" w:rsidR="00000000" w:rsidRPr="00000000">
            <w:rPr>
              <w:rtl w:val="0"/>
            </w:rPr>
            <w:t xml:space="preserve">Asignatura</w:t>
          </w:r>
        </w:p>
      </w:tc>
      <w:tc>
        <w:tcPr>
          <w:vAlign w:val="center"/>
        </w:tcPr>
        <w:p w:rsidR="00000000" w:rsidDel="00000000" w:rsidP="00000000" w:rsidRDefault="00000000" w:rsidRPr="00000000" w14:paraId="0000006C">
          <w:pPr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Código</w:t>
          </w:r>
        </w:p>
      </w:tc>
      <w:tc>
        <w:tcPr>
          <w:vAlign w:val="center"/>
        </w:tcPr>
        <w:p w:rsidR="00000000" w:rsidDel="00000000" w:rsidP="00000000" w:rsidRDefault="00000000" w:rsidRPr="00000000" w14:paraId="0000006D">
          <w:pPr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Fecha</w:t>
          </w:r>
        </w:p>
      </w:tc>
      <w:tc>
        <w:tcPr>
          <w:vAlign w:val="center"/>
        </w:tcPr>
        <w:p w:rsidR="00000000" w:rsidDel="00000000" w:rsidP="00000000" w:rsidRDefault="00000000" w:rsidRPr="00000000" w14:paraId="0000006E">
          <w:pPr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Hora inicio</w:t>
          </w:r>
        </w:p>
      </w:tc>
    </w:tr>
    <w:tr>
      <w:trPr>
        <w:cantSplit w:val="0"/>
        <w:trHeight w:val="27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F">
          <w:pPr>
            <w:rPr/>
          </w:pPr>
          <w:r w:rsidDel="00000000" w:rsidR="00000000" w:rsidRPr="00000000">
            <w:rPr>
              <w:rtl w:val="0"/>
            </w:rPr>
            <w:t xml:space="preserve">Inteligencia artificial</w:t>
          </w:r>
        </w:p>
      </w:tc>
      <w:tc>
        <w:tcPr>
          <w:vAlign w:val="center"/>
        </w:tcPr>
        <w:p w:rsidR="00000000" w:rsidDel="00000000" w:rsidP="00000000" w:rsidRDefault="00000000" w:rsidRPr="00000000" w14:paraId="00000070">
          <w:pPr>
            <w:rPr/>
          </w:pPr>
          <w:r w:rsidDel="00000000" w:rsidR="00000000" w:rsidRPr="00000000">
            <w:rPr>
              <w:rtl w:val="0"/>
            </w:rPr>
            <w:t xml:space="preserve">75.582</w:t>
          </w:r>
        </w:p>
      </w:tc>
      <w:tc>
        <w:tcPr>
          <w:vAlign w:val="center"/>
        </w:tcPr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17/06/2026</w:t>
          </w:r>
        </w:p>
      </w:tc>
      <w:tc>
        <w:tcPr>
          <w:vAlign w:val="center"/>
        </w:tcPr>
        <w:p w:rsidR="00000000" w:rsidDel="00000000" w:rsidP="00000000" w:rsidRDefault="00000000" w:rsidRPr="00000000" w14:paraId="00000072">
          <w:pPr>
            <w:rPr/>
          </w:pPr>
          <w:r w:rsidDel="00000000" w:rsidR="00000000" w:rsidRPr="00000000">
            <w:rPr>
              <w:rtl w:val="0"/>
            </w:rPr>
            <w:t xml:space="preserve">16:30</w:t>
          </w:r>
        </w:p>
      </w:tc>
    </w:tr>
  </w:tbl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StoneSerif" w:cs="StoneSerif" w:eastAsia="StoneSerif" w:hAnsi="StoneSerif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000000" w:space="1" w:sz="6" w:val="single"/>
      </w:pBdr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rFonts w:ascii="Stone" w:cs="Stone" w:eastAsia="Stone" w:hAnsi="Stone"/>
      <w:sz w:val="24"/>
      <w:szCs w:val="24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</w:pPr>
    <w:rPr>
      <w:b w:val="1"/>
      <w:bCs w:val="1"/>
      <w:color w:val="00000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rlito-regular.ttf"/><Relationship Id="rId4" Type="http://schemas.openxmlformats.org/officeDocument/2006/relationships/font" Target="fonts/Carlito-bold.ttf"/><Relationship Id="rId5" Type="http://schemas.openxmlformats.org/officeDocument/2006/relationships/font" Target="fonts/Carlito-italic.ttf"/><Relationship Id="rId6" Type="http://schemas.openxmlformats.org/officeDocument/2006/relationships/font" Target="fonts/Carlito-boldItalic.ttf"/><Relationship Id="rId7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UbSJ5b3U7DHwU5wlVuIywTBa/g==">CgMxLjAyDmguaDVoMngxb2g1MGozMg9pZC5ybXg0ZXl5YzFzc20yD2lkLjU3eTJpb2czdzVyYjIPaWQuZXVvYzE3OG13Z3FyMg9pZC5qM21yNXVlbW0wZmU4AHIhMWRrbWx4ektBUy16UVRtME02aFpvVEdiRmlvUjNLczFY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