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Administración y Gestión de Organizaciones </w:t>
      </w:r>
    </w:p>
    <w:p w:rsidR="00000000" w:rsidDel="00000000" w:rsidP="00000000" w:rsidRDefault="00000000" w:rsidRPr="00000000" w14:paraId="00000002">
      <w:pPr>
        <w:pStyle w:val="Title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PEC4/Reto4 - Datos, organizaciones y resiliencia</w:t>
      </w:r>
    </w:p>
    <w:p w:rsidR="00000000" w:rsidDel="00000000" w:rsidP="00000000" w:rsidRDefault="00000000" w:rsidRPr="00000000" w14:paraId="00000003">
      <w:pPr>
        <w:jc w:val="both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80" w:before="80" w:lineRule="auto"/>
        <w:jc w:val="both"/>
        <w:rPr>
          <w:b w:val="1"/>
          <w:color w:val="0051ba"/>
        </w:rPr>
      </w:pPr>
      <w:r w:rsidDel="00000000" w:rsidR="00000000" w:rsidRPr="00000000">
        <w:rPr>
          <w:b w:val="1"/>
          <w:color w:val="0051ba"/>
          <w:rtl w:val="0"/>
        </w:rPr>
        <w:t xml:space="preserve">Presentación</w:t>
      </w:r>
    </w:p>
    <w:p w:rsidR="00000000" w:rsidDel="00000000" w:rsidP="00000000" w:rsidRDefault="00000000" w:rsidRPr="00000000" w14:paraId="0000000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color w:val="202124"/>
          <w:sz w:val="20"/>
          <w:szCs w:val="20"/>
        </w:rPr>
      </w:pPr>
      <w:r w:rsidDel="00000000" w:rsidR="00000000" w:rsidRPr="00000000">
        <w:rPr>
          <w:color w:val="202124"/>
          <w:sz w:val="20"/>
          <w:szCs w:val="20"/>
          <w:rtl w:val="0"/>
        </w:rPr>
        <w:t xml:space="preserve">Esta es la PEC que aborda, tal y como se ha desarrollado en el plan docente, las competencias y contenidos correspondientes al Reto 4 de la asignatura denominado Datos, organizaciones y resiliencia.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80" w:lineRule="auto"/>
        <w:jc w:val="both"/>
        <w:rPr>
          <w:color w:val="75757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80" w:before="80" w:lineRule="auto"/>
        <w:jc w:val="both"/>
        <w:rPr>
          <w:b w:val="1"/>
          <w:color w:val="0051ba"/>
        </w:rPr>
      </w:pPr>
      <w:r w:rsidDel="00000000" w:rsidR="00000000" w:rsidRPr="00000000">
        <w:rPr>
          <w:b w:val="1"/>
          <w:color w:val="0051ba"/>
          <w:rtl w:val="0"/>
        </w:rPr>
        <w:t xml:space="preserve">Competencias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80" w:lineRule="auto"/>
        <w:jc w:val="both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Del conjunto de competencias abordadas en la asignatura y que se detallan en el plan docente, las que se trabajan en esta PEC son: </w:t>
      </w:r>
    </w:p>
    <w:p w:rsidR="00000000" w:rsidDel="00000000" w:rsidP="00000000" w:rsidRDefault="00000000" w:rsidRPr="00000000" w14:paraId="00000009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afterAutospacing="0" w:before="80" w:lineRule="auto"/>
        <w:ind w:left="360" w:hanging="360"/>
        <w:jc w:val="both"/>
        <w:rPr>
          <w:color w:val="000000"/>
          <w:sz w:val="20"/>
          <w:szCs w:val="20"/>
          <w:u w:val="none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C6. Capacidad para identificar el papel que juegan las TIC en las organizaciones.</w:t>
      </w:r>
    </w:p>
    <w:p w:rsidR="00000000" w:rsidDel="00000000" w:rsidP="00000000" w:rsidRDefault="00000000" w:rsidRPr="00000000" w14:paraId="0000000A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0" w:beforeAutospacing="0" w:lineRule="auto"/>
        <w:ind w:left="360" w:hanging="360"/>
        <w:jc w:val="both"/>
        <w:rPr>
          <w:color w:val="000000"/>
          <w:sz w:val="20"/>
          <w:szCs w:val="20"/>
          <w:u w:val="none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CGEC. Actuar de manera honesta, ética, sostenible, socialmente responsable y respetuosa con los derechos humanos y la diversidad, tanto en la práctica académica como en la profesional.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80" w:lineRule="auto"/>
        <w:ind w:left="720" w:firstLine="0"/>
        <w:jc w:val="both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80" w:before="0" w:lineRule="auto"/>
        <w:jc w:val="both"/>
        <w:rPr>
          <w:b w:val="1"/>
          <w:color w:val="0051ba"/>
        </w:rPr>
      </w:pPr>
      <w:r w:rsidDel="00000000" w:rsidR="00000000" w:rsidRPr="00000000">
        <w:rPr>
          <w:b w:val="1"/>
          <w:color w:val="0051ba"/>
          <w:rtl w:val="0"/>
        </w:rPr>
        <w:t xml:space="preserve">Objetivos</w:t>
      </w:r>
    </w:p>
    <w:p w:rsidR="00000000" w:rsidDel="00000000" w:rsidP="00000000" w:rsidRDefault="00000000" w:rsidRPr="00000000" w14:paraId="0000000D">
      <w:pPr>
        <w:spacing w:after="120" w:lineRule="auto"/>
        <w:jc w:val="both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Comprender los conceptos introducidos en el módulo y saberlos identificar o aplicar a problemas teóricos y situaciones que emulen la realidad.</w:t>
      </w:r>
    </w:p>
    <w:p w:rsidR="00000000" w:rsidDel="00000000" w:rsidP="00000000" w:rsidRDefault="00000000" w:rsidRPr="00000000" w14:paraId="0000000E">
      <w:pPr>
        <w:spacing w:after="120" w:lineRule="auto"/>
        <w:jc w:val="both"/>
        <w:rPr>
          <w:color w:val="75757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80" w:before="80" w:lineRule="auto"/>
        <w:jc w:val="both"/>
        <w:rPr>
          <w:b w:val="1"/>
          <w:color w:val="0051ba"/>
        </w:rPr>
      </w:pPr>
      <w:r w:rsidDel="00000000" w:rsidR="00000000" w:rsidRPr="00000000">
        <w:rPr>
          <w:b w:val="1"/>
          <w:color w:val="0051ba"/>
          <w:rtl w:val="0"/>
        </w:rPr>
        <w:t xml:space="preserve">Resolución de la PEC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before="80" w:lineRule="auto"/>
        <w:jc w:val="both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Para resolver con éxito esta PEC es necesario seguir el ciclo metodológico indicado en el plan docente: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before="80" w:lineRule="auto"/>
        <w:ind w:left="360" w:hanging="360"/>
        <w:jc w:val="both"/>
        <w:rPr>
          <w:color w:val="000000"/>
          <w:sz w:val="20"/>
          <w:szCs w:val="20"/>
          <w:u w:val="none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Leer las indicaciones de la Guía de Aprendizaje para el módulo y sus recursos de aprendizaje correspondientes.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before="0" w:lineRule="auto"/>
        <w:ind w:left="360" w:hanging="360"/>
        <w:jc w:val="both"/>
        <w:rPr>
          <w:color w:val="000000"/>
          <w:sz w:val="20"/>
          <w:szCs w:val="20"/>
          <w:u w:val="none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Leer, comprender y estudiar los recursos de aprendizaje correspondientes, siguiendo las indicaciones de la Guía de Aprendizaje.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before="0" w:lineRule="auto"/>
        <w:ind w:left="360" w:hanging="360"/>
        <w:jc w:val="both"/>
        <w:rPr>
          <w:color w:val="000000"/>
          <w:sz w:val="20"/>
          <w:szCs w:val="20"/>
          <w:u w:val="none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Iniciar la resolución de la PEC a partir:</w:t>
      </w:r>
    </w:p>
    <w:p w:rsidR="00000000" w:rsidDel="00000000" w:rsidP="00000000" w:rsidRDefault="00000000" w:rsidRPr="00000000" w14:paraId="00000014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afterAutospacing="0" w:before="80" w:lineRule="auto"/>
        <w:ind w:left="720" w:hanging="360"/>
        <w:jc w:val="both"/>
        <w:rPr>
          <w:color w:val="000000"/>
          <w:sz w:val="20"/>
          <w:szCs w:val="20"/>
          <w:u w:val="none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De lo que se habrá aprendido en los recursos de aprendizaje.</w:t>
      </w:r>
    </w:p>
    <w:p w:rsidR="00000000" w:rsidDel="00000000" w:rsidP="00000000" w:rsidRDefault="00000000" w:rsidRPr="00000000" w14:paraId="00000015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0" w:beforeAutospacing="0" w:lineRule="auto"/>
        <w:ind w:left="720" w:hanging="360"/>
        <w:jc w:val="both"/>
        <w:rPr>
          <w:color w:val="000000"/>
          <w:sz w:val="20"/>
          <w:szCs w:val="20"/>
          <w:u w:val="none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De las posibles indicaciones que dé el profesor vía Anuncios.</w:t>
      </w:r>
    </w:p>
    <w:p w:rsidR="00000000" w:rsidDel="00000000" w:rsidP="00000000" w:rsidRDefault="00000000" w:rsidRPr="00000000" w14:paraId="00000016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before="0" w:lineRule="auto"/>
        <w:ind w:left="720" w:hanging="360"/>
        <w:jc w:val="both"/>
        <w:rPr>
          <w:color w:val="000000"/>
          <w:sz w:val="20"/>
          <w:szCs w:val="20"/>
          <w:u w:val="none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De aquella información adicional que el estudiante deba obtener a partir de la bibliografía o de otras fuentes que acceda por su cuenta.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80" w:lineRule="auto"/>
        <w:ind w:left="360" w:hanging="360"/>
        <w:jc w:val="both"/>
        <w:rPr>
          <w:color w:val="000000"/>
          <w:sz w:val="20"/>
          <w:szCs w:val="20"/>
          <w:u w:val="none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Compartir dudas o sugerencias mediante el foro y / o el buzón del profesor.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80" w:lineRule="auto"/>
        <w:jc w:val="both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80" w:before="80" w:lineRule="auto"/>
        <w:jc w:val="both"/>
        <w:rPr>
          <w:b w:val="1"/>
          <w:color w:val="0051ba"/>
        </w:rPr>
      </w:pPr>
      <w:r w:rsidDel="00000000" w:rsidR="00000000" w:rsidRPr="00000000">
        <w:rPr>
          <w:b w:val="1"/>
          <w:color w:val="0051ba"/>
          <w:rtl w:val="0"/>
        </w:rPr>
        <w:t xml:space="preserve">Recursos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80" w:lineRule="auto"/>
        <w:jc w:val="both"/>
        <w:rPr>
          <w:b w:val="1"/>
          <w:color w:val="0051ba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Los recursos básicos para desarrollar esta PEC son los recursos de aprendizaje asociados al Reto 4 que se encuentran en el aula. La utilización de recursos complementarios puede ser necesaria en función de las necesidades del estudiante. En la Guía de Aprendizaje y en el espacio del aula </w:t>
      </w:r>
      <w:r w:rsidDel="00000000" w:rsidR="00000000" w:rsidRPr="00000000">
        <w:rPr>
          <w:i w:val="1"/>
          <w:color w:val="000000"/>
          <w:sz w:val="20"/>
          <w:szCs w:val="20"/>
          <w:rtl w:val="0"/>
        </w:rPr>
        <w:t xml:space="preserve">Contenidos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el estudiante encontrará el acceso a la bibliografía recomendada, a otras fuentes de información y herramientas de soporte adicional. En el caso de utilizar fuentes externas es imprescindible referenciarlas adecuadamente.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80" w:before="80" w:lineRule="auto"/>
        <w:jc w:val="both"/>
        <w:rPr>
          <w:b w:val="1"/>
          <w:color w:val="0051b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80" w:before="80" w:lineRule="auto"/>
        <w:jc w:val="both"/>
        <w:rPr>
          <w:b w:val="1"/>
          <w:color w:val="0051ba"/>
        </w:rPr>
      </w:pPr>
      <w:r w:rsidDel="00000000" w:rsidR="00000000" w:rsidRPr="00000000">
        <w:rPr>
          <w:b w:val="1"/>
          <w:color w:val="0051ba"/>
          <w:rtl w:val="0"/>
        </w:rPr>
        <w:t xml:space="preserve">Criterios de valoración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80" w:lineRule="auto"/>
        <w:jc w:val="both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La puntuación de cada pregunta se indica en cada enunciado. Se valorará principalmente la corrección de las respuestas, la capacidad de razonamiento o de justificación, y la capacidad de síntesis, así como la consecución de los objetivos y competencias de la asignatura con relación a esta PEC; pero también la corrección formal de las respuestas y, si aplica, su claridad discursiva o de desarrollo.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80" w:lineRule="auto"/>
        <w:jc w:val="both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80" w:before="80" w:lineRule="auto"/>
        <w:jc w:val="both"/>
        <w:rPr>
          <w:b w:val="1"/>
          <w:color w:val="0051ba"/>
        </w:rPr>
      </w:pPr>
      <w:r w:rsidDel="00000000" w:rsidR="00000000" w:rsidRPr="00000000">
        <w:rPr>
          <w:b w:val="1"/>
          <w:color w:val="0051ba"/>
          <w:rtl w:val="0"/>
        </w:rPr>
        <w:t xml:space="preserve">Formato y fecha de entrega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La entrega de las respuestas debe realizarse en la pestaña del aula denominada Entrega de Actividades, en un fichero o conjunto de ficheros .pdf, .doc, .rtf, o .odt. No es necesario que dicho archivo contenga los enunciados. Al pie de página escribís vuestro nombre completo y el número total de páginas que contiene la respuesta.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El nombre del fichero es irrelevante porque el Registro de Evaluación Continuada lo asigna automáticamente.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80" w:lineRule="auto"/>
        <w:jc w:val="both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80" w:lineRule="auto"/>
        <w:jc w:val="both"/>
        <w:rPr>
          <w:b w:val="1"/>
          <w:color w:val="000000"/>
          <w:sz w:val="20"/>
          <w:szCs w:val="20"/>
        </w:rPr>
      </w:pP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La fecha límite de entrega son las 24 horas del día 27 de diciembre de 2024. 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80" w:lineRule="auto"/>
        <w:jc w:val="both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Las soluciones de la PEC4 aparecerán en el aula el día 30 de diciembre de 2024.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80" w:lineRule="auto"/>
        <w:jc w:val="both"/>
        <w:rPr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before="80" w:lineRule="auto"/>
        <w:jc w:val="both"/>
        <w:rPr>
          <w:b w:val="1"/>
          <w:color w:val="000000"/>
          <w:sz w:val="20"/>
          <w:szCs w:val="20"/>
        </w:rPr>
      </w:pPr>
      <w:r w:rsidDel="00000000" w:rsidR="00000000" w:rsidRPr="00000000">
        <w:rPr>
          <w:b w:val="1"/>
          <w:color w:val="0051ba"/>
          <w:rtl w:val="0"/>
        </w:rPr>
        <w:t xml:space="preserve">Enunciado de la PEC </w:t>
      </w:r>
      <w:r w:rsidDel="00000000" w:rsidR="00000000" w:rsidRPr="00000000">
        <w:rPr>
          <w:rtl w:val="0"/>
        </w:rPr>
      </w:r>
    </w:p>
    <w:tbl>
      <w:tblPr>
        <w:tblStyle w:val="Table1"/>
        <w:tblW w:w="9629.0" w:type="dxa"/>
        <w:jc w:val="left"/>
        <w:tblInd w:w="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629"/>
        <w:tblGridChange w:id="0">
          <w:tblGrid>
            <w:gridCol w:w="9629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Recuerda que la capacidad de razonamiento y de síntesis se tendrán en cuenta en la valoración de las cuestiones planteadas. </w:t>
            </w:r>
          </w:p>
        </w:tc>
      </w:tr>
    </w:tbl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color w:val="ff000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79" w:before="79" w:line="240" w:lineRule="auto"/>
        <w:jc w:val="both"/>
        <w:rPr>
          <w:b w:val="1"/>
          <w:color w:val="000000"/>
          <w:sz w:val="24"/>
          <w:szCs w:val="24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79" w:before="79" w:line="240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u w:val="single"/>
          <w:rtl w:val="0"/>
        </w:rPr>
        <w:t xml:space="preserve">PREGUNTA TEÓRICA (3 puntos) </w:t>
      </w:r>
      <w:r w:rsidDel="00000000" w:rsidR="00000000" w:rsidRPr="00000000">
        <w:rPr>
          <w:b w:val="1"/>
          <w:color w:val="000000"/>
          <w:u w:val="single"/>
          <w:rtl w:val="0"/>
        </w:rPr>
        <w:t xml:space="preserve">No está permitido el uso de la IA.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79" w:before="79" w:line="240" w:lineRule="auto"/>
        <w:jc w:val="both"/>
        <w:rPr>
          <w:b w:val="1"/>
          <w:color w:val="000000"/>
          <w:sz w:val="20"/>
          <w:szCs w:val="20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79" w:before="79" w:line="240" w:lineRule="auto"/>
        <w:jc w:val="both"/>
        <w:rPr>
          <w:b w:val="1"/>
          <w:color w:val="000000"/>
          <w:sz w:val="20"/>
          <w:szCs w:val="20"/>
          <w:u w:val="single"/>
        </w:rPr>
      </w:pPr>
      <w:r w:rsidDel="00000000" w:rsidR="00000000" w:rsidRPr="00000000">
        <w:rPr>
          <w:b w:val="1"/>
          <w:color w:val="000000"/>
          <w:sz w:val="20"/>
          <w:szCs w:val="20"/>
          <w:highlight w:val="white"/>
          <w:u w:val="single"/>
          <w:rtl w:val="0"/>
        </w:rPr>
        <w:t xml:space="preserve">PREGUNTA 1 (3 puntos) </w:t>
      </w:r>
      <w:r w:rsidDel="00000000" w:rsidR="00000000" w:rsidRPr="00000000">
        <w:rPr>
          <w:b w:val="1"/>
          <w:color w:val="000000"/>
          <w:sz w:val="20"/>
          <w:szCs w:val="20"/>
          <w:u w:val="single"/>
          <w:rtl w:val="0"/>
        </w:rPr>
        <w:t xml:space="preserve">No está permitido el uso de la IA.</w:t>
      </w:r>
    </w:p>
    <w:p w:rsidR="00000000" w:rsidDel="00000000" w:rsidP="00000000" w:rsidRDefault="00000000" w:rsidRPr="00000000" w14:paraId="0000002F">
      <w:pPr>
        <w:jc w:val="both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both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A partir de la información del enlace </w:t>
      </w:r>
      <w:hyperlink r:id="rId7">
        <w:r w:rsidDel="00000000" w:rsidR="00000000" w:rsidRPr="00000000">
          <w:rPr>
            <w:color w:val="0000ff"/>
            <w:sz w:val="20"/>
            <w:szCs w:val="20"/>
            <w:u w:val="single"/>
            <w:rtl w:val="0"/>
          </w:rPr>
          <w:t xml:space="preserve">https://www.incibe.es/incibe-cert/sectores-estrategicos/FAQNIS2</w:t>
        </w:r>
      </w:hyperlink>
      <w:r w:rsidDel="00000000" w:rsidR="00000000" w:rsidRPr="00000000">
        <w:rPr>
          <w:color w:val="000000"/>
          <w:sz w:val="20"/>
          <w:szCs w:val="20"/>
          <w:rtl w:val="0"/>
        </w:rPr>
        <w:t xml:space="preserve">, responde a las siguientes cuestiones sobre la nueva directiva europea NIS2 de ciberseguridad: </w:t>
      </w:r>
    </w:p>
    <w:p w:rsidR="00000000" w:rsidDel="00000000" w:rsidP="00000000" w:rsidRDefault="00000000" w:rsidRPr="00000000" w14:paraId="00000031">
      <w:pPr>
        <w:jc w:val="both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spacing w:after="0" w:lineRule="auto"/>
        <w:ind w:left="360" w:hanging="360"/>
        <w:jc w:val="both"/>
        <w:rPr>
          <w:color w:val="000000"/>
          <w:sz w:val="20"/>
          <w:szCs w:val="20"/>
          <w:u w:val="none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¿Qué es NIS2 y cuándo entra en vigor? ¿El incumplimiento de NIS2 podría incurrir en sanciones? (0,6 puntos)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79" w:before="0" w:line="240" w:lineRule="auto"/>
        <w:jc w:val="both"/>
        <w:rPr>
          <w:b w:val="1"/>
          <w:color w:val="000000"/>
          <w:sz w:val="20"/>
          <w:szCs w:val="20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2"/>
        </w:numPr>
        <w:spacing w:after="0" w:lineRule="auto"/>
        <w:ind w:left="360" w:hanging="360"/>
        <w:jc w:val="both"/>
        <w:rPr>
          <w:sz w:val="20"/>
          <w:szCs w:val="20"/>
          <w:u w:val="none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¿Aplicaría NIS2 a una empresa Data Center con servicios de IaaS formada por 60 personas con una facturación de 65 millones de euros? (0,6 puntos)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79" w:before="79" w:line="240" w:lineRule="auto"/>
        <w:jc w:val="both"/>
        <w:rPr>
          <w:b w:val="1"/>
          <w:color w:val="0070c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12"/>
        </w:numPr>
        <w:spacing w:after="0" w:before="79" w:line="276" w:lineRule="auto"/>
        <w:ind w:left="360" w:hanging="360"/>
        <w:jc w:val="both"/>
        <w:rPr>
          <w:u w:val="none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¿La aplicación de la Directiva NIS2 es la misma para las entidades esenciales y para las entidades importantes?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(0.6 puntos)</w:t>
      </w:r>
    </w:p>
    <w:p w:rsidR="00000000" w:rsidDel="00000000" w:rsidP="00000000" w:rsidRDefault="00000000" w:rsidRPr="00000000" w14:paraId="00000037">
      <w:pPr>
        <w:spacing w:after="0" w:before="79" w:line="276" w:lineRule="auto"/>
        <w:ind w:left="0" w:firstLine="0"/>
        <w:jc w:val="both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12"/>
        </w:numPr>
        <w:ind w:left="360"/>
        <w:jc w:val="both"/>
        <w:rPr>
          <w:sz w:val="20"/>
          <w:szCs w:val="20"/>
          <w:u w:val="none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¿Hay algún caso en el que a una pequeña empresa le aplicaría NIS2? (0.6 puntos)</w:t>
      </w:r>
    </w:p>
    <w:p w:rsidR="00000000" w:rsidDel="00000000" w:rsidP="00000000" w:rsidRDefault="00000000" w:rsidRPr="00000000" w14:paraId="00000039">
      <w:pPr>
        <w:ind w:left="360" w:firstLine="0"/>
        <w:jc w:val="both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12"/>
        </w:numPr>
        <w:spacing w:after="79" w:before="79" w:line="240" w:lineRule="auto"/>
        <w:ind w:left="360" w:hanging="360"/>
        <w:jc w:val="both"/>
        <w:rPr>
          <w:sz w:val="20"/>
          <w:szCs w:val="20"/>
          <w:u w:val="none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¿A qué está obligada una empresa que le afecta NIS2 (0,6 puntos)</w:t>
      </w:r>
    </w:p>
    <w:p w:rsidR="00000000" w:rsidDel="00000000" w:rsidP="00000000" w:rsidRDefault="00000000" w:rsidRPr="00000000" w14:paraId="0000003B">
      <w:pPr>
        <w:spacing w:after="0" w:before="0" w:line="240" w:lineRule="auto"/>
        <w:jc w:val="both"/>
        <w:rPr>
          <w:color w:val="000000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79" w:before="79" w:line="240" w:lineRule="auto"/>
        <w:jc w:val="both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80" w:before="80" w:lineRule="auto"/>
        <w:jc w:val="both"/>
        <w:rPr>
          <w:b w:val="1"/>
          <w:color w:val="000000"/>
          <w:sz w:val="24"/>
          <w:szCs w:val="24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80" w:before="80" w:lineRule="auto"/>
        <w:jc w:val="both"/>
        <w:rPr>
          <w:b w:val="1"/>
          <w:color w:val="000000"/>
          <w:sz w:val="24"/>
          <w:szCs w:val="24"/>
          <w:u w:val="single"/>
        </w:rPr>
      </w:pPr>
      <w:r w:rsidDel="00000000" w:rsidR="00000000" w:rsidRPr="00000000">
        <w:rPr>
          <w:b w:val="1"/>
          <w:color w:val="000000"/>
          <w:sz w:val="24"/>
          <w:szCs w:val="24"/>
          <w:u w:val="single"/>
          <w:rtl w:val="0"/>
        </w:rPr>
        <w:t xml:space="preserve">PREGUNTAS TEST (2 puntos: 0,5 puntos / pregunta) No está permitido el uso de la IA.</w:t>
      </w:r>
    </w:p>
    <w:tbl>
      <w:tblPr>
        <w:tblStyle w:val="Table2"/>
        <w:tblW w:w="9776.0" w:type="dxa"/>
        <w:jc w:val="left"/>
        <w:tblInd w:w="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776"/>
        <w:tblGridChange w:id="0">
          <w:tblGrid>
            <w:gridCol w:w="977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F">
            <w:pPr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Este test está formado por 4 preguntas en las que sólo hay una respuesta correcta. Intenta entender los conceptos y aspectos que se plantean para una mejor comprensión del contenido de los recursos docentes. Utiliza la tabla adjunta para indicar las respuestas.</w:t>
            </w:r>
          </w:p>
        </w:tc>
      </w:tr>
    </w:tbl>
    <w:p w:rsidR="00000000" w:rsidDel="00000000" w:rsidP="00000000" w:rsidRDefault="00000000" w:rsidRPr="00000000" w14:paraId="00000040">
      <w:pPr>
        <w:jc w:val="both"/>
        <w:rPr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both"/>
        <w:rPr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4889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221"/>
        <w:gridCol w:w="1222"/>
        <w:gridCol w:w="1223"/>
        <w:gridCol w:w="1223"/>
        <w:tblGridChange w:id="0">
          <w:tblGrid>
            <w:gridCol w:w="1221"/>
            <w:gridCol w:w="1222"/>
            <w:gridCol w:w="1223"/>
            <w:gridCol w:w="1223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6">
            <w:pPr>
              <w:spacing w:line="360" w:lineRule="auto"/>
              <w:jc w:val="center"/>
              <w:rPr>
                <w:b w:val="1"/>
                <w:color w:val="4472c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spacing w:line="360" w:lineRule="auto"/>
              <w:jc w:val="center"/>
              <w:rPr>
                <w:b w:val="1"/>
                <w:color w:val="4472c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spacing w:line="360" w:lineRule="auto"/>
              <w:jc w:val="center"/>
              <w:rPr>
                <w:b w:val="1"/>
                <w:color w:val="4472c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spacing w:line="360" w:lineRule="auto"/>
              <w:jc w:val="center"/>
              <w:rPr>
                <w:b w:val="1"/>
                <w:color w:val="4472c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A">
      <w:pPr>
        <w:spacing w:after="12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59" w:lineRule="auto"/>
        <w:ind w:left="36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</w:rPr>
      </w:pPr>
      <w:bookmarkStart w:colFirst="0" w:colLast="0" w:name="_heading=h.2et92p0" w:id="1"/>
      <w:bookmarkEnd w:id="1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¿Cuál de las siguientes afirmaciones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single"/>
          <w:vertAlign w:val="baseline"/>
          <w:rtl w:val="0"/>
        </w:rPr>
        <w:t xml:space="preserve">es falsa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?:</w:t>
      </w:r>
    </w:p>
    <w:p w:rsidR="00000000" w:rsidDel="00000000" w:rsidP="00000000" w:rsidRDefault="00000000" w:rsidRPr="00000000" w14:paraId="0000004C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jc w:val="both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El plan de continuidad de negocio es de carácter voluntario para las empresas.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jc w:val="both"/>
        <w:rPr>
          <w:color w:val="000000"/>
          <w:sz w:val="4"/>
          <w:szCs w:val="4"/>
        </w:rPr>
      </w:pPr>
      <w:r w:rsidDel="00000000" w:rsidR="00000000" w:rsidRPr="00000000">
        <w:rPr>
          <w:color w:val="000000"/>
          <w:sz w:val="4"/>
          <w:szCs w:val="4"/>
          <w:rtl w:val="0"/>
        </w:rPr>
        <w:t xml:space="preserve"> </w:t>
      </w:r>
    </w:p>
    <w:p w:rsidR="00000000" w:rsidDel="00000000" w:rsidP="00000000" w:rsidRDefault="00000000" w:rsidRPr="00000000" w14:paraId="0000004E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jc w:val="both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Es necesario que los responsables de la empresa y el personal técnico conozcan el plan de continuidad del negocio. </w:t>
      </w:r>
    </w:p>
    <w:p w:rsidR="00000000" w:rsidDel="00000000" w:rsidP="00000000" w:rsidRDefault="00000000" w:rsidRPr="00000000" w14:paraId="0000004F">
      <w:pPr>
        <w:ind w:left="720" w:firstLine="0"/>
        <w:jc w:val="both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4"/>
          <w:szCs w:val="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jc w:val="both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El Plan de crisis documenta la respuesta a la contingencia. A partir de las estrategias de recuperación escogidas, se seleccionan e implementan las iniciativas necesarias.</w:t>
      </w:r>
    </w:p>
    <w:p w:rsidR="00000000" w:rsidDel="00000000" w:rsidP="00000000" w:rsidRDefault="00000000" w:rsidRPr="00000000" w14:paraId="00000051">
      <w:pPr>
        <w:ind w:left="720" w:firstLine="0"/>
        <w:jc w:val="both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4"/>
          <w:szCs w:val="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jc w:val="both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Las cuatro fases principales de la gestión de las crisis y desastres son variación, recuperación, prevención y sanción.</w:t>
      </w:r>
    </w:p>
    <w:p w:rsidR="00000000" w:rsidDel="00000000" w:rsidP="00000000" w:rsidRDefault="00000000" w:rsidRPr="00000000" w14:paraId="00000053">
      <w:pPr>
        <w:spacing w:after="120" w:line="259" w:lineRule="auto"/>
        <w:ind w:left="720" w:firstLine="0"/>
        <w:jc w:val="both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¿Cuál de las siguientes afirmaciones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single"/>
          <w:vertAlign w:val="baseline"/>
          <w:rtl w:val="0"/>
        </w:rPr>
        <w:t xml:space="preserve">es falsa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?:</w:t>
      </w:r>
    </w:p>
    <w:p w:rsidR="00000000" w:rsidDel="00000000" w:rsidP="00000000" w:rsidRDefault="00000000" w:rsidRPr="00000000" w14:paraId="00000055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jc w:val="both"/>
        <w:rPr>
          <w:color w:val="000000"/>
          <w:sz w:val="20"/>
          <w:szCs w:val="20"/>
          <w:highlight w:val="white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Los datos son hechos objetivos sobre acontecimientos, que no tienen un significado inherente por sí mismos y que no han sido seleccionados ni procesados.</w:t>
      </w:r>
      <w:r w:rsidDel="00000000" w:rsidR="00000000" w:rsidRPr="00000000">
        <w:rPr>
          <w:color w:val="000000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56">
      <w:pPr>
        <w:ind w:left="720" w:firstLine="0"/>
        <w:jc w:val="both"/>
        <w:rPr>
          <w:color w:val="000000"/>
          <w:sz w:val="20"/>
          <w:szCs w:val="20"/>
          <w:highlight w:val="white"/>
        </w:rPr>
      </w:pPr>
      <w:r w:rsidDel="00000000" w:rsidR="00000000" w:rsidRPr="00000000">
        <w:rPr>
          <w:color w:val="000000"/>
          <w:sz w:val="4"/>
          <w:szCs w:val="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jc w:val="both"/>
        <w:rPr>
          <w:color w:val="000000"/>
          <w:sz w:val="20"/>
          <w:szCs w:val="20"/>
          <w:highlight w:val="white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Los activos intangibles como son los datos y la información, tienen como activos un potencial para aportar valor en un contexto organizativo, pero también son susceptibles de restar valor</w:t>
      </w:r>
      <w:r w:rsidDel="00000000" w:rsidR="00000000" w:rsidRPr="00000000">
        <w:rPr>
          <w:color w:val="000000"/>
          <w:sz w:val="20"/>
          <w:szCs w:val="20"/>
          <w:highlight w:val="white"/>
          <w:rtl w:val="0"/>
        </w:rPr>
        <w:t xml:space="preserve">. </w:t>
      </w:r>
    </w:p>
    <w:p w:rsidR="00000000" w:rsidDel="00000000" w:rsidP="00000000" w:rsidRDefault="00000000" w:rsidRPr="00000000" w14:paraId="00000058">
      <w:pPr>
        <w:ind w:left="720" w:firstLine="0"/>
        <w:jc w:val="both"/>
        <w:rPr>
          <w:color w:val="000000"/>
          <w:sz w:val="20"/>
          <w:szCs w:val="20"/>
          <w:highlight w:val="white"/>
        </w:rPr>
      </w:pPr>
      <w:r w:rsidDel="00000000" w:rsidR="00000000" w:rsidRPr="00000000">
        <w:rPr>
          <w:color w:val="000000"/>
          <w:sz w:val="4"/>
          <w:szCs w:val="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jc w:val="both"/>
        <w:rPr>
          <w:color w:val="000000"/>
          <w:sz w:val="20"/>
          <w:szCs w:val="20"/>
          <w:highlight w:val="white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Los datos no son demasiado útiles en la toma de decisiones, ya que la toma de decisiones es más efectiva y rápida cuanto menor es el nivel de datos.</w:t>
      </w:r>
    </w:p>
    <w:p w:rsidR="00000000" w:rsidDel="00000000" w:rsidP="00000000" w:rsidRDefault="00000000" w:rsidRPr="00000000" w14:paraId="0000005A">
      <w:pPr>
        <w:ind w:left="720" w:firstLine="0"/>
        <w:jc w:val="both"/>
        <w:rPr>
          <w:b w:val="1"/>
          <w:color w:val="0070c0"/>
          <w:sz w:val="20"/>
          <w:szCs w:val="20"/>
        </w:rPr>
      </w:pPr>
      <w:r w:rsidDel="00000000" w:rsidR="00000000" w:rsidRPr="00000000">
        <w:rPr>
          <w:color w:val="000000"/>
          <w:sz w:val="4"/>
          <w:szCs w:val="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jc w:val="both"/>
        <w:rPr>
          <w:color w:val="000000"/>
          <w:sz w:val="20"/>
          <w:szCs w:val="20"/>
          <w:highlight w:val="white"/>
        </w:rPr>
      </w:pPr>
      <w:r w:rsidDel="00000000" w:rsidR="00000000" w:rsidRPr="00000000">
        <w:rPr>
          <w:color w:val="000000"/>
          <w:sz w:val="20"/>
          <w:szCs w:val="20"/>
          <w:highlight w:val="white"/>
          <w:rtl w:val="0"/>
        </w:rPr>
        <w:t xml:space="preserve">U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na gobernanza inteligente se basa en el uso de grandes cantidades de datos que la administración pública genera y recaba en el desarrollo de sus actividades y en sus relaciones con la ciudadanía y las empresas.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jc w:val="both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Rule="auto"/>
        <w:ind w:left="426" w:hanging="360"/>
        <w:jc w:val="both"/>
        <w:rPr>
          <w:color w:val="000000"/>
          <w:sz w:val="20"/>
          <w:szCs w:val="20"/>
          <w:highlight w:val="white"/>
        </w:rPr>
      </w:pPr>
      <w:r w:rsidDel="00000000" w:rsidR="00000000" w:rsidRPr="00000000">
        <w:rPr>
          <w:color w:val="000000"/>
          <w:sz w:val="20"/>
          <w:szCs w:val="20"/>
          <w:highlight w:val="white"/>
          <w:rtl w:val="0"/>
        </w:rPr>
        <w:t xml:space="preserve">Respecto a los cuadros de mando:</w:t>
      </w:r>
    </w:p>
    <w:p w:rsidR="00000000" w:rsidDel="00000000" w:rsidP="00000000" w:rsidRDefault="00000000" w:rsidRPr="00000000" w14:paraId="0000005E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jc w:val="both"/>
        <w:rPr>
          <w:color w:val="00000a"/>
          <w:sz w:val="20"/>
          <w:szCs w:val="20"/>
          <w:highlight w:val="white"/>
        </w:rPr>
      </w:pPr>
      <w:r w:rsidDel="00000000" w:rsidR="00000000" w:rsidRPr="00000000">
        <w:rPr>
          <w:color w:val="00000a"/>
          <w:sz w:val="20"/>
          <w:szCs w:val="20"/>
          <w:rtl w:val="0"/>
        </w:rPr>
        <w:t xml:space="preserve">Los cuadros de mando y la inteligencia de negocio han de ofrecer una visión sesgada y subjetiva de la información importante de una empresa</w:t>
      </w:r>
      <w:r w:rsidDel="00000000" w:rsidR="00000000" w:rsidRPr="00000000">
        <w:rPr>
          <w:color w:val="00000a"/>
          <w:sz w:val="20"/>
          <w:szCs w:val="20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5F">
      <w:pPr>
        <w:ind w:left="720" w:firstLine="0"/>
        <w:jc w:val="both"/>
        <w:rPr>
          <w:b w:val="1"/>
          <w:color w:val="0070c0"/>
          <w:sz w:val="20"/>
          <w:szCs w:val="20"/>
          <w:highlight w:val="white"/>
        </w:rPr>
      </w:pPr>
      <w:r w:rsidDel="00000000" w:rsidR="00000000" w:rsidRPr="00000000">
        <w:rPr>
          <w:color w:val="000000"/>
          <w:sz w:val="4"/>
          <w:szCs w:val="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jc w:val="both"/>
        <w:rPr>
          <w:color w:val="000000"/>
          <w:sz w:val="20"/>
          <w:szCs w:val="20"/>
          <w:highlight w:val="white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Un cuadro de mando es una representación resumida del nivel de cumplimiento de varios indicadores o métricas clave para la estrategia de una organización. Esto permite a los directivos de la organización supervisar el rendimiento en relación con dichos indicadores y tomar decisiones adecuadas para mejorar dicho rendimiento.</w:t>
      </w:r>
    </w:p>
    <w:p w:rsidR="00000000" w:rsidDel="00000000" w:rsidP="00000000" w:rsidRDefault="00000000" w:rsidRPr="00000000" w14:paraId="00000061">
      <w:pPr>
        <w:ind w:left="720" w:firstLine="0"/>
        <w:jc w:val="both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4"/>
          <w:szCs w:val="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jc w:val="both"/>
        <w:rPr>
          <w:color w:val="000000"/>
          <w:sz w:val="20"/>
          <w:szCs w:val="20"/>
          <w:highlight w:val="white"/>
        </w:rPr>
      </w:pPr>
      <w:r w:rsidDel="00000000" w:rsidR="00000000" w:rsidRPr="00000000">
        <w:rPr>
          <w:color w:val="000000"/>
          <w:sz w:val="20"/>
          <w:szCs w:val="20"/>
          <w:highlight w:val="white"/>
          <w:rtl w:val="0"/>
        </w:rPr>
        <w:t xml:space="preserve">Los cuadros de mando son gestionados siempre por la Dirección General de la empresa.</w:t>
      </w:r>
    </w:p>
    <w:p w:rsidR="00000000" w:rsidDel="00000000" w:rsidP="00000000" w:rsidRDefault="00000000" w:rsidRPr="00000000" w14:paraId="00000063">
      <w:pPr>
        <w:ind w:left="720" w:firstLine="0"/>
        <w:jc w:val="both"/>
        <w:rPr>
          <w:color w:val="000000"/>
          <w:sz w:val="20"/>
          <w:szCs w:val="20"/>
          <w:highlight w:val="white"/>
        </w:rPr>
      </w:pPr>
      <w:r w:rsidDel="00000000" w:rsidR="00000000" w:rsidRPr="00000000">
        <w:rPr>
          <w:color w:val="000000"/>
          <w:sz w:val="4"/>
          <w:szCs w:val="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jc w:val="both"/>
        <w:rPr>
          <w:color w:val="000000"/>
          <w:sz w:val="20"/>
          <w:szCs w:val="20"/>
          <w:highlight w:val="white"/>
        </w:rPr>
      </w:pPr>
      <w:r w:rsidDel="00000000" w:rsidR="00000000" w:rsidRPr="00000000">
        <w:rPr>
          <w:color w:val="000000"/>
          <w:sz w:val="20"/>
          <w:szCs w:val="20"/>
          <w:highlight w:val="white"/>
          <w:rtl w:val="0"/>
        </w:rPr>
        <w:t xml:space="preserve">Todas las respuestas anteriores son correctas.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Rule="auto"/>
        <w:ind w:left="720" w:firstLine="0"/>
        <w:jc w:val="both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Rule="auto"/>
        <w:ind w:left="720" w:firstLine="0"/>
        <w:jc w:val="both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Rule="auto"/>
        <w:ind w:left="426" w:hanging="360"/>
        <w:jc w:val="both"/>
        <w:rPr>
          <w:color w:val="000000"/>
          <w:sz w:val="20"/>
          <w:szCs w:val="20"/>
          <w:highlight w:val="white"/>
        </w:rPr>
      </w:pPr>
      <w:r w:rsidDel="00000000" w:rsidR="00000000" w:rsidRPr="00000000">
        <w:rPr>
          <w:color w:val="000000"/>
          <w:sz w:val="20"/>
          <w:szCs w:val="20"/>
          <w:highlight w:val="white"/>
          <w:rtl w:val="0"/>
        </w:rPr>
        <w:t xml:space="preserve">Sobre el concepto de resiliencia:</w:t>
      </w:r>
    </w:p>
    <w:p w:rsidR="00000000" w:rsidDel="00000000" w:rsidP="00000000" w:rsidRDefault="00000000" w:rsidRPr="00000000" w14:paraId="0000006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jc w:val="both"/>
        <w:rPr>
          <w:color w:val="000000"/>
          <w:sz w:val="20"/>
          <w:szCs w:val="20"/>
          <w:highlight w:val="white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La resiliencia permite a las empresas flexibilidad.</w:t>
      </w:r>
    </w:p>
    <w:p w:rsidR="00000000" w:rsidDel="00000000" w:rsidP="00000000" w:rsidRDefault="00000000" w:rsidRPr="00000000" w14:paraId="00000069">
      <w:pPr>
        <w:ind w:left="720" w:firstLine="0"/>
        <w:jc w:val="both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4"/>
          <w:szCs w:val="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jc w:val="both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La resiliencia según Denyer es: «La capacidad de una organización para anticiparse, prepararse, responder y adaptarse al cambio incremental y a las disrupciones bruscas para sobrevivir y prosperar». </w:t>
      </w:r>
    </w:p>
    <w:p w:rsidR="00000000" w:rsidDel="00000000" w:rsidP="00000000" w:rsidRDefault="00000000" w:rsidRPr="00000000" w14:paraId="0000006B">
      <w:pPr>
        <w:ind w:left="720" w:firstLine="0"/>
        <w:jc w:val="both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4"/>
          <w:szCs w:val="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jc w:val="both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Una cultura organizacional que valore a los empleados y potencie la formación en las competencias de adaptación al cambio, innovación, flexibilidad y autonomía, puede favorecer la resiliencia</w:t>
      </w:r>
    </w:p>
    <w:p w:rsidR="00000000" w:rsidDel="00000000" w:rsidP="00000000" w:rsidRDefault="00000000" w:rsidRPr="00000000" w14:paraId="0000006D">
      <w:pPr>
        <w:ind w:left="720" w:firstLine="0"/>
        <w:jc w:val="both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4"/>
          <w:szCs w:val="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jc w:val="both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Todas las resp</w:t>
      </w:r>
      <w:r w:rsidDel="00000000" w:rsidR="00000000" w:rsidRPr="00000000">
        <w:rPr>
          <w:color w:val="000000"/>
          <w:sz w:val="20"/>
          <w:szCs w:val="20"/>
          <w:highlight w:val="white"/>
          <w:rtl w:val="0"/>
        </w:rPr>
        <w:t xml:space="preserve">uestas anteriores son correctas.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Rule="auto"/>
        <w:ind w:left="720" w:firstLine="0"/>
        <w:jc w:val="both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b w:val="1"/>
          <w:color w:val="00000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160" w:line="259" w:lineRule="auto"/>
        <w:jc w:val="both"/>
        <w:rPr>
          <w:b w:val="1"/>
          <w:color w:val="000000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160" w:line="259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u w:val="single"/>
          <w:rtl w:val="0"/>
        </w:rPr>
        <w:t xml:space="preserve">EJERCICIO PRÁCTICO (5 puntos) No está permitido el uso de la IA.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jc w:val="both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79" w:before="79" w:line="240" w:lineRule="auto"/>
        <w:ind w:left="360" w:hanging="360"/>
        <w:jc w:val="both"/>
        <w:rPr>
          <w:color w:val="000000"/>
          <w:sz w:val="20"/>
          <w:szCs w:val="20"/>
          <w:u w:val="none"/>
        </w:rPr>
      </w:pPr>
      <w:bookmarkStart w:colFirst="0" w:colLast="0" w:name="_heading=h.30j0zll" w:id="2"/>
      <w:bookmarkEnd w:id="2"/>
      <w:r w:rsidDel="00000000" w:rsidR="00000000" w:rsidRPr="00000000">
        <w:rPr>
          <w:color w:val="000000"/>
          <w:sz w:val="20"/>
          <w:szCs w:val="20"/>
          <w:rtl w:val="0"/>
        </w:rPr>
        <w:t xml:space="preserve">Realiza el diagnóstico de tu empresa o entorno de trabajo que propone INCIBE desde el siguiente LINK (Engancha el resultado):</w:t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79" w:before="79" w:line="240" w:lineRule="auto"/>
        <w:ind w:left="360" w:firstLine="0"/>
        <w:jc w:val="both"/>
        <w:rPr>
          <w:color w:val="000000"/>
          <w:sz w:val="20"/>
          <w:szCs w:val="20"/>
        </w:rPr>
      </w:pPr>
      <w:hyperlink r:id="rId8">
        <w:r w:rsidDel="00000000" w:rsidR="00000000" w:rsidRPr="00000000">
          <w:rPr>
            <w:color w:val="0000ff"/>
            <w:sz w:val="20"/>
            <w:szCs w:val="20"/>
            <w:u w:val="single"/>
            <w:rtl w:val="0"/>
          </w:rPr>
          <w:t xml:space="preserve">https://www.incibe.es/empresas/herramientas/conoces-tus-riesgos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line="276" w:lineRule="auto"/>
        <w:ind w:left="720" w:right="992.1259842519686" w:firstLine="0"/>
        <w:jc w:val="both"/>
        <w:rPr>
          <w:color w:val="00000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79" w:before="79" w:line="240" w:lineRule="auto"/>
        <w:ind w:left="360" w:hanging="360"/>
        <w:jc w:val="both"/>
        <w:rPr>
          <w:color w:val="000000"/>
          <w:sz w:val="20"/>
          <w:szCs w:val="20"/>
          <w:u w:val="none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El propio INCIBE propone medidas para reducir cada tipo de riesgo. ¿Cuáles te propone para cada elemento analizado?</w:t>
      </w:r>
    </w:p>
    <w:p w:rsidR="00000000" w:rsidDel="00000000" w:rsidP="00000000" w:rsidRDefault="00000000" w:rsidRPr="00000000" w14:paraId="00000078">
      <w:pPr>
        <w:ind w:left="0" w:firstLine="0"/>
        <w:jc w:val="both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0"/>
          <w:numId w:val="2"/>
        </w:numPr>
        <w:ind w:left="360" w:hanging="360"/>
        <w:jc w:val="both"/>
        <w:rPr>
          <w:color w:val="000000"/>
          <w:sz w:val="20"/>
          <w:szCs w:val="20"/>
          <w:u w:val="none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A partir de las acciones propuestas por INCIBE elabora una Planificación de medidas de tratamiento de riesgos en PERSONAS:</w:t>
      </w:r>
    </w:p>
    <w:p w:rsidR="00000000" w:rsidDel="00000000" w:rsidP="00000000" w:rsidRDefault="00000000" w:rsidRPr="00000000" w14:paraId="0000007A">
      <w:pPr>
        <w:jc w:val="both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200" w:lineRule="auto"/>
        <w:ind w:left="360" w:firstLine="0"/>
        <w:jc w:val="both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Planificación de medidas PERSONAS:</w:t>
      </w:r>
    </w:p>
    <w:tbl>
      <w:tblPr>
        <w:tblStyle w:val="Table4"/>
        <w:tblW w:w="9240.0" w:type="dxa"/>
        <w:jc w:val="left"/>
        <w:tblInd w:w="37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015"/>
        <w:gridCol w:w="2880"/>
        <w:gridCol w:w="2040"/>
        <w:gridCol w:w="1305"/>
        <w:tblGridChange w:id="0">
          <w:tblGrid>
            <w:gridCol w:w="3015"/>
            <w:gridCol w:w="2880"/>
            <w:gridCol w:w="2040"/>
            <w:gridCol w:w="130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C">
            <w:pPr>
              <w:spacing w:after="200" w:before="200" w:lineRule="auto"/>
              <w:jc w:val="cente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MEDIDA</w:t>
            </w:r>
          </w:p>
        </w:tc>
        <w:tc>
          <w:tcPr/>
          <w:p w:rsidR="00000000" w:rsidDel="00000000" w:rsidP="00000000" w:rsidRDefault="00000000" w:rsidRPr="00000000" w14:paraId="0000007D">
            <w:pPr>
              <w:spacing w:after="200" w:before="200" w:lineRule="auto"/>
              <w:jc w:val="cente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ACCIONES</w:t>
            </w:r>
          </w:p>
        </w:tc>
        <w:tc>
          <w:tcPr/>
          <w:p w:rsidR="00000000" w:rsidDel="00000000" w:rsidP="00000000" w:rsidRDefault="00000000" w:rsidRPr="00000000" w14:paraId="0000007E">
            <w:pPr>
              <w:spacing w:after="200" w:before="200" w:lineRule="auto"/>
              <w:jc w:val="cente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RESPONSABLE</w:t>
            </w:r>
          </w:p>
        </w:tc>
        <w:tc>
          <w:tcPr/>
          <w:p w:rsidR="00000000" w:rsidDel="00000000" w:rsidP="00000000" w:rsidRDefault="00000000" w:rsidRPr="00000000" w14:paraId="0000007F">
            <w:pPr>
              <w:spacing w:after="200" w:before="200" w:lineRule="auto"/>
              <w:jc w:val="cente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PLAZO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0">
            <w:pPr>
              <w:spacing w:after="200" w:before="200" w:lineRule="auto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1">
            <w:pPr>
              <w:spacing w:after="200" w:before="200" w:lineRule="auto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2">
            <w:pPr>
              <w:spacing w:after="200" w:before="200" w:lineRule="auto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3">
            <w:pPr>
              <w:spacing w:after="200" w:before="200" w:lineRule="auto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4">
            <w:pPr>
              <w:spacing w:after="200" w:before="200" w:lineRule="auto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5">
            <w:pPr>
              <w:spacing w:after="200" w:before="200" w:lineRule="auto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6">
            <w:pPr>
              <w:spacing w:after="200" w:before="200" w:lineRule="auto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7">
            <w:pPr>
              <w:spacing w:after="200" w:before="200" w:lineRule="auto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8">
            <w:pPr>
              <w:spacing w:after="200" w:before="200" w:lineRule="auto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9">
            <w:pPr>
              <w:spacing w:after="200" w:before="200" w:lineRule="auto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A">
            <w:pPr>
              <w:spacing w:after="200" w:before="200" w:lineRule="auto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B">
            <w:pPr>
              <w:spacing w:after="200" w:before="200" w:lineRule="auto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C">
            <w:pPr>
              <w:spacing w:after="200" w:before="200" w:lineRule="auto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D">
            <w:pPr>
              <w:spacing w:after="200" w:before="200" w:lineRule="auto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E">
            <w:pPr>
              <w:spacing w:after="200" w:before="200" w:lineRule="auto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F">
            <w:pPr>
              <w:spacing w:after="200" w:before="200" w:lineRule="auto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0">
            <w:pPr>
              <w:spacing w:after="200" w:before="200" w:lineRule="auto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1">
            <w:pPr>
              <w:spacing w:after="200" w:before="200" w:lineRule="auto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2">
            <w:pPr>
              <w:spacing w:after="200" w:before="200" w:lineRule="auto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3">
            <w:pPr>
              <w:spacing w:after="200" w:before="200" w:lineRule="auto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4">
            <w:pPr>
              <w:spacing w:after="200" w:before="200" w:lineRule="auto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5">
            <w:pPr>
              <w:spacing w:after="200" w:before="200" w:lineRule="auto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6">
            <w:pPr>
              <w:spacing w:after="200" w:before="200" w:lineRule="auto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7">
            <w:pPr>
              <w:spacing w:after="200" w:before="200" w:lineRule="auto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8">
            <w:pPr>
              <w:spacing w:after="200" w:before="200" w:lineRule="auto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9">
            <w:pPr>
              <w:spacing w:after="200" w:before="200" w:lineRule="auto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A">
            <w:pPr>
              <w:spacing w:after="200" w:before="200" w:lineRule="auto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B">
            <w:pPr>
              <w:spacing w:after="200" w:before="200" w:lineRule="auto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C">
      <w:pPr>
        <w:jc w:val="both"/>
        <w:rPr>
          <w:color w:val="000000"/>
          <w:sz w:val="20"/>
          <w:szCs w:val="20"/>
        </w:rPr>
      </w:pPr>
      <w:bookmarkStart w:colFirst="0" w:colLast="0" w:name="_heading=h.1fob9te" w:id="3"/>
      <w:bookmarkEnd w:id="3"/>
      <w:r w:rsidDel="00000000" w:rsidR="00000000" w:rsidRPr="00000000">
        <w:rPr>
          <w:rtl w:val="0"/>
        </w:rPr>
      </w:r>
    </w:p>
    <w:sectPr>
      <w:headerReference r:id="rId9" w:type="default"/>
      <w:footerReference r:id="rId10" w:type="default"/>
      <w:pgSz w:h="16838" w:w="11906" w:orient="portrait"/>
      <w:pgMar w:bottom="1440" w:top="680" w:left="990" w:right="1274" w:header="0" w:footer="31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F">
    <w:pPr>
      <w:spacing w:line="240" w:lineRule="auto"/>
      <w:ind w:left="-83" w:firstLine="0"/>
      <w:jc w:val="center"/>
      <w:rPr/>
    </w:pPr>
    <w:r w:rsidDel="00000000" w:rsidR="00000000" w:rsidRPr="00000000">
      <w:rPr>
        <w:rtl w:val="0"/>
      </w:rPr>
    </w:r>
  </w:p>
  <w:tbl>
    <w:tblPr>
      <w:tblStyle w:val="Table5"/>
      <w:tblW w:w="10125.0" w:type="dxa"/>
      <w:jc w:val="left"/>
      <w:tblInd w:w="15.0" w:type="dxa"/>
      <w:tblBorders>
        <w:top w:color="ffffff" w:space="0" w:sz="18" w:val="single"/>
        <w:left w:color="ffffff" w:space="0" w:sz="18" w:val="single"/>
        <w:bottom w:color="ffffff" w:space="0" w:sz="18" w:val="single"/>
        <w:right w:color="ffffff" w:space="0" w:sz="18" w:val="single"/>
        <w:insideH w:color="ffffff" w:space="0" w:sz="18" w:val="single"/>
        <w:insideV w:color="ffffff" w:space="0" w:sz="18" w:val="single"/>
      </w:tblBorders>
      <w:tblLayout w:type="fixed"/>
      <w:tblLook w:val="0600"/>
    </w:tblPr>
    <w:tblGrid>
      <w:gridCol w:w="5250"/>
      <w:gridCol w:w="1845"/>
      <w:gridCol w:w="3030"/>
      <w:tblGridChange w:id="0">
        <w:tblGrid>
          <w:gridCol w:w="5250"/>
          <w:gridCol w:w="1845"/>
          <w:gridCol w:w="3030"/>
        </w:tblGrid>
      </w:tblGridChange>
    </w:tblGrid>
    <w:tr>
      <w:trPr>
        <w:cantSplit w:val="0"/>
        <w:tblHeader w:val="0"/>
      </w:trPr>
      <w:tc>
        <w:tcPr>
          <w:tcBorders>
            <w:top w:color="73edff" w:space="0" w:sz="18" w:val="single"/>
            <w:left w:color="000000" w:space="0" w:sz="0" w:val="nil"/>
            <w:right w:color="ffffff" w:space="0" w:sz="36" w:val="single"/>
          </w:tcBorders>
          <w:tcMar>
            <w:top w:w="100.0" w:type="dxa"/>
            <w:left w:w="100.0" w:type="dxa"/>
            <w:bottom w:w="100.0" w:type="dxa"/>
            <w:right w:w="100.0" w:type="dxa"/>
          </w:tcMar>
        </w:tcPr>
        <w:p w:rsidR="00000000" w:rsidDel="00000000" w:rsidP="00000000" w:rsidRDefault="00000000" w:rsidRPr="00000000" w14:paraId="000000A0">
          <w:pPr>
            <w:widowControl w:val="0"/>
            <w:ind w:left="-83" w:firstLine="0"/>
            <w:rPr/>
          </w:pPr>
          <w:r w:rsidDel="00000000" w:rsidR="00000000" w:rsidRPr="00000000">
            <w:rPr>
              <w:sz w:val="16"/>
              <w:szCs w:val="16"/>
              <w:rtl w:val="0"/>
            </w:rPr>
            <w:t xml:space="preserve">Administración y Gestión de Organizaciones · PEC 4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A1">
          <w:pPr>
            <w:widowControl w:val="0"/>
            <w:ind w:left="-83" w:firstLine="0"/>
            <w:rPr>
              <w:sz w:val="16"/>
              <w:szCs w:val="16"/>
            </w:rPr>
          </w:pPr>
          <w:r w:rsidDel="00000000" w:rsidR="00000000" w:rsidRPr="00000000">
            <w:rPr>
              <w:sz w:val="16"/>
              <w:szCs w:val="16"/>
              <w:rtl w:val="0"/>
            </w:rPr>
            <w:t xml:space="preserve">José Carlos López Henestrosa</w:t>
          </w:r>
        </w:p>
      </w:tc>
      <w:tc>
        <w:tcPr>
          <w:tcBorders>
            <w:top w:color="73edff" w:space="0" w:sz="18" w:val="single"/>
            <w:left w:color="ffffff" w:space="0" w:sz="36" w:val="single"/>
            <w:right w:color="ffffff" w:space="0" w:sz="36" w:val="single"/>
          </w:tcBorders>
          <w:tcMar>
            <w:top w:w="100.0" w:type="dxa"/>
            <w:left w:w="100.0" w:type="dxa"/>
            <w:bottom w:w="100.0" w:type="dxa"/>
            <w:right w:w="100.0" w:type="dxa"/>
          </w:tcMar>
        </w:tcPr>
        <w:p w:rsidR="00000000" w:rsidDel="00000000" w:rsidP="00000000" w:rsidRDefault="00000000" w:rsidRPr="00000000" w14:paraId="000000A2">
          <w:pPr>
            <w:widowControl w:val="0"/>
            <w:rPr/>
          </w:pPr>
          <w:r w:rsidDel="00000000" w:rsidR="00000000" w:rsidRPr="00000000">
            <w:rPr>
              <w:sz w:val="16"/>
              <w:szCs w:val="16"/>
              <w:rtl w:val="0"/>
            </w:rPr>
            <w:t xml:space="preserve">23/12/2024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73edff" w:space="0" w:sz="18" w:val="single"/>
            <w:left w:color="ffffff" w:space="0" w:sz="36" w:val="single"/>
            <w:right w:color="000000" w:space="0" w:sz="0" w:val="nil"/>
          </w:tcBorders>
          <w:tcMar>
            <w:top w:w="100.0" w:type="dxa"/>
            <w:left w:w="100.0" w:type="dxa"/>
            <w:bottom w:w="100.0" w:type="dxa"/>
            <w:right w:w="100.0" w:type="dxa"/>
          </w:tcMar>
        </w:tcPr>
        <w:p w:rsidR="00000000" w:rsidDel="00000000" w:rsidP="00000000" w:rsidRDefault="00000000" w:rsidRPr="00000000" w14:paraId="000000A3">
          <w:pPr>
            <w:widowControl w:val="0"/>
            <w:ind w:left="-83" w:right="-111" w:firstLine="0"/>
            <w:jc w:val="right"/>
            <w:rPr>
              <w:sz w:val="16"/>
              <w:szCs w:val="16"/>
            </w:rPr>
          </w:pPr>
          <w:r w:rsidDel="00000000" w:rsidR="00000000" w:rsidRPr="00000000">
            <w:rPr>
              <w:b w:val="1"/>
              <w:sz w:val="16"/>
              <w:szCs w:val="16"/>
              <w:rtl w:val="0"/>
            </w:rPr>
            <w:t xml:space="preserve"> </w:t>
          </w:r>
          <w:r w:rsidDel="00000000" w:rsidR="00000000" w:rsidRPr="00000000">
            <w:rPr>
              <w:sz w:val="16"/>
              <w:szCs w:val="16"/>
              <w:rtl w:val="0"/>
            </w:rPr>
            <w:t xml:space="preserve">Pg. </w:t>
          </w:r>
          <w:r w:rsidDel="00000000" w:rsidR="00000000" w:rsidRPr="00000000">
            <w:rPr>
              <w:sz w:val="16"/>
              <w:szCs w:val="16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sz w:val="16"/>
              <w:szCs w:val="16"/>
              <w:rtl w:val="0"/>
            </w:rPr>
            <w:t xml:space="preserve"> de </w:t>
          </w:r>
          <w:r w:rsidDel="00000000" w:rsidR="00000000" w:rsidRPr="00000000">
            <w:rPr>
              <w:sz w:val="16"/>
              <w:szCs w:val="16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A4">
    <w:pPr>
      <w:jc w:val="right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5">
    <w:pPr>
      <w:jc w:val="right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D">
    <w:pPr>
      <w:spacing w:line="240" w:lineRule="auto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228600" distT="228600" distL="228600" distR="228600" hidden="0" layoutInCell="1" locked="0" relativeHeight="0" simplePos="0">
          <wp:simplePos x="0" y="0"/>
          <wp:positionH relativeFrom="column">
            <wp:posOffset>-276216</wp:posOffset>
          </wp:positionH>
          <wp:positionV relativeFrom="paragraph">
            <wp:posOffset>200032</wp:posOffset>
          </wp:positionV>
          <wp:extent cx="6496050" cy="628650"/>
          <wp:effectExtent b="0" l="0" r="0" t="0"/>
          <wp:wrapSquare wrapText="bothSides" distB="228600" distT="228600" distL="228600" distR="228600"/>
          <wp:docPr descr="plantilla word_2.jpg" id="4" name="image1.jpg"/>
          <a:graphic>
            <a:graphicData uri="http://schemas.openxmlformats.org/drawingml/2006/picture">
              <pic:pic>
                <pic:nvPicPr>
                  <pic:cNvPr descr="plantilla word_2.jpg" id="0" name="image1.jpg"/>
                  <pic:cNvPicPr preferRelativeResize="0"/>
                </pic:nvPicPr>
                <pic:blipFill>
                  <a:blip r:embed="rId1"/>
                  <a:srcRect b="0" l="118" r="28395" t="0"/>
                  <a:stretch>
                    <a:fillRect/>
                  </a:stretch>
                </pic:blipFill>
                <pic:spPr>
                  <a:xfrm>
                    <a:off x="0" y="0"/>
                    <a:ext cx="6496050" cy="62865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mc:AlternateContent>
        <mc:Choice Requires="wpg"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-1269999</wp:posOffset>
              </wp:positionH>
              <wp:positionV relativeFrom="paragraph">
                <wp:posOffset>-50799</wp:posOffset>
              </wp:positionV>
              <wp:extent cx="7743825" cy="262255"/>
              <wp:effectExtent b="0" l="0" r="0" t="0"/>
              <wp:wrapTopAndBottom distB="0" distT="0"/>
              <wp:docPr id="3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1497900" y="3672685"/>
                        <a:ext cx="7696200" cy="2146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-1269999</wp:posOffset>
              </wp:positionH>
              <wp:positionV relativeFrom="paragraph">
                <wp:posOffset>-50799</wp:posOffset>
              </wp:positionV>
              <wp:extent cx="7743825" cy="262255"/>
              <wp:effectExtent b="0" l="0" r="0" t="0"/>
              <wp:wrapTopAndBottom distB="0" distT="0"/>
              <wp:docPr id="3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43825" cy="26225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9E">
    <w:pPr>
      <w:spacing w:line="240" w:lineRule="auto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lowerLetter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6">
    <w:lvl w:ilvl="0">
      <w:start w:val="1"/>
      <w:numFmt w:val="lowerLetter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7">
    <w:lvl w:ilvl="0">
      <w:start w:val="1"/>
      <w:numFmt w:val="lowerLetter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8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upperLetter"/>
      <w:lvlText w:val="%2)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9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lowerLetter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2"/>
      <w:numFmt w:val="decimal"/>
      <w:lvlText w:val="%1."/>
      <w:lvlJc w:val="left"/>
      <w:pPr>
        <w:ind w:left="360" w:hanging="360"/>
      </w:pPr>
      <w:rPr>
        <w:color w:val="00000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color w:val="000078"/>
        <w:sz w:val="22"/>
        <w:szCs w:val="22"/>
        <w:lang w:val="es-ES_tradn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280" w:lineRule="auto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spacing w:before="520" w:lineRule="auto"/>
    </w:pPr>
    <w:rPr>
      <w:sz w:val="36"/>
      <w:szCs w:val="36"/>
    </w:rPr>
  </w:style>
  <w:style w:type="paragraph" w:styleId="Heading3">
    <w:name w:val="heading 3"/>
    <w:basedOn w:val="Normal"/>
    <w:next w:val="Normal"/>
    <w:pPr/>
    <w:rPr>
      <w:sz w:val="30"/>
      <w:szCs w:val="30"/>
    </w:rPr>
  </w:style>
  <w:style w:type="paragraph" w:styleId="Heading4">
    <w:name w:val="heading 4"/>
    <w:basedOn w:val="Normal"/>
    <w:next w:val="Normal"/>
    <w:pPr>
      <w:ind w:right="1680"/>
    </w:pPr>
    <w:rPr>
      <w:rFonts w:ascii="Georgia" w:cs="Georgia" w:eastAsia="Georgia" w:hAnsi="Georgia"/>
      <w:i w:val="1"/>
      <w:color w:val="626166"/>
      <w:sz w:val="28"/>
      <w:szCs w:val="28"/>
    </w:rPr>
  </w:style>
  <w:style w:type="paragraph" w:styleId="Heading5">
    <w:name w:val="heading 5"/>
    <w:basedOn w:val="Normal"/>
    <w:next w:val="Normal"/>
    <w:pPr>
      <w:spacing w:after="320" w:before="320" w:lineRule="auto"/>
      <w:ind w:right="1680"/>
    </w:pPr>
    <w:rPr>
      <w:rFonts w:ascii="Georgia" w:cs="Georgia" w:eastAsia="Georgia" w:hAnsi="Georgia"/>
      <w:i w:val="1"/>
      <w:color w:val="626166"/>
      <w:sz w:val="28"/>
      <w:szCs w:val="28"/>
    </w:rPr>
  </w:style>
  <w:style w:type="paragraph" w:styleId="Heading6">
    <w:name w:val="heading 6"/>
    <w:basedOn w:val="Normal"/>
    <w:next w:val="Normal"/>
    <w:pPr>
      <w:jc w:val="both"/>
    </w:pPr>
    <w:rPr>
      <w:color w:val="626166"/>
      <w:sz w:val="20"/>
      <w:szCs w:val="20"/>
    </w:rPr>
  </w:style>
  <w:style w:type="paragraph" w:styleId="Title">
    <w:name w:val="Title"/>
    <w:basedOn w:val="Normal"/>
    <w:next w:val="Normal"/>
    <w:pPr>
      <w:spacing w:line="240" w:lineRule="auto"/>
    </w:pPr>
    <w:rPr>
      <w:b w:val="1"/>
      <w:sz w:val="52"/>
      <w:szCs w:val="52"/>
    </w:rPr>
  </w:style>
  <w:style w:type="paragraph" w:styleId="Normal" w:default="1">
    <w:name w:val="Normal"/>
    <w:qFormat w:val="1"/>
    <w:rsid w:val="0055367C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80" w:before="280"/>
      <w:outlineLvl w:val="0"/>
    </w:pPr>
    <w:rPr>
      <w:b w:val="1"/>
      <w:sz w:val="36"/>
      <w:szCs w:val="36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spacing w:before="520"/>
      <w:outlineLvl w:val="1"/>
    </w:pPr>
    <w:rPr>
      <w:sz w:val="36"/>
      <w:szCs w:val="36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outlineLvl w:val="2"/>
    </w:pPr>
    <w:rPr>
      <w:sz w:val="30"/>
      <w:szCs w:val="30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ind w:right="1680"/>
      <w:outlineLvl w:val="3"/>
    </w:pPr>
    <w:rPr>
      <w:rFonts w:ascii="Georgia" w:cs="Georgia" w:eastAsia="Georgia" w:hAnsi="Georgia"/>
      <w:i w:val="1"/>
      <w:color w:val="626166"/>
      <w:sz w:val="28"/>
      <w:szCs w:val="28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spacing w:after="320" w:before="320"/>
      <w:ind w:right="1680"/>
      <w:outlineLvl w:val="4"/>
    </w:pPr>
    <w:rPr>
      <w:rFonts w:ascii="Georgia" w:cs="Georgia" w:eastAsia="Georgia" w:hAnsi="Georgia"/>
      <w:i w:val="1"/>
      <w:color w:val="626166"/>
      <w:sz w:val="28"/>
      <w:szCs w:val="28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jc w:val="both"/>
      <w:outlineLvl w:val="5"/>
    </w:pPr>
    <w:rPr>
      <w:color w:val="626166"/>
      <w:sz w:val="20"/>
      <w:szCs w:val="2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spacing w:line="240" w:lineRule="auto"/>
    </w:pPr>
    <w:rPr>
      <w:b w:val="1"/>
      <w:sz w:val="52"/>
      <w:szCs w:val="52"/>
    </w:rPr>
  </w:style>
  <w:style w:type="paragraph" w:styleId="Subttulo">
    <w:name w:val="Subtitle"/>
    <w:basedOn w:val="Normal"/>
    <w:next w:val="Normal"/>
    <w:uiPriority w:val="11"/>
    <w:qFormat w:val="1"/>
    <w:rPr>
      <w:sz w:val="52"/>
      <w:szCs w:val="52"/>
    </w:rPr>
  </w:style>
  <w:style w:type="table" w:styleId="a" w:customStyle="1">
    <w:basedOn w:val="TableNormal"/>
    <w:pPr>
      <w:spacing w:line="240" w:lineRule="auto"/>
    </w:pPr>
    <w:rPr>
      <w:rFonts w:ascii="Calibri" w:cs="Calibri" w:eastAsia="Calibri" w:hAnsi="Calibri"/>
      <w:color w:val="000000"/>
      <w:sz w:val="20"/>
      <w:szCs w:val="20"/>
    </w:r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0" w:customStyle="1">
    <w:basedOn w:val="TableNormal"/>
    <w:pPr>
      <w:spacing w:line="240" w:lineRule="auto"/>
    </w:pPr>
    <w:rPr>
      <w:rFonts w:ascii="Calibri" w:cs="Calibri" w:eastAsia="Calibri" w:hAnsi="Calibri"/>
      <w:color w:val="000000"/>
      <w:sz w:val="20"/>
      <w:szCs w:val="20"/>
    </w:r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1" w:customStyle="1">
    <w:basedOn w:val="TableNormal"/>
    <w:pPr>
      <w:spacing w:line="240" w:lineRule="auto"/>
    </w:pPr>
    <w:rPr>
      <w:rFonts w:ascii="Calibri" w:cs="Calibri" w:eastAsia="Calibri" w:hAnsi="Calibri"/>
      <w:color w:val="000000"/>
      <w:sz w:val="20"/>
      <w:szCs w:val="20"/>
    </w:r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2" w:customStyle="1">
    <w:basedOn w:val="TableNormal"/>
    <w:pPr>
      <w:spacing w:line="240" w:lineRule="auto"/>
    </w:pPr>
    <w:rPr>
      <w:rFonts w:ascii="Calibri" w:cs="Calibri" w:eastAsia="Calibri" w:hAnsi="Calibri"/>
      <w:color w:val="000000"/>
      <w:sz w:val="20"/>
      <w:szCs w:val="20"/>
    </w:r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3" w:customStyle="1">
    <w:basedOn w:val="TableNormal"/>
    <w:pPr>
      <w:spacing w:line="240" w:lineRule="auto"/>
    </w:pPr>
    <w:rPr>
      <w:rFonts w:ascii="Calibri" w:cs="Calibri" w:eastAsia="Calibri" w:hAnsi="Calibri"/>
      <w:color w:val="000000"/>
      <w:sz w:val="20"/>
      <w:szCs w:val="20"/>
    </w:r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4" w:customStyle="1">
    <w:basedOn w:val="TableNormal"/>
    <w:pPr>
      <w:spacing w:line="240" w:lineRule="auto"/>
    </w:pPr>
    <w:rPr>
      <w:rFonts w:ascii="Calibri" w:cs="Calibri" w:eastAsia="Calibri" w:hAnsi="Calibri"/>
      <w:color w:val="000000"/>
      <w:sz w:val="20"/>
      <w:szCs w:val="20"/>
    </w:r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5" w:customStyle="1">
    <w:basedOn w:val="TableNormal"/>
    <w:pPr>
      <w:spacing w:line="240" w:lineRule="auto"/>
    </w:pPr>
    <w:rPr>
      <w:rFonts w:ascii="Calibri" w:cs="Calibri" w:eastAsia="Calibri" w:hAnsi="Calibri"/>
      <w:color w:val="000000"/>
      <w:sz w:val="20"/>
      <w:szCs w:val="20"/>
    </w:r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6" w:customStyle="1">
    <w:basedOn w:val="TableNormal"/>
    <w:pPr>
      <w:spacing w:line="240" w:lineRule="auto"/>
    </w:pPr>
    <w:rPr>
      <w:rFonts w:ascii="Calibri" w:cs="Calibri" w:eastAsia="Calibri" w:hAnsi="Calibri"/>
      <w:color w:val="000000"/>
      <w:sz w:val="20"/>
      <w:szCs w:val="20"/>
    </w:r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7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8" w:customStyle="1">
    <w:basedOn w:val="TableNormal"/>
    <w:pPr>
      <w:spacing w:line="240" w:lineRule="auto"/>
    </w:pPr>
    <w:rPr>
      <w:rFonts w:ascii="Calibri" w:cs="Calibri" w:eastAsia="Calibri" w:hAnsi="Calibri"/>
      <w:color w:val="000000"/>
      <w:sz w:val="20"/>
      <w:szCs w:val="20"/>
    </w:rPr>
    <w:tblPr>
      <w:tblStyleRowBandSize w:val="1"/>
      <w:tblStyleColBandSize w:val="1"/>
      <w:tblCellMar>
        <w:left w:w="108.0" w:type="dxa"/>
        <w:right w:w="108.0" w:type="dxa"/>
      </w:tblCellMar>
    </w:tblPr>
  </w:style>
  <w:style w:type="paragraph" w:styleId="Prrafodelista">
    <w:name w:val="List Paragraph"/>
    <w:basedOn w:val="Normal"/>
    <w:uiPriority w:val="34"/>
    <w:qFormat w:val="1"/>
    <w:rsid w:val="00E908CA"/>
    <w:pPr>
      <w:spacing w:after="200"/>
      <w:ind w:left="720"/>
      <w:contextualSpacing w:val="1"/>
    </w:pPr>
    <w:rPr>
      <w:color w:val="808080"/>
      <w:sz w:val="20"/>
      <w:szCs w:val="20"/>
      <w:shd w:color="auto" w:fill="ffffff" w:val="clear"/>
      <w:lang w:eastAsia="en-US" w:val="ca-ES"/>
    </w:rPr>
  </w:style>
  <w:style w:type="paragraph" w:styleId="NormalWeb">
    <w:name w:val="Normal (Web)"/>
    <w:basedOn w:val="Normal"/>
    <w:uiPriority w:val="99"/>
    <w:semiHidden w:val="1"/>
    <w:unhideWhenUsed w:val="1"/>
    <w:rsid w:val="009605A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color w:val="auto"/>
      <w:sz w:val="24"/>
      <w:szCs w:val="24"/>
      <w:lang w:val="es-ES"/>
    </w:rPr>
  </w:style>
  <w:style w:type="character" w:styleId="Textoennegrita">
    <w:name w:val="Strong"/>
    <w:basedOn w:val="Fuentedeprrafopredeter"/>
    <w:uiPriority w:val="22"/>
    <w:qFormat w:val="1"/>
    <w:rsid w:val="009605A6"/>
    <w:rPr>
      <w:b w:val="1"/>
      <w:bCs w:val="1"/>
    </w:rPr>
  </w:style>
  <w:style w:type="paragraph" w:styleId="Encabezado">
    <w:name w:val="header"/>
    <w:basedOn w:val="Normal"/>
    <w:link w:val="EncabezadoCar"/>
    <w:uiPriority w:val="99"/>
    <w:unhideWhenUsed w:val="1"/>
    <w:rsid w:val="00AB4D11"/>
    <w:pPr>
      <w:tabs>
        <w:tab w:val="center" w:pos="4252"/>
        <w:tab w:val="right" w:pos="8504"/>
      </w:tabs>
      <w:spacing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AB4D11"/>
  </w:style>
  <w:style w:type="paragraph" w:styleId="Piedepgina">
    <w:name w:val="footer"/>
    <w:basedOn w:val="Normal"/>
    <w:link w:val="PiedepginaCar"/>
    <w:uiPriority w:val="99"/>
    <w:unhideWhenUsed w:val="1"/>
    <w:rsid w:val="00AB4D11"/>
    <w:pPr>
      <w:tabs>
        <w:tab w:val="center" w:pos="4252"/>
        <w:tab w:val="right" w:pos="8504"/>
      </w:tabs>
      <w:spacing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AB4D11"/>
  </w:style>
  <w:style w:type="character" w:styleId="Hipervnculo">
    <w:name w:val="Hyperlink"/>
    <w:basedOn w:val="Fuentedeprrafopredeter"/>
    <w:uiPriority w:val="99"/>
    <w:unhideWhenUsed w:val="1"/>
    <w:rsid w:val="00243245"/>
    <w:rPr>
      <w:color w:val="0000ff" w:themeColor="hyperlink"/>
      <w:u w:val="single"/>
    </w:rPr>
  </w:style>
  <w:style w:type="table" w:styleId="Tablaconcuadrcula">
    <w:name w:val="Table Grid"/>
    <w:basedOn w:val="Tablanormal"/>
    <w:uiPriority w:val="39"/>
    <w:rsid w:val="004C7F39"/>
    <w:pPr>
      <w:spacing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/>
    <w:rPr>
      <w:sz w:val="52"/>
      <w:szCs w:val="52"/>
    </w:rPr>
  </w:style>
  <w:style w:type="table" w:styleId="Table1">
    <w:basedOn w:val="TableNormal"/>
    <w:pPr>
      <w:spacing w:line="240" w:lineRule="auto"/>
    </w:pPr>
    <w:rPr>
      <w:rFonts w:ascii="Calibri" w:cs="Calibri" w:eastAsia="Calibri" w:hAnsi="Calibri"/>
      <w:color w:val="000000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line="240" w:lineRule="auto"/>
    </w:pPr>
    <w:rPr>
      <w:rFonts w:ascii="Calibri" w:cs="Calibri" w:eastAsia="Calibri" w:hAnsi="Calibri"/>
      <w:color w:val="000000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line="240" w:lineRule="auto"/>
    </w:pPr>
    <w:rPr>
      <w:rFonts w:ascii="Calibri" w:cs="Calibri" w:eastAsia="Calibri" w:hAnsi="Calibri"/>
      <w:color w:val="000000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line="240" w:lineRule="auto"/>
    </w:pPr>
    <w:rPr>
      <w:rFonts w:ascii="Calibri" w:cs="Calibri" w:eastAsia="Calibri" w:hAnsi="Calibri"/>
      <w:color w:val="000000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incibe.es/incibe-cert/sectores-estrategicos/FAQNIS2" TargetMode="External"/><Relationship Id="rId8" Type="http://schemas.openxmlformats.org/officeDocument/2006/relationships/hyperlink" Target="https://www.incibe.es/empresas/herramientas/conoces-tus-riesgos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cdMMa1vyLvEhCGsoEu552UGSbxQ==">CgMxLjAyCGguZ2pkZ3hzMgloLjJldDkycDAyCWguMzBqMHpsbDIJaC4xZm9iOXRlOAByITFWZUkwYTVBd2hTbEI4YlljNF92WmZtYmtzZV9YeUs5Uw==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2024-12-09T10:28:00Z</dcterms:created>
  <dc:creator>Luis Reyes</dc:creator>
</cp:coreProperties>
</file>