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2"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h32 \h </w:instrText>
      </w:r>
      <w:r>
        <w:rPr>
          <w:rFonts w:ascii="Times New Roman" w:hAnsi="Times New Roman" w:eastAsia="方正仿宋_GBK"/>
          <w:b w:val="0"/>
          <w:sz w:val="24"/>
        </w:rPr>
        <w:fldChar w:fldCharType="separate"/>
      </w:r>
      <w:r>
        <w:rPr>
          <w:rFonts w:ascii="Times New Roman" w:hAnsi="Times New Roman" w:eastAsia="方正仿宋_GBK"/>
          <w:b w:val="0"/>
          <w:sz w:val="24"/>
        </w:rPr>
        <w:t>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5"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h45 \h </w:instrText>
      </w:r>
      <w:r>
        <w:rPr>
          <w:rFonts w:ascii="Times New Roman" w:hAnsi="Times New Roman" w:eastAsia="方正仿宋_GBK"/>
          <w:b w:val="0"/>
          <w:sz w:val="24"/>
        </w:rPr>
        <w:fldChar w:fldCharType="separate"/>
      </w:r>
      <w:r>
        <w:rPr>
          <w:rFonts w:ascii="Times New Roman" w:hAnsi="Times New Roman" w:eastAsia="方正仿宋_GBK"/>
          <w:b w:val="0"/>
          <w:sz w:val="24"/>
        </w:rPr>
        <w:t>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7"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h57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3"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h73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76"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h76 \h </w:instrText>
      </w:r>
      <w:r>
        <w:rPr>
          <w:rFonts w:ascii="Times New Roman" w:hAnsi="Times New Roman" w:eastAsia="方正仿宋_GBK"/>
          <w:b/>
          <w:sz w:val="24"/>
        </w:rPr>
        <w:fldChar w:fldCharType="separate"/>
      </w:r>
      <w:r>
        <w:rPr>
          <w:rFonts w:ascii="Times New Roman" w:hAnsi="Times New Roman" w:eastAsia="方正仿宋_GBK"/>
          <w:b/>
          <w:sz w:val="24"/>
        </w:rPr>
        <w:t>12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9"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h79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1"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h101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39"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h139 \h </w:instrText>
      </w:r>
      <w:r>
        <w:rPr>
          <w:rFonts w:ascii="Times New Roman" w:hAnsi="Times New Roman" w:eastAsia="方正仿宋_GBK"/>
          <w:b w:val="0"/>
          <w:sz w:val="24"/>
        </w:rPr>
        <w:fldChar w:fldCharType="separate"/>
      </w:r>
      <w:r>
        <w:rPr>
          <w:rFonts w:ascii="Times New Roman" w:hAnsi="Times New Roman" w:eastAsia="方正仿宋_GBK"/>
          <w:b w:val="0"/>
          <w:sz w:val="24"/>
        </w:rPr>
        <w:t>18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53"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h153 \h </w:instrText>
      </w:r>
      <w:r>
        <w:rPr>
          <w:rFonts w:ascii="Times New Roman" w:hAnsi="Times New Roman" w:eastAsia="方正仿宋_GBK"/>
          <w:b w:val="0"/>
          <w:sz w:val="24"/>
        </w:rPr>
        <w:fldChar w:fldCharType="separate"/>
      </w:r>
      <w:r>
        <w:rPr>
          <w:rFonts w:ascii="Times New Roman" w:hAnsi="Times New Roman" w:eastAsia="方正仿宋_GBK"/>
          <w:b w:val="0"/>
          <w:sz w:val="24"/>
        </w:rPr>
        <w:t>20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67"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h167 \h </w:instrText>
      </w:r>
      <w:r>
        <w:rPr>
          <w:rFonts w:ascii="Times New Roman" w:hAnsi="Times New Roman" w:eastAsia="方正仿宋_GBK"/>
          <w:b w:val="0"/>
          <w:sz w:val="24"/>
        </w:rPr>
        <w:fldChar w:fldCharType="separate"/>
      </w:r>
      <w:r>
        <w:rPr>
          <w:rFonts w:ascii="Times New Roman" w:hAnsi="Times New Roman" w:eastAsia="方正仿宋_GBK"/>
          <w:b w:val="0"/>
          <w:sz w:val="24"/>
        </w:rPr>
        <w:t>21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4"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h184 \h </w:instrText>
      </w:r>
      <w:r>
        <w:rPr>
          <w:rFonts w:ascii="Times New Roman" w:hAnsi="Times New Roman" w:eastAsia="方正仿宋_GBK"/>
          <w:b w:val="0"/>
          <w:sz w:val="24"/>
        </w:rPr>
        <w:fldChar w:fldCharType="separate"/>
      </w:r>
      <w:r>
        <w:rPr>
          <w:rFonts w:ascii="Times New Roman" w:hAnsi="Times New Roman" w:eastAsia="方正仿宋_GBK"/>
          <w:b w:val="0"/>
          <w:sz w:val="24"/>
        </w:rPr>
        <w:t>22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8"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h198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1"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h211 \h </w:instrText>
      </w:r>
      <w:r>
        <w:rPr>
          <w:rFonts w:ascii="Times New Roman" w:hAnsi="Times New Roman" w:eastAsia="方正仿宋_GBK"/>
          <w:b w:val="0"/>
          <w:sz w:val="24"/>
        </w:rPr>
        <w:fldChar w:fldCharType="separate"/>
      </w:r>
      <w:r>
        <w:rPr>
          <w:rFonts w:ascii="Times New Roman" w:hAnsi="Times New Roman" w:eastAsia="方正仿宋_GBK"/>
          <w:b w:val="0"/>
          <w:sz w:val="24"/>
        </w:rPr>
        <w:t>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3"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h233 \h </w:instrText>
      </w:r>
      <w:r>
        <w:rPr>
          <w:rFonts w:ascii="Times New Roman" w:hAnsi="Times New Roman" w:eastAsia="方正仿宋_GBK"/>
          <w:b w:val="0"/>
          <w:sz w:val="24"/>
        </w:rPr>
        <w:fldChar w:fldCharType="separate"/>
      </w:r>
      <w:r>
        <w:rPr>
          <w:rFonts w:ascii="Times New Roman" w:hAnsi="Times New Roman" w:eastAsia="方正仿宋_GBK"/>
          <w:b w:val="0"/>
          <w:sz w:val="24"/>
        </w:rPr>
        <w:t>26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235"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h235 \h </w:instrText>
      </w:r>
      <w:r>
        <w:rPr>
          <w:rFonts w:ascii="Times New Roman" w:hAnsi="Times New Roman" w:eastAsia="方正仿宋_GBK"/>
          <w:b/>
          <w:sz w:val="24"/>
        </w:rPr>
        <w:fldChar w:fldCharType="separate"/>
      </w:r>
      <w:r>
        <w:rPr>
          <w:rFonts w:ascii="Times New Roman" w:hAnsi="Times New Roman" w:eastAsia="方正仿宋_GBK"/>
          <w:b/>
          <w:sz w:val="24"/>
        </w:rPr>
        <w:t>27</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6"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h236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6"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h246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64"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h264 \h </w:instrText>
      </w:r>
      <w:r>
        <w:rPr>
          <w:rFonts w:ascii="Times New Roman" w:hAnsi="Times New Roman" w:eastAsia="方正仿宋_GBK"/>
          <w:b w:val="0"/>
          <w:sz w:val="24"/>
        </w:rPr>
        <w:fldChar w:fldCharType="separate"/>
      </w:r>
      <w:r>
        <w:rPr>
          <w:rFonts w:ascii="Times New Roman" w:hAnsi="Times New Roman" w:eastAsia="方正仿宋_GBK"/>
          <w:b w:val="0"/>
          <w:sz w:val="24"/>
        </w:rPr>
        <w:t>29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86"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h286 \h </w:instrText>
      </w:r>
      <w:r>
        <w:rPr>
          <w:rFonts w:ascii="Times New Roman" w:hAnsi="Times New Roman" w:eastAsia="方正仿宋_GBK"/>
          <w:b w:val="0"/>
          <w:sz w:val="24"/>
        </w:rPr>
        <w:fldChar w:fldCharType="separate"/>
      </w:r>
      <w:r>
        <w:rPr>
          <w:rFonts w:ascii="Times New Roman" w:hAnsi="Times New Roman" w:eastAsia="方正仿宋_GBK"/>
          <w:b w:val="0"/>
          <w:sz w:val="24"/>
        </w:rPr>
        <w:t>31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4" w:history="1">
        <w:r>
          <w:rPr>
            <w:rFonts w:ascii="Times New Roman" w:hAnsi="Times New Roman" w:eastAsia="方正仿宋_GBK"/>
            <w:b w:val="0"/>
            <w:sz w:val="24"/>
          </w:rPr>
          <w:t>3.5 核心参数依据与相关性分析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h314 \h </w:instrText>
      </w:r>
      <w:r>
        <w:rPr>
          <w:rFonts w:ascii="Times New Roman" w:hAnsi="Times New Roman" w:eastAsia="方正仿宋_GBK"/>
          <w:b w:val="0"/>
          <w:sz w:val="24"/>
        </w:rPr>
        <w:fldChar w:fldCharType="separate"/>
      </w:r>
      <w:r>
        <w:rPr>
          <w:rFonts w:ascii="Times New Roman" w:hAnsi="Times New Roman" w:eastAsia="方正仿宋_GBK"/>
          <w:b w:val="0"/>
          <w:sz w:val="24"/>
        </w:rPr>
        <w:t>36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52"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h352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2"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h362 \h </w:instrText>
      </w:r>
      <w:r>
        <w:rPr>
          <w:rFonts w:ascii="Times New Roman" w:hAnsi="Times New Roman" w:eastAsia="方正仿宋_GBK"/>
          <w:b w:val="0"/>
          <w:sz w:val="24"/>
        </w:rPr>
        <w:fldChar w:fldCharType="separate"/>
      </w:r>
      <w:r>
        <w:rPr>
          <w:rFonts w:ascii="Times New Roman" w:hAnsi="Times New Roman" w:eastAsia="方正仿宋_GBK"/>
          <w:b w:val="0"/>
          <w:sz w:val="24"/>
        </w:rPr>
        <w:t>44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79"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h379 \h </w:instrText>
      </w:r>
      <w:r>
        <w:rPr>
          <w:rFonts w:ascii="Times New Roman" w:hAnsi="Times New Roman" w:eastAsia="方正仿宋_GBK"/>
          <w:b w:val="0"/>
          <w:sz w:val="24"/>
        </w:rPr>
        <w:fldChar w:fldCharType="separate"/>
      </w:r>
      <w:r>
        <w:rPr>
          <w:rFonts w:ascii="Times New Roman" w:hAnsi="Times New Roman" w:eastAsia="方正仿宋_GBK"/>
          <w:b w:val="0"/>
          <w:sz w:val="24"/>
        </w:rPr>
        <w:t>47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01"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h401 \h </w:instrText>
      </w:r>
      <w:r>
        <w:rPr>
          <w:rFonts w:ascii="Times New Roman" w:hAnsi="Times New Roman" w:eastAsia="方正仿宋_GBK"/>
          <w:b/>
          <w:sz w:val="24"/>
        </w:rPr>
        <w:fldChar w:fldCharType="separate"/>
      </w:r>
      <w:r>
        <w:rPr>
          <w:rFonts w:ascii="Times New Roman" w:hAnsi="Times New Roman" w:eastAsia="方正仿宋_GBK"/>
          <w:b/>
          <w:sz w:val="24"/>
        </w:rPr>
        <w:t>50</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2"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h402 \h </w:instrText>
      </w:r>
      <w:r>
        <w:rPr>
          <w:rFonts w:ascii="Times New Roman" w:hAnsi="Times New Roman" w:eastAsia="方正仿宋_GBK"/>
          <w:b w:val="0"/>
          <w:sz w:val="24"/>
        </w:rPr>
        <w:fldChar w:fldCharType="separate"/>
      </w:r>
      <w:r>
        <w:rPr>
          <w:rFonts w:ascii="Times New Roman" w:hAnsi="Times New Roman" w:eastAsia="方正仿宋_GBK"/>
          <w:b w:val="0"/>
          <w:sz w:val="24"/>
        </w:rPr>
        <w:t>50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14"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h414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33"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h433 \h </w:instrText>
      </w:r>
      <w:r>
        <w:rPr>
          <w:rFonts w:ascii="Times New Roman" w:hAnsi="Times New Roman" w:eastAsia="方正仿宋_GBK"/>
          <w:b w:val="0"/>
          <w:sz w:val="24"/>
        </w:rPr>
        <w:fldChar w:fldCharType="separate"/>
      </w:r>
      <w:r>
        <w:rPr>
          <w:rFonts w:ascii="Times New Roman" w:hAnsi="Times New Roman" w:eastAsia="方正仿宋_GBK"/>
          <w:b w:val="0"/>
          <w:sz w:val="24"/>
        </w:rPr>
        <w:t>52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4"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h444 \h </w:instrText>
      </w:r>
      <w:r>
        <w:rPr>
          <w:rFonts w:ascii="Times New Roman" w:hAnsi="Times New Roman" w:eastAsia="方正仿宋_GBK"/>
          <w:b w:val="0"/>
          <w:sz w:val="24"/>
        </w:rPr>
        <w:fldChar w:fldCharType="separate"/>
      </w:r>
      <w:r>
        <w:rPr>
          <w:rFonts w:ascii="Times New Roman" w:hAnsi="Times New Roman" w:eastAsia="方正仿宋_GBK"/>
          <w:b w:val="0"/>
          <w:sz w:val="24"/>
        </w:rPr>
        <w:t>53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0" w:history="1">
        <w:r>
          <w:rPr>
            <w:rFonts w:ascii="Times New Roman" w:hAnsi="Times New Roman" w:eastAsia="方正仿宋_GBK"/>
            <w:b w:val="0"/>
            <w:sz w:val="24"/>
          </w:rPr>
          <w:t>4.5 参数变化与措施费用的联系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h460 \h </w:instrText>
      </w:r>
      <w:r>
        <w:rPr>
          <w:rFonts w:ascii="Times New Roman" w:hAnsi="Times New Roman" w:eastAsia="方正仿宋_GBK"/>
          <w:b w:val="0"/>
          <w:sz w:val="24"/>
        </w:rPr>
        <w:fldChar w:fldCharType="separate"/>
      </w:r>
      <w:r>
        <w:rPr>
          <w:rFonts w:ascii="Times New Roman" w:hAnsi="Times New Roman" w:eastAsia="方正仿宋_GBK"/>
          <w:b w:val="0"/>
          <w:sz w:val="24"/>
        </w:rPr>
        <w:t>55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7"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h477 \h </w:instrText>
      </w:r>
      <w:r>
        <w:rPr>
          <w:rFonts w:ascii="Times New Roman" w:hAnsi="Times New Roman" w:eastAsia="方正仿宋_GBK"/>
          <w:b w:val="0"/>
          <w:sz w:val="24"/>
        </w:rPr>
        <w:fldChar w:fldCharType="separate"/>
      </w:r>
      <w:r>
        <w:rPr>
          <w:rFonts w:ascii="Times New Roman" w:hAnsi="Times New Roman" w:eastAsia="方正仿宋_GBK"/>
          <w:b w:val="0"/>
          <w:sz w:val="24"/>
        </w:rPr>
        <w:t>57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503"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h503 \h </w:instrText>
      </w:r>
      <w:r>
        <w:rPr>
          <w:rFonts w:ascii="Times New Roman" w:hAnsi="Times New Roman" w:eastAsia="方正仿宋_GBK"/>
          <w:b/>
          <w:sz w:val="24"/>
        </w:rPr>
        <w:fldChar w:fldCharType="separate"/>
      </w:r>
      <w:r>
        <w:rPr>
          <w:rFonts w:ascii="Times New Roman" w:hAnsi="Times New Roman" w:eastAsia="方正仿宋_GBK"/>
          <w:b/>
          <w:sz w:val="24"/>
        </w:rPr>
        <w:t>60</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5"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h505 \h </w:instrText>
      </w:r>
      <w:r>
        <w:rPr>
          <w:rFonts w:ascii="Times New Roman" w:hAnsi="Times New Roman" w:eastAsia="方正仿宋_GBK"/>
          <w:b w:val="0"/>
          <w:sz w:val="24"/>
        </w:rPr>
        <w:fldChar w:fldCharType="separate"/>
      </w:r>
      <w:r>
        <w:rPr>
          <w:rFonts w:ascii="Times New Roman" w:hAnsi="Times New Roman" w:eastAsia="方正仿宋_GBK"/>
          <w:b w:val="0"/>
          <w:sz w:val="24"/>
        </w:rPr>
        <w:t>60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28"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h528 \h </w:instrText>
      </w:r>
      <w:r>
        <w:rPr>
          <w:rFonts w:ascii="Times New Roman" w:hAnsi="Times New Roman" w:eastAsia="方正仿宋_GBK"/>
          <w:b w:val="0"/>
          <w:sz w:val="24"/>
        </w:rPr>
        <w:fldChar w:fldCharType="separate"/>
      </w:r>
      <w:r>
        <w:rPr>
          <w:rFonts w:ascii="Times New Roman" w:hAnsi="Times New Roman" w:eastAsia="方正仿宋_GBK"/>
          <w:b w:val="0"/>
          <w:sz w:val="24"/>
        </w:rPr>
        <w:t>63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8"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h548 \h </w:instrText>
      </w:r>
      <w:r>
        <w:rPr>
          <w:rFonts w:ascii="Times New Roman" w:hAnsi="Times New Roman" w:eastAsia="方正仿宋_GBK"/>
          <w:b w:val="0"/>
          <w:sz w:val="24"/>
        </w:rPr>
        <w:fldChar w:fldCharType="separate"/>
      </w:r>
      <w:r>
        <w:rPr>
          <w:rFonts w:ascii="Times New Roman" w:hAnsi="Times New Roman" w:eastAsia="方正仿宋_GBK"/>
          <w:b w:val="0"/>
          <w:sz w:val="24"/>
        </w:rPr>
        <w:t>65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63"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h563 \h </w:instrText>
      </w:r>
      <w:r>
        <w:rPr>
          <w:rFonts w:ascii="Times New Roman" w:hAnsi="Times New Roman" w:eastAsia="方正仿宋_GBK"/>
          <w:b w:val="0"/>
          <w:sz w:val="24"/>
        </w:rPr>
        <w:fldChar w:fldCharType="separate"/>
      </w:r>
      <w:r>
        <w:rPr>
          <w:rFonts w:ascii="Times New Roman" w:hAnsi="Times New Roman" w:eastAsia="方正仿宋_GBK"/>
          <w:b w:val="0"/>
          <w:sz w:val="24"/>
        </w:rPr>
        <w:t>67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42"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h942 \h </w:instrText>
      </w:r>
      <w:r>
        <w:rPr>
          <w:rFonts w:ascii="Times New Roman" w:hAnsi="Times New Roman" w:eastAsia="方正仿宋_GBK"/>
          <w:b w:val="0"/>
          <w:sz w:val="24"/>
        </w:rPr>
        <w:fldChar w:fldCharType="separate"/>
      </w:r>
      <w:r>
        <w:rPr>
          <w:rFonts w:ascii="Times New Roman" w:hAnsi="Times New Roman" w:eastAsia="方正仿宋_GBK"/>
          <w:b w:val="0"/>
          <w:sz w:val="24"/>
        </w:rPr>
        <w:t>109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60" w:history="1">
        <w:r>
          <w:rPr>
            <w:rFonts w:ascii="Times New Roman" w:hAnsi="Times New Roman" w:eastAsia="方正仿宋_GBK"/>
            <w:b w:val="0"/>
            <w:sz w:val="24"/>
          </w:rPr>
          <w:t>5.6 五参数推广矩阵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h960 \h </w:instrText>
      </w:r>
      <w:r>
        <w:rPr>
          <w:rFonts w:ascii="Times New Roman" w:hAnsi="Times New Roman" w:eastAsia="方正仿宋_GBK"/>
          <w:b w:val="0"/>
          <w:sz w:val="24"/>
        </w:rPr>
        <w:fldChar w:fldCharType="separate"/>
      </w:r>
      <w:r>
        <w:rPr>
          <w:rFonts w:ascii="Times New Roman" w:hAnsi="Times New Roman" w:eastAsia="方正仿宋_GBK"/>
          <w:b w:val="0"/>
          <w:sz w:val="24"/>
        </w:rPr>
        <w:t>112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32"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h1032 \h </w:instrText>
      </w:r>
      <w:r>
        <w:rPr>
          <w:rFonts w:ascii="Times New Roman" w:hAnsi="Times New Roman" w:eastAsia="方正仿宋_GBK"/>
          <w:b w:val="0"/>
          <w:sz w:val="24"/>
        </w:rPr>
        <w:fldChar w:fldCharType="separate"/>
      </w:r>
      <w:r>
        <w:rPr>
          <w:rFonts w:ascii="Times New Roman" w:hAnsi="Times New Roman" w:eastAsia="方正仿宋_GBK"/>
          <w:b w:val="0"/>
          <w:sz w:val="24"/>
        </w:rPr>
        <w:t>122</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47"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h1047 \h </w:instrText>
      </w:r>
      <w:r>
        <w:rPr>
          <w:rFonts w:ascii="Times New Roman" w:hAnsi="Times New Roman" w:eastAsia="方正仿宋_GBK"/>
          <w:b/>
          <w:sz w:val="24"/>
        </w:rPr>
        <w:fldChar w:fldCharType="separate"/>
      </w:r>
      <w:r>
        <w:rPr>
          <w:rFonts w:ascii="Times New Roman" w:hAnsi="Times New Roman" w:eastAsia="方正仿宋_GBK"/>
          <w:b/>
          <w:sz w:val="24"/>
        </w:rPr>
        <w:t>124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49"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h1049 \h </w:instrText>
      </w:r>
      <w:r>
        <w:rPr>
          <w:rFonts w:ascii="Times New Roman" w:hAnsi="Times New Roman" w:eastAsia="方正仿宋_GBK"/>
          <w:b w:val="0"/>
          <w:sz w:val="24"/>
        </w:rPr>
        <w:fldChar w:fldCharType="separate"/>
      </w:r>
      <w:r>
        <w:rPr>
          <w:rFonts w:ascii="Times New Roman" w:hAnsi="Times New Roman" w:eastAsia="方正仿宋_GBK"/>
          <w:b w:val="0"/>
          <w:sz w:val="24"/>
        </w:rPr>
        <w:t>124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63"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h1063 \h </w:instrText>
      </w:r>
      <w:r>
        <w:rPr>
          <w:rFonts w:ascii="Times New Roman" w:hAnsi="Times New Roman" w:eastAsia="方正仿宋_GBK"/>
          <w:b w:val="0"/>
          <w:sz w:val="24"/>
        </w:rPr>
        <w:fldChar w:fldCharType="separate"/>
      </w:r>
      <w:r>
        <w:rPr>
          <w:rFonts w:ascii="Times New Roman" w:hAnsi="Times New Roman" w:eastAsia="方正仿宋_GBK"/>
          <w:b w:val="0"/>
          <w:sz w:val="24"/>
        </w:rPr>
        <w:t>125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75"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h1075 \h </w:instrText>
      </w:r>
      <w:r>
        <w:rPr>
          <w:rFonts w:ascii="Times New Roman" w:hAnsi="Times New Roman" w:eastAsia="方正仿宋_GBK"/>
          <w:b w:val="0"/>
          <w:sz w:val="24"/>
        </w:rPr>
        <w:fldChar w:fldCharType="separate"/>
      </w:r>
      <w:r>
        <w:rPr>
          <w:rFonts w:ascii="Times New Roman" w:hAnsi="Times New Roman" w:eastAsia="方正仿宋_GBK"/>
          <w:b w:val="0"/>
          <w:sz w:val="24"/>
        </w:rPr>
        <w:t>126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81"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h1081 \h </w:instrText>
      </w:r>
      <w:r>
        <w:rPr>
          <w:rFonts w:ascii="Times New Roman" w:hAnsi="Times New Roman" w:eastAsia="方正仿宋_GBK"/>
          <w:b/>
          <w:sz w:val="24"/>
        </w:rPr>
        <w:fldChar w:fldCharType="separate"/>
      </w:r>
      <w:r>
        <w:rPr>
          <w:rFonts w:ascii="Times New Roman" w:hAnsi="Times New Roman" w:eastAsia="方正仿宋_GBK"/>
          <w:b/>
          <w:sz w:val="24"/>
        </w:rPr>
        <w:t>127</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进入规模化发展阶段。国家能源局公布，截至2026年3月底，全国分布式光伏装机容量达到5.54亿千瓦[1]，同期江苏分布式光伏累计并网容量为6629.40万千瓦[2]。随着电源在用户侧广泛接入，110 kV变电站承担的供电任务随本地发电与用电的时段关系发生变化。</w:t>
      </w:r>
    </w:p>
    <w:p>
      <w:pPr>
        <w:pStyle w:val="2"/>
        <w:widowControl/>
        <w:spacing w:line="348" w:lineRule="exact" w:before="0" w:after="0"/>
        <w:ind w:firstLine="480"/>
        <w:jc w:val="both"/>
      </w:pPr>
      <w:r>
        <w:rPr>
          <w:rFonts w:ascii="Times New Roman" w:hAnsi="Times New Roman" w:eastAsia="方正仿宋_GBK"/>
          <w:b w:val="0"/>
          <w:sz w:val="24"/>
        </w:rPr>
        <w:t xml:space="preserve">光伏出力较高时，部分用户用电由本地电源供给，主变受入功率减小，而当本地发电超过本地用电时，剩余电力经主变反送。光伏出力下降后，上级电网仍需承担剩余用电需求。因此，主变容量需要同时满足正向供电和反向输送要求，并在主变N-1时通过剩余设备及下级网络维持供电[3][4][5]。</w:t>
      </w:r>
    </w:p>
    <w:p>
      <w:pPr>
        <w:pStyle w:val="2"/>
        <w:widowControl/>
        <w:spacing w:line="348" w:lineRule="exact" w:before="0" w:after="0"/>
        <w:ind w:firstLine="480"/>
        <w:jc w:val="both"/>
      </w:pPr>
      <w:r>
        <w:rPr>
          <w:rFonts w:ascii="Times New Roman" w:hAnsi="Times New Roman" w:eastAsia="方正仿宋_GBK"/>
          <w:b w:val="0"/>
          <w:sz w:val="24"/>
        </w:rPr>
        <w:t xml:space="preserve">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而峰值在晚间时，主变仍需承担该时段的供电任务。同时，日间反向输送可能提出新增容量需求。区域容量选取因而需要联系逐站双向功率、主变结构和联络支援条件。</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pPr>
        <w:pStyle w:val="2"/>
        <w:widowControl/>
        <w:spacing w:line="348" w:lineRule="exact" w:before="0" w:after="0"/>
        <w:ind w:firstLine="480"/>
        <w:jc w:val="both"/>
      </w:pPr>
      <w:r>
        <w:rPr>
          <w:rFonts w:ascii="Times New Roman" w:hAnsi="Times New Roman" w:eastAsia="方正仿宋_GBK"/>
          <w:b w:val="0"/>
          <w:sz w:val="24"/>
        </w:rPr>
        <w:t xml:space="preserve">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pPr>
        <w:pStyle w:val="2"/>
        <w:widowControl/>
        <w:spacing w:line="348" w:lineRule="exact" w:before="0" w:after="0"/>
        <w:ind w:firstLine="480"/>
        <w:jc w:val="both"/>
      </w:pPr>
      <w:r>
        <w:rPr>
          <w:rFonts w:ascii="Times New Roman" w:hAnsi="Times New Roman" w:eastAsia="方正仿宋_GBK"/>
          <w:b w:val="0"/>
          <w:sz w:val="24"/>
        </w:rPr>
        <w:t xml:space="preserve">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使增加主变与配置储能能够在同一费用目标下比较。容量提高可能减少局部供电安全约束所需的储能，同时增加主变购置、配套工程及后续运维费用，两者能否相抵取决于主变规格、储能价格、储能支撑持续时间和负荷空间分布。因此，两类方案采用相同措施集合、价格和初态，通过完整配置的费用结果评价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与负荷变化对年度容载比的影响：既有主变保持不变而年最大负荷下降时，容载比会升高；负荷增长快于容量增长时，即使新增主变，容载比仍可能降低。逐年方案因而需同时列出主变在役容量、采购容量和年度负荷，将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通过配置路径、价格参数与条件推荐矩阵，说明推荐值随相关条件变化的范围。相似片区采用模板时，应先核对实际容量和负荷分布，再在接入系统或专项规划阶段校核具体接线、故障恢复时间、电压与保护配合。</w:t>
      </w:r>
    </w:p>
    <w:p>
      <w:pPr>
        <w:pStyle w:val="4"/>
        <w:keepNext/>
        <w:numPr>
          <w:numId w:val="0"/>
        </w:numPr>
        <w:spacing w:line="480" w:lineRule="exact" w:before="160" w:after="120"/>
        <w:ind w:firstLine="0"/>
      </w:pPr>
      <w:bookmarkStart w:id="1018" w:name="h18"/>
      <w:bookmarkStart w:id="25" w:name="主要概念与规范依据"/>
      <w:r>
        <w:rPr>
          <w:rFonts w:ascii="Times New Roman" w:hAnsi="Times New Roman" w:eastAsia="方正仿宋_GBK"/>
          <w:b/>
          <w:sz w:val="32"/>
        </w:rPr>
        <w:t xml:space="preserve">1.2 主要概念与规范依据</w:t>
      </w:r>
      <w:bookmarkEnd w:id="25"/>
      <w:bookmarkEnd w:id="1018"/>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配电网规划设计技术导则》第6.2.2.1条进一步提出，建议范围内不能满足供电安全准则时，可结合实际情况适当提高[7]。本课题保留相同初始设备结构：刚性方案新增扩容按当年负荷两倍控制，当年负荷低于上一年度时，保留已投运主变容量，容载比可随负荷回落而超过2.0。弹性方案依据承载需求和费用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以评价期费用寻优形成经济参考，在参考费用5%以内优先简化联络工程，供电安全及设备容量作为共同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45418—2025《配电网通用技术导则》作为下级配电网技术分析的补充依据[17]。分布式电源装机渗透率和分布式电源电量渗透率采用《配电网规划设计技术导则》的指标定义[7]，用于描述片区源荷条件。</w:t>
      </w:r>
    </w:p>
    <w:p>
      <w:pPr>
        <w:pStyle w:val="4"/>
        <w:keepNext/>
        <w:numPr>
          <w:numId w:val="0"/>
        </w:numPr>
        <w:spacing w:line="480" w:lineRule="exact" w:before="160" w:after="120"/>
        <w:ind w:firstLine="0"/>
      </w:pPr>
      <w:bookmarkStart w:id="1032" w:name="h32"/>
      <w:bookmarkStart w:id="30" w:name="研究范围与对象"/>
      <w:r>
        <w:rPr>
          <w:rFonts w:ascii="Times New Roman" w:hAnsi="Times New Roman" w:eastAsia="方正仿宋_GBK"/>
          <w:b/>
          <w:sz w:val="32"/>
        </w:rPr>
        <w:t xml:space="preserve">1.3 研究范围与对象</w:t>
      </w:r>
      <w:bookmarkEnd w:id="30"/>
      <w:bookmarkEnd w:id="1032"/>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5729—2023第6.3.3条，以行政区县作为最小统计分析范围[5]。本研究选取邳州和市区，电网运行统计与规划优化均按110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MW/km²。本研究按各站资料和研究假设确定设备候选，地区案例的转供能力依据逐站统计约束，具体计算见第3.6节。</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2021年实际统计值，两地区起点容载比按两位小数均为2.00。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技术模型在静态工况下联合校核正向供电、反向功率、主变N-1及站间转供，储能按额定功率、可用电量和支撑持续时间折算有效能力。地区案例正向支撑持续时间分别采用邳州2 h、市区6 h，反向按各站支撑要求设置，联络则按具体送受端路径计量并共用馈线余量。</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w:t>
      </w:r>
    </w:p>
    <w:p>
      <w:pPr>
        <w:pStyle w:val="4"/>
        <w:keepNext/>
        <w:numPr>
          <w:numId w:val="0"/>
        </w:numPr>
        <w:spacing w:line="480" w:lineRule="exact" w:before="160" w:after="120"/>
        <w:ind w:firstLine="0"/>
      </w:pPr>
      <w:bookmarkStart w:id="1045" w:name="h45"/>
      <w:bookmarkStart w:id="34" w:name="研究目标与内容"/>
      <w:r>
        <w:rPr>
          <w:rFonts w:ascii="Times New Roman" w:hAnsi="Times New Roman" w:eastAsia="方正仿宋_GBK"/>
          <w:b/>
          <w:sz w:val="32"/>
        </w:rPr>
        <w:t xml:space="preserve">1.4 研究目标与内容</w:t>
      </w:r>
      <w:bookmarkEnd w:id="34"/>
      <w:bookmarkEnd w:id="1045"/>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最后，第3.5节从十三项候选指标出发，依次评价其与容载比的关联及指标间的信息重叠，确定五项推广参数。第五章按相应输入区间归纳容载比计算范围，并结合设备措施与费用解释配置差异。</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电缆长度占比用于折算单位长度综合造价，储能按支撑持续时间比较有效功率，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MVA等设备可保留，新购主变采用31.50、50、63、80 MVA等候选规格并按站限制；扩建、联络投运状态及储能柜数为整数决策，站间转供功率为连续决策。先以新增措施评价期费用现值为目标寻优，再按费用容差内的工程优选条件确定弹性方案，各方案共同满足正常及主变N-1等约束。</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采用源荷、网络、时间及相对价格条件开展目标年静态比选，并通过两层相关分析归纳推广维度。依据五项参数组织典型源荷和网络条件，在固定电缆造价及支撑时长下，列示随四档初始转供率变化的容载比推荐区间，并用完整节点解释设备替代。连续输入首尾档开口，增长分界对应2025年4月《配电网规划设计技术导则（修订稿）》第6.2.2.1条，容载比输出按有限范围列示[7]。</w:t>
      </w:r>
    </w:p>
    <w:p>
      <w:pPr>
        <w:pStyle w:val="4"/>
        <w:keepNext/>
        <w:numPr>
          <w:numId w:val="0"/>
        </w:numPr>
        <w:spacing w:line="480" w:lineRule="exact" w:before="160" w:after="120"/>
        <w:ind w:firstLine="0"/>
      </w:pPr>
      <w:bookmarkStart w:id="1057" w:name="h57"/>
      <w:bookmarkStart w:id="37" w:name="研究方法与技术路线"/>
      <w:r>
        <w:rPr>
          <w:rFonts w:ascii="Times New Roman" w:hAnsi="Times New Roman" w:eastAsia="方正仿宋_GBK"/>
          <w:b/>
          <w:sz w:val="32"/>
        </w:rPr>
        <w:t xml:space="preserve">1.5 研究方法与技术路线</w:t>
      </w:r>
      <w:bookmarkEnd w:id="37"/>
      <w:bookmarkEnd w:id="1057"/>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先核对指标的统计范围及计算关系，再分析分布式电源渗透水平、双向净负荷及95%峰值持续时间，明确其对容量需求、网络能力和费用的作用。第3.5节据规范、论文和工程资料建立十三项候选指标，以固定其他输入后的组内相关评价容载比响应，再归并高相关指标并核验五项参数之间的相关关系。第五章通过地区案例和完整受控序列解释设备替代及配置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年最大净负荷平均增长率按2021—2025年起止负荷之比开四次方计算。地区案例直接使用2022—2025年逐年实际负荷，保留年度回落，复合增长率用于概括发展水平及设置推广情景。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由于电源仍归属原站，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负荷分散系数表达各站峰值与区域同时峰值的关系，初始转供率表达既有网络条件，电缆长度占比决定新增联络综合造价。五项参数经相关强度、信息重叠和参数间相关分析确定，各单元对应具体设备配置及其容载比范围。</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的输入、算式和约束分别在第三章至第五章展开。</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93235"/>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299323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73" w:name="h73"/>
      <w:bookmarkStart w:id="43" w:name="研究成果及应用"/>
      <w:r>
        <w:rPr>
          <w:rFonts w:ascii="Times New Roman" w:hAnsi="Times New Roman" w:eastAsia="方正仿宋_GBK"/>
          <w:b/>
          <w:sz w:val="32"/>
        </w:rPr>
        <w:t xml:space="preserve">1.6 研究成果及应用</w:t>
      </w:r>
      <w:bookmarkEnd w:id="43"/>
      <w:bookmarkEnd w:id="1073"/>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集中列明电缆长度占比、储能支撑持续时间及源荷条件，展示典型场景随转供能力变化的容载比区间。</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76" w:name="h76"/>
      <w:bookmarkStart w:id="44" w:name="第二章-国内外研究现状"/>
      <w:r>
        <w:rPr>
          <w:rFonts w:ascii="Times New Roman" w:hAnsi="Times New Roman" w:eastAsia="方正仿宋_GBK"/>
          <w:b/>
          <w:sz w:val="36"/>
        </w:rPr>
        <w:t xml:space="preserve">第二章 国内外研究现状</w:t>
      </w:r>
      <w:bookmarkEnd w:id="44"/>
      <w:bookmarkEnd w:id="1076"/>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79" w:name="h79"/>
      <w:bookmarkStart w:id="45" w:name="国外研究现状"/>
      <w:r>
        <w:rPr>
          <w:rFonts w:ascii="Times New Roman" w:hAnsi="Times New Roman" w:eastAsia="方正仿宋_GBK"/>
          <w:b/>
          <w:sz w:val="32"/>
        </w:rPr>
        <w:t xml:space="preserve">2.1 国外研究现状</w:t>
      </w:r>
      <w:bookmarkEnd w:id="45"/>
      <w:bookmarkEnd w:id="1079"/>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逐步拓展到源荷不确定性、主动管理及动态分析，不同方法通过电压、设备容量和风险约束确定接入范围。在不确定性建模方面，Lin等先用鲁棒优化识别源荷最不利场景，再构建计及主动管理的混合整数二阶锥规划模型，形成两阶段光伏（photovoltaic，PV）承载力计算方法。算例中负荷降低和光伏出力提高均可能使约束趋紧，但措施效果取决于瓶颈类型：无功与SVC控制对受过电压限制的网络改善明显，对受最大传输功率限制的网络作用有限，而网络重构可使薄弱支路的承载力提高超过50%，达到原值约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针对反向潮流引起的过电压，Xie等结合主网与配网线路参数差异建立计算方法，算例中的抑制策略将过电压从高于额定值约10%降至约2%[23]。在电压与设备热状态联合控制方面，Ghorbansarvi等用模型预测控制（MPC）管理母线电压与配变温度，并以弃光最小为目标，通过协调控制推迟配变过载[24]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灵活资源研究将储能、可调负荷和柔性互联的作用与电网增容比较。在接入能力分析中，Nair等采用确定性迭代、两阶段随机MISOCP和蒙特卡洛方法，IEEE 123馈线的动态资源协调使PV承载力由静态48%提高至83%，两阶段随机规划条件下达到98%。多资源互补使可行域体积扩大逾22倍，但动态方案的波动性更高，资源临界性排序为电池、热泵和EV[26]。Wang等进一步以智能软开关（SOP）组织柔性配电网多资源动态协同规划，在5%风险阈值内实现100%本地光伏消纳，最优方案总成本较不同对照方案降低约7%～55%[27]。</w:t>
      </w:r>
    </w:p>
    <w:p>
      <w:pPr>
        <w:pStyle w:val="2"/>
        <w:widowControl/>
        <w:spacing w:line="348" w:lineRule="exact" w:before="0" w:after="0"/>
        <w:ind w:firstLine="480"/>
        <w:jc w:val="both"/>
      </w:pPr>
      <w:r>
        <w:rPr>
          <w:rFonts w:ascii="Times New Roman" w:hAnsi="Times New Roman" w:eastAsia="方正仿宋_GBK"/>
          <w:b w:val="0"/>
          <w:sz w:val="24"/>
        </w:rPr>
        <w:t xml:space="preserve">储能替代网架增容的经济条件受负荷增长和设备价格影响。Martínez等基于西班牙真实500节点中压网发现，专用分布式电池储能（BESS）的净现值仅在年负荷增长率不超过千分之一点六时为正，移动式储能的可行上限约为千分之二点五[28]。Holweger等在CIGRE低压网上得到，PV年发电量占用户年用电量约110%～145%时，分布式柔性与网架增强达到盈亏平衡，其中较低变压器价格对应约110%、较高价格对应约145%，变压器是相关算例的承载瓶颈[29]。Matthiss等从评价期限解释措施排序差异：按初始投资比较时储能明显低于网架增强，计入电池10年寿命并折算年费用后，优势有所收窄[30]。</w:t>
      </w:r>
    </w:p>
    <w:p>
      <w:pPr>
        <w:pStyle w:val="2"/>
        <w:widowControl/>
        <w:spacing w:line="348" w:lineRule="exact" w:before="0" w:after="0"/>
        <w:ind w:firstLine="480"/>
        <w:jc w:val="both"/>
      </w:pPr>
      <w:r>
        <w:rPr>
          <w:rFonts w:ascii="Times New Roman" w:hAnsi="Times New Roman" w:eastAsia="方正仿宋_GBK"/>
          <w:b w:val="0"/>
          <w:sz w:val="24"/>
        </w:rPr>
        <w:t xml:space="preserve">储能定容研究进一步把容量衰减和运行约束纳入比选。Xu等用两阶段启发式优化最小化储能全寿命周期成本（LCC），包括投资、更换、运维及处置费用并计及锂电池衰减，算例中储能总平均年费用下降约47%[10]。Wu等采用两阶段分布鲁棒优化，将并网点短路电流约束纳入PV与储能联合规划，相较传统或分开规划方法，算例PV可装容量提高约60%、电压偏差降低约17%，说明联合配置与独立配置会形成不同承载结果[31]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和含可再生能源的变电容量优化，Huang等用多元宇宙优化器同时选择主变容量与台数，算例显示本地可再生能源通过减少净负荷延缓主变建设[33]。需求侧调节也会改变这一建设需求，Xu等从分时电价与需求响应引起的负荷曲线变化分析削峰节省的变电投资[34]，Nespoli等则提出无需本地历史数据的全局预测方法，用于量化住宅柔性负荷的经济价值[35]。</w:t>
      </w:r>
    </w:p>
    <w:p>
      <w:pPr>
        <w:pStyle w:val="2"/>
        <w:widowControl/>
        <w:spacing w:line="348" w:lineRule="exact" w:before="0" w:after="0"/>
        <w:ind w:firstLine="480"/>
        <w:jc w:val="both"/>
      </w:pPr>
      <w:r>
        <w:rPr>
          <w:rFonts w:ascii="Times New Roman" w:hAnsi="Times New Roman" w:eastAsia="方正仿宋_GBK"/>
          <w:b w:val="0"/>
          <w:sz w:val="24"/>
        </w:rPr>
        <w:t xml:space="preserve">在多区域柔性互联规划中，Zhu等通过共享E-SOP协调资源配置，与原始三相不平衡网络基准相比，算例年总成本降低约15%。进一步与各区域独立规划比较，年总成本由4021.60万元降至3995.27万元，各区域最大电压不平衡度降至2%[36]。SOP与储能联合规划进一步改善供电能力，相关算例提升约31%[37]。源—网—储协同随机规划则将源荷时空相关、储能配置及弃光费用纳入统一比较，说明消纳改善与费用变化需结合具体方案判断[38]。Shi等从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成本评价需统一初始投资与运行期支出。Zeng等以投资、运行、维护和故障费用建立输电线路经济寿命区间法，用改进GM(1,1)预测小样本成本，并以区间反映不确定性[11]。Zhu等针对10 kV三类线路，将投资、运维、故障和报废费用纳入LCC模型，发现高负载率下运维成为主要影响因素，算例三类线路的费用平衡点位于第7～8年，为比较线路寿命和现金流范围提供依据[12]。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pPr>
        <w:pStyle w:val="4"/>
        <w:keepNext/>
        <w:numPr>
          <w:numId w:val="0"/>
        </w:numPr>
        <w:spacing w:line="480" w:lineRule="exact" w:before="160" w:after="120"/>
        <w:ind w:firstLine="0"/>
      </w:pPr>
      <w:bookmarkStart w:id="1101" w:name="h101"/>
      <w:bookmarkStart w:id="50" w:name="国内研究现状"/>
      <w:r>
        <w:rPr>
          <w:rFonts w:ascii="Times New Roman" w:hAnsi="Times New Roman" w:eastAsia="方正仿宋_GBK"/>
          <w:b/>
          <w:sz w:val="32"/>
        </w:rPr>
        <w:t xml:space="preserve">2.2 国内研究现状</w:t>
      </w:r>
      <w:bookmarkEnd w:id="50"/>
      <w:bookmarkEnd w:id="1101"/>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国内容量配置研究从单电压等级逐步拓展到多电压等级协同。陈浩等建立高、低压两电压等级变电站的最优容载比模型，以年综合费用最小为目标，通过离散粒子群算法求解[43]。王凯亮等进一步统筹220/110/10 kV规划，以建设成本最小为目标，用贝叶斯优化与遗传算法（BOA-GA）确定容载比配比。研究得到长时间尺度下容量配比与整体投资近似呈二次关系，算例建设成本较实际网架降低约8%，并以10 MW·km⁻²负荷密度分界和负荷增长率给出差异化推荐表[44]。</w:t>
      </w:r>
    </w:p>
    <w:p>
      <w:pPr>
        <w:pStyle w:val="2"/>
        <w:widowControl/>
        <w:spacing w:line="348" w:lineRule="exact" w:before="0" w:after="0"/>
        <w:ind w:firstLine="480"/>
        <w:jc w:val="both"/>
      </w:pPr>
      <w:r>
        <w:rPr>
          <w:rFonts w:ascii="Times New Roman" w:hAnsi="Times New Roman" w:eastAsia="方正仿宋_GBK"/>
          <w:b w:val="0"/>
          <w:sz w:val="24"/>
        </w:rPr>
        <w:t xml:space="preserve">指标精细化研究尝试将容量储备与可靠性及负荷特征衔接。刘文霞等针对导则容载比区间较宽、与可靠性关联不足的问题，提出以理想值为基准的</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用供电可靠性与发展阶段评价区域充裕性[45]。刘炜彬等则从负荷分散系数、储备系数、变压器安全运行率和平均功率因数入手，采用BP神经网络拟合负荷同时率，并将N-1通过率纳入安全运行率，实现精细化、差异化配置[46]。</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研究直接联系变电容量与下级网络。肖峻等在计及主变、中压网络转带和N-1条件的TSC模型中得到，网络转带能力增强可降低变电容量储备需求，达到TSC时容载比理论范围约1.10～2.00。其常见城市联络度0.40～0.50对应容载比1.50～1.60，算例较1.80～2.00取值可多承接约20%负荷，因此建议互联程度较高的城市电网控制在1.60左右[8]。张锐等进一步以改进供电能力指标指导低压柔性互联装置规划，分别评价设备容量与实际供电能力[47]。马雨欣、林凌雪则在精准规划的TSC评估中考虑二次转供，并讨论分布式电源接入的影响[48]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概率与区间方法用于表达承载力的不确定性。王方敏等基于历史场景，以反向负载率划分红、黄、蓝、绿四级薄弱环节，并按不同置信水平给出可新增光伏容量[50]，徐非非等提出计及不确定性的承载能力区间分析方法[51]。针对含储能与软开关的柔性配电网，张伟等分别用确定性模型和双层鲁棒优化构造最乐观、最悲观边界，E-SOP端口容量增大时，区间从7.93～10.89 MW提高至9.32～11.34 MW且宽度收窄[52]。</w:t>
      </w:r>
    </w:p>
    <w:p>
      <w:pPr>
        <w:pStyle w:val="2"/>
        <w:widowControl/>
        <w:spacing w:line="348" w:lineRule="exact" w:before="0" w:after="0"/>
        <w:ind w:firstLine="480"/>
        <w:jc w:val="both"/>
      </w:pPr>
      <w:r>
        <w:rPr>
          <w:rFonts w:ascii="Times New Roman" w:hAnsi="Times New Roman" w:eastAsia="方正仿宋_GBK"/>
          <w:b w:val="0"/>
          <w:sz w:val="24"/>
        </w:rPr>
        <w:t xml:space="preserve">安全经济承载力研究将运行约束与经济目标共同纳入评估。宋钰等以年低碳经济收益最大为目标，构建确定性与分布鲁棒机会约束模型，考虑分布式光伏出力不确定性[53]。李敬如等先在输电网层面构建省域承载力区间，再在配电网层面结合潮流、电能质量和储能约束求取经济配置，使承载力与省域消纳条件相互校核[54]。</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协同规划研究关注柔性互联与储能配置对潮流、供电能力及投资的共同影响，相关综述分别梳理分布式光伏规模化并网[61]、主动配电网规划[62]和新型配电网分布式储能配置[63]。贺春光等采用混合整数二阶锥规划统筹多电压等级SOP，算例年综合成本由457.30万元降至357.70万元，各节点电压保持在[0.95,1.05]，并缓解220 kV变电站倒送[64]。在源—网—储扩展规划中，徐峰亮等建立三层模型并定义净负荷适应率、净负荷波动率和线路负载裕度均衡性，推荐方案在五种方案中总成本最低，为1300.50万元，DG渗透率最高，约57%[65]。乐健等用Frank-Copula描述源荷时空相关，通过蒙特卡洛生成并削减典型场景，25节点算例方案4的综合费用较方案2降低约45%，说明场景与协同配置会影响经济比较[66]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39" w:name="h139"/>
      <w:bookmarkStart w:id="61" w:name="国内外研究对比与述评"/>
      <w:r>
        <w:rPr>
          <w:rFonts w:ascii="Times New Roman" w:hAnsi="Times New Roman" w:eastAsia="方正仿宋_GBK"/>
          <w:b/>
          <w:sz w:val="32"/>
        </w:rPr>
        <w:t xml:space="preserve">2.3 国内外研究对比与述评</w:t>
      </w:r>
      <w:bookmarkEnd w:id="61"/>
      <w:bookmarkEnd w:id="1139"/>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先用邳州与市区案例分析实际源荷、设备和网络条件下的配置，再另建五站模板，独立改变源荷规模、负荷增长、转供条件、持续时间及工程费用，考察更广的参数组合。</w:t>
      </w:r>
    </w:p>
    <w:p>
      <w:pPr>
        <w:pStyle w:val="2"/>
        <w:widowControl/>
        <w:spacing w:line="348" w:lineRule="exact" w:before="0" w:after="0"/>
        <w:ind w:firstLine="480"/>
        <w:jc w:val="both"/>
      </w:pPr>
      <w:r>
        <w:rPr>
          <w:rFonts w:ascii="Times New Roman" w:hAnsi="Times New Roman" w:eastAsia="方正仿宋_GBK"/>
          <w:b w:val="0"/>
          <w:sz w:val="24"/>
        </w:rPr>
        <w:t xml:space="preserve">推荐矩阵按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4"/>
        <w:keepNext/>
        <w:numPr>
          <w:numId w:val="0"/>
        </w:numPr>
        <w:spacing w:line="480" w:lineRule="exact" w:before="160" w:after="120"/>
        <w:ind w:firstLine="0"/>
      </w:pPr>
      <w:bookmarkStart w:id="1153" w:name="h153"/>
      <w:bookmarkStart w:id="65" w:name="容载比与供电能力的理论联系"/>
      <w:r>
        <w:rPr>
          <w:rFonts w:ascii="Times New Roman" w:hAnsi="Times New Roman" w:eastAsia="方正仿宋_GBK"/>
          <w:b/>
          <w:sz w:val="32"/>
        </w:rPr>
        <w:t xml:space="preserve">2.4 容载比与供电能力的理论联系</w:t>
      </w:r>
      <w:bookmarkEnd w:id="65"/>
      <w:bookmarkEnd w:id="1153"/>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两台等容量主变在N-1条件下剩余容量为原总容量的一半，三台等容量主变在N-1条件下剩余比例为三分之二。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主变规格的离散性会使区域容量随整台设备投运而变化。当某站所需有效供电能力小于一个推荐规格的容量增量时，采购后会形成一定储备，随后随负荷增加逐步使用，年度容载比相应下降。本项目因而将可选规格直接纳入整数模型，再由所选规格的容量合计计算年度指标。</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由于可转负荷由通道条件与两端容量共同确定，工程上需同时核实负荷能否分段、通道是否可用及受端主变是否具有余量。</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使部分站原有储备能够承担邻站负荷，从而减少局部新增容量或储能需求。由于区县用户需求保持不变，在忽略线路损耗时，送出和接收成对计量并保持区域负荷总量守恒，本研究据此保留两端约束，通过设备配置变化评价联络作用。</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pPr>
        <w:pStyle w:val="2"/>
        <w:widowControl/>
        <w:spacing w:line="348" w:lineRule="exact" w:before="0" w:after="0"/>
        <w:ind w:firstLine="480"/>
        <w:jc w:val="both"/>
      </w:pPr>
      <w:r>
        <w:rPr>
          <w:rFonts w:ascii="Times New Roman" w:hAnsi="Times New Roman" w:eastAsia="方正仿宋_GBK"/>
          <w:b w:val="0"/>
          <w:sz w:val="24"/>
        </w:rPr>
        <w:t xml:space="preserve">推广模板分别设置既有与新增转供能力预算。既有能力按初始转供率计取，新建联络按项目提高能力，实际使用量仍由送端可转负荷、受端容量及反向压力共同限定。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主变投运后持续在役，而负荷可能在不同年份上升或下降，因此负荷发展储备需结合规划年份确定。年度规划路径同时处理设备持续在役与负荷波动，按投运年份计取建设费用，并校核各中间年份的容量需求。</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用于判断发展阶段和构造其他片区情景，而已知历史年度的地区案例直接采用对应年度实际负荷。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同时影响供电需求和容载比分母。在资产非减条件下，较低增长可能使已配置容量对应较高容载比，较高增长则可能触发新的主变或储能建设，因此连续的负荷变化会通过离散措施形成台阶式配置响应，推荐矩阵据此归纳不同发展水平下的容量范围。</w:t>
      </w:r>
    </w:p>
    <w:p>
      <w:pPr>
        <w:pStyle w:val="4"/>
        <w:keepNext/>
        <w:numPr>
          <w:numId w:val="0"/>
        </w:numPr>
        <w:spacing w:line="480" w:lineRule="exact" w:before="160" w:after="120"/>
        <w:ind w:firstLine="0"/>
      </w:pPr>
      <w:bookmarkStart w:id="1167" w:name="h167"/>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7"/>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描述用户实际用电需求，网供负荷描述分布式电源参与本地供电后电网承担的剩余任务，二者需按同一时段和统计范围建立源荷平衡。在忽略损耗的简化关系中，净负荷为用户用电功率减去本地发电功率，正值表示受电、负值表示反送。</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用户负荷按同期净交换功率与本地电源出力重建。</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供电安全涉及用户恢复供电，反向接入还涉及上级网络、电压和保护配合，两种场景的网络与保护条件可能不同。因此，即使用绝对峰值比较容量压力，仍需保留功率方向及对应场景，分别建立正反向净负荷约束。</w:t>
      </w:r>
    </w:p>
    <w:p>
      <w:pPr>
        <w:pStyle w:val="2"/>
        <w:widowControl/>
        <w:spacing w:line="348" w:lineRule="exact" w:before="0" w:after="0"/>
        <w:ind w:firstLine="480"/>
        <w:jc w:val="both"/>
      </w:pPr>
      <w:r>
        <w:rPr>
          <w:rFonts w:ascii="Times New Roman" w:hAnsi="Times New Roman" w:eastAsia="方正仿宋_GBK"/>
          <w:b w:val="0"/>
          <w:sz w:val="24"/>
        </w:rPr>
        <w:t xml:space="preserve">各站非同时反向峰值之和仅用于反向容量压力的上界分析；形成区域峰值时，应先在同一时间轴上逐时汇总，再取极值。</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储能配置需要同时考虑缺口幅度与持续时间：相同的5 MW缺口持续1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时，最低理想放电能量为5 MWh，持续5</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时所需能量相应增加，实际工程还需计及效率、可用荷电状态和容量衰减[28][10]。本项目据此在静态模型中，以铭牌功率和峰段可持续能量共同限制储能支撑。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光伏增加可能降低部分日间净负荷，而年度设备最大负载率还可能由晚间高峰或局部反送决定。两项指标的相关方向受容量配置、负荷时段和统计边界共同影响[3][4][58]。</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邳州和市区的年度地区指标用于比较县域与城区的源荷相对水平。对具有月度同范围资料的地区，还可计算月度关联并说明样本内性质，为扩大实际数据样本提供依据。</w:t>
      </w:r>
    </w:p>
    <w:p>
      <w:pPr>
        <w:pStyle w:val="4"/>
        <w:keepNext/>
        <w:numPr>
          <w:numId w:val="0"/>
        </w:numPr>
        <w:spacing w:line="480" w:lineRule="exact" w:before="160" w:after="120"/>
        <w:ind w:firstLine="0"/>
      </w:pPr>
      <w:bookmarkStart w:id="1184" w:name="h184"/>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4"/>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新增联络线的可转负荷由线路热限、负荷可分段条件和受端可用容量共同限制，因此公开线路单位造价只能提供价格参考，实际可转任务仍需由网络资料确定[8]。</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储能单位有效支撑功率投资随支撑持续时间变化。10柜组合额定功率1 MW、额定能量2.15 MWh，在可用电量系数0.76及4 h条件下，有效支撑功率为0.4085 MW。经济比较应按可持续功率折算，并保留额定功率限制[10][86]。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当储能寿命短于网架设备且更新发生在评价期内时，更新投资会影响其替代长期容量建设的经济性，而延后投运则通过减少早期资金占用改变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电缆长度占比和储能支撑时间参与措施比选，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本项目采用固定实价和固定运维比例。线路费用按电缆与架空线路的长度占比加权，储能按统一采购价计费，在相同技术条件下比较措施费用。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先按费用寻优形成经济参考，再在参考费用容差内比较联络工程较少的可行布局。供电安全和设备规格作为共同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电缆长度占比、转供条件、支撑持续时间和源荷条件一起给出。同一推荐容载比可对应不同设备布局，费用相同也可能出现多组可行配置。推荐区间结合主变与储能配置、建设时序和站间负荷转接结果确定，相应方案在第五章逐站列示。</w:t>
      </w:r>
    </w:p>
    <w:p>
      <w:pPr>
        <w:pStyle w:val="4"/>
        <w:keepNext/>
        <w:numPr>
          <w:numId w:val="0"/>
        </w:numPr>
        <w:spacing w:line="480" w:lineRule="exact" w:before="160" w:after="120"/>
        <w:ind w:firstLine="0"/>
      </w:pPr>
      <w:bookmarkStart w:id="1198" w:name="h198"/>
      <w:bookmarkStart w:id="78" w:name="规划寻优方法与本项目选型"/>
      <w:r>
        <w:rPr>
          <w:rFonts w:ascii="Times New Roman" w:hAnsi="Times New Roman" w:eastAsia="方正仿宋_GBK"/>
          <w:b/>
          <w:sz w:val="32"/>
        </w:rPr>
        <w:t xml:space="preserve">2.7 规划寻优方法与本项目选型</w:t>
      </w:r>
      <w:bookmarkEnd w:id="78"/>
      <w:bookmarkEnd w:id="1198"/>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整数规划将设备规格与工程数量直接作为决策变量，在正常运行和供电安全约束下比较措施费用，并通过连续衔接各年设备状态形成建设路径。</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费用目标附近可能存在多组可行配置，因此每个费用结果均与其对应的设备和联络项目共同列示。</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按联络、馈线及接收余量建立具体转供约束。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用于分析装机增长下的双向容量需求，分布式电源电量渗透率用于描述年度供能特征。</w:t>
      </w:r>
    </w:p>
    <w:p>
      <w:pPr>
        <w:pStyle w:val="4"/>
        <w:keepNext/>
        <w:numPr>
          <w:numId w:val="0"/>
        </w:numPr>
        <w:spacing w:line="480" w:lineRule="exact" w:before="160" w:after="120"/>
        <w:ind w:firstLine="0"/>
      </w:pPr>
      <w:bookmarkStart w:id="1211" w:name="h211"/>
      <w:bookmarkStart w:id="82" w:name="本项目方法选择与工程衔接"/>
      <w:r>
        <w:rPr>
          <w:rFonts w:ascii="Times New Roman" w:hAnsi="Times New Roman" w:eastAsia="方正仿宋_GBK"/>
          <w:b/>
          <w:sz w:val="32"/>
        </w:rPr>
        <w:t xml:space="preserve">2.8 本项目方法选择与工程衔接</w:t>
      </w:r>
      <w:bookmarkEnd w:id="82"/>
      <w:bookmarkEnd w:id="1211"/>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保留实际年度负荷变化。通用模板通过参数情景的相关强度和信息重叠分析确定五项推广参数，再选取转供各档均有区间响应的典型源荷条件，归纳容量推荐范围。主变、储能与联络按统一工程价格和设备候选进行费用比选。</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研究强调容量储备与地区条件的对应关系。本报告采用分布式电源装机渗透率、年最大净负荷平均增长率、电缆长度占比、初始转供率及负荷分散系数五项参数组织矩阵，储能支撑持续时间作为设备比选条件，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负荷平均增长率区间依次为不大于2%、大于2%且不大于4%、大于4%且不大于7%、大于7%。本报告沿用这些增长分界，并参照首尾开口形式设置其他输入参数的研究分档，分别说明输入定义域和有限计算节点的验证范围。</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各单元的容载比范围由已核验配置归纳，具体取值对应允许主变规格和台数形成的离散配置。规划应用先核对输入与模板条件，再将容量规模落实到设备、联络及储能方案[43][44]。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对储能与网架建设的经济比较采用不同评价范围：初始投资适合解释设备采购和工程规模，计及运行、更新和寿命的评价期费用适合比较不同建设年份及运维水平，而包含收益的财务分析还需电价、运行策略和市场机制[30][28][10]。使用这些研究结论时，应先明确评价目的及相应现金流范围。</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pPr>
        <w:pStyle w:val="4"/>
        <w:keepNext/>
        <w:numPr>
          <w:numId w:val="0"/>
        </w:numPr>
        <w:spacing w:line="480" w:lineRule="exact" w:before="160" w:after="120"/>
        <w:ind w:firstLine="0"/>
      </w:pPr>
      <w:bookmarkStart w:id="1233" w:name="h233"/>
      <w:bookmarkStart w:id="89" w:name="本章小结"/>
      <w:r>
        <w:rPr>
          <w:rFonts w:ascii="Times New Roman" w:hAnsi="Times New Roman" w:eastAsia="方正仿宋_GBK"/>
          <w:b/>
          <w:sz w:val="32"/>
        </w:rPr>
        <w:t xml:space="preserve">2.9 本章小结</w:t>
      </w:r>
      <w:bookmarkEnd w:id="89"/>
      <w:bookmarkEnd w:id="1233"/>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pPr>
        <w:pStyle w:val="3"/>
        <w:keepNext/>
        <w:pageBreakBefore/>
        <w:numPr>
          <w:numId w:val="0"/>
        </w:numPr>
        <w:spacing w:line="540" w:lineRule="exact" w:before="0" w:after="120"/>
        <w:ind w:firstLine="0"/>
      </w:pPr>
      <w:bookmarkStart w:id="1235" w:name="h235"/>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5"/>
    </w:p>
    <w:p>
      <w:pPr>
        <w:pStyle w:val="4"/>
        <w:keepNext/>
        <w:numPr>
          <w:numId w:val="0"/>
        </w:numPr>
        <w:spacing w:line="480" w:lineRule="exact" w:before="160" w:after="120"/>
        <w:ind w:firstLine="0"/>
      </w:pPr>
      <w:bookmarkStart w:id="1236" w:name="h236"/>
      <w:bookmarkStart w:id="91" w:name="研究地区与原始资料"/>
      <w:r>
        <w:rPr>
          <w:rFonts w:ascii="Times New Roman" w:hAnsi="Times New Roman" w:eastAsia="方正仿宋_GBK"/>
          <w:b/>
          <w:sz w:val="32"/>
        </w:rPr>
        <w:t xml:space="preserve">3.1 研究地区与原始资料</w:t>
      </w:r>
      <w:bookmarkEnd w:id="91"/>
      <w:bookmarkEnd w:id="1236"/>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从历史负荷、光伏及设备结构提取规划仿真参数，将年度区域负荷统一换算为MW，作为年网供最大负荷估计值。规划站级正向、反向净负荷采用2025年分布并按仿真年度规模缩放，光伏装机图表则以2023—2025年月末记录为基础，对缺少记录的2021—2022年作几何回推。</w:t>
      </w:r>
    </w:p>
    <w:p>
      <w:pPr>
        <w:pStyle w:val="2"/>
        <w:widowControl/>
        <w:spacing w:line="348" w:lineRule="exact" w:before="0" w:after="0"/>
        <w:ind w:firstLine="480"/>
        <w:jc w:val="both"/>
      </w:pPr>
      <w:r>
        <w:rPr>
          <w:rFonts w:ascii="Times New Roman" w:hAnsi="Times New Roman" w:eastAsia="方正仿宋_GBK"/>
          <w:b w:val="0"/>
          <w:sz w:val="24"/>
        </w:rPr>
        <w:t xml:space="preserve">本章以历史容量和负荷分析现状，第五章则在各地区共同初始设备和2021年实际负荷下开展规划回算，基期容载比均约为2.00，后续容量由逐年优化确定。设备统计用于设置允许规格、供电区域类别及主变扩建位置，两类方案的正常负荷调整共用相同仿真通道。</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案例提取区域正向峰值、最低净负荷及各站局部极值的同期截面，市区45个、邳州26个，每个截面保留全部站点的同期功率。正向储能支撑持续时间分别取邳州2 h、市区6 h。</w:t>
      </w:r>
    </w:p>
    <w:p>
      <w:pPr>
        <w:pStyle w:val="4"/>
        <w:keepNext/>
        <w:numPr>
          <w:numId w:val="0"/>
        </w:numPr>
        <w:spacing w:line="480" w:lineRule="exact" w:before="160" w:after="120"/>
        <w:ind w:firstLine="0"/>
      </w:pPr>
      <w:bookmarkStart w:id="1246" w:name="h246"/>
      <w:bookmarkStart w:id="95" w:name="年度容量负荷与增长特征"/>
      <w:r>
        <w:rPr>
          <w:rFonts w:ascii="Times New Roman" w:hAnsi="Times New Roman" w:eastAsia="方正仿宋_GBK"/>
          <w:b/>
          <w:sz w:val="32"/>
        </w:rPr>
        <w:t xml:space="preserve">3.2 年度容量、负荷与增长特征</w:t>
      </w:r>
      <w:bookmarkEnd w:id="95"/>
      <w:bookmarkEnd w:id="1246"/>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5"/>
        <w:keepNext/>
        <w:numPr>
          <w:numId w:val="0"/>
        </w:numPr>
        <w:spacing w:line="390" w:lineRule="exact"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年最大净负荷平均增长率[7]由同范围起止年度负荷按复合增长形式计算。2021—2025年包含四个年度间隔，增长分档采用2025年4月《配电网规划设计技术导则（修订稿）》第6.2.2.1条及表2[7]。</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年网供最大负荷估计值，单位MW；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2021—2025年实际容量与负荷用于现状分析，2022—2025年已知年度负荷直接进入地区案例。仿真保留市区2900.00 MVA、邳州1463.50 MVA的初始设备容量，基期及后续各年负荷均采用实际年度统计值，基期容载比按两位小数均为2.00。主变增容由逐年优化确定，实际在役容量与仿真容量分别列示。</w:t>
      </w:r>
    </w:p>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264" w:name="h264"/>
      <w:bookmarkStart w:id="101" w:name="分布式光伏装机与电量"/>
      <w:r>
        <w:rPr>
          <w:rFonts w:ascii="Times New Roman" w:hAnsi="Times New Roman" w:eastAsia="方正仿宋_GBK"/>
          <w:b/>
          <w:sz w:val="32"/>
        </w:rPr>
        <w:t xml:space="preserve">3.3 分布式光伏装机与电量</w:t>
      </w:r>
      <w:bookmarkEnd w:id="101"/>
      <w:bookmarkEnd w:id="1264"/>
    </w:p>
    <w:p>
      <w:pPr>
        <w:pStyle w:val="5"/>
        <w:keepNext/>
        <w:numPr>
          <w:numId w:val="0"/>
        </w:numPr>
        <w:spacing w:line="390" w:lineRule="exact"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sSup>
                      <m:e>
                        <m:d>
                          <m:dPr>
                            <m:begChr m:val="("/>
                            <m:endChr m:val=")"/>
                            <m:grow/>
                          </m:dPr>
                          <m:e>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num>
                              <m:den>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den>
                            </m:f>
                          </m:e>
                        </m:d>
                      </m:e>
                      <m:sup>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p>
                    </m:sSup>
                  </m:e>
                </m:mr>
                <m:mr>
                  <m:e>
                    <m:r>
                      <m:rPr>
                        <m:nor m:val="1"/>
                      </m:rPr>
                      <w:rPr>
                        <w:rFonts w:ascii="Times New Roman" w:hAnsi="Times New Roman" w:cs="Times New Roman" w:eastAsia="方正仿宋_GBK"/>
                        <w:i w:val="1"/>
                        <w:iCs w:val="1"/>
                      </w:rPr>
                      <m:t>y</m:t>
                    </m:r>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2022</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年第</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月末光伏装机容量估计值，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为对应月份记录，单位MW；</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为年份，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2021—2025年月末分布式光伏装机容量</w:t>
      </w:r>
    </w:p>
    <w:p>
      <w:pPr>
        <w:pStyle w:val="5"/>
        <w:keepNext/>
        <w:numPr>
          <w:numId w:val="0"/>
        </w:numPr>
        <w:spacing w:line="390" w:lineRule="exact"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0"/>
                      <w:iCs w:val="0"/>
                    </w:rPr>
                    <m:t>12</m:t>
                  </m:r>
                </m:sup>
                <m:e>
                  <m:nary>
                    <m:naryPr>
                      <m:chr m:val="∑"/>
                      <m:limLoc m:val="undOvr"/>
                      <m:subHide m:val="0"/>
                      <m:supHide m:val="1"/>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e>
                  </m:nary>
                </m:e>
              </m:nary>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为估计光伏年发电量，单位MWh；</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分别为本月及前月末光伏装机，单位MW；</w:t>
      </w:r>
      <m:oMath>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的典型光伏出力系数，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w:t>
      </w:r>
    </w:p>
    <w:p>
      <w:pPr>
        <w:pStyle w:val="5"/>
        <w:keepNext/>
        <w:numPr>
          <w:numId w:val="0"/>
        </w:numPr>
        <w:spacing w:line="390" w:lineRule="exact"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分布式电源装机渗透率采用《配电网规划设计技术导则》的指标定义，作为描述源荷条件的研究参数[7]。</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num>
                <m:den>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为分布式电源装机渗透率，无量纲；</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为同范围分布式电源并网装机容量，单位MW；</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方法得到的用户最大负荷为典型场景估计值。</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nary>
                      <m:naryPr>
                        <m:chr m:val="∑"/>
                        <m:limLoc m:val="undOvr"/>
                        <m:subHide m:val="0"/>
                        <m:supHide m:val="1"/>
                      </m:naryPr>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e>
                    </m:nary>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e>
                </m:mr>
                <m:mr>
                  <m:e>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e>
                  <m:e>
                    <m:r>
                      <m:rPr>
                        <m:nor m:val="1"/>
                      </m:rPr>
                      <w:rPr>
                        <w:rFonts w:ascii="Times New Roman" w:hAnsi="Times New Roman" w:cs="Times New Roman" w:eastAsia="方正仿宋_GBK"/>
                        <w:i w:val="0"/>
                        <w:iCs w:val="0"/>
                      </w:rPr>
                      <m:t>=</m:t>
                    </m:r>
                    <m:f>
                      <m:fPr>
                        <m:type m:val="bar"/>
                      </m:fPr>
                      <m:num>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num>
                      <m:den>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为用户年用电量估计值，</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为光伏年发电量估计值，单位MWh；</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为分布式电源电量渗透率；</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的样本净交换功率，单位MW，</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 h。</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286" w:name="h286"/>
      <w:bookmarkStart w:id="107" w:name="主变负载率与双向净负荷"/>
      <w:r>
        <w:rPr>
          <w:rFonts w:ascii="Times New Roman" w:hAnsi="Times New Roman" w:eastAsia="方正仿宋_GBK"/>
          <w:b/>
          <w:sz w:val="32"/>
        </w:rPr>
        <w:t xml:space="preserve">3.4 主变负载率与双向净负荷</w:t>
      </w:r>
      <w:bookmarkEnd w:id="107"/>
      <w:bookmarkEnd w:id="1286"/>
    </w:p>
    <w:p>
      <w:pPr>
        <w:pStyle w:val="5"/>
        <w:keepNext/>
        <w:numPr>
          <w:numId w:val="0"/>
        </w:numPr>
        <w:spacing w:line="390" w:lineRule="exact"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邳州逐台主变年最大负载率中位数为53%，市区为55%，两地区均有设备达到80%及以上。中位水平与较高负载设备并存，表明容量需求在设备之间存在差异，建设措施需落实到具体站点。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邳州和市区逐台主变最大负载率分布</w:t>
      </w:r>
    </w:p>
    <w:p>
      <w:pPr>
        <w:pStyle w:val="5"/>
        <w:keepNext/>
        <w:numPr>
          <w:numId w:val="0"/>
        </w:numPr>
        <w:spacing w:line="390" w:lineRule="exact"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e>
                  <m:e>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的净负荷，受电为正、反送为负；</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和</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分别为最大正向、反向净负荷，</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oMath>
      <w:r>
        <w:rPr>
          <w:rFonts w:ascii="Times New Roman" w:hAnsi="Times New Roman" w:eastAsia="方正仿宋_GBK"/>
          <w:b w:val="0"/>
          <w:sz w:val="24"/>
        </w:rPr>
        <w:t xml:space="preserve">为净负荷最大绝对值，单位均为MW。站级负载率按</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计算，</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表3-5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110千伏八义集变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110千伏铁富变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110千伏庞庄变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r>
    </w:tbl>
    <w:p>
      <w:pPr>
        <w:pStyle w:val="2"/>
        <w:keepNext/>
        <w:spacing w:line="280" w:lineRule="exact" w:before="120" w:after="80"/>
        <w:ind w:firstLine="0"/>
        <w:jc w:val="center"/>
      </w:pPr>
      <w:r>
        <w:rPr>
          <w:rFonts w:ascii="Times New Roman" w:hAnsi="Times New Roman" w:eastAsia="宋体"/>
          <w:b w:val="0"/>
          <w:sz w:val="21"/>
        </w:rPr>
        <w:t xml:space="preserve">表3-6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123</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两地区静态工况下的站级负载率</w:t>
      </w:r>
    </w:p>
    <w:p>
      <w:pPr>
        <w:pStyle w:val="5"/>
        <w:keepNext/>
        <w:numPr>
          <w:numId w:val="0"/>
        </w:numPr>
        <w:spacing w:line="390" w:lineRule="exact" w:before="160" w:after="120"/>
        <w:ind w:firstLine="0"/>
      </w:pPr>
      <w:bookmarkStart w:id="112" w:name="区域同步净负荷曲线"/>
      <w:r>
        <w:rPr>
          <w:rFonts w:ascii="Times New Roman" w:hAnsi="Times New Roman" w:eastAsia="方正仿宋_GBK"/>
          <w:b/>
          <w:sz w:val="26"/>
        </w:rPr>
        <w:t xml:space="preserve">3.4.3 区域同步净负荷曲线</w:t>
      </w:r>
      <w:bookmarkEnd w:id="112"/>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3"/>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4"/>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市区区域净负荷曲线及95%近峰时段</w:t>
      </w:r>
    </w:p>
    <w:p>
      <w:pPr>
        <w:pStyle w:val="5"/>
        <w:keepNext/>
        <w:numPr>
          <w:numId w:val="0"/>
        </w:numPr>
        <w:spacing w:line="390" w:lineRule="exact" w:before="160" w:after="120"/>
        <w:ind w:firstLine="0"/>
      </w:pPr>
      <w:bookmarkStart w:id="115" w:name="峰值持续时间"/>
      <w:r>
        <w:rPr>
          <w:rFonts w:ascii="Times New Roman" w:hAnsi="Times New Roman" w:eastAsia="方正仿宋_GBK"/>
          <w:b/>
          <w:sz w:val="26"/>
        </w:rPr>
        <w:t xml:space="preserve">3.4.4 95%峰值持续时间</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连续时段长度</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oMath>
      <w:r>
        <w:rPr>
          <w:rFonts w:ascii="Times New Roman" w:hAnsi="Times New Roman" w:eastAsia="方正仿宋_GBK"/>
          <w:b w:val="0"/>
          <w:sz w:val="24"/>
        </w:rPr>
        <w:t xml:space="preserve">为95%峰值持续时间，单位h；</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的区域净负荷，</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表3-7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5"/>
        <w:keepNext/>
        <w:numPr>
          <w:numId w:val="0"/>
        </w:numPr>
        <w:spacing w:line="390" w:lineRule="exact" w:before="160" w:after="120"/>
        <w:ind w:firstLine="0"/>
      </w:pPr>
      <w:bookmarkStart w:id="116" w:name="峰段与储能容量的联系"/>
      <w:r>
        <w:rPr>
          <w:rFonts w:ascii="Times New Roman" w:hAnsi="Times New Roman" w:eastAsia="方正仿宋_GBK"/>
          <w:b/>
          <w:sz w:val="26"/>
        </w:rPr>
        <w:t xml:space="preserve">3.4.5 峰段与储能容量的联系</w:t>
      </w:r>
      <w:bookmarkEnd w:id="116"/>
    </w:p>
    <w:p>
      <w:pPr>
        <w:pStyle w:val="FirstParagraph"/>
        <w:widowControl/>
        <w:spacing w:line="348" w:lineRule="exact" w:before="0" w:after="0"/>
        <w:ind w:firstLine="480"/>
        <w:jc w:val="both"/>
      </w:pPr>
      <w:r>
        <w:rPr>
          <w:rFonts w:ascii="Times New Roman" w:hAnsi="Times New Roman" w:eastAsia="方正仿宋_GBK"/>
          <w:b w:val="0"/>
          <w:sz w:val="24"/>
        </w:rPr>
        <w:t xml:space="preserve">储能额定功率限制瞬时支撑幅度，可用能量限制连续支撑时长，因此静态支撑能力需同时满足峰值幅度与持续时间要求，模型取铭牌功率和峰段可持续能量折算功率的较小值确定充放电功率。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95%近峰持续时间用于描述区域负荷特征。N-1后的容量缺口可能在负荷未达到峰值95%时已经出现，实际能量需求应按超过剩余供电能力的功率差积分确定。地区案例分别采用邳州2 h、市区6 h，推广在此基础上比较2、4、6 h。当前研究采用可用电量系数0.76作静态折算，未开展逐时荷电状态仿真[28][10]。</w:t>
      </w:r>
    </w:p>
    <w:p>
      <w:pPr>
        <w:pStyle w:val="4"/>
        <w:keepNext/>
        <w:numPr>
          <w:numId w:val="0"/>
        </w:numPr>
        <w:spacing w:line="480" w:lineRule="exact" w:before="160" w:after="120"/>
        <w:ind w:firstLine="0"/>
      </w:pPr>
      <w:bookmarkStart w:id="1314" w:name="h314"/>
      <w:bookmarkStart w:id="117" w:name="核心参数依据与相关性分析"/>
      <w:r>
        <w:rPr>
          <w:rFonts w:ascii="Times New Roman" w:hAnsi="Times New Roman" w:eastAsia="方正仿宋_GBK"/>
          <w:b/>
          <w:sz w:val="32"/>
        </w:rPr>
        <w:t xml:space="preserve">3.5 核心参数依据与相关性分析</w:t>
      </w:r>
      <w:bookmarkEnd w:id="117"/>
      <w:bookmarkEnd w:id="1314"/>
    </w:p>
    <w:p>
      <w:pPr>
        <w:pStyle w:val="5"/>
        <w:keepNext/>
        <w:numPr>
          <w:numId w:val="0"/>
        </w:numPr>
        <w:spacing w:line="390" w:lineRule="exact" w:before="160" w:after="120"/>
        <w:ind w:firstLine="0"/>
      </w:pPr>
      <w:bookmarkStart w:id="118" w:name="十三项候选指标及工程依据"/>
      <w:r>
        <w:rPr>
          <w:rFonts w:ascii="Times New Roman" w:hAnsi="Times New Roman" w:eastAsia="方正仿宋_GBK"/>
          <w:b/>
          <w:sz w:val="26"/>
        </w:rPr>
        <w:t xml:space="preserve">3.5.1 十三项候选指标及工程依据</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条将负荷增长、负荷分散系数和负荷转移能力列为容载比的影响因素，第7.4.2.2条要求结合新能源渗透水平校核反向容量，并开展增容与储能技术经济比选[7]。本研究围绕源荷规模、站级运行压力、网络支援和措施费用构造十三项候选指标，先评价其与容载比的关联，再比较指标之间的信息重叠，确定推广矩阵的参数。</w:t>
      </w:r>
    </w:p>
    <w:p>
      <w:pPr>
        <w:pStyle w:val="2"/>
        <w:keepNext/>
        <w:spacing w:line="280" w:lineRule="exact" w:before="120" w:after="80"/>
        <w:ind w:firstLine="0"/>
        <w:jc w:val="center"/>
      </w:pPr>
      <w:r>
        <w:rPr>
          <w:rFonts w:ascii="Times New Roman" w:hAnsi="Times New Roman" w:eastAsia="宋体"/>
          <w:b w:val="0"/>
          <w:sz w:val="21"/>
        </w:rPr>
        <w:t xml:space="preserve">表3-8 十三项候选指标的定义、依据与规划作用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定义及单位</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依据与规划作用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同范围分布式电源并网装机容量与用户最大负荷之比，无量纲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导则第6.5.4条给出定义，第7.4.2.2条联系反向容量校核[7]；装机及负荷资料见第3.3节</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同范围分布式电源年发电量与用户年用电量之比，%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导则第6.5.4条给出定义[7]；描述本地电源的年度供能水平</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各站净负荷绝对峰值与本站初始主变有功容量之比的最大值，%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按第3.4.2节计算，功率因数取0.95；描述局部容量压力[4][5]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区域同期净负荷曲线的最大受电功率，MW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按式（3-6）计算；对应正向供电任务[4][5]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区域同期净负荷曲线的最大反送功率幅值，MW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按式（3-6）计算；对应新能源反向输送任务[4][5]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同范围起止年度网供最大负荷的复合年平均增长率，%/年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导则第6.2.2.1条据此划分负荷发展阶段[7]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净负荷绝对值达到全年最大绝对值95%的最长连续时长，h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按第3.4.4节由补齐后的8760小时曲线统计；描述连续近峰过程</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各站正向峰值之和与区域同时正向峰值之比，无量纲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导则第6.2.2条列为容量储备影响因素[7]；联系局部峰值与区域同时峰值</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基期可转负荷与基期网供最大负荷之比，%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导则第6.2.2.1条及馈线联络研究说明转供能力与容量储备的关系[7][8]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新购主变单位有功容量投资与联络单位有效转供功率投资之比，无量纲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按第4.5.4节由工程价格与有效能力折算；描述主变、线路的相对投资[85,87,88,86]</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新购主变单位有功容量投资与储能单位有效支撑功率投资之比，无量纲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按第4.5.4节折算；联系参考价格、可用能量和支撑时长[85,87,88,86]</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电缆长度占电缆与架空线路总长度的比例，%</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线路形式影响工程费用[12]；邳州约11%、市区约80%，按第4.3节折算新增联络费用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给定功率缺口需连续支撑的时间，h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储能定容同时考虑功率、能量及持续过程[10][28]；按第4.4节参与设备比选</w:t>
            </w:r>
          </w:p>
        </w:tc>
      </w:tr>
    </w:tbl>
    <w:p>
      <w:pPr>
        <w:pStyle w:val="2"/>
        <w:widowControl/>
        <w:spacing w:line="348" w:lineRule="atLeast" w:before="0" w:after="0"/>
        <w:ind w:firstLine="480"/>
        <w:jc w:val="both"/>
      </w:pPr>
      <w:r>
        <w:rPr>
          <w:rFonts w:ascii="Times New Roman" w:hAnsi="Times New Roman" w:eastAsia="方正仿宋_GBK"/>
          <w:b w:val="0"/>
          <w:sz w:val="24"/>
        </w:rPr>
        <w:t xml:space="preserve">装机、电量及功率极值的计算见第3.3—3.4节。网络与负荷分布参数分别采用</w:t>
      </w:r>
      <m:oMath>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D</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。其中</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oMath>
      <w:r>
        <w:rPr>
          <w:rFonts w:ascii="Times New Roman" w:hAnsi="Times New Roman" w:eastAsia="方正仿宋_GBK"/>
          <w:b w:val="0"/>
          <w:sz w:val="24"/>
        </w:rPr>
        <w:t xml:space="preserve">为电缆、架空线路长度，单位km；</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为基期可转负荷与网供最大负荷，单位MW；</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分别为站级及区域正向峰值，单位MW。</w:t>
      </w:r>
    </w:p>
    <w:p>
      <w:pPr>
        <w:pStyle w:val="2"/>
        <w:keepNext/>
        <w:spacing w:line="280" w:lineRule="exact" w:before="120" w:after="80"/>
        <w:ind w:firstLine="0"/>
        <w:jc w:val="center"/>
      </w:pPr>
      <w:r>
        <w:rPr>
          <w:rFonts w:ascii="Times New Roman" w:hAnsi="Times New Roman" w:eastAsia="宋体"/>
          <w:b w:val="0"/>
          <w:sz w:val="21"/>
        </w:rPr>
        <w:t xml:space="preserve">表3-9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主变年最大负载率中位数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r>
    </w:tbl>
    <w:p>
      <w:pPr>
        <w:pStyle w:val="2"/>
        <w:keepNext/>
        <w:spacing w:line="280" w:lineRule="exact" w:before="120" w:after="80"/>
        <w:ind w:firstLine="0"/>
        <w:jc w:val="center"/>
      </w:pPr>
      <w:r>
        <w:rPr>
          <w:rFonts w:ascii="Times New Roman" w:hAnsi="Times New Roman" w:eastAsia="宋体"/>
          <w:b w:val="0"/>
          <w:sz w:val="21"/>
        </w:rPr>
        <w:t xml:space="preserve">表3-10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装机渗透率较高，需兼顾正向供电和日间反送，市区各站峰值相对区域同时峰值的分散程度较高，容量配置更依赖站点分布和邻站承接能力。地区转供统计及其进入模型的方法见第3.6节。上述工程关系构成候选指标的选取依据，具体指标进入推广矩阵的条件由以下两层相关分析确定。</w:t>
      </w:r>
    </w:p>
    <w:p>
      <w:pPr>
        <w:pStyle w:val="5"/>
        <w:keepNext/>
        <w:numPr>
          <w:numId w:val="0"/>
        </w:numPr>
        <w:spacing w:line="390" w:lineRule="exact" w:before="160" w:after="120"/>
        <w:ind w:firstLine="0"/>
      </w:pPr>
      <w:bookmarkStart w:id="119" w:name="情景采样与两层分析方法"/>
      <w:r>
        <w:rPr>
          <w:rFonts w:ascii="Times New Roman" w:hAnsi="Times New Roman" w:eastAsia="方正仿宋_GBK"/>
          <w:b/>
          <w:sz w:val="26"/>
        </w:rPr>
        <w:t xml:space="preserve">3.5.2 情景采样与两层分析方法</w:t>
      </w:r>
      <w:bookmarkEnd w:id="119"/>
    </w:p>
    <w:p>
      <w:pPr>
        <w:pStyle w:val="FirstParagraph"/>
        <w:widowControl/>
        <w:spacing w:line="348" w:lineRule="exact" w:before="0" w:after="0"/>
        <w:ind w:firstLine="480"/>
        <w:jc w:val="both"/>
      </w:pPr>
      <w:r>
        <w:rPr>
          <w:rFonts w:ascii="Times New Roman" w:hAnsi="Times New Roman" w:eastAsia="方正仿宋_GBK"/>
          <w:b w:val="0"/>
          <w:sz w:val="24"/>
        </w:rPr>
        <w:t xml:space="preserve">仿真采用统一五站模板，将各指标的采样节点与源荷分布、线路和转供条件交叉组合，逐情景比选主变、储能及联络配置，并校核正常运行和主变N-1约束。电缆与转供的联合取值结合一般城镇、邳州及市区网络背景设置，各指标的取点及数量集中列于下表。</w:t>
      </w:r>
    </w:p>
    <w:p>
      <w:pPr>
        <w:pStyle w:val="2"/>
        <w:widowControl/>
        <w:spacing w:line="348" w:lineRule="exact" w:before="0" w:after="0"/>
        <w:ind w:firstLine="480"/>
        <w:jc w:val="both"/>
      </w:pPr>
      <w:r>
        <w:rPr>
          <w:rFonts w:ascii="Times New Roman" w:hAnsi="Times New Roman" w:eastAsia="方正仿宋_GBK"/>
          <w:b w:val="0"/>
          <w:sz w:val="24"/>
        </w:rPr>
        <w:t xml:space="preserve">电量和峰段范围依据两地区的运行量级设置。2025年邳州和市区电量渗透率估计约为40%、9%，邳州部分月份约为60%，最长连续近峰时长分别为2 h、6 h。装机与电量节点用于构造不同出力水平，时间节点用于比较连续支撑要求，两类价格节点用于分析参考工程价格附近的措施替代[85,87,88,86]。</w:t>
      </w:r>
    </w:p>
    <w:p>
      <w:pPr>
        <w:pStyle w:val="2"/>
        <w:keepNext/>
        <w:spacing w:line="280" w:lineRule="exact" w:before="120" w:after="80"/>
        <w:ind w:firstLine="0"/>
        <w:jc w:val="center"/>
      </w:pPr>
      <w:r>
        <w:rPr>
          <w:rFonts w:ascii="Times New Roman" w:hAnsi="Times New Roman" w:eastAsia="宋体"/>
          <w:b w:val="0"/>
          <w:sz w:val="21"/>
        </w:rPr>
        <w:t xml:space="preserve">表3-11 候选指标的采样节点与点数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采样节点或计算方式</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点数</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0～3.00，步长0.125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0～65%，步长2.5个百分点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随源荷情景计算各站负载率并取最大值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按同期区域净负荷取正向极值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按同期区域净负荷取反向极值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0、1%、2%、3%、4%、5%、5.5%、6%、7%、7.1%、7.5%、8%、9%、10%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1.00、1.05、1.10、1.15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10%～90%，步长10个百分点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10%、30%、50%、80%、90%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电量情景采用8760小时合成源荷曲线，用户年负荷利用小时取4400 h，与两地区估计量级对应。等效日间窗口取08:00—18:00，用户负荷系数取0.30，夜间背景负荷按全年电量平衡确定。五个错开的夜峰保持区域合计峰值，站级分布按负荷分散系数调整。光伏采用典型曲线的日间形状，按电量渗透率校准出力并受装机容量限制，电量与装机渗透率之比取0.12～0.40，同时校核曲线能够达到的年发电量，零装机对应零电量。</w:t>
      </w:r>
    </w:p>
    <w:p>
      <w:pPr>
        <w:pStyle w:val="2"/>
        <w:widowControl/>
        <w:spacing w:line="348" w:lineRule="exact" w:before="0" w:after="0"/>
        <w:ind w:firstLine="480"/>
        <w:jc w:val="both"/>
      </w:pPr>
      <w:r>
        <w:rPr>
          <w:rFonts w:ascii="Times New Roman" w:hAnsi="Times New Roman" w:eastAsia="方正仿宋_GBK"/>
          <w:b w:val="0"/>
          <w:sz w:val="24"/>
        </w:rPr>
        <w:t xml:space="preserve">合成曲线设置连续极值平台，再按95%峰值阈值复算最长连续时长，并将该时长设为对应情景的储能支撑持续时间。设备比选提取区域正向高峰、各站局部高峰和日间反向极值，以既定正常及主变N-1约束确定主变、储能和联络配置。站级负载率取初始100 MVA容量和0.95功率因数，最大正反向净负荷先同期汇总站级功率再分别取极值。</w:t>
      </w:r>
    </w:p>
    <w:p>
      <w:pPr>
        <w:pStyle w:val="2"/>
        <w:widowControl/>
        <w:spacing w:line="348" w:lineRule="exact" w:before="0" w:after="0"/>
        <w:ind w:firstLine="480"/>
        <w:jc w:val="both"/>
      </w:pPr>
      <w:r>
        <w:rPr>
          <w:rFonts w:ascii="Times New Roman" w:hAnsi="Times New Roman" w:eastAsia="方正仿宋_GBK"/>
          <w:b w:val="0"/>
          <w:sz w:val="24"/>
        </w:rPr>
        <w:t xml:space="preserve">第一层评价指标与容载比的关联。针对每项指标组织受控取值序列，在组内固定其他源荷、网络、时间及价格条件，每组至少包含两个有效节点。对组内指标</w:t>
      </w:r>
      <m:oMath>
        <m:r>
          <m:rPr>
            <m:nor m:val="1"/>
          </m:rPr>
          <w:rPr>
            <w:rFonts w:ascii="Times New Roman" w:hAnsi="Times New Roman" w:cs="Times New Roman" w:eastAsia="方正仿宋_GBK"/>
            <w:i w:val="1"/>
            <w:iCs w:val="1"/>
          </w:rPr>
          <m:t>x</m:t>
        </m:r>
      </m:oMath>
      <w:r>
        <w:rPr>
          <w:rFonts w:ascii="Times New Roman" w:hAnsi="Times New Roman" w:eastAsia="方正仿宋_GBK"/>
          <w:b w:val="0"/>
          <w:sz w:val="24"/>
        </w:rPr>
        <w:t xml:space="preserve">和容载比</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分别计算</w:t>
      </w:r>
      <m:oMath>
        <m:r>
          <m:rPr>
            <m:nor m:val="1"/>
          </m:rPr>
          <w:rPr>
            <w:rFonts w:ascii="Times New Roman" w:hAnsi="Times New Roman" w:cs="Times New Roman" w:eastAsia="方正仿宋_GBK"/>
            <w:i w:val="1"/>
            <w:iCs w:val="1"/>
          </w:rPr>
          <m:t>x</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x</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R</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，汇总节点计算Pearson系数，节点等权并保留零容量响应组[89]。正向净负荷沿增长率序列分析，反向净负荷和站级负载率沿电量序列分析，两项投资比分别沿独立价格序列分析。</w:t>
      </w:r>
    </w:p>
    <w:p>
      <w:pPr>
        <w:pStyle w:val="2"/>
        <w:widowControl/>
        <w:spacing w:line="348" w:lineRule="exact" w:before="0" w:after="0"/>
        <w:ind w:firstLine="480"/>
        <w:jc w:val="both"/>
      </w:pPr>
      <w:r>
        <w:rPr>
          <w:rFonts w:ascii="Times New Roman" w:hAnsi="Times New Roman" w:eastAsia="方正仿宋_GBK"/>
          <w:b w:val="0"/>
          <w:sz w:val="24"/>
        </w:rPr>
        <w:t xml:space="preserve">本研究以组内Pearson绝对值不低于0.40作为第一层的相关强度要求，使达到一定关联程度的指标进入下一层比较。第二层计算十三项指标的两两相关，在78个指标配对中以Pearson绝对值不低于0.70识别信息重叠较多的指标组。同组优先采用直接描述规划条件的基础输入参数，再核对入选参数之间的相关矩阵。两个阈值用于本研究的推广维度归纳，统计对象为上述有效仿真情景。</w:t>
      </w:r>
    </w:p>
    <w:p>
      <w:pPr>
        <w:pStyle w:val="5"/>
        <w:keepNext/>
        <w:numPr>
          <w:numId w:val="0"/>
        </w:numPr>
        <w:spacing w:line="390" w:lineRule="exact" w:before="160" w:after="120"/>
        <w:ind w:firstLine="0"/>
      </w:pPr>
      <w:bookmarkStart w:id="120" w:name="与容载比的相关性筛选"/>
      <w:r>
        <w:rPr>
          <w:rFonts w:ascii="Times New Roman" w:hAnsi="Times New Roman" w:eastAsia="方正仿宋_GBK"/>
          <w:b/>
          <w:sz w:val="26"/>
        </w:rPr>
        <w:t xml:space="preserve">3.5.3 与容载比的相关性筛选</w:t>
      </w:r>
      <w:bookmarkEnd w:id="120"/>
    </w:p>
    <w:p>
      <w:pPr>
        <w:pStyle w:val="FirstParagraph"/>
        <w:keepNext/>
        <w:spacing w:line="280" w:lineRule="exact" w:before="120" w:after="80"/>
        <w:ind w:firstLine="0"/>
        <w:jc w:val="center"/>
      </w:pPr>
      <w:r>
        <w:rPr>
          <w:rFonts w:ascii="Times New Roman" w:hAnsi="Times New Roman" w:eastAsia="宋体"/>
          <w:b w:val="0"/>
          <w:sz w:val="21"/>
        </w:rPr>
        <w:t xml:space="preserve">表3-12 十三项指标与容载比的组内相关</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有效组数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有效节点数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容量响应组占比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88781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41118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31473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r>
    </w:tbl>
    <w:p>
      <w:pPr>
        <w:pStyle w:val="2"/>
        <w:widowControl/>
        <w:spacing w:line="348" w:lineRule="exact" w:before="0" w:after="0"/>
        <w:ind w:firstLine="480"/>
        <w:jc w:val="both"/>
      </w:pPr>
      <w:r>
        <w:rPr>
          <w:rFonts w:ascii="Times New Roman" w:hAnsi="Times New Roman" w:eastAsia="方正仿宋_GBK"/>
          <w:b w:val="0"/>
          <w:sz w:val="24"/>
        </w:rPr>
        <w:t xml:space="preserve">十三项指标中，装机渗透率、电量渗透率、站级负载率、最大正反向净负荷、平均增长率、负荷分散系数、初始转供率及电缆长度占比的相关绝对值达到0.40，共九项进入参数间关联比较。95%峰值持续时间、储能支撑持续时间及两项单位功率投资比的绝对值为0.16～0.27，其与容载比的总体关联较弱。</w:t>
      </w:r>
    </w:p>
    <w:p>
      <w:pPr>
        <w:pStyle w:val="2"/>
        <w:widowControl/>
        <w:spacing w:line="348" w:lineRule="exact" w:before="0" w:after="0"/>
        <w:ind w:firstLine="480"/>
        <w:jc w:val="both"/>
      </w:pPr>
      <w:r>
        <w:rPr>
          <w:rFonts w:ascii="Times New Roman" w:hAnsi="Times New Roman" w:eastAsia="方正仿宋_GBK"/>
          <w:b w:val="0"/>
          <w:sz w:val="24"/>
        </w:rPr>
        <w:t xml:space="preserve">装机渗透率、电量渗透率与容载比的组内相关分别为0.88、0.89。日间电源出力增加后，净负荷可能由受入转为反送，主变容量与储能吸收能力共同决定可承载规模。较低电源出力节点仍可能由晚间正向需求决定配置，反向约束起作用后才增加设备，因此正相关概括了随源荷变化产生的分段容量响应。最大反向净负荷和站级负载率的相关分别为0.88、0.92，与上述反向容量任务相联系。</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和初始转供率的相关分别为－0.80、－0.74。负荷增长同时增加承载需求与容载比分母，已建主变继续在役时，增长先消耗既有储备，达到局部约束后再按整台规格补强。初始转供率提高则增加可调用的网络支援，在邻站有余量时减少本地容量或新增工程。最大正向净负荷的相关为－0.78，与增长率的计算作用一致。相关强度按绝对值判断，正负号用于解释各指标与比值的变化方向。</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和负荷分散系数的相关分别为0.45、0.52，在25%、37%的受控组中触发主变容量变化。电缆占比提高使新增联络费用增加，部分组合转向主变建设；分散系数提高增加各站局部高峰任务，可以先增加邻站支援或储能，再触发主变增容。两项指标达到本研究的相关强度要求，分别保留线路经济条件和局部负荷分布的信息。</w:t>
      </w:r>
    </w:p>
    <w:p>
      <w:pPr>
        <w:pStyle w:val="2"/>
        <w:widowControl/>
        <w:spacing w:line="348" w:lineRule="exact" w:before="0" w:after="0"/>
        <w:ind w:firstLine="480"/>
        <w:jc w:val="both"/>
      </w:pPr>
      <w:r>
        <w:rPr>
          <w:rFonts w:ascii="Times New Roman" w:hAnsi="Times New Roman" w:eastAsia="方正仿宋_GBK"/>
          <w:b w:val="0"/>
          <w:sz w:val="24"/>
        </w:rPr>
        <w:t xml:space="preserve">时间与相对投资的作用集中于部分设备替代组合。95%峰值持续时间及储能支撑持续时间分别在17%、12%的受控组中触发主变容量变化，两项投资比对应的比例为14%、8%。若主要措施为主变和联络，时间变化可以保持主变容量；若原设备组合在价格变化后仍具费用优势，主要表现为方案支出变化。四项指标因此作为定容或费用条件参与设备比选，主推广矩阵由相关强度更高的指标组织。</w:t>
      </w:r>
    </w:p>
    <w:p>
      <w:pPr>
        <w:pStyle w:val="5"/>
        <w:keepNext/>
        <w:numPr>
          <w:numId w:val="0"/>
        </w:numPr>
        <w:spacing w:line="390" w:lineRule="exact" w:before="160" w:after="120"/>
        <w:ind w:firstLine="0"/>
      </w:pPr>
      <w:bookmarkStart w:id="121" w:name="高相关指标归并与代表参数"/>
      <w:r>
        <w:rPr>
          <w:rFonts w:ascii="Times New Roman" w:hAnsi="Times New Roman" w:eastAsia="方正仿宋_GBK"/>
          <w:b/>
          <w:sz w:val="26"/>
        </w:rPr>
        <w:t xml:space="preserve">3.5.4 高相关指标归并与代表参数</w:t>
      </w:r>
      <w:bookmarkEnd w:id="121"/>
    </w:p>
    <w:p>
      <w:pPr>
        <w:pStyle w:val="FirstParagraph"/>
        <w:keepNext/>
        <w:spacing w:line="280" w:lineRule="exact" w:before="120" w:after="80"/>
        <w:ind w:firstLine="0"/>
        <w:jc w:val="center"/>
      </w:pPr>
      <w:r>
        <w:rPr>
          <w:rFonts w:ascii="Times New Roman" w:hAnsi="Times New Roman" w:eastAsia="宋体"/>
          <w:b w:val="0"/>
          <w:sz w:val="21"/>
        </w:rPr>
        <w:t xml:space="preserve">表3-13 十三项指标的Pearson相关矩阵（1）</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站级负载率最大值</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95%峰值持续时间</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表3-14 十三项指标的Pearson相关矩阵（2）</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930"/>
        <w:gridCol w:w="1054"/>
        <w:gridCol w:w="868"/>
        <w:gridCol w:w="1551"/>
        <w:gridCol w:w="1489"/>
        <w:gridCol w:w="992"/>
        <w:gridCol w:w="1427"/>
      </w:tblGrid>
      <w:tr>
        <w:trPr>
          <w:cantSplit/>
          <w:tblHeader/>
        </w:trPr>
        <w:tc>
          <w:tcPr>
            <w:tcW w:type="dxa" w:w="930"/>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54"/>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c>
          <w:tcPr>
            <w:tcW w:type="dxa" w:w="86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55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主变与线路单位功率投资比</w:t>
            </w:r>
          </w:p>
        </w:tc>
        <w:tc>
          <w:tcPr>
            <w:tcW w:type="dxa" w:w="148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主变与储能单位功率投资比</w:t>
            </w:r>
          </w:p>
        </w:tc>
        <w:tc>
          <w:tcPr>
            <w:tcW w:type="dxa" w:w="99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4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表3-15 高相关指标归并及代表参数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候选指标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对应基础参数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代表参数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渗透率、最大反向净负荷和站级负载率与装机渗透率的Pearson系数分别为0.92、0.89、0.78。三项指标依次描述年度供能、反向功率任务及局部容量压力，在所设典型出力形状、利用水平和初始设备条件下共享较多源荷信息。装机渗透率直接联系电源接入规模及用户最大负荷，具有明确的规划输入含义和统计依据，采用其作为这一指标组的代表。电量与功率信息继续用于典型场景构造和站级承载校核。</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最大正向净负荷与平均增长率的Pearson系数接近1.00。在基期峰值250 MW、目标时点为基期后第4年的模板中，区域正向峰值按年最大净负荷平均增长率作四年复合增长计算，两项形成确定的单调关系。平均增长率能够同时描述发展阶段并与导则分档对应，采用其作为代表参数。</w:t>
      </w:r>
    </w:p>
    <w:p>
      <w:pPr>
        <w:pStyle w:val="2"/>
        <w:widowControl/>
        <w:spacing w:line="348" w:lineRule="exact" w:before="0" w:after="0"/>
        <w:ind w:firstLine="480"/>
        <w:jc w:val="both"/>
      </w:pPr>
      <w:r>
        <w:rPr>
          <w:rFonts w:ascii="Times New Roman" w:hAnsi="Times New Roman" w:eastAsia="方正仿宋_GBK"/>
          <w:b w:val="0"/>
          <w:sz w:val="24"/>
        </w:rPr>
        <w:t xml:space="preserve">时间及投资指标之间也存在计算关联。95%峰值持续时间与储能支撑持续时间在相应情景中取相同值，相关系数为1.00，储能单位有效功率投资则随支撑时长变化。电缆长度占比与主变与线路单位功率投资比的相关为－0.90，原因是电缆形式进入联络造价。第一层相关分析已将时间及投资比作为设备条件处理，第二层进一步说明其与已有输入的计算联系。</w:t>
      </w:r>
    </w:p>
    <w:p>
      <w:pPr>
        <w:pStyle w:val="5"/>
        <w:keepNext/>
        <w:numPr>
          <w:numId w:val="0"/>
        </w:numPr>
        <w:spacing w:line="390" w:lineRule="exact" w:before="160" w:after="120"/>
        <w:ind w:firstLine="0"/>
      </w:pPr>
      <w:bookmarkStart w:id="122" w:name="五项参数的相关关系与矩阵组织"/>
      <w:r>
        <w:rPr>
          <w:rFonts w:ascii="Times New Roman" w:hAnsi="Times New Roman" w:eastAsia="方正仿宋_GBK"/>
          <w:b/>
          <w:sz w:val="26"/>
        </w:rPr>
        <w:t xml:space="preserve">3.5.5 五项参数的相关关系与矩阵组织</w:t>
      </w:r>
      <w:bookmarkEnd w:id="122"/>
    </w:p>
    <w:p>
      <w:pPr>
        <w:pStyle w:val="FirstParagraph"/>
        <w:keepNext/>
        <w:spacing w:line="280" w:lineRule="exact" w:before="120" w:after="80"/>
        <w:ind w:firstLine="0"/>
        <w:jc w:val="center"/>
      </w:pPr>
      <w:r>
        <w:rPr>
          <w:rFonts w:ascii="Times New Roman" w:hAnsi="Times New Roman" w:eastAsia="宋体"/>
          <w:b w:val="0"/>
          <w:sz w:val="21"/>
        </w:rPr>
        <w:t xml:space="preserve">表3-16 五项推广参数的Pearson相关矩阵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widowControl/>
        <w:spacing w:line="348" w:lineRule="exact" w:before="0" w:after="0"/>
        <w:ind w:firstLine="480"/>
        <w:jc w:val="both"/>
      </w:pPr>
      <w:r>
        <w:rPr>
          <w:rFonts w:ascii="Times New Roman" w:hAnsi="Times New Roman" w:eastAsia="方正仿宋_GBK"/>
          <w:b w:val="0"/>
          <w:sz w:val="24"/>
        </w:rPr>
        <w:t xml:space="preserve">五项参数中，电缆长度占比与初始转供率的Pearson系数为0.29，其余配对绝对值均不超过0.15。二者在联合取值中具有一定地区网络背景联系，但分别通过线路造价和既有支援能力作用于设备选择。</w:t>
      </w:r>
    </w:p>
    <w:p>
      <w:pPr>
        <w:pStyle w:val="2"/>
        <w:widowControl/>
        <w:spacing w:line="348" w:lineRule="exact" w:before="0" w:after="0"/>
        <w:ind w:firstLine="480"/>
        <w:jc w:val="both"/>
      </w:pPr>
      <w:r>
        <w:rPr>
          <w:rFonts w:ascii="Times New Roman" w:hAnsi="Times New Roman" w:eastAsia="方正仿宋_GBK"/>
          <w:b w:val="0"/>
          <w:sz w:val="24"/>
        </w:rPr>
        <w:t xml:space="preserve">五项参数之间的相关绝对值均低于本研究的信息归并阈值，分别保留电源规模、负荷发展、线路经济条件、既有网络支援及局部峰值分布的信息，能够从不同规划条件解释容载比差异。</w:t>
      </w:r>
    </w:p>
    <w:p>
      <w:pPr>
        <w:pStyle w:val="2"/>
        <w:keepNext/>
        <w:spacing w:line="280" w:lineRule="exact" w:before="120" w:after="80"/>
        <w:ind w:firstLine="0"/>
        <w:jc w:val="center"/>
      </w:pPr>
      <w:r>
        <w:rPr>
          <w:rFonts w:ascii="Times New Roman" w:hAnsi="Times New Roman" w:eastAsia="宋体"/>
          <w:b w:val="0"/>
          <w:sz w:val="21"/>
        </w:rPr>
        <w:t xml:space="preserve">表3-17 十三项指标至五项推广参数的筛选结果</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环节</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指标数</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处理结果</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候选指标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涵盖源荷规模、运行压力、网络支援、时间及相对投资</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容载比相关性筛选</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95%峰值持续时间、储能支撑持续时间及两项投资比的相关强度较低</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高相关指标归并</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电量、反向净负荷和站级负载率归入装机指标组，正向净负荷归入增长指标组</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参数间相关核验</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最大Pearson绝对值为0.29，五项间信息重叠较少</w:t>
            </w:r>
          </w:p>
        </w:tc>
      </w:tr>
    </w:tbl>
    <w:p>
      <w:pPr>
        <w:pStyle w:val="2"/>
        <w:widowControl/>
        <w:spacing w:line="348" w:lineRule="exact" w:before="0" w:after="0"/>
        <w:ind w:firstLine="480"/>
        <w:jc w:val="both"/>
      </w:pPr>
      <w:r>
        <w:rPr>
          <w:rFonts w:ascii="Times New Roman" w:hAnsi="Times New Roman" w:eastAsia="方正仿宋_GBK"/>
          <w:b w:val="0"/>
          <w:sz w:val="24"/>
        </w:rPr>
        <w:t xml:space="preserve">两层分析由十三项候选指标得到五项推广参数：分布式电源装机渗透率、年最大净负荷平均增长率、电缆长度占比、初始转供率和负荷分散系数。其对应的矩阵分类如下。</w:t>
      </w:r>
    </w:p>
    <w:p>
      <w:pPr>
        <w:pStyle w:val="2"/>
        <w:keepNext/>
        <w:spacing w:line="280" w:lineRule="exact" w:before="120" w:after="80"/>
        <w:ind w:firstLine="0"/>
        <w:jc w:val="center"/>
      </w:pPr>
      <w:r>
        <w:rPr>
          <w:rFonts w:ascii="Times New Roman" w:hAnsi="Times New Roman" w:eastAsia="宋体"/>
          <w:b w:val="0"/>
          <w:sz w:val="21"/>
        </w:rPr>
        <w:t xml:space="preserve">表3-18 采用指标与推广矩阵分类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采用指标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矩阵分类</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≤1；(1,2]；&gt;2</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≤2%；(2%,4%]；(4%,7%]；&gt;7%</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≤10%；(10%,30%]；&gt;30%</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≤30%；(30%,50%]；(50%,70%]；&gt;70%</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1.00；1.10；1.15</w:t>
            </w:r>
          </w:p>
        </w:tc>
      </w:tr>
    </w:tbl>
    <w:p>
      <w:pPr>
        <w:pStyle w:val="2"/>
        <w:widowControl/>
        <w:spacing w:line="348" w:lineRule="exact" w:before="0" w:after="0"/>
        <w:ind w:firstLine="480"/>
        <w:jc w:val="both"/>
      </w:pPr>
      <w:r>
        <w:rPr>
          <w:rFonts w:ascii="Times New Roman" w:hAnsi="Times New Roman" w:eastAsia="方正仿宋_GBK"/>
          <w:b w:val="0"/>
          <w:sz w:val="24"/>
        </w:rPr>
        <w:t xml:space="preserve">增长率采用2%、4%、7%的分界[7]，装机、电缆和转供参数按表列区间组织，首尾档开口，负荷分散系数按三个定值分别列示。第五章在这些参数中选取具体源荷条件，集中列明电缆长度占比与储能支撑时长，按四档转供率归纳典型容载比范围。统一工程价格进入对应设备方案的比选。</w:t>
      </w:r>
    </w:p>
    <w:p>
      <w:pPr>
        <w:pStyle w:val="4"/>
        <w:keepNext/>
        <w:numPr>
          <w:numId w:val="0"/>
        </w:numPr>
        <w:spacing w:line="480" w:lineRule="exact" w:before="160" w:after="120"/>
        <w:ind w:firstLine="0"/>
      </w:pPr>
      <w:bookmarkStart w:id="1352" w:name="h352"/>
      <w:bookmarkStart w:id="123" w:name="kv负荷转接资料与仿真条件"/>
      <w:r>
        <w:rPr>
          <w:rFonts w:ascii="Times New Roman" w:hAnsi="Times New Roman" w:eastAsia="方正仿宋_GBK"/>
          <w:b/>
          <w:sz w:val="32"/>
        </w:rPr>
        <w:t xml:space="preserve">3.6 10 kV负荷转接资料与仿真条件</w:t>
      </w:r>
      <w:bookmarkEnd w:id="123"/>
      <w:bookmarkEnd w:id="1352"/>
    </w:p>
    <w:p>
      <w:pPr>
        <w:pStyle w:val="5"/>
        <w:keepNext/>
        <w:numPr>
          <w:numId w:val="0"/>
        </w:numPr>
        <w:spacing w:line="390" w:lineRule="exact" w:before="160" w:after="120"/>
        <w:ind w:firstLine="0"/>
      </w:pPr>
      <w:bookmarkStart w:id="124" w:name="地区转供统计与计算方法"/>
      <w:r>
        <w:rPr>
          <w:rFonts w:ascii="Times New Roman" w:hAnsi="Times New Roman" w:eastAsia="方正仿宋_GBK"/>
          <w:b/>
          <w:sz w:val="26"/>
        </w:rPr>
        <w:t xml:space="preserve">3.6.1 地区转供统计与计算方法</w:t>
      </w:r>
      <w:bookmarkEnd w:id="124"/>
    </w:p>
    <w:p>
      <w:pPr>
        <w:pStyle w:val="FirstParagraph"/>
        <w:widowControl/>
        <w:spacing w:line="348" w:lineRule="exact" w:before="0" w:after="0"/>
        <w:ind w:firstLine="480"/>
        <w:jc w:val="both"/>
      </w:pPr>
      <w:r>
        <w:rPr>
          <w:rFonts w:ascii="Times New Roman" w:hAnsi="Times New Roman" w:eastAsia="方正仿宋_GBK"/>
          <w:b w:val="0"/>
          <w:sz w:val="24"/>
        </w:rPr>
        <w:t xml:space="preserve">转供能力采用徐州地区变电站全停条件下的负荷转移统计数据，包含各站可由站外电源承担的最大负荷及相应损失负荷。以两项之和作为全停前需供负荷，按各站可转负荷之和占需供负荷总量的比例计算地区负荷加权转供率。</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f>
                <m:fPr>
                  <m:type m:val="bar"/>
                </m:fPr>
                <m:num>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e>
                  </m:nary>
                </m:num>
                <m:den>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为变电站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全停时站外最大可供负荷，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为相应损失负荷，单位MW；</w:t>
      </w: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为地区负荷加权转供率。按原表全部电压等级记录汇总，市区约92%、邳州约67%，用于描述地区网络背景和确定推广采样范围。</w:t>
      </w:r>
    </w:p>
    <w:p>
      <w:pPr>
        <w:pStyle w:val="5"/>
        <w:keepNext/>
        <w:numPr>
          <w:numId w:val="0"/>
        </w:numPr>
        <w:spacing w:line="390" w:lineRule="exact" w:before="160" w:after="120"/>
        <w:ind w:firstLine="0"/>
      </w:pPr>
      <w:bookmarkStart w:id="125" w:name="逐站能力及网络约束"/>
      <w:r>
        <w:rPr>
          <w:rFonts w:ascii="Times New Roman" w:hAnsi="Times New Roman" w:eastAsia="方正仿宋_GBK"/>
          <w:b/>
          <w:sz w:val="26"/>
        </w:rPr>
        <w:t xml:space="preserve">3.6.2 逐站能力及网络约束</w:t>
      </w:r>
      <w:bookmarkEnd w:id="125"/>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地区案例将全停转供统计与110 kV站点逐一匹配，市区26座实体站、邳州20座站采用对应记录，每站按可转负荷占可转及损失负荷之和的比例计算转供率，以该比例乘当年最大正向净负荷形成年度预算，再受原表站外最大可供负荷上限限制。市区3座模拟站按既定设备参与地区计算，既有转供能力取零。</w:t>
      </w:r>
    </w:p>
    <w:p>
      <w:pPr>
        <w:pStyle w:val="2"/>
        <w:widowControl/>
        <w:spacing w:line="348" w:lineRule="exact" w:before="0" w:after="0"/>
        <w:ind w:firstLine="480"/>
        <w:jc w:val="both"/>
      </w:pPr>
      <w:r>
        <w:rPr>
          <w:rFonts w:ascii="Times New Roman" w:hAnsi="Times New Roman" w:eastAsia="方正仿宋_GBK"/>
          <w:b w:val="0"/>
          <w:sz w:val="24"/>
        </w:rPr>
        <w:t xml:space="preserve">既有通道与新增候选分别记录馈线端点和有效容量，正常运行允许调整供区，主变故障后重新分配转供。各通道共同校核源端可切负荷、共享馈线余量和接收站容量，新增联络单项有效能力为7.49 MW，工程费用按地区电缆长度占比计算。</w:t>
      </w:r>
    </w:p>
    <w:p>
      <w:pPr>
        <w:pStyle w:val="2"/>
        <w:widowControl/>
        <w:spacing w:line="348" w:lineRule="exact" w:before="0" w:after="0"/>
        <w:ind w:firstLine="480"/>
        <w:jc w:val="both"/>
      </w:pPr>
      <w:r>
        <w:rPr>
          <w:rFonts w:ascii="Times New Roman" w:hAnsi="Times New Roman" w:eastAsia="方正仿宋_GBK"/>
          <w:b w:val="0"/>
          <w:sz w:val="24"/>
        </w:rPr>
        <w:t xml:space="preserve">DL/T 5729—2023第7.1.2条对A+、A类及B、C类供电区域的中压负荷转移比例分别给出50%～70%、30%～50%的参考[5]。本研究保留上述分区依据，地区案例采用补充资料的逐站MW能力，推广模板按10%～90%初始转供率设置基期网络。</w:t>
      </w:r>
    </w:p>
    <w:p>
      <w:pPr>
        <w:pStyle w:val="5"/>
        <w:keepNext/>
        <w:numPr>
          <w:numId w:val="0"/>
        </w:numPr>
        <w:spacing w:line="390" w:lineRule="exact" w:before="160" w:after="120"/>
        <w:ind w:firstLine="0"/>
      </w:pPr>
      <w:bookmarkStart w:id="126" w:name="电源归属及反向功率"/>
      <w:r>
        <w:rPr>
          <w:rFonts w:ascii="Times New Roman" w:hAnsi="Times New Roman" w:eastAsia="方正仿宋_GBK"/>
          <w:b/>
          <w:sz w:val="26"/>
        </w:rPr>
        <w:t xml:space="preserve">3.6.3 电源归属及反向功率</w:t>
      </w:r>
      <w:bookmarkEnd w:id="126"/>
    </w:p>
    <w:p>
      <w:pPr>
        <w:pStyle w:val="FirstParagraph"/>
        <w:widowControl/>
        <w:spacing w:line="348" w:lineRule="exact" w:before="0" w:after="0"/>
        <w:ind w:firstLine="480"/>
        <w:jc w:val="both"/>
      </w:pPr>
      <w:r>
        <w:rPr>
          <w:rFonts w:ascii="Times New Roman" w:hAnsi="Times New Roman" w:eastAsia="方正仿宋_GBK"/>
          <w:b w:val="0"/>
          <w:sz w:val="24"/>
        </w:rPr>
        <w:t xml:space="preserve">正常转供改变用电负荷分配，电源仍保留原站归属，因此每个静态工况需按转出、转入功率重新计算净负荷，并同时校核正向供电和反向容量。转出功率以本站原始可转负荷为上限，区域内部转入、转出合计相等。</w:t>
      </w:r>
    </w:p>
    <w:p>
      <w:pPr>
        <w:pStyle w:val="4"/>
        <w:keepNext/>
        <w:numPr>
          <w:numId w:val="0"/>
        </w:numPr>
        <w:spacing w:line="480" w:lineRule="exact" w:before="160" w:after="120"/>
        <w:ind w:firstLine="0"/>
      </w:pPr>
      <w:bookmarkStart w:id="1362" w:name="h362"/>
      <w:bookmarkStart w:id="127" w:name="站级负载率与配置需求"/>
      <w:r>
        <w:rPr>
          <w:rFonts w:ascii="Times New Roman" w:hAnsi="Times New Roman" w:eastAsia="方正仿宋_GBK"/>
          <w:b/>
          <w:sz w:val="32"/>
        </w:rPr>
        <w:t xml:space="preserve">3.7 站级负载率与配置需求</w:t>
      </w:r>
      <w:bookmarkEnd w:id="127"/>
      <w:bookmarkEnd w:id="1362"/>
    </w:p>
    <w:p>
      <w:pPr>
        <w:pStyle w:val="5"/>
        <w:keepNext/>
        <w:numPr>
          <w:numId w:val="0"/>
        </w:numPr>
        <w:spacing w:line="390" w:lineRule="exact" w:before="160" w:after="120"/>
        <w:ind w:firstLine="0"/>
      </w:pPr>
      <w:bookmarkStart w:id="128" w:name="邳州站级相对负载"/>
      <w:r>
        <w:rPr>
          <w:rFonts w:ascii="Times New Roman" w:hAnsi="Times New Roman" w:eastAsia="方正仿宋_GBK"/>
          <w:b/>
          <w:sz w:val="26"/>
        </w:rPr>
        <w:t xml:space="preserve">3.7.1 邳州站级相对负载</w:t>
      </w:r>
      <w:bookmarkEnd w:id="128"/>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11856"/>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29"/>
                    <a:stretch>
                      <a:fillRect/>
                    </a:stretch>
                  </pic:blipFill>
                  <pic:spPr bwMode="auto">
                    <a:xfrm>
                      <a:off x="0" y="0"/>
                      <a:ext cx="5120640" cy="331185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邳州站级负载率</w:t>
      </w:r>
    </w:p>
    <w:p>
      <w:pPr>
        <w:pStyle w:val="5"/>
        <w:keepNext/>
        <w:numPr>
          <w:numId w:val="0"/>
        </w:numPr>
        <w:spacing w:line="390" w:lineRule="exact" w:before="160" w:after="120"/>
        <w:ind w:firstLine="0"/>
      </w:pPr>
      <w:bookmarkStart w:id="130" w:name="市区站级相对负载"/>
      <w:r>
        <w:rPr>
          <w:rFonts w:ascii="Times New Roman" w:hAnsi="Times New Roman" w:eastAsia="方正仿宋_GBK"/>
          <w:b/>
          <w:sz w:val="26"/>
        </w:rPr>
        <w:t xml:space="preserve">3.7.2 市区站级相对负载</w:t>
      </w:r>
      <w:bookmarkEnd w:id="130"/>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3950850"/>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1"/>
                    <a:stretch>
                      <a:fillRect/>
                    </a:stretch>
                  </pic:blipFill>
                  <pic:spPr bwMode="auto">
                    <a:xfrm>
                      <a:off x="0" y="0"/>
                      <a:ext cx="5120640" cy="395085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市区站级负载率</w:t>
      </w:r>
    </w:p>
    <w:p>
      <w:pPr>
        <w:pStyle w:val="2"/>
        <w:widowControl/>
        <w:spacing w:line="348" w:lineRule="exact" w:before="0" w:after="0"/>
        <w:ind w:firstLine="480"/>
        <w:jc w:val="both"/>
      </w:pPr>
      <w:r>
        <w:rPr>
          <w:rFonts w:ascii="Times New Roman" w:hAnsi="Times New Roman" w:eastAsia="方正仿宋_GBK"/>
          <w:b w:val="0"/>
          <w:sz w:val="24"/>
        </w:rPr>
        <w:t xml:space="preserve">市区站级图表按能够与设备资料对应的26座站列示。地区容量、负荷及费用按统一计算范围汇总，站级展示范围与地区汇总范围分别使用。</w:t>
      </w:r>
    </w:p>
    <w:p>
      <w:pPr>
        <w:pStyle w:val="5"/>
        <w:keepNext/>
        <w:numPr>
          <w:numId w:val="0"/>
        </w:numPr>
        <w:spacing w:line="390" w:lineRule="exact" w:before="160" w:after="120"/>
        <w:ind w:firstLine="0"/>
      </w:pPr>
      <w:bookmarkStart w:id="132" w:name="负载率与规划措施的联系"/>
      <w:r>
        <w:rPr>
          <w:rFonts w:ascii="Times New Roman" w:hAnsi="Times New Roman" w:eastAsia="方正仿宋_GBK"/>
          <w:b/>
          <w:sz w:val="26"/>
        </w:rPr>
        <w:t xml:space="preserve">3.7.3 负载率与规划措施的联系</w:t>
      </w:r>
      <w:bookmarkEnd w:id="132"/>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3" w:name="较高负载率站的方向与配置条件"/>
      <w:r>
        <w:rPr>
          <w:rFonts w:ascii="Times New Roman" w:hAnsi="Times New Roman" w:eastAsia="方正仿宋_GBK"/>
          <w:b/>
          <w:sz w:val="26"/>
        </w:rPr>
        <w:t xml:space="preserve">3.7.4 较高负载率站的方向与配置条件</w:t>
      </w:r>
      <w:bookmarkEnd w:id="133"/>
    </w:p>
    <w:p>
      <w:pPr>
        <w:pStyle w:val="FirstParagraph"/>
        <w:keepNext/>
        <w:spacing w:line="280" w:lineRule="exact" w:before="120" w:after="80"/>
        <w:ind w:firstLine="0"/>
        <w:jc w:val="center"/>
      </w:pPr>
      <w:r>
        <w:rPr>
          <w:rFonts w:ascii="Times New Roman" w:hAnsi="Times New Roman" w:eastAsia="宋体"/>
          <w:b w:val="0"/>
          <w:sz w:val="21"/>
        </w:rPr>
        <w:t xml:space="preserve">表3-19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铁富变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63.57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34" w:name="站级功率的主导方向"/>
      <w:r>
        <w:rPr>
          <w:rFonts w:ascii="Times New Roman" w:hAnsi="Times New Roman" w:eastAsia="方正仿宋_GBK"/>
          <w:b/>
          <w:sz w:val="26"/>
        </w:rPr>
        <w:t xml:space="preserve">3.7.5 站级功率的主导方向</w:t>
      </w:r>
      <w:bookmarkEnd w:id="134"/>
    </w:p>
    <w:p>
      <w:pPr>
        <w:pStyle w:val="FirstParagraph"/>
        <w:keepNext/>
        <w:spacing w:line="280" w:lineRule="exact" w:before="120" w:after="80"/>
        <w:ind w:firstLine="0"/>
        <w:jc w:val="center"/>
      </w:pPr>
      <w:r>
        <w:rPr>
          <w:rFonts w:ascii="Times New Roman" w:hAnsi="Times New Roman" w:eastAsia="宋体"/>
          <w:b w:val="0"/>
          <w:sz w:val="21"/>
        </w:rPr>
        <w:t xml:space="preserve">表3-20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检查转出用电负荷后是否增加本站反送需求。建设方案以第五章逐工况网络校核为依据。</w:t>
      </w:r>
    </w:p>
    <w:p>
      <w:pPr>
        <w:pStyle w:val="4"/>
        <w:keepNext/>
        <w:numPr>
          <w:numId w:val="0"/>
        </w:numPr>
        <w:spacing w:line="480" w:lineRule="exact" w:before="160" w:after="120"/>
        <w:ind w:firstLine="0"/>
      </w:pPr>
      <w:bookmarkStart w:id="1379" w:name="h379"/>
      <w:bookmarkStart w:id="135" w:name="运行特征的综合分析"/>
      <w:r>
        <w:rPr>
          <w:rFonts w:ascii="Times New Roman" w:hAnsi="Times New Roman" w:eastAsia="方正仿宋_GBK"/>
          <w:b/>
          <w:sz w:val="32"/>
        </w:rPr>
        <w:t xml:space="preserve">3.8 运行特征的综合分析</w:t>
      </w:r>
      <w:bookmarkEnd w:id="135"/>
      <w:bookmarkEnd w:id="1379"/>
    </w:p>
    <w:p>
      <w:pPr>
        <w:pStyle w:val="5"/>
        <w:keepNext/>
        <w:numPr>
          <w:numId w:val="0"/>
        </w:numPr>
        <w:spacing w:line="390" w:lineRule="exact" w:before="160" w:after="120"/>
        <w:ind w:firstLine="0"/>
      </w:pPr>
      <w:bookmarkStart w:id="136" w:name="容量建设与负荷变化的不同作用"/>
      <w:r>
        <w:rPr>
          <w:rFonts w:ascii="Times New Roman" w:hAnsi="Times New Roman" w:eastAsia="方正仿宋_GBK"/>
          <w:b/>
          <w:sz w:val="26"/>
        </w:rPr>
        <w:t xml:space="preserve">3.8.1 容量建设与负荷变化的不同作用</w:t>
      </w:r>
      <w:bookmarkEnd w:id="136"/>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pPr>
        <w:pStyle w:val="2"/>
        <w:keepNext/>
        <w:spacing w:line="280" w:lineRule="exact" w:before="120" w:after="80"/>
        <w:ind w:firstLine="0"/>
        <w:jc w:val="center"/>
      </w:pPr>
      <w:r>
        <w:rPr>
          <w:rFonts w:ascii="Times New Roman" w:hAnsi="Times New Roman" w:eastAsia="宋体"/>
          <w:b w:val="0"/>
          <w:sz w:val="21"/>
        </w:rPr>
        <w:t xml:space="preserve">表3-21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随着新增用户逐步接入，设备负载和年网供最大负荷上升，容载比相应降低。评价规划效果时，应同时观察容量、负荷和投运年份。第五章采用逐年方案，正是为了将这些变化落实到建设规模和投运时点。</w:t>
      </w:r>
    </w:p>
    <w:p>
      <w:pPr>
        <w:pStyle w:val="5"/>
        <w:keepNext/>
        <w:numPr>
          <w:numId w:val="0"/>
        </w:numPr>
        <w:spacing w:line="390" w:lineRule="exact" w:before="160" w:after="120"/>
        <w:ind w:firstLine="0"/>
      </w:pPr>
      <w:bookmarkStart w:id="137" w:name="光伏发电与用电高峰的季节关系"/>
      <w:r>
        <w:rPr>
          <w:rFonts w:ascii="Times New Roman" w:hAnsi="Times New Roman" w:eastAsia="方正仿宋_GBK"/>
          <w:b/>
          <w:sz w:val="26"/>
        </w:rPr>
        <w:t xml:space="preserve">3.8.2 光伏发电与用电高峰的季节关系</w:t>
      </w:r>
      <w:bookmarkEnd w:id="137"/>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光伏发电量与用户用电量共同决定分布式电源电量渗透率。邳州2025年5月该指标约60%，高于7月的38%，但7月光伏发电量为212845.47 MWh，高于5月的163851.67 MWh，说明比值差异还需结合用电规模解释。7月用户用电量为562354.97 MWh，明显高于5月的271920.09 MWh，较大的用电分母使其电量渗透率较低。</w:t>
      </w:r>
    </w:p>
    <w:p>
      <w:pPr>
        <w:pStyle w:val="2"/>
        <w:keepNext/>
        <w:spacing w:line="280" w:lineRule="exact" w:before="120" w:after="80"/>
        <w:ind w:firstLine="0"/>
        <w:jc w:val="center"/>
      </w:pPr>
      <w:r>
        <w:rPr>
          <w:rFonts w:ascii="Times New Roman" w:hAnsi="Times New Roman" w:eastAsia="宋体"/>
          <w:b w:val="0"/>
          <w:sz w:val="21"/>
        </w:rPr>
        <w:t xml:space="preserve">表3-22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38" w:name="区域容量储备与重载设备并存"/>
      <w:r>
        <w:rPr>
          <w:rFonts w:ascii="Times New Roman" w:hAnsi="Times New Roman" w:eastAsia="方正仿宋_GBK"/>
          <w:b/>
          <w:sz w:val="26"/>
        </w:rPr>
        <w:t xml:space="preserve">3.8.3 区域容量储备与重载设备并存</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会改变N-1后的剩余容量。两台等容量主变在N-1条件下只剩一半容量，增加一台后，即使正常运行负载率不高，故障时的可用容量仍可能明显提高，因此主变扩建既增加总容量，也改变站内设备组合。第五章邳州弹性方案首年完成主变补强、减少后期配储的结果，需结合具体规格和建设时序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但各站设备仍要承受本地高峰。本报告采用1.00、1.10、1.15三个负荷分散系数构造推广情景，并结合站级负荷分配讨论容量配置。</w:t>
      </w:r>
    </w:p>
    <w:p>
      <w:pPr>
        <w:pStyle w:val="5"/>
        <w:keepNext/>
        <w:numPr>
          <w:numId w:val="0"/>
        </w:numPr>
        <w:spacing w:line="390" w:lineRule="exact" w:before="160" w:after="120"/>
        <w:ind w:firstLine="0"/>
      </w:pPr>
      <w:bookmarkStart w:id="139" w:name="两地区的容量规划重点"/>
      <w:r>
        <w:rPr>
          <w:rFonts w:ascii="Times New Roman" w:hAnsi="Times New Roman" w:eastAsia="方正仿宋_GBK"/>
          <w:b/>
          <w:sz w:val="26"/>
        </w:rPr>
        <w:t xml:space="preserve">3.8.4 两地区的容量规划重点</w:t>
      </w:r>
      <w:bookmarkEnd w:id="139"/>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pPr>
        <w:pStyle w:val="3"/>
        <w:keepNext/>
        <w:pageBreakBefore/>
        <w:numPr>
          <w:numId w:val="0"/>
        </w:numPr>
        <w:spacing w:line="540" w:lineRule="exact" w:before="0" w:after="120"/>
        <w:ind w:firstLine="0"/>
      </w:pPr>
      <w:bookmarkStart w:id="1401" w:name="h401"/>
      <w:bookmarkStart w:id="140" w:name="第四章-基于实际工程的建设成本模型"/>
      <w:r>
        <w:rPr>
          <w:rFonts w:ascii="Times New Roman" w:hAnsi="Times New Roman" w:eastAsia="方正仿宋_GBK"/>
          <w:b/>
          <w:sz w:val="36"/>
        </w:rPr>
        <w:t xml:space="preserve">第四章 基于实际工程的建设成本模型</w:t>
      </w:r>
      <w:bookmarkEnd w:id="140"/>
      <w:bookmarkEnd w:id="1401"/>
    </w:p>
    <w:p>
      <w:pPr>
        <w:pStyle w:val="4"/>
        <w:keepNext/>
        <w:numPr>
          <w:numId w:val="0"/>
        </w:numPr>
        <w:spacing w:line="480" w:lineRule="exact" w:before="160" w:after="120"/>
        <w:ind w:firstLine="0"/>
      </w:pPr>
      <w:bookmarkStart w:id="1402" w:name="h402"/>
      <w:bookmarkStart w:id="141" w:name="成本模型的范围与建立原则"/>
      <w:r>
        <w:rPr>
          <w:rFonts w:ascii="Times New Roman" w:hAnsi="Times New Roman" w:eastAsia="方正仿宋_GBK"/>
          <w:b/>
          <w:sz w:val="32"/>
        </w:rPr>
        <w:t xml:space="preserve">4.1 成本模型的范围与建立原则</w:t>
      </w:r>
      <w:bookmarkEnd w:id="141"/>
      <w:bookmarkEnd w:id="1402"/>
    </w:p>
    <w:p>
      <w:pPr>
        <w:pStyle w:val="5"/>
        <w:keepNext/>
        <w:numPr>
          <w:numId w:val="0"/>
        </w:numPr>
        <w:spacing w:line="390" w:lineRule="exact" w:before="160" w:after="120"/>
        <w:ind w:firstLine="0"/>
      </w:pPr>
      <w:bookmarkStart w:id="142" w:name="建设改造措施与投资估算依据"/>
      <w:r>
        <w:rPr>
          <w:rFonts w:ascii="Times New Roman" w:hAnsi="Times New Roman" w:eastAsia="方正仿宋_GBK"/>
          <w:b/>
          <w:sz w:val="26"/>
        </w:rPr>
        <w:t xml:space="preserve">4.1.1 建设改造措施与投资估算依据</w:t>
      </w:r>
      <w:bookmarkEnd w:id="142"/>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电缆长度占比用于计算联络综合造价，储能和主变采用统一参考价格，工程范围差异在应用时另行核定[85][87][86]。</w:t>
      </w:r>
    </w:p>
    <w:p>
      <w:pPr>
        <w:pStyle w:val="5"/>
        <w:keepNext/>
        <w:numPr>
          <w:numId w:val="0"/>
        </w:numPr>
        <w:spacing w:line="390" w:lineRule="exact" w:before="160" w:after="120"/>
        <w:ind w:firstLine="0"/>
      </w:pPr>
      <w:bookmarkStart w:id="143" w:name="投资运维与更新"/>
      <w:r>
        <w:rPr>
          <w:rFonts w:ascii="Times New Roman" w:hAnsi="Times New Roman" w:eastAsia="方正仿宋_GBK"/>
          <w:b/>
          <w:sz w:val="26"/>
        </w:rPr>
        <w:t xml:space="preserve">4.1.2 投资、运维与更新</w:t>
      </w:r>
      <w:bookmarkEnd w:id="143"/>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2041年为截止年，新增工程在投运年发生初始投资，次年起计固定运维。设备达到设定寿命且评价期内仍需服务时，按同等实价更新，使不同寿命的措施在相同现金流范围内比较[10][11][12]。</w:t>
      </w:r>
    </w:p>
    <w:p>
      <w:pPr>
        <w:pStyle w:val="2"/>
        <w:widowControl/>
        <w:spacing w:line="348" w:lineRule="exact" w:before="0" w:after="0"/>
        <w:ind w:firstLine="480"/>
        <w:jc w:val="both"/>
      </w:pPr>
      <w:r>
        <w:rPr>
          <w:rFonts w:ascii="Times New Roman" w:hAnsi="Times New Roman" w:eastAsia="方正仿宋_GBK"/>
          <w:b w:val="0"/>
          <w:sz w:val="24"/>
        </w:rPr>
        <w:t xml:space="preserve">主变和线路寿命均取40年，储能取25年，年度固定运维支出与初始投资之比在变电、线路和储能三类措施中分别取0.042、0.022、0.030，折现率为6%。这些参数用于将初始投资、年度运维和设备更新分项折现[10,11,12]，两类方案在相同参数及2041年评价截止年下比较费用。</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初始投资4%/年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初始投资2%/年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初始投资3%/年</w:t>
            </w:r>
          </w:p>
        </w:tc>
        <w:tc>
          <w:tcPr>
            <w:tcW w:type="dxa" w:w="382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44" w:name="增量比较的适用范围"/>
      <w:r>
        <w:rPr>
          <w:rFonts w:ascii="Times New Roman" w:hAnsi="Times New Roman" w:eastAsia="方正仿宋_GBK"/>
          <w:b/>
          <w:sz w:val="26"/>
        </w:rPr>
        <w:t xml:space="preserve">4.1.3 增量比较的适用范围</w:t>
      </w:r>
      <w:bookmarkEnd w:id="144"/>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414" w:name="h414"/>
      <w:bookmarkStart w:id="145" w:name="主变工程成本系数"/>
      <w:r>
        <w:rPr>
          <w:rFonts w:ascii="Times New Roman" w:hAnsi="Times New Roman" w:eastAsia="方正仿宋_GBK"/>
          <w:b/>
          <w:sz w:val="32"/>
        </w:rPr>
        <w:t xml:space="preserve">4.2 主变工程成本系数</w:t>
      </w:r>
      <w:bookmarkEnd w:id="145"/>
      <w:bookmarkEnd w:id="1414"/>
    </w:p>
    <w:p>
      <w:pPr>
        <w:pStyle w:val="5"/>
        <w:keepNext/>
        <w:numPr>
          <w:numId w:val="0"/>
        </w:numPr>
        <w:spacing w:line="390" w:lineRule="exact" w:before="160" w:after="120"/>
        <w:ind w:firstLine="0"/>
      </w:pPr>
      <w:bookmarkStart w:id="146" w:name="替换工程案例"/>
      <w:r>
        <w:rPr>
          <w:rFonts w:ascii="Times New Roman" w:hAnsi="Times New Roman" w:eastAsia="方正仿宋_GBK"/>
          <w:b/>
          <w:sz w:val="26"/>
        </w:rPr>
        <w:t xml:space="preserve">4.2.1 替换工程案例</w:t>
      </w:r>
      <w:bookmarkEnd w:id="146"/>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主变新购容量为当年采购并投运的新设备铭牌容量之和，包含更换和扩建采购，净增容量则等于新购容量扣除同期被替换设备容量。因此，仅扩建时两者相等，更换时净增容量小于新购容量。两个案例采购容量分别为50 MVA和100 MVA，扣除被替换的20 MVA和63 MVA后，容量净增分别为30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1335</w:t>
            </w:r>
          </w:p>
        </w:tc>
      </w:tr>
    </w:tbl>
    <w:p>
      <w:pPr>
        <w:pStyle w:val="5"/>
        <w:keepNext/>
        <w:numPr>
          <w:numId w:val="0"/>
        </w:numPr>
        <w:spacing w:line="390" w:lineRule="exact" w:before="160" w:after="120"/>
        <w:ind w:firstLine="0"/>
      </w:pPr>
      <w:bookmarkStart w:id="147" w:name="采购容量加权系数"/>
      <w:r>
        <w:rPr>
          <w:rFonts w:ascii="Times New Roman" w:hAnsi="Times New Roman" w:eastAsia="方正仿宋_GBK"/>
          <w:b/>
          <w:sz w:val="26"/>
        </w:rPr>
        <w:t xml:space="preserve">4.2.2 采购容量加权系数</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主变替换工程采用采购容量加权，将两个案例静态投资之和除以新购铭牌容量之和，形成式（4-1）的参考系数。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1151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1335</m:t>
                  </m:r>
                </m:num>
                <m:den>
                  <m:r>
                    <m:rPr>
                      <m:nor m:val="1"/>
                    </m:rPr>
                    <w:rPr>
                      <w:rFonts w:ascii="Times New Roman" w:hAnsi="Times New Roman" w:cs="Times New Roman" w:eastAsia="方正仿宋_GBK"/>
                      <w:i w:val="0"/>
                      <w:iCs w:val="0"/>
                    </w:rPr>
                    <m:t>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16.57</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万元/MVA</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90" w:lineRule="exact" w:before="160" w:after="120"/>
        <w:ind w:firstLine="0"/>
      </w:pPr>
      <w:bookmarkStart w:id="148" w:name="净增容量与工程费用"/>
      <w:r>
        <w:rPr>
          <w:rFonts w:ascii="Times New Roman" w:hAnsi="Times New Roman" w:eastAsia="方正仿宋_GBK"/>
          <w:b/>
          <w:sz w:val="26"/>
        </w:rPr>
        <w:t xml:space="preserve">4.2.3 净增容量与工程费用</w:t>
      </w:r>
      <w:bookmarkEnd w:id="148"/>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、主变安装位置</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、投运年份</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，若容量由</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更换为</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，工程投资按</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计取。设备容量增加</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mr>
                <m:mr>
                  <m:e>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d>
                      <m:dPr>
                        <m:begChr m:val="("/>
                        <m:endChr m:val=")"/>
                        <m:grow/>
                      </m:dP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e>
                    </m:d>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为站号，</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为主变安装位置，</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为更换投资，单位万元；</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为单位采购容量工程投资，单位万元/MVA；</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oMath>
      <w:r>
        <w:rPr>
          <w:rFonts w:ascii="Times New Roman" w:hAnsi="Times New Roman" w:eastAsia="方正仿宋_GBK"/>
          <w:b w:val="0"/>
          <w:sz w:val="24"/>
        </w:rPr>
        <w:t xml:space="preserve">分别为更换后、更换前容量，</w:t>
      </w:r>
      <m:oMath>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为容量净增，单位MVA；</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49" w:name="主变扩建"/>
      <w:r>
        <w:rPr>
          <w:rFonts w:ascii="Times New Roman" w:hAnsi="Times New Roman" w:eastAsia="方正仿宋_GBK"/>
          <w:b/>
          <w:sz w:val="26"/>
        </w:rPr>
        <w:t xml:space="preserve">4.2.4 主变扩建</w:t>
      </w:r>
      <w:bookmarkEnd w:id="149"/>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1206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1240</m:t>
                  </m:r>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1223</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万元/项</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主变扩建仅在具备预留位置的站点设置，按1223万元/项计费，费用包含增加台数及相应配套工程。</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433" w:name="h433"/>
      <w:bookmarkStart w:id="150" w:name="kv联络工程费用"/>
      <w:r>
        <w:rPr>
          <w:rFonts w:ascii="Times New Roman" w:hAnsi="Times New Roman" w:eastAsia="方正仿宋_GBK"/>
          <w:b/>
          <w:sz w:val="32"/>
        </w:rPr>
        <w:t xml:space="preserve">4.3 10 kV联络工程费用</w:t>
      </w:r>
      <w:bookmarkEnd w:id="150"/>
      <w:bookmarkEnd w:id="1433"/>
    </w:p>
    <w:p>
      <w:pPr>
        <w:pStyle w:val="5"/>
        <w:keepNext/>
        <w:numPr>
          <w:numId w:val="0"/>
        </w:numPr>
        <w:spacing w:line="390" w:lineRule="exact" w:before="160" w:after="120"/>
        <w:ind w:firstLine="0"/>
      </w:pPr>
      <w:bookmarkStart w:id="151" w:name="参考工程及单位造价"/>
      <w:r>
        <w:rPr>
          <w:rFonts w:ascii="Times New Roman" w:hAnsi="Times New Roman" w:eastAsia="方正仿宋_GBK"/>
          <w:b/>
          <w:sz w:val="26"/>
        </w:rPr>
        <w:t xml:space="preserve">4.3.1 参考工程及单位造价</w:t>
      </w:r>
      <w:bookmarkEnd w:id="151"/>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[87]。电缆采用含电气和土建的综合参考价180万元/km，其中土建按差额60万元/km计入研究费用。电缆工程投资范围包含电气安装及配套土建，徐州10 kV线路迁改工程公开建设内容亦包括相应电缆及通道工程[90]。</w:t>
      </w:r>
    </w:p>
    <w:p>
      <w:pPr>
        <w:pStyle w:val="5"/>
        <w:keepNext/>
        <w:numPr>
          <w:numId w:val="0"/>
        </w:numPr>
        <w:spacing w:line="390" w:lineRule="exact" w:before="160" w:after="120"/>
        <w:ind w:firstLine="0"/>
      </w:pPr>
      <w:bookmarkStart w:id="152" w:name="电缆长度占比与综合造价"/>
      <w:r>
        <w:rPr>
          <w:rFonts w:ascii="Times New Roman" w:hAnsi="Times New Roman" w:eastAsia="方正仿宋_GBK"/>
          <w:b/>
          <w:sz w:val="26"/>
        </w:rPr>
        <w:t xml:space="preserve">4.3.2 电缆长度占比与综合造价</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。若电缆长度占比为</w:t>
      </w:r>
      <m:oMath>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，电缆综合参考价为180万元/km，则单位长度综合费用为</w:t>
      </w:r>
      <m:oMath>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180</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，对应</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。系数也可按实际工程单位长度造价与基价之比确定。</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1"/>
                  <w:iCs w:val="1"/>
                </w:rPr>
                <m:t>L</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为单项目建设投资，单位万元；</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为线路长度，基准取3 km；</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邳州线路资料计算的电缆长度占比约11%，市区补充资料约80%。以3 km和6万元固定接入费计算，单项新增联络投资分别为128.38万元、452.40万元。推广时采用电缆长度占比作为输入参数，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用于内部计价。</w:t>
      </w:r>
    </w:p>
    <w:p>
      <w:pPr>
        <w:pStyle w:val="2"/>
        <w:keepNext/>
        <w:spacing w:line="280" w:lineRule="exact" w:before="120" w:after="80"/>
        <w:ind w:firstLine="0"/>
        <w:jc w:val="center"/>
      </w:pPr>
      <w:r>
        <w:rPr>
          <w:rFonts w:ascii="Times New Roman" w:hAnsi="Times New Roman" w:eastAsia="宋体"/>
          <w:b w:val="0"/>
          <w:sz w:val="21"/>
        </w:rPr>
        <w:t xml:space="preserve">表4-3 电缆长度占比与项目费用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452.40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499.20</w:t>
            </w:r>
          </w:p>
        </w:tc>
      </w:tr>
    </w:tbl>
    <w:p>
      <w:pPr>
        <w:pStyle w:val="5"/>
        <w:keepNext/>
        <w:numPr>
          <w:numId w:val="0"/>
        </w:numPr>
        <w:spacing w:line="390" w:lineRule="exact" w:before="160" w:after="120"/>
        <w:ind w:firstLine="0"/>
      </w:pPr>
      <w:bookmarkStart w:id="153" w:name="联络能力与工程计费"/>
      <w:r>
        <w:rPr>
          <w:rFonts w:ascii="Times New Roman" w:hAnsi="Times New Roman" w:eastAsia="方正仿宋_GBK"/>
          <w:b/>
          <w:sz w:val="26"/>
        </w:rPr>
        <w:t xml:space="preserve">4.3.3 联络能力与工程计费</w:t>
      </w:r>
      <w:bookmarkEnd w:id="153"/>
    </w:p>
    <w:p>
      <w:pPr>
        <w:pStyle w:val="FirstParagraph"/>
        <w:widowControl/>
        <w:spacing w:line="348" w:lineRule="exact" w:before="0" w:after="0"/>
        <w:ind w:firstLine="480"/>
        <w:jc w:val="both"/>
      </w:pPr>
      <w:r>
        <w:rPr>
          <w:rFonts w:ascii="Times New Roman" w:hAnsi="Times New Roman" w:eastAsia="方正仿宋_GBK"/>
          <w:b w:val="0"/>
          <w:sz w:val="24"/>
        </w:rPr>
        <w:t xml:space="preserve">新增候选线的区段负荷参考值为7.49 MW，低于按允许电流折算的有功容量9.05 MW。模型按具体送受端馈线建立候选边，既有边不重复计原建设费，新增边按投运年计项目费用。线路价格改变时，候选路径、区段负荷及热限保持不变，用于识别经济参数的影响。</w:t>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同一馈线连接多条候选联络时，共用其源端可转负荷和接收余量，转供功率同时受接收主变容量限制。</w:t>
      </w:r>
    </w:p>
    <w:p>
      <w:pPr>
        <w:pStyle w:val="4"/>
        <w:keepNext/>
        <w:numPr>
          <w:numId w:val="0"/>
        </w:numPr>
        <w:spacing w:line="480" w:lineRule="exact" w:before="160" w:after="120"/>
        <w:ind w:firstLine="0"/>
      </w:pPr>
      <w:bookmarkStart w:id="1444" w:name="h444"/>
      <w:bookmarkStart w:id="154" w:name="储能投资模型"/>
      <w:r>
        <w:rPr>
          <w:rFonts w:ascii="Times New Roman" w:hAnsi="Times New Roman" w:eastAsia="方正仿宋_GBK"/>
          <w:b/>
          <w:sz w:val="32"/>
        </w:rPr>
        <w:t xml:space="preserve">4.4 储能投资模型</w:t>
      </w:r>
      <w:bookmarkEnd w:id="154"/>
      <w:bookmarkEnd w:id="1444"/>
    </w:p>
    <w:p>
      <w:pPr>
        <w:pStyle w:val="5"/>
        <w:keepNext/>
        <w:numPr>
          <w:numId w:val="0"/>
        </w:numPr>
        <w:spacing w:line="390" w:lineRule="exact" w:before="160" w:after="120"/>
        <w:ind w:firstLine="0"/>
      </w:pPr>
      <w:bookmarkStart w:id="155" w:name="储能规格与采购价格依据"/>
      <w:r>
        <w:rPr>
          <w:rFonts w:ascii="Times New Roman" w:hAnsi="Times New Roman" w:eastAsia="方正仿宋_GBK"/>
          <w:b/>
          <w:sz w:val="26"/>
        </w:rPr>
        <w:t xml:space="preserve">4.4.1 储能规格与采购价格依据</w:t>
      </w:r>
      <w:bookmarkEnd w:id="155"/>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kWh柜规格。苏州采购公告的储能柜子项最高限价为27.20万元，作为单柜价格参考[88]。模型投资采用浏阳用户侧储能项目的成套中标价210.46万元，保证交付规模为1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储能采购价格依据[88][86]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56" w:name="成套柜单位价格"/>
      <w:r>
        <w:rPr>
          <w:rFonts w:ascii="Times New Roman" w:hAnsi="Times New Roman" w:eastAsia="方正仿宋_GBK"/>
          <w:b/>
          <w:sz w:val="26"/>
        </w:rPr>
        <w:t xml:space="preserve">4.4.2 成套柜单位价格</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模型将10柜成套项目成交总投资线性折算为21.05万元/柜，再按相同柜型和单位价格进行规模外推，苏州单柜最高限价用于价格对照。</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e>
                  <m:e>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2104562.62</m:t>
                        </m:r>
                      </m:num>
                      <m:den>
                        <m:r>
                          <m:rPr>
                            <m:nor m:val="1"/>
                          </m:rPr>
                          <w:rPr>
                            <w:rFonts w:ascii="Times New Roman" w:hAnsi="Times New Roman" w:cs="Times New Roman" w:eastAsia="方正仿宋_GBK"/>
                            <w:i w:val="0"/>
                            <w:iCs w:val="0"/>
                          </w:rPr>
                          <m:t>10000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21.05</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万元/柜</m:t>
                    </m:r>
                  </m:e>
                </m:m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（4-5）</w:t>
            </w:r>
          </w:p>
        </w:tc>
      </w:tr>
    </w:tbl>
    <w:p>
      <w:pPr>
        <w:pStyle w:val="FirstParagraph"/>
        <w:widowControl/>
        <w:spacing w:line="348" w:lineRule="atLeas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为单柜参考投资，</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年新增储能投资，单位万元；新增柜数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rPr>
                <m:nor m:val="1"/>
              </m:rPr>
              <w:rPr>
                <w:rFonts w:ascii="Times New Roman" w:hAnsi="Times New Roman" w:cs="Times New Roman" w:eastAsia="方正仿宋_GBK"/>
                <w:i w:val="0"/>
                <w:iCs w:val="0"/>
              </w:rPr>
              <m:t>215</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0"/>
                <w:iCs w:val="0"/>
              </w:rP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57" w:name="储能有效支撑功率与持续时间"/>
      <w:r>
        <w:rPr>
          <w:rFonts w:ascii="Times New Roman" w:hAnsi="Times New Roman" w:eastAsia="方正仿宋_GBK"/>
          <w:b/>
          <w:sz w:val="26"/>
        </w:rPr>
        <w:t xml:space="preserve">4.4.3 储能有效支撑功率与持续时间</w:t>
      </w:r>
      <w:bookmarkEnd w:id="157"/>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储能有效功率取额定功率与可用电量折算功率的较小值。设</w:t>
      </w:r>
      <m:oMath>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为储能柜数，</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为支撑持续时间，可用电量系数取0.76，则有：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1"/>
                          <w:iCs w:val="1"/>
                        </w:rPr>
                        <m:t>H</m:t>
                      </m:r>
                    </m:den>
                  </m:f>
                </m:e>
              </m: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&gt;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单位为MW，单柜额定能量为0.215 MWh，额定功率为0.10 MW，</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单位为h。10柜在4 h条件下有效功率为0.4085 MW，单位有效功率投资约515.19万元/MW。正向支撑和反向吸收分别使用相应持续时间。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8"/>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储能单位有效支撑功率投资与持续时间</w:t>
      </w:r>
    </w:p>
    <w:p>
      <w:pPr>
        <w:pStyle w:val="5"/>
        <w:keepNext/>
        <w:numPr>
          <w:numId w:val="0"/>
        </w:numPr>
        <w:spacing w:line="390" w:lineRule="exact" w:before="160" w:after="120"/>
        <w:ind w:firstLine="0"/>
      </w:pPr>
      <w:bookmarkStart w:id="159" w:name="可用能力与工程适用性"/>
      <w:r>
        <w:rPr>
          <w:rFonts w:ascii="Times New Roman" w:hAnsi="Times New Roman" w:eastAsia="方正仿宋_GBK"/>
          <w:b/>
          <w:sz w:val="26"/>
        </w:rPr>
        <w:t xml:space="preserve">4.4.4 可用能力与工程适用性</w:t>
      </w:r>
      <w:bookmarkEnd w:id="159"/>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可用电量系数用于第3.4.5节所述静态比选，正向支撑对应可放电电量，反向吸收对应可充电空间。工程应用时，应结合保证可用电量、充放电效率、充电条件及恢复时间核定两方向的支撑能力。</w:t>
      </w:r>
    </w:p>
    <w:p>
      <w:pPr>
        <w:pStyle w:val="4"/>
        <w:keepNext/>
        <w:numPr>
          <w:numId w:val="0"/>
        </w:numPr>
        <w:spacing w:line="480" w:lineRule="exact" w:before="160" w:after="120"/>
        <w:ind w:firstLine="0"/>
      </w:pPr>
      <w:bookmarkStart w:id="1460" w:name="h460"/>
      <w:bookmarkStart w:id="160" w:name="参数变化与措施费用的联系"/>
      <w:r>
        <w:rPr>
          <w:rFonts w:ascii="Times New Roman" w:hAnsi="Times New Roman" w:eastAsia="方正仿宋_GBK"/>
          <w:b/>
          <w:sz w:val="32"/>
        </w:rPr>
        <w:t xml:space="preserve">4.5 参数变化与措施费用的联系</w:t>
      </w:r>
      <w:bookmarkEnd w:id="160"/>
      <w:bookmarkEnd w:id="1460"/>
    </w:p>
    <w:p>
      <w:pPr>
        <w:pStyle w:val="5"/>
        <w:keepNext/>
        <w:numPr>
          <w:numId w:val="0"/>
        </w:numPr>
        <w:spacing w:line="390" w:lineRule="exact" w:before="160" w:after="120"/>
        <w:ind w:firstLine="0"/>
      </w:pPr>
      <w:bookmarkStart w:id="161" w:name="电缆长度占比与联络费用"/>
      <w:r>
        <w:rPr>
          <w:rFonts w:ascii="Times New Roman" w:hAnsi="Times New Roman" w:eastAsia="方正仿宋_GBK"/>
          <w:b/>
          <w:sz w:val="26"/>
        </w:rPr>
        <w:t xml:space="preserve">4.5.1 电缆长度占比与联络费用</w:t>
      </w:r>
      <w:bookmarkEnd w:id="161"/>
    </w:p>
    <w:p>
      <w:pPr>
        <w:pStyle w:val="FirstParagraph"/>
        <w:widowControl/>
        <w:spacing w:line="348" w:lineRule="exact" w:before="0" w:after="0"/>
        <w:ind w:firstLine="480"/>
        <w:jc w:val="both"/>
      </w:pPr>
      <w:r>
        <w:rPr>
          <w:rFonts w:ascii="Times New Roman" w:hAnsi="Times New Roman" w:eastAsia="方正仿宋_GBK"/>
          <w:b w:val="0"/>
          <w:sz w:val="24"/>
        </w:rPr>
        <w:t xml:space="preserve">电缆长度占比取10%、30%、50%、80%、90%，单项联络长度3 km和固定接入费6万元保持一致。按第4.3节计价关系，占比提高增加单位长度造价；初始转供率则决定既有网络能力，两项分别进入工程费用与技术约束。</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电缆长度占比按长度加权造价，固定接入费独立计取。例如占比10%时，单位长度综合费用为39.60万元/km；占比80%时为148.80万元/km。两者对应同一3 km工程的投资分别为124.80万元和452.40万元，差额来自线路形式。邳州采用补充资料中的实际长度占比计算，得到128.38万元/项。若已有通道满足任务，新增联络数量为零，这项价格输入不产生新增支出；需要建设联络时，项目数量与单位造价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联络的经济作用还取决于可利用的容量位置。局部站点需要转出负荷时，线路只能将负荷送到具有馈线和主变余量的接收站。若接收侧仍需增容，完整方案费用应同时包含线路及接收站建设。第五章按同一网络约束比较完整方案，将电缆造价变化引起的直接费用差与设备替代分别解释。</w:t>
      </w:r>
    </w:p>
    <w:p>
      <w:pPr>
        <w:pStyle w:val="5"/>
        <w:keepNext/>
        <w:numPr>
          <w:numId w:val="0"/>
        </w:numPr>
        <w:spacing w:line="390" w:lineRule="exact" w:before="160" w:after="120"/>
        <w:ind w:firstLine="0"/>
      </w:pPr>
      <w:bookmarkStart w:id="162" w:name="储能支撑时间与配置费用"/>
      <w:r>
        <w:rPr>
          <w:rFonts w:ascii="Times New Roman" w:hAnsi="Times New Roman" w:eastAsia="方正仿宋_GBK"/>
          <w:b/>
          <w:sz w:val="26"/>
        </w:rPr>
        <w:t xml:space="preserve">4.5.2 储能支撑时间与配置费用</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储能采用100 kW/215 kWh成套柜及统一单柜参考投资，推广支撑持续时间取2、4、6 h。持续时间延长时，相同柜数的有效支撑功率降低，满足给定缺口需要增加柜数或改用主变、联络措施。新增柜数及投运年共同决定费用。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以额定功率100 kW、额定能量215 kWh的单柜为例，可用电量为0.1634 MWh，2、4、6 h下有效支撑功率分别为0.08170、0.04085、约0.02723 MW。按本章成套采购价格折算，每MW有效支撑对应的初始投资约为257.60、515.19、772.79万元。相同设备铭牌功率下，支撑时间越长，可供比较的有效功率越小，单位支撑费用越高[86]。项目投资仍按整数柜计算，以上单位值用于解释方案差异。</w:t>
      </w:r>
    </w:p>
    <w:p>
      <w:pPr>
        <w:pStyle w:val="2"/>
        <w:widowControl/>
        <w:spacing w:line="348" w:lineRule="exact" w:before="0" w:after="0"/>
        <w:ind w:firstLine="480"/>
        <w:jc w:val="both"/>
      </w:pPr>
      <w:r>
        <w:rPr>
          <w:rFonts w:ascii="Times New Roman" w:hAnsi="Times New Roman" w:eastAsia="方正仿宋_GBK"/>
          <w:b w:val="0"/>
          <w:sz w:val="24"/>
        </w:rPr>
        <w:t xml:space="preserve">储能配置还受到缺口出现位置和时间条件影响。较小且局部的功率缺口可以由少量柜体补足；若持续时间较长，满足同一缺口所需柜数增加，主变更换或网络支援可能成为费用更低的组合。反向吸收与正向支撑分别采用各自持续时间，容量校核按第五章静态功率折算执行。逐年建设时，已投运储能继续在役，后续费用由新增柜数而非年末全部在役数量计取。</w:t>
      </w:r>
    </w:p>
    <w:p>
      <w:pPr>
        <w:pStyle w:val="5"/>
        <w:keepNext/>
        <w:numPr>
          <w:numId w:val="0"/>
        </w:numPr>
        <w:spacing w:line="390" w:lineRule="exact" w:before="160" w:after="120"/>
        <w:ind w:firstLine="0"/>
      </w:pPr>
      <w:bookmarkStart w:id="163" w:name="三类措施的经济比较"/>
      <w:r>
        <w:rPr>
          <w:rFonts w:ascii="Times New Roman" w:hAnsi="Times New Roman" w:eastAsia="方正仿宋_GBK"/>
          <w:b/>
          <w:sz w:val="26"/>
        </w:rPr>
        <w:t xml:space="preserve">4.5.3 三类措施的经济比较</w:t>
      </w:r>
      <w:bookmarkEnd w:id="163"/>
    </w:p>
    <w:p>
      <w:pPr>
        <w:pStyle w:val="FirstParagraph"/>
        <w:widowControl/>
        <w:spacing w:line="348" w:lineRule="exact" w:before="0" w:after="0"/>
        <w:ind w:firstLine="480"/>
        <w:jc w:val="both"/>
      </w:pPr>
      <w:r>
        <w:rPr>
          <w:rFonts w:ascii="Times New Roman" w:hAnsi="Times New Roman" w:eastAsia="方正仿宋_GBK"/>
          <w:b w:val="0"/>
          <w:sz w:val="24"/>
        </w:rPr>
        <w:t xml:space="preserve">单位功率投资按措施可提供的能力比较相对价格：主变对应新购整台容量，其供电作用受最大单台主变N-1剩余容量约束，联络对应受邻站接收余量限制的具体区段可转功率，储能对应给定持续时间内的有效功率。第五章据此在相同正常及故障约束下比较完整建设组合[30][28][10]。</w:t>
      </w:r>
    </w:p>
    <w:p>
      <w:pPr>
        <w:pStyle w:val="2"/>
        <w:widowControl/>
        <w:spacing w:line="348" w:lineRule="exact" w:before="0" w:after="0"/>
        <w:ind w:firstLine="480"/>
        <w:jc w:val="both"/>
      </w:pPr>
      <w:r>
        <w:rPr>
          <w:rFonts w:ascii="Times New Roman" w:hAnsi="Times New Roman" w:eastAsia="方正仿宋_GBK"/>
          <w:b w:val="0"/>
          <w:sz w:val="24"/>
        </w:rPr>
        <w:t xml:space="preserve">主变更换的采购容量、容量净增和N-1后剩余容量分别对应费用、宏观容载比和故障承载能力。以两台40 MVA设备为例，将其中一台换成63 MVA后总容量增加23 MVA，但最大单台主变停运后仍剩40 MVA，只有两台均升档，或在具备预留位置时扩建第三台主变，故障后的剩余容量才随具体组合改变。因此，工程比选应据实际停运设备校核，再比较相应采购费用。</w:t>
      </w:r>
    </w:p>
    <w:p>
      <w:pPr>
        <w:pStyle w:val="2"/>
        <w:widowControl/>
        <w:spacing w:line="348" w:lineRule="exact" w:before="0" w:after="0"/>
        <w:ind w:firstLine="480"/>
        <w:jc w:val="both"/>
      </w:pPr>
      <w:r>
        <w:rPr>
          <w:rFonts w:ascii="Times New Roman" w:hAnsi="Times New Roman" w:eastAsia="方正仿宋_GBK"/>
          <w:b w:val="0"/>
          <w:sz w:val="24"/>
        </w:rPr>
        <w:t xml:space="preserve">三类措施的替代发生在具体缺口位置。主变补强可以增加本地承载或邻站接收能力，联络将可切换负荷安排到其他站点，储能在设定时长内补充功率。经济结果需要同时满足源端可转负荷、通道能力和接收侧容量。较低的单项单位造价只有在能够承担相应供电任务时，才可能转化为完整方案的费用优势。第五章采用逐年配置和分项费用说明这种替代关系。</w:t>
      </w:r>
    </w:p>
    <w:p>
      <w:pPr>
        <w:pStyle w:val="5"/>
        <w:keepNext/>
        <w:numPr>
          <w:numId w:val="0"/>
        </w:numPr>
        <w:spacing w:line="390" w:lineRule="exact" w:before="160" w:after="120"/>
        <w:ind w:firstLine="0"/>
      </w:pPr>
      <w:bookmarkStart w:id="164" w:name="主变与线路储能的单位功率投资比"/>
      <w:r>
        <w:rPr>
          <w:rFonts w:ascii="Times New Roman" w:hAnsi="Times New Roman" w:eastAsia="方正仿宋_GBK"/>
          <w:b/>
          <w:sz w:val="26"/>
        </w:rPr>
        <w:t xml:space="preserve">4.5.4 主变与线路、储能的单位功率投资比</w:t>
      </w:r>
      <w:bookmarkEnd w:id="164"/>
    </w:p>
    <w:p>
      <w:pPr>
        <w:pStyle w:val="FirstParagraph"/>
        <w:widowControl/>
        <w:spacing w:line="348" w:lineRule="exact" w:before="0" w:after="0"/>
        <w:ind w:firstLine="480"/>
        <w:jc w:val="both"/>
      </w:pPr>
      <w:r>
        <w:rPr>
          <w:rFonts w:ascii="Times New Roman" w:hAnsi="Times New Roman" w:eastAsia="方正仿宋_GBK"/>
          <w:b w:val="0"/>
          <w:sz w:val="24"/>
        </w:rPr>
        <w:t xml:space="preserve">主变与线路单位功率投资比定义为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，主变与储能单位功率投资比定义为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，均为无量纲。三项单位功率投资统一为万元/MW，其中</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oMath>
      <w:r>
        <w:rPr>
          <w:rFonts w:ascii="Times New Roman" w:hAnsi="Times New Roman" w:eastAsia="方正仿宋_GBK"/>
          <w:b w:val="0"/>
          <w:sz w:val="24"/>
        </w:rPr>
        <w:t xml:space="preserve">按新购主变铭牌容量折算，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按单项联络投资与7.49 MW有效转供能力计算，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按单柜采购投资与给定时长的有效支撑功率计算，</w:t>
      </w:r>
      <m:oMath>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为储能价格相对参考值的倍率。主变采用第4.2节的更换参考单价，扩建项目仍按单项工程投资计费[85,87,88,86]。</w:t>
      </w:r>
    </w:p>
    <w:p>
      <w:pPr>
        <w:pStyle w:val="2"/>
        <w:widowControl/>
        <w:spacing w:line="348" w:lineRule="exact" w:before="0" w:after="0"/>
        <w:ind w:firstLine="480"/>
        <w:jc w:val="both"/>
      </w:pPr>
      <w:r>
        <w:rPr>
          <w:rFonts w:ascii="Times New Roman" w:hAnsi="Times New Roman" w:eastAsia="方正仿宋_GBK"/>
          <w:b w:val="0"/>
          <w:sz w:val="24"/>
        </w:rPr>
        <w:t xml:space="preserve">两个比值联系主变与替代措施的相对价格。固定主变参考单价时，线路单位功率投资提高会降低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，储能单位有效功率投资提高会降低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。相对价格进入完整方案费用，措施能否替代仍由馈线、邻站容量、主变N-1及储能支撑条件共同确定。</w:t>
      </w:r>
    </w:p>
    <w:p>
      <w:pPr>
        <w:pStyle w:val="2"/>
        <w:widowControl/>
        <w:spacing w:line="348" w:lineRule="exact" w:before="0" w:after="0"/>
        <w:ind w:firstLine="480"/>
        <w:jc w:val="both"/>
      </w:pPr>
      <w:r>
        <w:rPr>
          <w:rFonts w:ascii="Times New Roman" w:hAnsi="Times New Roman" w:eastAsia="方正仿宋_GBK"/>
          <w:b w:val="0"/>
          <w:sz w:val="24"/>
        </w:rPr>
        <w:t xml:space="preserve">线路价格情景固定电缆长度占比、工程长度和有效转供能力，仅按价格倍率调整项目投资。储能价格情景固定柜型、可用电量及支撑持续时间，仅调整单柜采购费用，后续运维采用相同费率随初始投资计算。各情景继续按第4.6节的共同评价期现金流比选，投资比用于解释设备选择的相对价格条件。</w:t>
      </w:r>
    </w:p>
    <w:p>
      <w:pPr>
        <w:pStyle w:val="4"/>
        <w:keepNext/>
        <w:numPr>
          <w:numId w:val="0"/>
        </w:numPr>
        <w:spacing w:line="480" w:lineRule="exact" w:before="160" w:after="120"/>
        <w:ind w:firstLine="0"/>
      </w:pPr>
      <w:bookmarkStart w:id="1477" w:name="h477"/>
      <w:bookmarkStart w:id="165" w:name="现金流现值计算"/>
      <w:r>
        <w:rPr>
          <w:rFonts w:ascii="Times New Roman" w:hAnsi="Times New Roman" w:eastAsia="方正仿宋_GBK"/>
          <w:b/>
          <w:sz w:val="32"/>
        </w:rPr>
        <w:t xml:space="preserve">4.6 现金流现值计算</w:t>
      </w:r>
      <w:bookmarkEnd w:id="165"/>
      <w:bookmarkEnd w:id="1477"/>
    </w:p>
    <w:p>
      <w:pPr>
        <w:pStyle w:val="5"/>
        <w:keepNext/>
        <w:numPr>
          <w:numId w:val="0"/>
        </w:numPr>
        <w:spacing w:line="390" w:lineRule="exact" w:before="160" w:after="120"/>
        <w:ind w:firstLine="0"/>
      </w:pPr>
      <w:bookmarkStart w:id="166" w:name="单项工程现值因子"/>
      <w:r>
        <w:rPr>
          <w:rFonts w:ascii="Times New Roman" w:hAnsi="Times New Roman" w:eastAsia="方正仿宋_GBK"/>
          <w:b/>
          <w:sz w:val="26"/>
        </w:rPr>
        <w:t xml:space="preserve">4.6.1 单项工程现值因子</w:t>
      </w:r>
      <w:bookmarkEnd w:id="166"/>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年投运，初始投资</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，寿命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，固定运维率</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，评价截止年</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=2041，基准年2021，折现率</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mr>
                <m:mr>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&lt;</m:t>
                        </m:r>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e>
                </m:mr>
                <m:mr>
                  <m:e/>
                  <m:e>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1"/>
                            <w:iCs w:val="1"/>
                          </w:rPr>
                          <m:t>T</m:t>
                        </m:r>
                      </m:sup>
                      <m:e>
                        <m:f>
                          <m:fPr>
                            <m:type m:val="bar"/>
                          </m:fPr>
                          <m:num>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为单项工程费用现值，单位万元；</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为初始投资，单位万元；</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为寿命，单位年；</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为年度固定运维占初始投资的比例，</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为折现率；</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为更新次数序号，</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为运维年份，</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设备在</w:t>
      </w:r>
      <m:oMath>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严格小于2041时计取更新投资，固定运维计至2041年。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，得到现值因子</w:t>
      </w:r>
      <m:oMath>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。主变按40年和系数0.042、线路按40年和系数0.022、储能按25年和系数0.030计算。2022—2025年投运的三类设备均未在2041年评价截止前达到设定寿命，因此本评价期内的更新支出为零。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r>
    </w:tbl>
    <w:p>
      <w:pPr>
        <w:pStyle w:val="5"/>
        <w:keepNext/>
        <w:numPr>
          <w:numId w:val="0"/>
        </w:numPr>
        <w:spacing w:line="390" w:lineRule="exact" w:before="160" w:after="120"/>
        <w:ind w:firstLine="0"/>
      </w:pPr>
      <w:bookmarkStart w:id="167" w:name="年度投运对现值的影响"/>
      <w:r>
        <w:rPr>
          <w:rFonts w:ascii="Times New Roman" w:hAnsi="Times New Roman" w:eastAsia="方正仿宋_GBK"/>
          <w:b/>
          <w:sz w:val="26"/>
        </w:rPr>
        <w:t xml:space="preserve">4.6.2 年度投运对现值的影响</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相同工程晚一年投运会减少初始投资现值及计入的运维年数，并将更新年份后移，因此建设时点需在各年技术可行的前提下参与经济比选。</w:t>
      </w:r>
    </w:p>
    <w:p>
      <w:pPr>
        <w:pStyle w:val="2"/>
        <w:widowControl/>
        <w:spacing w:line="348" w:lineRule="exact" w:before="0" w:after="0"/>
        <w:ind w:firstLine="480"/>
        <w:jc w:val="both"/>
      </w:pPr>
      <w:r>
        <w:rPr>
          <w:rFonts w:ascii="Times New Roman" w:hAnsi="Times New Roman" w:eastAsia="方正仿宋_GBK"/>
          <w:b w:val="0"/>
          <w:sz w:val="24"/>
        </w:rPr>
        <w:t xml:space="preserve">储能投资按各投运批次的新增柜数计算。同一主变安装位置在2022—2025年最多更换一次，更换投资按当年新购整台容量计算。不同位置和第三台主变仍可分年投运，采购批次合计用于费用，容量净增用于设备状态及容载比。</w:t>
      </w:r>
    </w:p>
    <w:p>
      <w:pPr>
        <w:pStyle w:val="5"/>
        <w:keepNext/>
        <w:numPr>
          <w:numId w:val="0"/>
        </w:numPr>
        <w:spacing w:line="390" w:lineRule="exact" w:before="160" w:after="120"/>
        <w:ind w:firstLine="0"/>
      </w:pPr>
      <w:bookmarkStart w:id="168" w:name="费用构成与结果复算"/>
      <w:r>
        <w:rPr>
          <w:rFonts w:ascii="Times New Roman" w:hAnsi="Times New Roman" w:eastAsia="方正仿宋_GBK"/>
          <w:b/>
          <w:sz w:val="26"/>
        </w:rPr>
        <w:t xml:space="preserve">4.6.3 费用构成与结果复算</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方案费用现值为全部建设改造项目现值之和，主变、储能和线路分项汇总后应与所选布局对应的实际目标费用一致。费用表同时列示初始建设投资与评价期费用现值，便于核对工程规模和现金流折算。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为方案费用现值，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为建设改造项目</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的费用现值，单位万元；</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69" w:name="评价期边界与费用解释"/>
      <w:r>
        <w:rPr>
          <w:rFonts w:ascii="Times New Roman" w:hAnsi="Times New Roman" w:eastAsia="方正仿宋_GBK"/>
          <w:b/>
          <w:sz w:val="26"/>
        </w:rPr>
        <w:t xml:space="preserve">4.6.4 评价期边界与费用解释</w:t>
      </w:r>
      <w:bookmarkEnd w:id="169"/>
    </w:p>
    <w:p>
      <w:pPr>
        <w:pStyle w:val="FirstParagraph"/>
        <w:widowControl/>
        <w:spacing w:line="348" w:lineRule="exact" w:before="0" w:after="0"/>
        <w:ind w:firstLine="480"/>
        <w:jc w:val="both"/>
      </w:pPr>
      <w:r>
        <w:rPr>
          <w:rFonts w:ascii="Times New Roman" w:hAnsi="Times New Roman" w:eastAsia="方正仿宋_GBK"/>
          <w:b w:val="0"/>
          <w:sz w:val="24"/>
        </w:rPr>
        <w:t xml:space="preserve">本报告采用折现率6%、主变和线路寿命40年、储能寿命25年及本章所列固定运维率，更新按与首次购置相同的实价计算，价格情景对两者使用相同倍数。由于2021年末至2041年的共同评价期短于三类设备的完整寿命，2022—2025年投运设备未在评价截止前触发更新，现值结果因而反映这一期间的建设和固定运维费用。</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现金流范围，尚未计入期末残值、被替换存量设备运维费用的变化、储能充电购电及损耗，也未抵扣收益。不同寿命和替换时点可能使这些科目对费用产生不同影响，因此工程经济评价需在资料齐备后统一补充并检查方案排序，本报告费用降幅按当前列明的支出范围解释。</w:t>
      </w:r>
    </w:p>
    <w:p>
      <w:pPr>
        <w:pStyle w:val="5"/>
        <w:keepNext/>
        <w:numPr>
          <w:numId w:val="0"/>
        </w:numPr>
        <w:spacing w:line="390" w:lineRule="exact" w:before="160" w:after="120"/>
        <w:ind w:firstLine="0"/>
      </w:pPr>
      <w:bookmarkStart w:id="170" w:name="主变更换与扩建的投资差异"/>
      <w:r>
        <w:rPr>
          <w:rFonts w:ascii="Times New Roman" w:hAnsi="Times New Roman" w:eastAsia="方正仿宋_GBK"/>
          <w:b/>
          <w:sz w:val="26"/>
        </w:rPr>
        <w:t xml:space="preserve">4.6.5 主变更换与扩建的投资差异</w:t>
      </w:r>
      <w:bookmarkEnd w:id="170"/>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因此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与扩建的经济性取决于满足供电需求的完整措施组合。若更换后仍受N-1容量约束，方案可能继续需要较多储能，而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71" w:name="联络与储能的费用响应"/>
      <w:r>
        <w:rPr>
          <w:rFonts w:ascii="Times New Roman" w:hAnsi="Times New Roman" w:eastAsia="方正仿宋_GBK"/>
          <w:b/>
          <w:sz w:val="26"/>
        </w:rPr>
        <w:t xml:space="preserve">4.6.6 联络与储能的费用响应</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但新增联络还需满足送端可转负荷、共享馈线余量及邻站容量要求才能发挥作用。因此，价格变化既可能只改变已有配置的费用，也可能触发主变、储能与联络之间的调整，第五章通过固定其余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储能费用由新增柜数及单柜价格确定，有效支撑功率由额定功率、可用电量及持续时间共同确定。4 h条件下，10柜有效功率为0.4085 MW；2 h、6 h分别为0.8170 MW、约0.2723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费用按当年新购主变、储能柜数和新增联络项目计算，后续在役状态用于容量与供电安全校核，因此两地区的费用差由完整措施组合及投运时点形成。共同评价期截止于2041年，在设备均未触发更新的条件下，寿命参数变化可能保持当前现金流不变。</w:t>
      </w:r>
    </w:p>
    <w:p>
      <w:pPr>
        <w:pStyle w:val="3"/>
        <w:keepNext/>
        <w:pageBreakBefore/>
        <w:numPr>
          <w:numId w:val="0"/>
        </w:numPr>
        <w:spacing w:line="540" w:lineRule="exact" w:before="0" w:after="120"/>
        <w:ind w:firstLine="0"/>
      </w:pPr>
      <w:bookmarkStart w:id="1503" w:name="h503"/>
      <w:bookmarkStart w:id="172"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2"/>
      <w:bookmarkEnd w:id="1503"/>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pPr>
        <w:pStyle w:val="4"/>
        <w:keepNext/>
        <w:numPr>
          <w:numId w:val="0"/>
        </w:numPr>
        <w:spacing w:line="480" w:lineRule="exact" w:before="160" w:after="120"/>
        <w:ind w:firstLine="0"/>
      </w:pPr>
      <w:bookmarkStart w:id="1505" w:name="h505"/>
      <w:bookmarkStart w:id="173" w:name="寻优问题与共同起点"/>
      <w:r>
        <w:rPr>
          <w:rFonts w:ascii="Times New Roman" w:hAnsi="Times New Roman" w:eastAsia="方正仿宋_GBK"/>
          <w:b/>
          <w:sz w:val="32"/>
        </w:rPr>
        <w:t xml:space="preserve">5.1 寻优问题与共同起点</w:t>
      </w:r>
      <w:bookmarkEnd w:id="173"/>
      <w:bookmarkEnd w:id="1505"/>
    </w:p>
    <w:p>
      <w:pPr>
        <w:pStyle w:val="5"/>
        <w:keepNext/>
        <w:numPr>
          <w:numId w:val="0"/>
        </w:numPr>
        <w:spacing w:line="390" w:lineRule="exact" w:before="160" w:after="120"/>
        <w:ind w:firstLine="0"/>
      </w:pPr>
      <w:bookmarkStart w:id="174" w:name="年度负荷与共同仿真起点"/>
      <w:r>
        <w:rPr>
          <w:rFonts w:ascii="Times New Roman" w:hAnsi="Times New Roman" w:eastAsia="方正仿宋_GBK"/>
          <w:b/>
          <w:sz w:val="26"/>
        </w:rPr>
        <w:t xml:space="preserve">5.1.1 年度负荷与共同仿真起点</w:t>
      </w:r>
      <w:bookmarkEnd w:id="174"/>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两类方案保留相同的初始设备组合。市区初始主变总容量为2900.00 MVA，邳州为1463.50 MVA；基期负荷取2021年实际统计值，两地区基期容载比按两位小数均为2.00。该设置用于方案比较，实际在役容量仍采用第三章年度统计。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的初始仿真主变总容量，单位MVA；</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为基期容载比，</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为同地区第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年的原表网供最大负荷估计值，单位MW。已有年度负荷直接进入模型，保留2023年邳州及2022、2024年市区的负荷回落。标准复合增长率用于增长水平描述和通用情景设置。</w:t>
      </w:r>
    </w:p>
    <w:p>
      <w:pPr>
        <w:pStyle w:val="2"/>
        <w:keepNext/>
        <w:spacing w:line="280" w:lineRule="exact" w:before="120" w:after="80"/>
        <w:ind w:firstLine="0"/>
        <w:jc w:val="center"/>
      </w:pPr>
      <w:r>
        <w:rPr>
          <w:rFonts w:ascii="Times New Roman" w:hAnsi="Times New Roman" w:eastAsia="宋体"/>
          <w:b w:val="0"/>
          <w:sz w:val="21"/>
        </w:rPr>
        <w:t xml:space="preserve">表5-1 实际统计与仿真起点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实际主变容量/MVA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实际年网供最大负荷/MW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仿真容量/MVA</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1463.50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bl>
    <w:p>
      <w:pPr>
        <w:pStyle w:val="2"/>
        <w:widowControl/>
        <w:spacing w:line="348" w:lineRule="exact" w:before="0" w:after="0"/>
        <w:ind w:firstLine="480"/>
        <w:jc w:val="both"/>
      </w:pPr>
      <w:r>
        <w:rPr>
          <w:rFonts w:ascii="Times New Roman" w:hAnsi="Times New Roman" w:eastAsia="方正仿宋_GBK"/>
          <w:b w:val="0"/>
          <w:sz w:val="24"/>
        </w:rPr>
        <w:t xml:space="preserve">各站静态功率按已归档的区域正向峰值和最低净负荷工况分配，再按年度网供峰值标定。反向工况沿用同一源荷结构，属于按年度规模标定的研究情景。</w:t>
      </w:r>
    </w:p>
    <w:p>
      <w:pPr>
        <w:pStyle w:val="5"/>
        <w:keepNext/>
        <w:numPr>
          <w:numId w:val="0"/>
        </w:numPr>
        <w:spacing w:line="390" w:lineRule="exact" w:before="160" w:after="120"/>
        <w:ind w:firstLine="0"/>
      </w:pPr>
      <w:bookmarkStart w:id="175" w:name="刚性与弹性方案"/>
      <w:r>
        <w:rPr>
          <w:rFonts w:ascii="Times New Roman" w:hAnsi="Times New Roman" w:eastAsia="方正仿宋_GBK"/>
          <w:b/>
          <w:sz w:val="26"/>
        </w:rPr>
        <w:t xml:space="preserve">5.1.2 刚性与弹性方案</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其中刚性方案新增扩容受当年负荷两倍的容量限制，若负荷回落使既有容量超过该值，则维持上一年度在役容量。弹性方案取消2.0的新增容量控制，在相同承载约束下先按费用寻优形成经济参考，再在参考费用5%以内优先简化联络工程。下文简称弹性方案，具体容量由正常及N-1承载需求、允许规格和扩建位置共同确定。5%为本研究的工程优选容差。</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表示刚性或弹性方案，</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为方案主变总容量；</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在候选设备及场地条件下允许的最大容量。刚性方案的下端参考值</w:t>
      </w:r>
      <m:oMath>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按增长率对应的导则范围确定，市区1.50、邳州1.70[7]。两类方案均按实际设备配置与同年网供峰值计算容载比。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在明确两类方案的容量约束后，进一步分析光伏增长可能带来的反向容量需求。以下用屋顶资源和政策发展目标构造源荷情景，相应可选主变容量仍由站址、设备候选及网络条件确定。</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1"/>
            <w:iCs w:val="1"/>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1000</m:t>
        </m:r>
      </m:oMath>
      <w:r>
        <w:rPr>
          <w:rFonts w:ascii="Times New Roman" w:hAnsi="Times New Roman" w:eastAsia="方正仿宋_GBK"/>
          <w:b w:val="0"/>
          <w:sz w:val="24"/>
        </w:rPr>
        <w:t xml:space="preserve">估算。其中，</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为调查屋顶面积，单位m²；</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为屋顶可利用比例；</w:t>
      </w:r>
      <m:oMath>
        <m:r>
          <m:rPr>
            <m:nor m:val="1"/>
          </m:rPr>
          <w:rPr>
            <w:rFonts w:ascii="Times New Roman" w:hAnsi="Times New Roman" w:cs="Times New Roman" w:eastAsia="方正仿宋_GBK"/>
            <w:i w:val="1"/>
            <w:iCs w:val="1"/>
          </w:rPr>
          <m:t>d</m:t>
        </m:r>
      </m:oMath>
      <w:r>
        <w:rPr>
          <w:rFonts w:ascii="Times New Roman" w:hAnsi="Times New Roman" w:eastAsia="方正仿宋_GBK"/>
          <w:b w:val="0"/>
          <w:sz w:val="24"/>
        </w:rPr>
        <w:t xml:space="preserve">为单位可用面积装机密度，单位kWp/m²；</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[91]，本研究以此为历史参照，并列出40%、60%两种开发程度下的估算值。徐州地铁分布式光伏项目公开资料列出可用建筑面积94900 m²、规划装机9.49 MWp，据此取装机密度0.10 kWp/m²[92]。</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《江苏省分布式光伏发展实施方案（2026—2030年）》提出，2030年全省分布式光伏累计装机较2025年翻一番，达到1.20亿千瓦[93]。以装机翻倍作为地区发展情景，邳州和市区装机规模分别约为3119.28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[94]。</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pPr>
        <w:pStyle w:val="5"/>
        <w:keepNext/>
        <w:numPr>
          <w:numId w:val="0"/>
        </w:numPr>
        <w:spacing w:line="390" w:lineRule="exact" w:before="160" w:after="120"/>
        <w:ind w:firstLine="0"/>
      </w:pPr>
      <w:bookmarkStart w:id="176" w:name="工程候选与参数设置"/>
      <w:r>
        <w:rPr>
          <w:rFonts w:ascii="Times New Roman" w:hAnsi="Times New Roman" w:eastAsia="方正仿宋_GBK"/>
          <w:b/>
          <w:sz w:val="26"/>
        </w:rPr>
        <w:t xml:space="preserve">5.1.3 工程候选与参数设置</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MVA，并受原设备容量、预留位置及允许扩建条件限制。第三台50.00 MVA主变仅在具备预留条件的站点设置，80.00 MVA方案还需在工程阶段核实配套间隔、短路电流及站址条件。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kWh成套柜，可用电量系数为0.76，地区案例正向支撑持续时间分别取邳州2 h、市区6 h，反向持续时间按各站静态参数设置。推广进一步比较2、4、6 h三个定值，在相同储能规格与工程价格下分析持续支撑要求对配置的影响。</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年度负荷</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2022—2025年逐年统计</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同范围110 kV年度记录</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静态截面</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邳州26个、市区45个</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地区和各站局部极值同期截面</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 h、市区6 h</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地区95%峰值持续时间</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储能规格及可用电量系数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kWh；0.76</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采购资料及静态折算</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新购主变规格</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31.50、50、63、80 MVA</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第三台主变</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有预留条件时50 MVA</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既有转供能力</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逐站MW上限与网络能力共同限制</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全停全转统计及馈线资料</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新增联络费用</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邳州128.38、市区452.40万元/项</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地区电缆长度占比</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供电安全及功率因数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正常及最大单台主变N-1；0.95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逐工况校核</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反向承载</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正常及健康站80%，故障站按剩余主变能力</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导则反向限值与N-1静态校核</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主变采购组织</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四年内同一位置最多更换一次</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两类方案共同的工程实施假设</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弹性工程优选</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经济参考费用5%以内优先简化联络</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本研究费用容差</w:t>
            </w:r>
          </w:p>
        </w:tc>
      </w:tr>
    </w:tbl>
    <w:p>
      <w:pPr>
        <w:pStyle w:val="2"/>
        <w:widowControl/>
        <w:spacing w:line="348" w:lineRule="exact" w:before="0" w:after="0"/>
        <w:ind w:firstLine="480"/>
        <w:jc w:val="both"/>
      </w:pPr>
      <w:r>
        <w:rPr>
          <w:rFonts w:ascii="Times New Roman" w:hAnsi="Times New Roman" w:eastAsia="方正仿宋_GBK"/>
          <w:b w:val="0"/>
          <w:sz w:val="24"/>
        </w:rPr>
        <w:t xml:space="preserve">核心参数的定义、选取依据及地区资料见第3.5节。地区案例保留实际年度负荷和具体网络，推广模板按第3.5节的五项参数组织源荷、网络及工程费用条件。</w:t>
      </w:r>
    </w:p>
    <w:p>
      <w:pPr>
        <w:pStyle w:val="4"/>
        <w:keepNext/>
        <w:numPr>
          <w:numId w:val="0"/>
        </w:numPr>
        <w:spacing w:line="480" w:lineRule="exact" w:before="160" w:after="120"/>
        <w:ind w:firstLine="0"/>
      </w:pPr>
      <w:bookmarkStart w:id="1528" w:name="h528"/>
      <w:bookmarkStart w:id="177" w:name="三类措施的选取与寻优方法"/>
      <w:r>
        <w:rPr>
          <w:rFonts w:ascii="Times New Roman" w:hAnsi="Times New Roman" w:eastAsia="方正仿宋_GBK"/>
          <w:b/>
          <w:sz w:val="32"/>
        </w:rPr>
        <w:t xml:space="preserve">5.2 三类措施的选取与寻优方法</w:t>
      </w:r>
      <w:bookmarkEnd w:id="177"/>
      <w:bookmarkEnd w:id="1528"/>
    </w:p>
    <w:p>
      <w:pPr>
        <w:pStyle w:val="5"/>
        <w:keepNext/>
        <w:numPr>
          <w:numId w:val="0"/>
        </w:numPr>
        <w:spacing w:line="390" w:lineRule="exact" w:before="160" w:after="120"/>
        <w:ind w:firstLine="0"/>
      </w:pPr>
      <w:bookmarkStart w:id="178" w:name="主变增容及扩建方案"/>
      <w:r>
        <w:rPr>
          <w:rFonts w:ascii="Times New Roman" w:hAnsi="Times New Roman" w:eastAsia="方正仿宋_GBK"/>
          <w:b/>
          <w:sz w:val="26"/>
        </w:rPr>
        <w:t xml:space="preserve">5.2.1 主变增容及扩建方案</w:t>
      </w:r>
      <w:bookmarkEnd w:id="178"/>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2022—2025年同一位置最多更换一次，更换后保持所购规格。该建设组织假设由两类方案共同采用，使新购主变在四年规划期内持续使用。不同位置的更换和第三台主变扩建可按需求分年安排。更换主变按新购整台容量计费，新增容量用于更新在役容量，两者分别统计。储能柜数为整数，后续在役数量不得低于前一年。新增联络投运后持续可用，既有联络建设费用不重复计取。</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r</m:t>
                        </m:r>
                      </m:e>
                    </m:nary>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50</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nary>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个原主变位置在第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年是否采用容量</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表示第三台50 MVA主变是否在役，</w:t>
      </w:r>
      <m:oMath>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MVA及配套工程计算，而第三台主变扩建增加50 MVA，并可能提高最大单台主变N-1后的剩余容量。经济比选同时考虑设备结构对供电安全的影响与相应工程费用[85]。</w:t>
      </w:r>
    </w:p>
    <w:p>
      <w:pPr>
        <w:pStyle w:val="5"/>
        <w:keepNext/>
        <w:numPr>
          <w:numId w:val="0"/>
        </w:numPr>
        <w:spacing w:line="390" w:lineRule="exact" w:before="160" w:after="120"/>
        <w:ind w:firstLine="0"/>
      </w:pPr>
      <w:bookmarkStart w:id="179" w:name="利用既有10-kv联络能力"/>
      <w:r>
        <w:rPr>
          <w:rFonts w:ascii="Times New Roman" w:hAnsi="Times New Roman" w:eastAsia="方正仿宋_GBK"/>
          <w:b/>
          <w:sz w:val="26"/>
        </w:rPr>
        <w:t xml:space="preserve">5.2.2 利用既有10 kV联络能力</w:t>
      </w:r>
      <w:bookmarkEnd w:id="179"/>
    </w:p>
    <w:p>
      <w:pPr>
        <w:pStyle w:val="FirstParagraph"/>
        <w:widowControl/>
        <w:spacing w:line="348" w:lineRule="exact" w:before="0" w:after="0"/>
        <w:ind w:firstLine="480"/>
        <w:jc w:val="both"/>
      </w:pPr>
      <w:r>
        <w:rPr>
          <w:rFonts w:ascii="Times New Roman" w:hAnsi="Times New Roman" w:eastAsia="方正仿宋_GBK"/>
          <w:b w:val="0"/>
          <w:sz w:val="24"/>
        </w:rPr>
        <w:t xml:space="preserve">既有网络按逐站全停转供资料标定。以站外最大可供负荷与损失负荷之和为需供负荷，计算本站转供比例，再乘以当年最大正向净负荷形成年度既有转供预算，并保留原表站外最大可供负荷的绝对上限。共用馈线的多条通道同时共用源端负荷和接收余量。</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e>
                  <m:e>
                    <m:r>
                      <m:rPr>
                        <m:nor m:val="1"/>
                      </m:rPr>
                      <w:rPr>
                        <w:rFonts w:ascii="Times New Roman" w:hAnsi="Times New Roman" w:cs="Times New Roman" w:eastAsia="方正仿宋_GBK"/>
                        <w:i w:val="0"/>
                        <w:iCs w:val="0"/>
                      </w:rPr>
                      <m:t>=</m:t>
                    </m:r>
                    <m:f>
                      <m:fPr>
                        <m:type m:val="bar"/>
                      </m:fPr>
                      <m:num>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num>
                      <m:den>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den>
                    </m:f>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的既有转出通道集合，</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下通道</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的转出功率，</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为原表站外最大可供负荷，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为对应损失负荷，</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年最大正向净负荷，单位均为MW；</w:t>
      </w:r>
      <m:oMath>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为逐站转供比例。每年采用相同预算分别校核正常和故障工况，实际转供还受具体通道及接收侧能力限制。</w:t>
      </w:r>
    </w:p>
    <w:p>
      <w:pPr>
        <w:pStyle w:val="5"/>
        <w:keepNext/>
        <w:numPr>
          <w:numId w:val="0"/>
        </w:numPr>
        <w:spacing w:line="390" w:lineRule="exact" w:before="160" w:after="120"/>
        <w:ind w:firstLine="0"/>
      </w:pPr>
      <w:bookmarkStart w:id="180" w:name="新建10-kv联络提升转供能力"/>
      <w:r>
        <w:rPr>
          <w:rFonts w:ascii="Times New Roman" w:hAnsi="Times New Roman" w:eastAsia="方正仿宋_GBK"/>
          <w:b/>
          <w:sz w:val="26"/>
        </w:rPr>
        <w:t xml:space="preserve">5.2.3 新建10 kV联络提升转供能力</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下线路</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为线路有效容量，</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为投运状态，既有边取1。</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自身可转负荷，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为接收余量计算采用的馈线负荷。各量单位均为MW，负的接收余量按0处理。送端可转负荷限于该馈线原有负荷块。</w:t>
      </w:r>
    </w:p>
    <w:p>
      <w:pPr>
        <w:pStyle w:val="2"/>
        <w:widowControl/>
        <w:spacing w:line="348" w:lineRule="exact" w:before="0" w:after="0"/>
        <w:ind w:firstLine="480"/>
        <w:jc w:val="both"/>
      </w:pPr>
      <w:r>
        <w:rPr>
          <w:rFonts w:ascii="Times New Roman" w:hAnsi="Times New Roman" w:eastAsia="方正仿宋_GBK"/>
          <w:b w:val="0"/>
          <w:sz w:val="24"/>
        </w:rPr>
        <w:t xml:space="preserve">两地区均保留已核实联络、按站对构建的既有等效通道及付费新增候选，馈线分配和热限采用已有资料及研究设定。既有能力受逐站资料上限约束，新增项目按投运年计建设费用。</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线路投运后持续在役，线路热限保持不变。</w:t>
      </w:r>
    </w:p>
    <w:p>
      <w:pPr>
        <w:pStyle w:val="5"/>
        <w:keepNext/>
        <w:numPr>
          <w:numId w:val="0"/>
        </w:numPr>
        <w:spacing w:line="390" w:lineRule="exact" w:before="160" w:after="120"/>
        <w:ind w:firstLine="0"/>
      </w:pPr>
      <w:bookmarkStart w:id="181" w:name="负荷转接与容量衔接"/>
      <w:r>
        <w:rPr>
          <w:rFonts w:ascii="Times New Roman" w:hAnsi="Times New Roman" w:eastAsia="方正仿宋_GBK"/>
          <w:b/>
          <w:sz w:val="26"/>
        </w:rPr>
        <w:t xml:space="preserve">5.2.4 负荷转接与容量衔接</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nary>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P</m:t>
                        </m:r>
                      </m:e>
                    </m:nary>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和</w:t>
      </w:r>
      <m:oMath>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下转接前后的净负荷，</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为转出及承接负荷，单位均为MW。正向为受电，负向为反送；电源仍归属原站，转出用电负荷可能加重本地反向功率。每个工况使用自身源荷分布，分别校核两方向容量。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w:t>
      </w:r>
    </w:p>
    <w:p>
      <w:pPr>
        <w:pStyle w:val="5"/>
        <w:keepNext/>
        <w:numPr>
          <w:numId w:val="0"/>
        </w:numPr>
        <w:spacing w:line="390" w:lineRule="exact" w:before="160" w:after="120"/>
        <w:ind w:firstLine="0"/>
      </w:pPr>
      <w:bookmarkStart w:id="182" w:name="储能有效支撑功率"/>
      <w:r>
        <w:rPr>
          <w:rFonts w:ascii="Times New Roman" w:hAnsi="Times New Roman" w:eastAsia="方正仿宋_GBK"/>
          <w:b/>
          <w:sz w:val="26"/>
        </w:rPr>
        <w:t xml:space="preserve">5.2.5 储能有效支撑功率</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num>
                    <m:den>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为正向支撑或反向吸收持续时间，单位h，静态折算的最短时间取1 h；</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为相应有效功率，单位MW。4 h条件下每柜可提供0.04085 MW的静态支撑。工程应用条件见第4.4.4节。</w:t>
      </w:r>
    </w:p>
    <w:p>
      <w:pPr>
        <w:pStyle w:val="4"/>
        <w:keepNext/>
        <w:numPr>
          <w:numId w:val="0"/>
        </w:numPr>
        <w:spacing w:line="480" w:lineRule="exact" w:before="160" w:after="120"/>
        <w:ind w:firstLine="0"/>
      </w:pPr>
      <w:bookmarkStart w:id="1548" w:name="h548"/>
      <w:bookmarkStart w:id="183" w:name="约束条件与求解流程"/>
      <w:r>
        <w:rPr>
          <w:rFonts w:ascii="Times New Roman" w:hAnsi="Times New Roman" w:eastAsia="方正仿宋_GBK"/>
          <w:b/>
          <w:sz w:val="32"/>
        </w:rPr>
        <w:t xml:space="preserve">5.3 约束条件与求解流程</w:t>
      </w:r>
      <w:bookmarkEnd w:id="183"/>
      <w:bookmarkEnd w:id="1548"/>
    </w:p>
    <w:p>
      <w:pPr>
        <w:pStyle w:val="5"/>
        <w:keepNext/>
        <w:numPr>
          <w:numId w:val="0"/>
        </w:numPr>
        <w:spacing w:line="390" w:lineRule="exact" w:before="160" w:after="120"/>
        <w:ind w:firstLine="0"/>
      </w:pPr>
      <w:bookmarkStart w:id="184" w:name="正常运行与主变n-1"/>
      <w:r>
        <w:rPr>
          <w:rFonts w:ascii="Times New Roman" w:hAnsi="Times New Roman" w:eastAsia="方正仿宋_GBK"/>
          <w:b/>
          <w:sz w:val="26"/>
        </w:rPr>
        <w:t xml:space="preserve">5.3.1 正常运行与主变N-1</w:t>
      </w:r>
      <w:bookmarkEnd w:id="184"/>
    </w:p>
    <w:p>
      <w:pPr>
        <w:pStyle w:val="FirstParagraph"/>
        <w:widowControl/>
        <w:spacing w:line="348" w:lineRule="exact" w:before="0" w:after="0"/>
        <w:ind w:firstLine="480"/>
        <w:jc w:val="both"/>
      </w:pPr>
      <w:r>
        <w:rPr>
          <w:rFonts w:ascii="Times New Roman" w:hAnsi="Times New Roman" w:eastAsia="方正仿宋_GBK"/>
          <w:b w:val="0"/>
          <w:sz w:val="24"/>
        </w:rPr>
        <w:t xml:space="preserve">市区45个、邳州26个同期静态截面覆盖地区正向峰值、地区最低净负荷及各站局部极值，每个截面分别校核正常运行和各站最大单台主变N-1。正常及故障方式共同允许储能和已投运联络参与，设备建设状态在同一年各工况间共享，充放电及转供功率按当处源荷条件安排。</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γ</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mr>
                <m:mr>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sty m:val="b"/>
                            <m:nor m:val="1"/>
                          </m:rPr>
                          <w:rPr>
                            <w:rFonts w:ascii="Times New Roman" w:hAnsi="Times New Roman" w:cs="Times New Roman" w:eastAsia="方正仿宋_GBK"/>
                            <w:i w:val="0"/>
                            <w:iCs w:val="0"/>
                          </w:rPr>
                          <m:t>1</m:t>
                        </m:r>
                      </m:e>
                      <m:sub>
                        <m:r>
                          <m:rPr>
                            <m:nor m:val="1"/>
                          </m:rPr>
                          <w:rPr>
                            <w:rFonts w:ascii="Times New Roman" w:hAnsi="Times New Roman" w:cs="Times New Roman" w:eastAsia="方正仿宋_GBK"/>
                            <w:i w:val="1"/>
                            <w:iCs w:val="1"/>
                          </w:rPr>
                          <m:t>i</m:t>
                        </m:r>
                        <m:r>
                          <m:rPr>
                            <m:nor m:val="1"/>
                            <m:sty m:val="p"/>
                          </m:rPr>
                          <w:rPr>
                            <w:rFonts w:ascii="Times New Roman" w:hAnsi="Times New Roman" w:cs="Times New Roman" w:eastAsia="方正仿宋_GBK"/>
                            <w:i w:val="0"/>
                            <w:iCs w:val="0"/>
                          </w:rPr>
                          <m:t>为故障站</m:t>
                        </m:r>
                      </m:sub>
                    </m:sSub>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j</m:t>
                        </m:r>
                      </m:lim>
                    </m:limLow>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为带符号的站级净负荷，受入为正、反送为负，单位MW；</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为工况下可用主变容量，单位MVA；</w:t>
      </w:r>
      <m:oMath>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oMath>
      <w:r>
        <w:rPr>
          <w:rFonts w:ascii="Times New Roman" w:hAnsi="Times New Roman" w:eastAsia="方正仿宋_GBK"/>
          <w:b w:val="0"/>
          <w:sz w:val="24"/>
        </w:rPr>
        <w:t xml:space="preserve">取0.95；</w:t>
      </w:r>
      <m:oMath>
        <m:sSub>
          <m:e>
            <m:r>
              <m:rPr>
                <m:nor m:val="1"/>
              </m:rPr>
              <w:rPr>
                <w:rFonts w:ascii="Times New Roman" w:hAnsi="Times New Roman" w:cs="Times New Roman" w:eastAsia="方正仿宋_GBK"/>
                <w:i w:val="1"/>
                <w:iCs w:val="1"/>
              </w:rPr>
              <m:t>γ</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为反向容量系数，正常运行及故障工况中的健康站取0.80，故障站取1.00；</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分别为储能正向支撑和反向吸收的有效功率，单位MW。</w:t>
      </w:r>
    </w:p>
    <w:p>
      <w:pPr>
        <w:pStyle w:val="2"/>
        <w:widowControl/>
        <w:spacing w:line="348" w:lineRule="exact" w:before="0" w:after="0"/>
        <w:ind w:firstLine="480"/>
        <w:jc w:val="both"/>
      </w:pPr>
      <w:r>
        <w:rPr>
          <w:rFonts w:ascii="Times New Roman" w:hAnsi="Times New Roman" w:eastAsia="方正仿宋_GBK"/>
          <w:b w:val="0"/>
          <w:sz w:val="24"/>
        </w:rPr>
        <w:t xml:space="preserve">正常及健康站的反向限值依据2025年4月《配电网规划设计技术导则（修订稿）》第6.5.3条的设备反向潮流80%要求设置[7]。模型将该要求落实为主变反向有功功率上限，储能吸收后的反送功率应满足此限值。故障站扣除最大单台主变后，按剩余容量不过载校核，健康邻站仍保留正常反向限值。正向受电则按各工况可用主变容量与储能放电能力共同校核。反向净负荷作为给定场景输入，新增主变、负荷转接或储能充电吸收共同承担其容量需求。</w:t>
      </w:r>
    </w:p>
    <w:p>
      <w:pPr>
        <w:pStyle w:val="2"/>
        <w:widowControl/>
        <w:spacing w:line="348" w:lineRule="exact" w:before="0" w:after="0"/>
        <w:ind w:firstLine="480"/>
        <w:jc w:val="both"/>
      </w:pPr>
      <w:r>
        <w:rPr>
          <w:rFonts w:ascii="Times New Roman" w:hAnsi="Times New Roman" w:eastAsia="方正仿宋_GBK"/>
          <w:b w:val="0"/>
          <w:sz w:val="24"/>
        </w:rPr>
        <w:t xml:space="preserve">承载校核同时落实到通道和两端设备：转出功率受原馈线可切换用电负荷、逐站既有转供预算及线路有效容量约束，承接功率受接收馈线余量和接收站正反向主变能力约束。多条联络共用同一馈线时共用相应额度，区域内部转入和转出保持平衡。故障工况使用已投运候选网络安排支援，故障站与健康站逐站通过式（5-8）的校核。</w:t>
      </w:r>
    </w:p>
    <w:p>
      <w:pPr>
        <w:pStyle w:val="2"/>
        <w:widowControl/>
        <w:spacing w:line="348" w:lineRule="exact" w:before="0" w:after="0"/>
        <w:ind w:firstLine="480"/>
        <w:jc w:val="both"/>
      </w:pPr>
      <w:r>
        <w:rPr>
          <w:rFonts w:ascii="Times New Roman" w:hAnsi="Times New Roman" w:eastAsia="方正仿宋_GBK"/>
          <w:b w:val="0"/>
          <w:sz w:val="24"/>
        </w:rPr>
        <w:t xml:space="preserve">本研究据上述约束开展静态设备容量比选。导则同时要求电压不越限，并在系统级承载力评估中统筹新能源利用率和调峰能力[7]；这些项目需结合实际接线、连续运行及系统资料进一步校核。当前结果覆盖所设功率截面与规定支撑时长，储能按可用电量折算有效功率，连续荷电状态和充电恢复过程留待工程阶段检验。</w:t>
      </w:r>
    </w:p>
    <w:p>
      <w:pPr>
        <w:pStyle w:val="5"/>
        <w:keepNext/>
        <w:numPr>
          <w:numId w:val="0"/>
        </w:numPr>
        <w:spacing w:line="390" w:lineRule="exact" w:before="160" w:after="120"/>
        <w:ind w:firstLine="0"/>
      </w:pPr>
      <w:bookmarkStart w:id="185" w:name="评价期费用目标"/>
      <w:r>
        <w:rPr>
          <w:rFonts w:ascii="Times New Roman" w:hAnsi="Times New Roman" w:eastAsia="方正仿宋_GBK"/>
          <w:b/>
          <w:sz w:val="26"/>
        </w:rPr>
        <w:t xml:space="preserve">5.3.2 评价期费用目标</w:t>
      </w:r>
      <w:bookmarkEnd w:id="185"/>
    </w:p>
    <w:p>
      <w:pPr>
        <w:pStyle w:val="FirstParagraph"/>
        <w:widowControl/>
        <w:spacing w:line="348" w:lineRule="exact" w:before="0" w:after="0"/>
        <w:ind w:firstLine="480"/>
        <w:jc w:val="both"/>
      </w:pPr>
      <w:r>
        <w:rPr>
          <w:rFonts w:ascii="Times New Roman" w:hAnsi="Times New Roman" w:eastAsia="方正仿宋_GBK"/>
          <w:b w:val="0"/>
          <w:sz w:val="24"/>
        </w:rPr>
        <w:t xml:space="preserve">模型以共同评价期内新增措施费用现值最小为目标，采用第四章的价格、寿命、维护费率和折现率，在投运当年计建设投资、次年起计固定运维，对评价期内达到设定寿命的设备按统一规则计取更新费用。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sty m:val="p"/>
                      </m:rPr>
                      <w:rPr>
                        <w:rFonts w:ascii="Times New Roman" w:hAnsi="Times New Roman" w:cs="Times New Roman" w:eastAsia="方正仿宋_GBK"/>
                        <w:i w:val="0"/>
                        <w:iCs w:val="0"/>
                      </w:rPr>
                      <m:t>min</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e>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（5-9）</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分别为当年新增主变、储能及联络建设投资，</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为相应费用现值因子。供电裕度作为技术约束。相同费用附近可能存在多种可行设备组合。</w:t>
      </w:r>
    </w:p>
    <w:p>
      <w:pPr>
        <w:pStyle w:val="5"/>
        <w:keepNext/>
        <w:numPr>
          <w:numId w:val="0"/>
        </w:numPr>
        <w:spacing w:line="390" w:lineRule="exact" w:before="160" w:after="120"/>
        <w:ind w:firstLine="0"/>
      </w:pPr>
      <w:bookmarkStart w:id="186" w:name="三类措施的约束寻优流程"/>
      <w:r>
        <w:rPr>
          <w:rFonts w:ascii="Times New Roman" w:hAnsi="Times New Roman" w:eastAsia="方正仿宋_GBK"/>
          <w:b/>
          <w:sz w:val="26"/>
        </w:rPr>
        <w:t xml:space="preserve">5.3.3 三类措施的约束寻优流程</w:t>
      </w:r>
      <w:bookmarkEnd w:id="186"/>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计算结果按设备状态、容量非减、功率平衡、馈线共享余量、接收站容量及费用分项逐项复核，并以独立网络算法检查各静态工况的可行性。</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w:t>
      </w:r>
    </w:p>
    <w:p>
      <w:pPr>
        <w:pStyle w:val="2"/>
        <w:widowControl/>
        <w:spacing w:line="348" w:lineRule="exact" w:before="0" w:after="0"/>
        <w:ind w:firstLine="480"/>
        <w:jc w:val="both"/>
      </w:pPr>
      <w:r>
        <w:rPr>
          <w:rFonts w:ascii="Times New Roman" w:hAnsi="Times New Roman" w:eastAsia="方正仿宋_GBK"/>
          <w:b w:val="0"/>
          <w:sz w:val="24"/>
        </w:rPr>
        <w:t xml:space="preserve">逐年寻优先载入共同初始设备和实际年度负荷，再建立允许的主变规格、扩建位置、储能柜数与联络投运状态。正常和各站最大单台主变N-1分别使用同一套建设状态，运行转接变量随工况变化。投运设备在后续年份持续在役。</w:t>
      </w:r>
    </w:p>
    <w:p>
      <w:pPr>
        <w:pStyle w:val="2"/>
        <w:widowControl/>
        <w:spacing w:line="348" w:lineRule="exact" w:before="0" w:after="0"/>
        <w:ind w:firstLine="480"/>
        <w:jc w:val="both"/>
      </w:pPr>
      <w:r>
        <w:rPr>
          <w:rFonts w:ascii="Times New Roman" w:hAnsi="Times New Roman" w:eastAsia="方正仿宋_GBK"/>
          <w:b w:val="0"/>
          <w:sz w:val="24"/>
        </w:rPr>
        <w:t xml:space="preserve">设备选择和投运状态采用整数变量，转供功率采用连续变量。费用寻优先形成经济参考，弹性方案再在该参考费用的105%以内比较联络工程较少的可行布局，并在联络数量相近时比较费用，形成工程优选方案。邳州共同起点采用方案费用为14801.99万元，经济参考为14338.51万元，增加463.48万元，约3%；保留原表容量时分别为7342.18万元和7097.16万元，增加245.02万元，约3%。市区两起点采用方案与经济参考一致。取得配置后，分别汇总年度容量、采购容量、储能和联络工程，再按第四章现金流复算实际方案费用。</w:t>
      </w:r>
    </w:p>
    <w:p>
      <w:pPr>
        <w:pStyle w:val="4"/>
        <w:keepNext/>
        <w:numPr>
          <w:numId w:val="0"/>
        </w:numPr>
        <w:spacing w:line="480" w:lineRule="exact" w:before="160" w:after="120"/>
        <w:ind w:firstLine="0"/>
      </w:pPr>
      <w:bookmarkStart w:id="1563" w:name="h563"/>
      <w:bookmarkStart w:id="187" w:name="寻优结果"/>
      <w:r>
        <w:rPr>
          <w:rFonts w:ascii="Times New Roman" w:hAnsi="Times New Roman" w:eastAsia="方正仿宋_GBK"/>
          <w:b/>
          <w:sz w:val="32"/>
        </w:rPr>
        <w:t xml:space="preserve">5.4 寻优结果</w:t>
      </w:r>
      <w:bookmarkEnd w:id="187"/>
      <w:bookmarkEnd w:id="1563"/>
    </w:p>
    <w:p>
      <w:pPr>
        <w:pStyle w:val="5"/>
        <w:keepNext/>
        <w:numPr>
          <w:numId w:val="0"/>
        </w:numPr>
        <w:spacing w:line="390" w:lineRule="exact" w:before="160" w:after="120"/>
        <w:ind w:firstLine="0"/>
      </w:pPr>
      <w:bookmarkStart w:id="188" w:name="邳州逐年方案"/>
      <w:r>
        <w:rPr>
          <w:rFonts w:ascii="Times New Roman" w:hAnsi="Times New Roman" w:eastAsia="方正仿宋_GBK"/>
          <w:b/>
          <w:sz w:val="26"/>
        </w:rPr>
        <w:t xml:space="preserve">5.4.1 邳州逐年方案</w:t>
      </w:r>
      <w:bookmarkEnd w:id="188"/>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邳州弹性方案2022年完成240.50 MVA净增容量，主变总容量达到1704.00 MVA，2025年为1715.50 MVA。各年储能和联络工程按当年供电需求安排，具体在役规模及新增建设分别列于下表。</w:t>
      </w:r>
    </w:p>
    <w:p>
      <w:pPr>
        <w:pStyle w:val="2"/>
        <w:keepNext/>
        <w:spacing w:line="280" w:lineRule="exact" w:before="120" w:after="80"/>
        <w:ind w:firstLine="0"/>
        <w:jc w:val="center"/>
      </w:pPr>
      <w:r>
        <w:rPr>
          <w:rFonts w:ascii="Times New Roman" w:hAnsi="Times New Roman" w:eastAsia="宋体"/>
          <w:b w:val="0"/>
          <w:sz w:val="21"/>
        </w:rPr>
        <w:t xml:space="preserve">表5-4 邳州逐年容量及措施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1642.50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1642.50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bl>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14783.72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2521.26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1891.08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12553.76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763.85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1484.38</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邳州两类方案的主要差异出现在建设时序。2022年弹性方案完成240.50 MVA净增容量，主变总容量达到1704.00 MVA，而刚性方案当年受容量上限约束，形成1642.50 MVA，并以储能及联络共同补足局部供电需求。2024年刚性方案再增加61.50 MVA，弹性方案在八义集补强一台主变，净增11.50 MVA，使两类方案总容量分别达到1704.00 MVA和1715.50 MVA。前期主变建设规模的差异改变了后续补充措施的选择，年度主变采购与储能、联络增量共同解释方案费用。</w:t>
      </w:r>
    </w:p>
    <w:p>
      <w:pPr>
        <w:pStyle w:val="2"/>
        <w:widowControl/>
        <w:spacing w:line="348" w:lineRule="exact" w:before="0" w:after="0"/>
        <w:ind w:firstLine="480"/>
        <w:jc w:val="both"/>
      </w:pPr>
      <w:r>
        <w:rPr>
          <w:rFonts w:ascii="Times New Roman" w:hAnsi="Times New Roman" w:eastAsia="方正仿宋_GBK"/>
          <w:b w:val="0"/>
          <w:sz w:val="24"/>
        </w:rPr>
        <w:t xml:space="preserve">2023年负荷较2022年回落约8%，两类方案均保持当年设备状态，容载比分别升至2.16和2.24。该年的比值上升由负荷变化形成。2024年负荷恢复后，两类方案分别实施上述增容，并各新增1项联络。2025年负荷进一步增加，主变容量均保持上一年状态，刚性与弹性容载比分别为1.78和1.79。刚性方案当年新增10.11 MWh储能和7项联络，弹性方案新增7.31 MWh储能和6项联络，末年累计新增联络分别为16条和13条。弹性方案较多的站内容量及其分布，减少了对储能和新增通道的依赖。</w:t>
      </w:r>
    </w:p>
    <w:p>
      <w:pPr>
        <w:pStyle w:val="2"/>
        <w:widowControl/>
        <w:spacing w:line="348" w:lineRule="exact" w:before="0" w:after="0"/>
        <w:ind w:firstLine="480"/>
        <w:jc w:val="both"/>
      </w:pPr>
      <w:r>
        <w:rPr>
          <w:rFonts w:ascii="Times New Roman" w:hAnsi="Times New Roman" w:eastAsia="方正仿宋_GBK"/>
          <w:b w:val="0"/>
          <w:sz w:val="24"/>
        </w:rPr>
        <w:t xml:space="preserve">年度新增工程表中的主变新购容量包含更换和扩建采购，扣除同期被替换主变容量后得到净增容量。例如，邳州弹性方案2022年新购483.50 MVA、替换原设备243.00 MVA，容量净增240.50 MVA。新购容量用于计取工程投资，净增容量决定在役总容量及容载比的变化。负荷回落年份即使不新增主变，容载比也可能升高，后续负荷恢复时，前期投运设备继续满足相应需求。</w:t>
      </w:r>
    </w:p>
    <w:p>
      <w:pPr>
        <w:pStyle w:val="5"/>
        <w:keepNext/>
        <w:numPr>
          <w:numId w:val="0"/>
        </w:numPr>
        <w:spacing w:line="390" w:lineRule="exact" w:before="160" w:after="120"/>
        <w:ind w:firstLine="0"/>
      </w:pPr>
      <w:bookmarkStart w:id="189" w:name="市区逐年方案"/>
      <w:r>
        <w:rPr>
          <w:rFonts w:ascii="Times New Roman" w:hAnsi="Times New Roman" w:eastAsia="方正仿宋_GBK"/>
          <w:b/>
          <w:sz w:val="26"/>
        </w:rPr>
        <w:t xml:space="preserve">5.4.2 市区逐年方案</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市区弹性方案2022年完成23.00 MVA净增容量，主变总容量达到2923.00 MVA，2025年为2923.00 MVA。各年储能和联络工程按当年供电需求安排，具体在役规模及新增建设分别列于下表。</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90"/>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1594.68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997.09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市区2022年负荷低于2021年、2024年负荷低于2023年，刚性方案在这两个年份均保留已投运的2900.00 MVA主变容量。因此，相应年度容载比超过2.0由负荷减少形成，未伴随新增主变。</w:t>
      </w:r>
    </w:p>
    <w:p>
      <w:pPr>
        <w:pStyle w:val="2"/>
        <w:widowControl/>
        <w:spacing w:line="348" w:lineRule="exact" w:before="0" w:after="0"/>
        <w:ind w:firstLine="480"/>
        <w:jc w:val="both"/>
      </w:pPr>
      <w:r>
        <w:rPr>
          <w:rFonts w:ascii="Times New Roman" w:hAnsi="Times New Roman" w:eastAsia="方正仿宋_GBK"/>
          <w:b w:val="0"/>
          <w:sz w:val="24"/>
        </w:rPr>
        <w:t xml:space="preserve">市区四年中2023年的年度负荷最高，为1542.22 MW。两类方案首年建设完成后，后续主变总容量均保持不变，因此2023年的容载比低于2022年和2024年。到2025年，年度负荷为1528.82 MW，仍略低于2023年。以四年复合平均增长率描述增长阶段时，还需保留这类年际波动，逐年容量安排才能与实际供电任务对应。</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市区弹性方案选择在翟山变将一台40 MVA主变更换为63 MVA，既增加23 MVA区域容量，也将该站最大80 MVA主变停运后的剩余容量从40 MVA提高至63 MVA。刚性方案保留原主变容量，2022年增加3项联络，2023年再增加2项，借助网络重新安排负荷。两类方案分别以站内补强和新增通道满足同一组供电约束，费用差主要由这两类措施的工程费用形成。既有逐站转供能力在两类方案中共同参与支援。</w:t>
      </w:r>
    </w:p>
    <w:p>
      <w:pPr>
        <w:pStyle w:val="5"/>
        <w:keepNext/>
        <w:numPr>
          <w:numId w:val="0"/>
        </w:numPr>
        <w:spacing w:line="390" w:lineRule="exact" w:before="160" w:after="120"/>
        <w:ind w:firstLine="0"/>
      </w:pPr>
      <w:bookmarkStart w:id="191" w:name="弹性方案与导则建议范围的逐年对照"/>
      <w:r>
        <w:rPr>
          <w:rFonts w:ascii="Times New Roman" w:hAnsi="Times New Roman" w:eastAsia="方正仿宋_GBK"/>
          <w:b/>
          <w:sz w:val="26"/>
        </w:rPr>
        <w:t xml:space="preserve">5.4.3 弹性方案与导则建议范围的逐年对照</w:t>
      </w:r>
      <w:bookmarkEnd w:id="191"/>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2025年4月《配电网规划设计技术导则（修订稿）》第6.2.2.1条提出容载比总体控制在1.5～2.0，表2按年最大净负荷平均增长率划分发展阶段，相应建议范围如下[7]。</w:t>
      </w:r>
    </w:p>
    <w:p>
      <w:pPr>
        <w:pStyle w:val="2"/>
        <w:keepNext/>
        <w:spacing w:line="280" w:lineRule="exact" w:before="120" w:after="80"/>
        <w:ind w:firstLine="0"/>
        <w:jc w:val="center"/>
      </w:pPr>
      <w:r>
        <w:rPr>
          <w:rFonts w:ascii="Times New Roman" w:hAnsi="Times New Roman" w:eastAsia="宋体"/>
          <w:b w:val="0"/>
          <w:sz w:val="21"/>
        </w:rPr>
        <w:t xml:space="preserve">表5-8 高压分区或行政县（市、区）110～35 kV电网容载比选择范围[7]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负荷增长情况</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年最大净负荷平均增长率KP</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容载比建议范围</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饱和期</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1.5～1.7</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较慢增长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2%＜KP≤4%</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中等增长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4%＜KP≤7%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较快增长</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KP＞7%</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1.8～2.0</w:t>
            </w:r>
          </w:p>
        </w:tc>
      </w:tr>
    </w:tbl>
    <w:p>
      <w:pPr>
        <w:pStyle w:val="2"/>
        <w:widowControl/>
        <w:spacing w:line="348" w:lineRule="exact" w:before="0" w:after="0"/>
        <w:ind w:firstLine="480"/>
        <w:jc w:val="both"/>
      </w:pPr>
      <w:r>
        <w:rPr>
          <w:rFonts w:ascii="Times New Roman" w:hAnsi="Times New Roman" w:eastAsia="方正仿宋_GBK"/>
          <w:b w:val="0"/>
          <w:sz w:val="24"/>
        </w:rPr>
        <w:t xml:space="preserve">本节沿用建模采用的2021—2025年复合平均增长率，</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P</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，以同一增长水平对照各年方案。邳州年最大净负荷由731.77 MW增至956.45 MW，平均增长率约7%，属于4%＜KP≤7%的中等增长阶段，对应建议范围1.7～1.9，市区由1449.77 MW增至1528.82 MW，平均增长率约1%，属于KP≤2%的饱和期，对应建议范围1.5～1.7[7]。</w:t>
      </w:r>
    </w:p>
    <w:p>
      <w:pPr>
        <w:pStyle w:val="2"/>
        <w:widowControl/>
        <w:spacing w:line="348" w:lineRule="exact" w:before="0" w:after="0"/>
        <w:ind w:firstLine="480"/>
        <w:jc w:val="both"/>
      </w:pPr>
      <w:r>
        <w:rPr>
          <w:rFonts w:ascii="Times New Roman" w:hAnsi="Times New Roman" w:eastAsia="方正仿宋_GBK"/>
          <w:b w:val="0"/>
          <w:sz w:val="24"/>
        </w:rPr>
        <w:t xml:space="preserve">前述年度表为共同仿真起点下、正常允许调整供区的弹性方案规划回算结果。按上述增长率统一分档，邳州2022—2024年均高于分档建议上限1.9，2025年降至1.79，进入建议范围，市区四年均高于分档建议上限1.7，其中2025年为1.91，高出约0.21。两地区各年结果均高于对应建议下限。按条文总体范围比较，邳州2022、2023年和市区2022、2024年超过2.0，其余年度位于1.5～2.0内[7]。年度负荷回落解释了部分年份容载比的上升：邳州2023年、市区2024年容量保持不变，负荷下降使比值升高，后续负荷恢复又使比值回落。</w:t>
      </w:r>
    </w:p>
    <w:p>
      <w:pPr>
        <w:pStyle w:val="2"/>
        <w:widowControl/>
        <w:spacing w:line="348" w:lineRule="exact" w:before="0" w:after="0"/>
        <w:ind w:firstLine="480"/>
        <w:jc w:val="both"/>
      </w:pPr>
      <w:r>
        <w:rPr>
          <w:rFonts w:ascii="Times New Roman" w:hAnsi="Times New Roman" w:eastAsia="方正仿宋_GBK"/>
          <w:b w:val="0"/>
          <w:sz w:val="24"/>
        </w:rPr>
        <w:t xml:space="preserve">市区连续高于分档建议上限，还与共同初始容量有关。以2025年为例，1528.82 MW负荷按容载比1.7折算容量为2598.99 MVA，而共同初始容量已为2900.00 MVA，高出301.01 MVA。容量保持非减的条件下，初始设备对应当年容载比约1.90。在此基础上，弹性方案2022年将翟山变一台40 MVA主变更换为63 MVA，净增23.00 MVA，四年均保持2923.00 MVA，2025年容载比为1.91。初始容量与新增补强分别贡献了超出分档建议上限的主要部分和增量部分。翟山变更换后，在最大80 MVA主变停运时保留63 MVA容量，并结合既有转供满足本次工况约束。这项设备补强与既定初始容量应分别解释。</w:t>
      </w:r>
    </w:p>
    <w:p>
      <w:pPr>
        <w:pStyle w:val="2"/>
        <w:widowControl/>
        <w:spacing w:line="348" w:lineRule="exact" w:before="0" w:after="0"/>
        <w:ind w:firstLine="480"/>
        <w:jc w:val="both"/>
      </w:pPr>
      <w:r>
        <w:rPr>
          <w:rFonts w:ascii="Times New Roman" w:hAnsi="Times New Roman" w:eastAsia="方正仿宋_GBK"/>
          <w:b w:val="0"/>
          <w:sz w:val="24"/>
        </w:rPr>
        <w:t xml:space="preserve">第6.2.2.1条a项允许在表中建议范围内无法满足供电安全准则时，结合实际情况适当提高容载比，c项要求加强中压配电网联络、增加转供能力，合理确定规划区域容载比[7]。当前方案通过既定正常及N-1静态工况校核，超过分档建议上限的年度结果由初始设备、网络约束、容量非减及费用目标共同形成。若据a项论证适当提高的必要性，还需专门检验分档建议范围内各可选设备与转供方案能否满足供电安全准则。因此，逐年规划应结合负荷变化检查既有容量的利用情况，并将中压联络与站内补强共同纳入方案比选。</w:t>
      </w:r>
    </w:p>
    <w:p>
      <w:pPr>
        <w:pStyle w:val="5"/>
        <w:keepNext/>
        <w:numPr>
          <w:numId w:val="0"/>
        </w:numPr>
        <w:spacing w:line="390" w:lineRule="exact" w:before="160" w:after="120"/>
        <w:ind w:firstLine="0"/>
      </w:pPr>
      <w:bookmarkStart w:id="192" w:name="建设规模与费用比较"/>
      <w:r>
        <w:rPr>
          <w:rFonts w:ascii="Times New Roman" w:hAnsi="Times New Roman" w:eastAsia="方正仿宋_GBK"/>
          <w:b/>
          <w:sz w:val="26"/>
        </w:rPr>
        <w:t xml:space="preserve">5.4.4 建设规模与费用比较</w:t>
      </w:r>
      <w:bookmarkEnd w:id="19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两地区刚性可行方案费用现值合计21787.83万元，弹性为16248.62万元，减少5539.21万元，降幅约25%。</w:t>
      </w:r>
    </w:p>
    <w:p>
      <w:pPr>
        <w:pStyle w:val="2"/>
        <w:keepNext/>
        <w:spacing w:line="280" w:lineRule="exact" w:before="120" w:after="80"/>
        <w:ind w:firstLine="0"/>
        <w:jc w:val="center"/>
      </w:pPr>
      <w:r>
        <w:rPr>
          <w:rFonts w:ascii="Times New Roman" w:hAnsi="Times New Roman" w:eastAsia="宋体"/>
          <w:b w:val="0"/>
          <w:sz w:val="21"/>
        </w:rPr>
        <w:t xml:space="preserve">表5-9 两地区方案费用比较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19196.06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14801.99</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2591.77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bl>
    <w:p>
      <w:pPr>
        <w:pStyle w:val="2"/>
        <w:keepNext/>
        <w:spacing w:line="280" w:lineRule="exact" w:before="120" w:after="80"/>
        <w:ind w:firstLine="0"/>
        <w:jc w:val="center"/>
      </w:pPr>
      <w:r>
        <w:rPr>
          <w:rFonts w:ascii="Times New Roman" w:hAnsi="Times New Roman" w:eastAsia="宋体"/>
          <w:b w:val="0"/>
          <w:sz w:val="21"/>
        </w:rPr>
        <w:t xml:space="preserve">表5-10 2025年在役措施及累计建设规模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47.95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4261"/>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3"/>
                    <a:stretch>
                      <a:fillRect/>
                    </a:stretch>
                  </pic:blipFill>
                  <pic:spPr bwMode="auto">
                    <a:xfrm>
                      <a:off x="0" y="0"/>
                      <a:ext cx="5120640" cy="251426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32012"/>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4"/>
                    <a:stretch>
                      <a:fillRect/>
                    </a:stretch>
                  </pic:blipFill>
                  <pic:spPr bwMode="auto">
                    <a:xfrm>
                      <a:off x="0" y="0"/>
                      <a:ext cx="5120640" cy="223201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两地区均从共同压缩起点开展规划回算，首年必要补强计入建设投资，既有转供受逐站资料上限约束，新增联络按地区电缆长度占比计价。在这些相同条件下，比较通过全部静态工况校核的具体可行方案费用。</w:t>
      </w:r>
    </w:p>
    <w:p>
      <w:pPr>
        <w:pStyle w:val="2"/>
        <w:keepNext/>
        <w:spacing w:line="280" w:lineRule="exact" w:before="120" w:after="80"/>
        <w:ind w:firstLine="0"/>
        <w:jc w:val="center"/>
      </w:pPr>
      <w:r>
        <w:rPr>
          <w:rFonts w:ascii="Times New Roman" w:hAnsi="Times New Roman" w:eastAsia="宋体"/>
          <w:b w:val="0"/>
          <w:sz w:val="21"/>
        </w:rPr>
        <w:t xml:space="preserve">表5-11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11340.87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5645.80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2209.38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19196.06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12279.95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738.62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1783.42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14801.99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2591.77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2591.77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主变费用现值增加939.08万元，储能和联络分别减少4907.19万元、425.97万元，合计减少4394.07万元。首年较充分的主变补强降低了后续配储需求，储能费用减少是该地区费用差的主要来源。2024年弹性方案进一步补强八义集，主变总容量较刚性多11.50 MVA，站内容量分配与配套措施的时序共同形成费用差。</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以1446.64万元主变费用现值替代刚性方案2591.77万元联络费用，合计减少1145.13万元。既有转供在两类方案中均提供支援，费用优势来自新增补强方式的不同。两地区合计降幅由上述分项变化形成，区域容量变化与费用变化分别按设备及工程项目解释。</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
                <m:dPr>
                  <m:begChr m:val="("/>
                  <m:endChr m:val=")"/>
                  <m:grow/>
                </m:dPr>
                <m:e>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（5-10）</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为相邻两年容载比，</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为仿真年序号；</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为相邻两年公用主变总容量，单位MVA；</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表5-12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r>
    </w:tbl>
    <w:p>
      <w:pPr>
        <w:pStyle w:val="5"/>
        <w:keepNext/>
        <w:numPr>
          <w:numId w:val="0"/>
        </w:numPr>
        <w:spacing w:line="390" w:lineRule="exact" w:before="160" w:after="120"/>
        <w:ind w:firstLine="0"/>
      </w:pPr>
      <w:bookmarkStart w:id="195" w:name="邳州逐站规划方案"/>
      <w:r>
        <w:rPr>
          <w:rFonts w:ascii="Times New Roman" w:hAnsi="Times New Roman" w:eastAsia="方正仿宋_GBK"/>
          <w:b/>
          <w:sz w:val="26"/>
        </w:rPr>
        <w:t xml:space="preserve">5.4.5 邳州逐站规划方案</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逐站表格列示区域正向峰值和最低净负荷两个代表工况的转接量，完整校核同时覆盖各站局部极值截面。主变N-1按本站最大单台容量扣除，健康邻站保留正常可用容量，转供使用已投运线路。</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列示两类方案的四年设备状态及区域正向峰值正常转接，随后结合2025年两代表工况和四年中本站绝对功率最大的校核工况，解释主变N-1后的站间支援。表中储能均为在役额定功率，正向支撑能力另按邳州2 h及可用电量折算，反向采用本站规定时长。</w:t>
      </w:r>
    </w:p>
    <w:p>
      <w:pPr>
        <w:pStyle w:val="7"/>
        <w:keepNext/>
        <w:numPr>
          <w:numId w:val="0"/>
        </w:numPr>
        <w:spacing w:line="360" w:lineRule="exact" w:before="160" w:after="120"/>
        <w:ind w:firstLine="0"/>
      </w:pPr>
      <w:bookmarkStart w:id="196" w:name="八义集变规划分析"/>
      <w:r>
        <w:rPr>
          <w:rFonts w:ascii="Times New Roman" w:hAnsi="Times New Roman" w:eastAsia="方正仿宋_GBK"/>
          <w:b/>
          <w:sz w:val="24"/>
        </w:rPr>
        <w:t xml:space="preserve">八义集变规划分析</w:t>
      </w:r>
      <w:bookmarkEnd w:id="19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MVA，弹性方案2024年20 MVA更换为31.5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2025年本站最大正向、反向净负荷分别为37.23 MW、19.12 MW。在同一需求下，刚性方案当年主变容量为70.00 MVA、储能额定功率0.60 MW，弹性方案分别为81.50 MVA和0.00 MW，弹性方案本站增加11.50 MVA容量。弹性方案按当年各站局部极值计算的站级负载率为48%。</w:t>
      </w:r>
    </w:p>
    <w:p>
      <w:pPr>
        <w:pStyle w:val="2"/>
        <w:keepNext/>
        <w:spacing w:line="280" w:lineRule="exact" w:before="120" w:after="80"/>
        <w:ind w:firstLine="0"/>
        <w:jc w:val="center"/>
      </w:pPr>
      <w:r>
        <w:rPr>
          <w:rFonts w:ascii="Times New Roman" w:hAnsi="Times New Roman" w:eastAsia="宋体"/>
          <w:b w:val="0"/>
          <w:sz w:val="21"/>
        </w:rPr>
        <w:t xml:space="preserve">表5-13 八义集变年度配置与正向峰值正常转接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MW，转接后净负荷为30.29 MW，区域最低净负荷工况下为-6.39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MVA，两代表工况重新转供后的本站净负荷分别为29.93 MW、-6.39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四年校核截面中，本站绝对功率最大的工况出现在2025年，转接前为37.23 MW，主要表现为正向受电需求，该年设备在最大单台主变N-1后剩余容量为31.50 MVA。故障方式下本站转出7.30 MW、承接0.00 MW，其中与土山变之间的主要转出功率为7.30 MW，转接后净负荷为29.93 MW。这一工况通过邻站分担本站故障后的正向负荷。</w:t>
      </w:r>
    </w:p>
    <w:p>
      <w:pPr>
        <w:pStyle w:val="7"/>
        <w:keepNext/>
        <w:numPr>
          <w:numId w:val="0"/>
        </w:numPr>
        <w:spacing w:line="360" w:lineRule="exact" w:before="160" w:after="120"/>
        <w:ind w:firstLine="0"/>
      </w:pPr>
      <w:bookmarkStart w:id="197" w:name="大宋变规划分析"/>
      <w:r>
        <w:rPr>
          <w:rFonts w:ascii="Times New Roman" w:hAnsi="Times New Roman" w:eastAsia="方正仿宋_GBK"/>
          <w:b/>
          <w:sz w:val="24"/>
        </w:rPr>
        <w:t xml:space="preserve">大宋变规划分析</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2025年本站最大正向、反向净负荷分别为69.44 MW、31.77 MW。在同一需求下，刚性方案当年主变容量为103.00 MVA、储能额定功率0.00 MW，弹性方案分别为103.00 MVA和0.00 MW，两类方案本站主变总容量相同。弹性方案按当年各站局部极值计算的站级负载率为71%。</w:t>
      </w:r>
    </w:p>
    <w:p>
      <w:pPr>
        <w:pStyle w:val="2"/>
        <w:keepNext/>
        <w:spacing w:line="280" w:lineRule="exact" w:before="120" w:after="80"/>
        <w:ind w:firstLine="0"/>
        <w:jc w:val="center"/>
      </w:pPr>
      <w:r>
        <w:rPr>
          <w:rFonts w:ascii="Times New Roman" w:hAnsi="Times New Roman" w:eastAsia="宋体"/>
          <w:b w:val="0"/>
          <w:sz w:val="21"/>
        </w:rPr>
        <w:t xml:space="preserve">表5-14 大宋变年度配置与正向峰值正常转接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MW，转接后净负荷为69.44 MW，区域最低净负荷工况下为-31.77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MW、-31.77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四年校核截面中，本站绝对功率最大的工况出现在2025年，转接前为69.44 MW，主要表现为正向受电需求，该年设备在最大单台主变N-1后剩余容量为40.00 MVA。故障方式下本站转出31.44 MW、承接0.00 MW，其中与宿羊山变之间的主要转出功率为12.15 MW，转接后净负荷为38.00 MW。这一工况通过邻站分担本站故障后的正向负荷。</w:t>
      </w:r>
    </w:p>
    <w:p>
      <w:pPr>
        <w:pStyle w:val="7"/>
        <w:keepNext/>
        <w:numPr>
          <w:numId w:val="0"/>
        </w:numPr>
        <w:spacing w:line="360" w:lineRule="exact" w:before="160" w:after="120"/>
        <w:ind w:firstLine="0"/>
      </w:pPr>
      <w:bookmarkStart w:id="198" w:name="戴圩变规划分析"/>
      <w:r>
        <w:rPr>
          <w:rFonts w:ascii="Times New Roman" w:hAnsi="Times New Roman" w:eastAsia="方正仿宋_GBK"/>
          <w:b/>
          <w:sz w:val="24"/>
        </w:rPr>
        <w:t xml:space="preserve">戴圩变规划分析</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2025年本站最大正向、反向净负荷分别为30.30 MW、24.46 MW。在同一需求下，刚性方案当年主变容量为70.00 MVA、储能额定功率0.00 MW，弹性方案分别为70.00 MVA和0.00 MW，两类方案本站主变总容量相同。弹性方案按当年各站局部极值计算的站级负载率为46%。</w:t>
      </w:r>
    </w:p>
    <w:p>
      <w:pPr>
        <w:pStyle w:val="2"/>
        <w:keepNext/>
        <w:spacing w:line="280" w:lineRule="exact" w:before="120" w:after="80"/>
        <w:ind w:firstLine="0"/>
        <w:jc w:val="center"/>
      </w:pPr>
      <w:r>
        <w:rPr>
          <w:rFonts w:ascii="Times New Roman" w:hAnsi="Times New Roman" w:eastAsia="宋体"/>
          <w:b w:val="0"/>
          <w:sz w:val="21"/>
        </w:rPr>
        <w:t xml:space="preserve">表5-15 戴圩变年度配置与正向峰值正常转接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MW，转接后净负荷为27.34 MW，区域最低净负荷工况下为-24.10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四年校核截面中，本站绝对功率最大的工况出现在2025年，转接前为30.30 MW，主要表现为正向受电需求，该年设备在最大单台主变N-1后剩余容量为20.00 MVA。故障方式下本站转出11.30 MW、承接0.00 MW，其中与邳城变之间的主要转出功率为8.31 MW，转接后净负荷为19.00 MW。这一工况通过邻站分担本站故障后的正向负荷。</w:t>
      </w:r>
    </w:p>
    <w:p>
      <w:pPr>
        <w:pStyle w:val="7"/>
        <w:keepNext/>
        <w:numPr>
          <w:numId w:val="0"/>
        </w:numPr>
        <w:spacing w:line="360" w:lineRule="exact" w:before="160" w:after="120"/>
        <w:ind w:firstLine="0"/>
      </w:pPr>
      <w:bookmarkStart w:id="199" w:name="戴庄变规划分析"/>
      <w:r>
        <w:rPr>
          <w:rFonts w:ascii="Times New Roman" w:hAnsi="Times New Roman" w:eastAsia="方正仿宋_GBK"/>
          <w:b/>
          <w:sz w:val="24"/>
        </w:rPr>
        <w:t xml:space="preserve">戴庄变规划分析</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该站初始主变组合为20+31.5 MVA，弹性方案2022年20 MVA更换为50 MVA，31.5 MVA更换为50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2025年本站最大正向、反向净负荷分别为30.59 MW、47.47 MW。在同一需求下，刚性方案当年主变容量为100.00 MVA、储能额定功率0.00 MW，弹性方案分别为100.00 MVA和0.00 MW，两类方案本站主变总容量相同。弹性方案按当年各站局部极值计算的站级负载率为50%。</w:t>
      </w:r>
    </w:p>
    <w:p>
      <w:pPr>
        <w:pStyle w:val="2"/>
        <w:keepNext/>
        <w:spacing w:line="280" w:lineRule="exact" w:before="120" w:after="80"/>
        <w:ind w:firstLine="0"/>
        <w:jc w:val="center"/>
      </w:pPr>
      <w:r>
        <w:rPr>
          <w:rFonts w:ascii="Times New Roman" w:hAnsi="Times New Roman" w:eastAsia="宋体"/>
          <w:b w:val="0"/>
          <w:sz w:val="21"/>
        </w:rPr>
        <w:t xml:space="preserve">表5-16 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MW，转接后净负荷为30.59 MW，区域最低净负荷工况下为-46.10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MVA，两代表工况重新转供后的本站净负荷分别为30.59 MW、-46.10 MW，两方向最小容量余量为1.40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四年校核截面中，本站绝对功率最大的工况出现在2025年，转接前为-47.47 MW，主要表现为反向输送需求，该年设备在最大单台主变N-1后剩余容量为50.00 MVA。该工况本站由剩余主变满足承载要求。</w:t>
      </w:r>
    </w:p>
    <w:p>
      <w:pPr>
        <w:pStyle w:val="7"/>
        <w:keepNext/>
        <w:numPr>
          <w:numId w:val="0"/>
        </w:numPr>
        <w:spacing w:line="360" w:lineRule="exact" w:before="160" w:after="120"/>
        <w:ind w:firstLine="0"/>
      </w:pPr>
      <w:bookmarkStart w:id="200" w:name="杜村变规划分析"/>
      <w:r>
        <w:rPr>
          <w:rFonts w:ascii="Times New Roman" w:hAnsi="Times New Roman" w:eastAsia="方正仿宋_GBK"/>
          <w:b/>
          <w:sz w:val="24"/>
        </w:rPr>
        <w:t xml:space="preserve">杜村变规划分析</w:t>
      </w:r>
      <w:bookmarkEnd w:id="20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2025年本站最大正向、反向净负荷分别为92.06 MW、18.13 MW。在同一需求下，刚性方案当年主变容量为80.00 MVA、储能额定功率0.00 MW，弹性方案分别为80.00 MVA和0.00 MW，两类方案本站主变总容量相同。弹性方案按当年各站局部极值计算的站级负载率为121%。</w:t>
      </w:r>
    </w:p>
    <w:p>
      <w:pPr>
        <w:pStyle w:val="2"/>
        <w:keepNext/>
        <w:spacing w:line="280" w:lineRule="exact" w:before="120" w:after="80"/>
        <w:ind w:firstLine="0"/>
        <w:jc w:val="center"/>
      </w:pPr>
      <w:r>
        <w:rPr>
          <w:rFonts w:ascii="Times New Roman" w:hAnsi="Times New Roman" w:eastAsia="宋体"/>
          <w:b w:val="0"/>
          <w:sz w:val="21"/>
        </w:rPr>
        <w:t xml:space="preserve">表5-17 杜村变年度配置与正向峰值正常转接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2025年区域正向峰值正常工况下，本站转出7.65 MW、承接0.00 MW，转接后净负荷为76.00 MW，区域最低净负荷工况下为1.66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MW、1.66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四年校核截面中，本站绝对功率最大的工况出现在2025年，转接前为92.06 MW，主要表现为正向受电需求，该年设备在最大单台主变N-1后剩余容量为40.00 MVA。故障方式下本站转出54.06 MW、承接0.00 MW，其中与吴闸变之间的主要转出功率为17.47 MW，转接后净负荷为38.00 MW。这一工况通过邻站分担本站故障后的正向负荷。</w:t>
      </w:r>
    </w:p>
    <w:p>
      <w:pPr>
        <w:pStyle w:val="7"/>
        <w:keepNext/>
        <w:numPr>
          <w:numId w:val="0"/>
        </w:numPr>
        <w:spacing w:line="360" w:lineRule="exact" w:before="160" w:after="120"/>
        <w:ind w:firstLine="0"/>
      </w:pPr>
      <w:bookmarkStart w:id="201" w:name="墩集变规划分析"/>
      <w:r>
        <w:rPr>
          <w:rFonts w:ascii="Times New Roman" w:hAnsi="Times New Roman" w:eastAsia="方正仿宋_GBK"/>
          <w:b/>
          <w:sz w:val="24"/>
        </w:rPr>
        <w:t xml:space="preserve">墩集变规划分析</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2025年本站最大正向、反向净负荷分别为59.52 MW、35.45 MW。在同一需求下，刚性方案当年主变容量为70.00 MVA、储能额定功率0.00 MW，弹性方案分别为70.00 MVA和0.00 MW，两类方案本站主变总容量相同。弹性方案按当年各站局部极值计算的站级负载率为90%。</w:t>
      </w:r>
    </w:p>
    <w:p>
      <w:pPr>
        <w:pStyle w:val="2"/>
        <w:keepNext/>
        <w:spacing w:line="280" w:lineRule="exact" w:before="120" w:after="80"/>
        <w:ind w:firstLine="0"/>
        <w:jc w:val="center"/>
      </w:pPr>
      <w:r>
        <w:rPr>
          <w:rFonts w:ascii="Times New Roman" w:hAnsi="Times New Roman" w:eastAsia="宋体"/>
          <w:b w:val="0"/>
          <w:sz w:val="21"/>
        </w:rPr>
        <w:t xml:space="preserve">表5-18 墩集变年度配置与正向峰值正常转接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MW，转接后净负荷为55.05 MW，区域最低净负荷工况下为-35.45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四年校核截面中，本站绝对功率最大的工况出现在2025年，转接前为59.52 MW，主要表现为正向受电需求，该年设备在最大单台主变N-1后剩余容量为20.00 MVA。故障方式下本站转出40.52 MW、承接0.00 MW，其中与议堂变之间的主要转出功率为12.49 MW，转接后净负荷为19.00 MW。这一工况通过邻站分担本站故障后的正向负荷。</w:t>
      </w:r>
    </w:p>
    <w:p>
      <w:pPr>
        <w:pStyle w:val="7"/>
        <w:keepNext/>
        <w:numPr>
          <w:numId w:val="0"/>
        </w:numPr>
        <w:spacing w:line="360" w:lineRule="exact" w:before="160" w:after="120"/>
        <w:ind w:firstLine="0"/>
      </w:pPr>
      <w:bookmarkStart w:id="202" w:name="二庙变规划分析"/>
      <w:r>
        <w:rPr>
          <w:rFonts w:ascii="Times New Roman" w:hAnsi="Times New Roman" w:eastAsia="方正仿宋_GBK"/>
          <w:b/>
          <w:sz w:val="24"/>
        </w:rPr>
        <w:t xml:space="preserve">二庙变规划分析</w:t>
      </w:r>
      <w:bookmarkEnd w:id="20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该站初始主变组合为31.5+80 MVA，弹性方案四年均保留该组合，并于2025年新增0.40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2025年本站最大正向、反向净负荷分别为103.56 MW、0.00 MW。在同一需求下，刚性方案当年主变容量为111.50 MVA、储能额定功率0.00 MW，弹性方案分别为111.50 MVA和0.40 MW，两类方案本站主变总容量相同。弹性方案按当年各站局部极值计算的站级负载率为98%。</w:t>
      </w:r>
    </w:p>
    <w:p>
      <w:pPr>
        <w:pStyle w:val="2"/>
        <w:keepNext/>
        <w:spacing w:line="280" w:lineRule="exact" w:before="120" w:after="80"/>
        <w:ind w:firstLine="0"/>
        <w:jc w:val="center"/>
      </w:pPr>
      <w:r>
        <w:rPr>
          <w:rFonts w:ascii="Times New Roman" w:hAnsi="Times New Roman" w:eastAsia="宋体"/>
          <w:b w:val="0"/>
          <w:sz w:val="21"/>
        </w:rPr>
        <w:t xml:space="preserve">表5-19 二庙变年度配置与正向峰值正常转接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MW，转接后净负荷为89.75 MW，区域最低净负荷工况下为31.86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MVA，两代表工况重新转供后的本站净负荷分别为30.25 MW、30.25 MW，两方向最小容量余量为0.00 MW，正向储能有效支撑功率为0.33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四年校核截面中，本站绝对功率最大的工况出现在2025年，转接前为103.56 MW，主要表现为正向受电需求，该年设备在最大单台主变N-1后剩余容量为31.50 MVA。故障方式下本站转出73.31 MW、承接0.00 MW，其中与河湾变之间的主要转出功率为19.38 MW，转接后净负荷为30.25 MW。这一工况通过邻站分担本站故障后的正向负荷。</w:t>
      </w:r>
    </w:p>
    <w:p>
      <w:pPr>
        <w:pStyle w:val="7"/>
        <w:keepNext/>
        <w:numPr>
          <w:numId w:val="0"/>
        </w:numPr>
        <w:spacing w:line="360" w:lineRule="exact" w:before="160" w:after="120"/>
        <w:ind w:firstLine="0"/>
      </w:pPr>
      <w:bookmarkStart w:id="203" w:name="坊上变规划分析"/>
      <w:r>
        <w:rPr>
          <w:rFonts w:ascii="Times New Roman" w:hAnsi="Times New Roman" w:eastAsia="方正仿宋_GBK"/>
          <w:b/>
          <w:sz w:val="24"/>
        </w:rPr>
        <w:t xml:space="preserve">坊上变规划分析</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2025年本站最大正向、反向净负荷分别为39.89 MW、29.68 MW。在同一需求下，刚性方案当年主变容量为71.50 MVA、储能额定功率0.00 MW，弹性方案分别为71.50 MVA和0.00 MW，两类方案本站主变总容量相同。弹性方案按当年各站局部极值计算的站级负载率为59%。</w:t>
      </w:r>
    </w:p>
    <w:p>
      <w:pPr>
        <w:pStyle w:val="2"/>
        <w:keepNext/>
        <w:spacing w:line="280" w:lineRule="exact" w:before="120" w:after="80"/>
        <w:ind w:firstLine="0"/>
        <w:jc w:val="center"/>
      </w:pPr>
      <w:r>
        <w:rPr>
          <w:rFonts w:ascii="Times New Roman" w:hAnsi="Times New Roman" w:eastAsia="宋体"/>
          <w:b w:val="0"/>
          <w:sz w:val="21"/>
        </w:rPr>
        <w:t xml:space="preserve">表5-20 坊上变年度配置与正向峰值正常转接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MW，转接后净负荷为37.87 MW，区域最低净负荷工况下为-29.68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MVA，两代表工况重新转供后的本站净负荷分别为29.93 MW、-29.68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四年校核截面中，本站绝对功率最大的工况出现在2025年，转接前为39.89 MW，主要表现为正向受电需求，该年设备在最大单台主变N-1后剩余容量为31.50 MVA。故障方式下本站转出9.96 MW、承接0.00 MW，其中与戴圩变之间的主要转出功率为9.91 MW，转接后净负荷为29.93 MW。这一工况通过邻站分担本站故障后的正向负荷。</w:t>
      </w:r>
    </w:p>
    <w:p>
      <w:pPr>
        <w:pStyle w:val="7"/>
        <w:keepNext/>
        <w:numPr>
          <w:numId w:val="0"/>
        </w:numPr>
        <w:spacing w:line="360" w:lineRule="exact" w:before="160" w:after="120"/>
        <w:ind w:firstLine="0"/>
      </w:pPr>
      <w:bookmarkStart w:id="204" w:name="富山变规划分析"/>
      <w:r>
        <w:rPr>
          <w:rFonts w:ascii="Times New Roman" w:hAnsi="Times New Roman" w:eastAsia="方正仿宋_GBK"/>
          <w:b/>
          <w:sz w:val="24"/>
        </w:rPr>
        <w:t xml:space="preserve">富山变规划分析</w:t>
      </w:r>
      <w:bookmarkEnd w:id="20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MVA，弹性方案2022年20 MVA更换为31.5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2025年本站最大正向、反向净负荷分别为27.54 MW、27.00 MW。在同一需求下，刚性方案当年主变容量为81.50 MVA、储能额定功率0.00 MW，弹性方案分别为81.50 MVA和0.00 MW，两类方案本站主变总容量相同。弹性方案按当年各站局部极值计算的站级负载率为36%。</w:t>
      </w:r>
    </w:p>
    <w:p>
      <w:pPr>
        <w:pStyle w:val="2"/>
        <w:keepNext/>
        <w:spacing w:line="280" w:lineRule="exact" w:before="120" w:after="80"/>
        <w:ind w:firstLine="0"/>
        <w:jc w:val="center"/>
      </w:pPr>
      <w:r>
        <w:rPr>
          <w:rFonts w:ascii="Times New Roman" w:hAnsi="Times New Roman" w:eastAsia="宋体"/>
          <w:b w:val="0"/>
          <w:sz w:val="21"/>
        </w:rPr>
        <w:t xml:space="preserve">表5-21 富山变年度配置与正向峰值正常转接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MW，转接后净负荷为26.59 MW，区域最低净负荷工况下为-19.32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MVA，两代表工况重新转供后的本站净负荷分别为26.59 MW、-19.32 MW，两方向最小容量余量为3.33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四年校核截面中，本站绝对功率最大的工况出现在2025年，转接前为27.54 MW，主要表现为正向受电需求，该年设备在最大单台主变N-1后剩余容量为31.50 MVA。该工况本站由剩余主变满足承载要求。</w:t>
      </w:r>
    </w:p>
    <w:p>
      <w:pPr>
        <w:pStyle w:val="7"/>
        <w:keepNext/>
        <w:numPr>
          <w:numId w:val="0"/>
        </w:numPr>
        <w:spacing w:line="360" w:lineRule="exact" w:before="160" w:after="120"/>
        <w:ind w:firstLine="0"/>
      </w:pPr>
      <w:bookmarkStart w:id="205" w:name="河湾变规划分析"/>
      <w:r>
        <w:rPr>
          <w:rFonts w:ascii="Times New Roman" w:hAnsi="Times New Roman" w:eastAsia="方正仿宋_GBK"/>
          <w:b/>
          <w:sz w:val="24"/>
        </w:rPr>
        <w:t xml:space="preserve">河湾变规划分析</w:t>
      </w:r>
      <w:bookmarkEnd w:id="20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2025年本站最大正向、反向净负荷分别为73.11 MW、4.58 MW。在同一需求下，刚性方案当年主变容量为100.00 MVA、储能额定功率0.00 MW，弹性方案分别为100.00 MVA和0.00 MW，两类方案本站主变总容量相同。弹性方案按当年各站局部极值计算的站级负载率为77%。</w:t>
      </w:r>
    </w:p>
    <w:p>
      <w:pPr>
        <w:pStyle w:val="2"/>
        <w:keepNext/>
        <w:spacing w:line="280" w:lineRule="exact" w:before="120" w:after="80"/>
        <w:ind w:firstLine="0"/>
        <w:jc w:val="center"/>
      </w:pPr>
      <w:r>
        <w:rPr>
          <w:rFonts w:ascii="Times New Roman" w:hAnsi="Times New Roman" w:eastAsia="宋体"/>
          <w:b w:val="0"/>
          <w:sz w:val="21"/>
        </w:rPr>
        <w:t xml:space="preserve">表5-22 河湾变年度配置与正向峰值正常转接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MW，转接后净负荷为71.29 MW，区域最低净负荷工况下为-3.50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MW、-3.50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四年校核截面中，本站绝对功率最大的工况出现在2025年，转接前为73.11 MW，主要表现为正向受电需求，该年设备在最大单台主变N-1后剩余容量为20.00 MVA。故障方式下本站转出54.11 MW、承接0.00 MW，其中与邳州变之间的主要转出功率为13.05 MW，转接后净负荷为19.00 MW。这一工况通过邻站分担本站故障后的正向负荷。</w:t>
      </w:r>
    </w:p>
    <w:p>
      <w:pPr>
        <w:pStyle w:val="7"/>
        <w:keepNext/>
        <w:numPr>
          <w:numId w:val="0"/>
        </w:numPr>
        <w:spacing w:line="360" w:lineRule="exact" w:before="160" w:after="120"/>
        <w:ind w:firstLine="0"/>
      </w:pPr>
      <w:bookmarkStart w:id="206" w:name="邳城变规划分析"/>
      <w:r>
        <w:rPr>
          <w:rFonts w:ascii="Times New Roman" w:hAnsi="Times New Roman" w:eastAsia="方正仿宋_GBK"/>
          <w:b/>
          <w:sz w:val="24"/>
        </w:rPr>
        <w:t xml:space="preserve">邳城变规划分析</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MVA，弹性方案2022年20 MVA更换为31.5 MVA，并于2025年新增1.10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2025年本站最大正向、反向净负荷分别为22.90 MW、30.97 MW。在同一需求下，刚性方案当年主变容量为81.50 MVA、储能额定功率7.80 MW，弹性方案分别为81.50 MVA和1.10 MW，两类方案本站主变总容量相同。弹性方案按当年各站局部极值计算的站级负载率为40%。</w:t>
      </w:r>
    </w:p>
    <w:p>
      <w:pPr>
        <w:pStyle w:val="2"/>
        <w:keepNext/>
        <w:spacing w:line="280" w:lineRule="exact" w:before="120" w:after="80"/>
        <w:ind w:firstLine="0"/>
        <w:jc w:val="center"/>
      </w:pPr>
      <w:r>
        <w:rPr>
          <w:rFonts w:ascii="Times New Roman" w:hAnsi="Times New Roman" w:eastAsia="宋体"/>
          <w:b w:val="0"/>
          <w:sz w:val="21"/>
        </w:rPr>
        <w:t xml:space="preserve">表5-23 邳城变年度配置与正向峰值正常转接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MW，转接后净负荷为22.90 MW，区域最低净负荷工况下为-28.74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MVA，两代表工况重新转供后的本站净负荷分别为22.90 MW、-28.74 MW，两方向最小容量余量为2.28 MW，正向储能有效支撑功率为0.90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四年校核截面中，本站绝对功率最大的工况出现在2025年，转接前为-30.97 MW，主要表现为反向输送需求，该年设备在最大单台主变N-1后剩余容量为31.50 MVA。该工况本站未发生站间转接，储能相应方向有效支撑1.10 MW，与剩余主变共同满足承载要求。</w:t>
      </w:r>
    </w:p>
    <w:p>
      <w:pPr>
        <w:pStyle w:val="7"/>
        <w:keepNext/>
        <w:numPr>
          <w:numId w:val="0"/>
        </w:numPr>
        <w:spacing w:line="360" w:lineRule="exact" w:before="160" w:after="120"/>
        <w:ind w:firstLine="0"/>
      </w:pPr>
      <w:bookmarkStart w:id="207" w:name="邳州变规划分析"/>
      <w:r>
        <w:rPr>
          <w:rFonts w:ascii="Times New Roman" w:hAnsi="Times New Roman" w:eastAsia="方正仿宋_GBK"/>
          <w:b/>
          <w:sz w:val="24"/>
        </w:rPr>
        <w:t xml:space="preserve">邳州变规划分析</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2025年本站最大正向、反向净负荷分别为69.39 MW、0.00 MW。在同一需求下，刚性方案当年主变容量为111.50 MVA、储能额定功率0.00 MW，弹性方案分别为111.50 MVA和0.00 MW，两类方案本站主变总容量相同。弹性方案按当年各站局部极值计算的站级负载率为66%。</w:t>
      </w:r>
    </w:p>
    <w:p>
      <w:pPr>
        <w:pStyle w:val="2"/>
        <w:keepNext/>
        <w:spacing w:line="280" w:lineRule="exact" w:before="120" w:after="80"/>
        <w:ind w:firstLine="0"/>
        <w:jc w:val="center"/>
      </w:pPr>
      <w:r>
        <w:rPr>
          <w:rFonts w:ascii="Times New Roman" w:hAnsi="Times New Roman" w:eastAsia="宋体"/>
          <w:b w:val="0"/>
          <w:sz w:val="21"/>
        </w:rPr>
        <w:t xml:space="preserve">表5-24 邳州变年度配置与正向峰值正常转接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MW，转接后净负荷为67.97 MW，区域最低净负荷工况下为11.99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MVA，两代表工况重新转供后的本站净负荷分别为29.93 MW、11.99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四年校核截面中，本站绝对功率最大的工况出现在2025年，转接前为69.39 MW，主要表现为正向受电需求，该年设备在最大单台主变N-1后剩余容量为31.50 MVA。故障方式下本站转出39.46 MW、承接0.00 MW，其中与二庙变之间的主要转出功率为11.23 MW，转接后净负荷为29.93 MW。这一工况通过邻站分担本站故障后的正向负荷。</w:t>
      </w:r>
    </w:p>
    <w:p>
      <w:pPr>
        <w:pStyle w:val="7"/>
        <w:keepNext/>
        <w:numPr>
          <w:numId w:val="0"/>
        </w:numPr>
        <w:spacing w:line="360" w:lineRule="exact" w:before="160" w:after="120"/>
        <w:ind w:firstLine="0"/>
      </w:pPr>
      <w:bookmarkStart w:id="208" w:name="宿羊山变规划分析"/>
      <w:r>
        <w:rPr>
          <w:rFonts w:ascii="Times New Roman" w:hAnsi="Times New Roman" w:eastAsia="方正仿宋_GBK"/>
          <w:b/>
          <w:sz w:val="24"/>
        </w:rPr>
        <w:t xml:space="preserve">宿羊山变规划分析</w:t>
      </w:r>
      <w:bookmarkEnd w:id="20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MVA，弹性方案四年均保留该组合，并于2025年新增1.10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2025年本站最大正向、反向净负荷分别为61.43 MW、30.80 MW。在同一需求下，刚性方案当年主变容量为71.50 MVA、储能额定功率1.10 MW，弹性方案分别为71.50 MVA和1.10 MW，两类方案本站主变总容量相同。弹性方案按当年各站局部极值计算的站级负载率为90%。</w:t>
      </w:r>
    </w:p>
    <w:p>
      <w:pPr>
        <w:pStyle w:val="2"/>
        <w:keepNext/>
        <w:spacing w:line="280" w:lineRule="exact" w:before="120" w:after="80"/>
        <w:ind w:firstLine="0"/>
        <w:jc w:val="center"/>
      </w:pPr>
      <w:r>
        <w:rPr>
          <w:rFonts w:ascii="Times New Roman" w:hAnsi="Times New Roman" w:eastAsia="宋体"/>
          <w:b w:val="0"/>
          <w:sz w:val="21"/>
        </w:rPr>
        <w:t xml:space="preserve">表5-25 宿羊山变年度配置与正向峰值正常转接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MW，转接后净负荷为61.43 MW，区域最低净负荷工况下为-22.13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MVA，两代表工况重新转供后的本站净负荷分别为30.82 MW、-22.13 MW，两方向最小容量余量为0.00 MW，正向储能有效支撑功率为0.90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四年校核截面中，本站绝对功率最大的工况出现在2025年，转接前为61.43 MW，主要表现为正向受电需求，该年设备在最大单台主变N-1后剩余容量为31.50 MVA。故障方式下本站转出30.60 MW、承接0.00 MW，其中与大宋变之间的主要转出功率为25.18 MW，转接后净负荷为30.82 MW。这一工况通过邻站分担本站故障后的正向负荷。</w:t>
      </w:r>
    </w:p>
    <w:p>
      <w:pPr>
        <w:pStyle w:val="7"/>
        <w:keepNext/>
        <w:numPr>
          <w:numId w:val="0"/>
        </w:numPr>
        <w:spacing w:line="360" w:lineRule="exact" w:before="160" w:after="120"/>
        <w:ind w:firstLine="0"/>
      </w:pPr>
      <w:bookmarkStart w:id="209" w:name="铁富变规划分析"/>
      <w:r>
        <w:rPr>
          <w:rFonts w:ascii="Times New Roman" w:hAnsi="Times New Roman" w:eastAsia="方正仿宋_GBK"/>
          <w:b/>
          <w:sz w:val="24"/>
        </w:rPr>
        <w:t xml:space="preserve">铁富变规划分析</w:t>
      </w:r>
      <w:bookmarkEnd w:id="20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MVA，弹性方案2022年31.5 MVA更换为63 MVA，40 MVA更换为63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2025年本站最大正向、反向净负荷分别为84.82 MW、57.21 MW。在同一需求下，刚性方案当年主变容量为126.00 MVA、储能额定功率0.00 MW，弹性方案分别为126.00 MVA和0.00 MW，两类方案本站主变总容量相同。弹性方案按当年各站局部极值计算的站级负载率为71%。</w:t>
      </w:r>
    </w:p>
    <w:p>
      <w:pPr>
        <w:pStyle w:val="2"/>
        <w:keepNext/>
        <w:spacing w:line="280" w:lineRule="exact" w:before="120" w:after="80"/>
        <w:ind w:firstLine="0"/>
        <w:jc w:val="center"/>
      </w:pPr>
      <w:r>
        <w:rPr>
          <w:rFonts w:ascii="Times New Roman" w:hAnsi="Times New Roman" w:eastAsia="宋体"/>
          <w:b w:val="0"/>
          <w:sz w:val="21"/>
        </w:rPr>
        <w:t xml:space="preserve">表5-26 铁富变年度配置与正向峰值正常转接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MW，转接后净负荷为82.17 MW，区域最低净负荷工况下为-52.21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MW、-52.21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四年校核截面中，本站绝对功率最大的工况出现在2025年，转接前为84.82 MW，主要表现为正向受电需求，该年设备在最大单台主变N-1后剩余容量为63.00 MVA。故障方式下本站转出24.97 MW、承接0.00 MW，其中与汶河变之间的主要转出功率为8.27 MW，转接后净负荷为59.85 MW。这一工况通过邻站分担本站故障后的正向负荷。</w:t>
      </w:r>
    </w:p>
    <w:p>
      <w:pPr>
        <w:pStyle w:val="7"/>
        <w:keepNext/>
        <w:numPr>
          <w:numId w:val="0"/>
        </w:numPr>
        <w:spacing w:line="360" w:lineRule="exact" w:before="160" w:after="120"/>
        <w:ind w:firstLine="0"/>
      </w:pPr>
      <w:bookmarkStart w:id="210" w:name="土山变规划分析"/>
      <w:r>
        <w:rPr>
          <w:rFonts w:ascii="Times New Roman" w:hAnsi="Times New Roman" w:eastAsia="方正仿宋_GBK"/>
          <w:b/>
          <w:sz w:val="24"/>
        </w:rPr>
        <w:t xml:space="preserve">土山变规划分析</w:t>
      </w:r>
      <w:bookmarkEnd w:id="21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MVA，弹性方案2022年20 MVA更换为50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2025年本站最大正向、反向净负荷分别为39.87 MW、37.65 MW。在同一需求下，刚性方案当年主变容量为100.00 MVA、储能额定功率0.00 MW，弹性方案分别为100.00 MVA和0.00 MW，两类方案本站主变总容量相同。弹性方案按当年各站局部极值计算的站级负载率为42%。</w:t>
      </w:r>
    </w:p>
    <w:p>
      <w:pPr>
        <w:pStyle w:val="2"/>
        <w:keepNext/>
        <w:spacing w:line="280" w:lineRule="exact" w:before="120" w:after="80"/>
        <w:ind w:firstLine="0"/>
        <w:jc w:val="center"/>
      </w:pPr>
      <w:r>
        <w:rPr>
          <w:rFonts w:ascii="Times New Roman" w:hAnsi="Times New Roman" w:eastAsia="宋体"/>
          <w:b w:val="0"/>
          <w:sz w:val="21"/>
        </w:rPr>
        <w:t xml:space="preserve">表5-27 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MW，转接后净负荷为39.87 MW，区域最低净负荷工况下为-36.41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MVA，两代表工况重新转供后的本站净负荷分别为39.87 MW、-36.41 MW，两方向最小容量余量为7.63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四年校核截面中，本站绝对功率最大的工况出现在2025年，转接前为39.87 MW，主要表现为正向受电需求，该年设备在最大单台主变N-1后剩余容量为50.00 MVA。该工况本站由剩余主变满足承载要求。</w:t>
      </w:r>
    </w:p>
    <w:p>
      <w:pPr>
        <w:pStyle w:val="7"/>
        <w:keepNext/>
        <w:numPr>
          <w:numId w:val="0"/>
        </w:numPr>
        <w:spacing w:line="360" w:lineRule="exact" w:before="160" w:after="120"/>
        <w:ind w:firstLine="0"/>
      </w:pPr>
      <w:bookmarkStart w:id="211" w:name="汶河变规划分析"/>
      <w:r>
        <w:rPr>
          <w:rFonts w:ascii="Times New Roman" w:hAnsi="Times New Roman" w:eastAsia="方正仿宋_GBK"/>
          <w:b/>
          <w:sz w:val="24"/>
        </w:rPr>
        <w:t xml:space="preserve">汶河变规划分析</w:t>
      </w:r>
      <w:bookmarkEnd w:id="21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该站初始主变组合为20+31.5 MVA，弹性方案2022年20 MVA更换为31.5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2025年本站最大正向、反向净负荷分别为25.93 MW、28.94 MW。在同一需求下，刚性方案当年主变容量为63.00 MVA、储能额定功率0.00 MW，弹性方案分别为63.00 MVA和0.00 MW，两类方案本站主变总容量相同。弹性方案按当年各站局部极值计算的站级负载率为48%。</w:t>
      </w:r>
    </w:p>
    <w:p>
      <w:pPr>
        <w:pStyle w:val="2"/>
        <w:keepNext/>
        <w:spacing w:line="280" w:lineRule="exact" w:before="120" w:after="80"/>
        <w:ind w:firstLine="0"/>
        <w:jc w:val="center"/>
      </w:pPr>
      <w:r>
        <w:rPr>
          <w:rFonts w:ascii="Times New Roman" w:hAnsi="Times New Roman" w:eastAsia="宋体"/>
          <w:b w:val="0"/>
          <w:sz w:val="21"/>
        </w:rPr>
        <w:t xml:space="preserve">表5-28 汶河变年度配置与正向峰值正常转接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22.81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MW，转接后净负荷为22.81 MW，区域最低净负荷工况下为-27.24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MVA，两代表工况重新转供后的本站净负荷分别为22.81 MW、-27.24 MW，两方向最小容量余量为2.69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四年校核截面中，本站绝对功率最大的工况出现在2025年，转接前为-28.94 MW，主要表现为反向输送需求，该年设备在最大单台主变N-1后剩余容量为31.50 MVA。该工况本站由剩余主变满足承载要求。</w:t>
      </w:r>
    </w:p>
    <w:p>
      <w:pPr>
        <w:pStyle w:val="7"/>
        <w:keepNext/>
        <w:numPr>
          <w:numId w:val="0"/>
        </w:numPr>
        <w:spacing w:line="360" w:lineRule="exact" w:before="160" w:after="120"/>
        <w:ind w:firstLine="0"/>
      </w:pPr>
      <w:bookmarkStart w:id="212" w:name="吴闸变规划分析"/>
      <w:r>
        <w:rPr>
          <w:rFonts w:ascii="Times New Roman" w:hAnsi="Times New Roman" w:eastAsia="方正仿宋_GBK"/>
          <w:b/>
          <w:sz w:val="24"/>
        </w:rPr>
        <w:t xml:space="preserve">吴闸变规划分析</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2025年本站最大正向、反向净负荷分别为50.21 MW、0.00 MW。在同一需求下，刚性方案当年主变容量为70.00 MVA、储能额定功率0.00 MW，弹性方案分别为70.00 MVA和0.00 MW，两类方案本站主变总容量相同。弹性方案按当年各站局部极值计算的站级负载率为76%。</w:t>
      </w:r>
    </w:p>
    <w:p>
      <w:pPr>
        <w:pStyle w:val="2"/>
        <w:keepNext/>
        <w:spacing w:line="280" w:lineRule="exact" w:before="120" w:after="80"/>
        <w:ind w:firstLine="0"/>
        <w:jc w:val="center"/>
      </w:pPr>
      <w:r>
        <w:rPr>
          <w:rFonts w:ascii="Times New Roman" w:hAnsi="Times New Roman" w:eastAsia="宋体"/>
          <w:b w:val="0"/>
          <w:sz w:val="21"/>
        </w:rPr>
        <w:t xml:space="preserve">表5-29 吴闸变年度配置与正向峰值正常转接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MW，转接后净负荷为48.18 MW，区域最低净负荷工况下为2.19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MW、2.19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四年校核截面中，本站绝对功率最大的工况出现在2025年，转接前为50.21 MW，主要表现为正向受电需求，该年设备在最大单台主变N-1后剩余容量为20.00 MVA。故障方式下本站转出31.21 MW、承接0.00 MW，其中与二庙变之间的主要转出功率为15.19 MW，转接后净负荷为19.00 MW。这一工况通过邻站分担本站故障后的正向负荷。</w:t>
      </w:r>
    </w:p>
    <w:p>
      <w:pPr>
        <w:pStyle w:val="7"/>
        <w:keepNext/>
        <w:numPr>
          <w:numId w:val="0"/>
        </w:numPr>
        <w:spacing w:line="360" w:lineRule="exact" w:before="160" w:after="120"/>
        <w:ind w:firstLine="0"/>
      </w:pPr>
      <w:bookmarkStart w:id="213" w:name="邢楼变规划分析"/>
      <w:r>
        <w:rPr>
          <w:rFonts w:ascii="Times New Roman" w:hAnsi="Times New Roman" w:eastAsia="方正仿宋_GBK"/>
          <w:b/>
          <w:sz w:val="24"/>
        </w:rPr>
        <w:t xml:space="preserve">邢楼变规划分析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该站初始主变组合为20+20 MVA，弹性方案2022年扩建第三台50 MVA主变，供电任务由主变及网络承担。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2025年本站最大正向、反向净负荷分别为19.20 MW、35.38 MW。在同一需求下，刚性方案当年主变容量为113.00 MVA、储能额定功率1.10 MW，弹性方案分别为90.00 MVA和0.00 MW，弹性方案本站容量减少23.00 MVA。弹性方案按当年各站局部极值计算的站级负载率为41%。</w:t>
      </w:r>
    </w:p>
    <w:p>
      <w:pPr>
        <w:pStyle w:val="2"/>
        <w:keepNext/>
        <w:spacing w:line="280" w:lineRule="exact" w:before="120" w:after="80"/>
        <w:ind w:firstLine="0"/>
        <w:jc w:val="center"/>
      </w:pPr>
      <w:r>
        <w:rPr>
          <w:rFonts w:ascii="Times New Roman" w:hAnsi="Times New Roman" w:eastAsia="宋体"/>
          <w:b w:val="0"/>
          <w:sz w:val="21"/>
        </w:rPr>
        <w:t xml:space="preserve">表5-30 邢楼变年度配置与正向峰值正常转接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MW，转接后净负荷为15.68 MW，区域最低净负荷工况下为-29.65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MVA，两代表工况重新转供后的本站净负荷分别为15.68 MW、-29.65 MW，两方向最小容量余量为8.35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四年校核截面中，本站绝对功率最大的工况出现在2025年，转接前为-35.38 MW，主要表现为反向输送需求，该年设备在最大单台主变N-1后剩余容量为40.00 MVA。该工况本站由剩余主变满足承载要求。</w:t>
      </w:r>
    </w:p>
    <w:p>
      <w:pPr>
        <w:pStyle w:val="7"/>
        <w:keepNext/>
        <w:numPr>
          <w:numId w:val="0"/>
        </w:numPr>
        <w:spacing w:line="360" w:lineRule="exact" w:before="160" w:after="120"/>
        <w:ind w:firstLine="0"/>
      </w:pPr>
      <w:bookmarkStart w:id="214" w:name="兴塘变规划分析"/>
      <w:r>
        <w:rPr>
          <w:rFonts w:ascii="Times New Roman" w:hAnsi="Times New Roman" w:eastAsia="方正仿宋_GBK"/>
          <w:b/>
          <w:sz w:val="24"/>
        </w:rPr>
        <w:t xml:space="preserve">兴塘变规划分析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该站初始主变组合为20+20 MVA，弹性方案2022年20 MVA更换为31.5 MVA，20 MVA更换为31.5 MVA，并于2025年新增0.80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2025年本站最大正向、反向净负荷分别为39.15 MW、30.66 MW。在同一需求下，刚性方案当年主变容量为40.00 MVA、储能额定功率11.70 MW，弹性方案分别为63.00 MVA和0.80 MW，弹性方案本站增加23.00 MVA容量。弹性方案按当年各站局部极值计算的站级负载率为65%。</w:t>
      </w:r>
    </w:p>
    <w:p>
      <w:pPr>
        <w:pStyle w:val="2"/>
        <w:keepNext/>
        <w:spacing w:line="280" w:lineRule="exact" w:before="120" w:after="80"/>
        <w:ind w:firstLine="0"/>
        <w:jc w:val="center"/>
      </w:pPr>
      <w:r>
        <w:rPr>
          <w:rFonts w:ascii="Times New Roman" w:hAnsi="Times New Roman" w:eastAsia="宋体"/>
          <w:b w:val="0"/>
          <w:sz w:val="21"/>
        </w:rPr>
        <w:t xml:space="preserve">表5-31 兴塘变年度配置与正向峰值正常转接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MW，转接后净负荷为39.15 MW，区域最低净负荷工况下为-30.66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MVA，两代表工况重新转供后的本站净负荷分别为30.58 MW、-30.66 MW，两方向最小容量余量为0.00 MW，正向储能有效支撑功率为0.65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四年校核截面中，本站绝对功率最大的工况出现在2025年，转接前为39.15 MW，主要表现为正向受电需求，该年设备在最大单台主变N-1后剩余容量为31.50 MVA。故障方式下本站转出8.57 MW、承接0.00 MW，其中与议堂变之间的主要转出功率为4.84 MW，转接后净负荷为30.58 MW。这一工况通过邻站分担本站故障后的正向负荷。</w:t>
      </w:r>
    </w:p>
    <w:p>
      <w:pPr>
        <w:pStyle w:val="7"/>
        <w:keepNext/>
        <w:numPr>
          <w:numId w:val="0"/>
        </w:numPr>
        <w:spacing w:line="360" w:lineRule="exact" w:before="160" w:after="120"/>
        <w:ind w:firstLine="0"/>
      </w:pPr>
      <w:bookmarkStart w:id="215" w:name="议堂变规划分析"/>
      <w:r>
        <w:rPr>
          <w:rFonts w:ascii="Times New Roman" w:hAnsi="Times New Roman" w:eastAsia="方正仿宋_GBK"/>
          <w:b/>
          <w:sz w:val="24"/>
        </w:rPr>
        <w:t xml:space="preserve">议堂变规划分析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2025年本站最大正向、反向净负荷分别为34.43 MW、22.89 MW。在同一需求下，刚性方案当年主变容量为70.00 MVA、储能额定功率0.00 MW，弹性方案分别为70.00 MVA和0.00 MW，两类方案本站主变总容量相同。弹性方案按当年各站局部极值计算的站级负载率为52%。</w:t>
      </w:r>
    </w:p>
    <w:p>
      <w:pPr>
        <w:pStyle w:val="2"/>
        <w:keepNext/>
        <w:spacing w:line="280" w:lineRule="exact" w:before="120" w:after="80"/>
        <w:ind w:firstLine="0"/>
        <w:jc w:val="center"/>
      </w:pPr>
      <w:r>
        <w:rPr>
          <w:rFonts w:ascii="Times New Roman" w:hAnsi="Times New Roman" w:eastAsia="宋体"/>
          <w:b w:val="0"/>
          <w:sz w:val="21"/>
        </w:rPr>
        <w:t xml:space="preserve">表5-32 议堂变年度配置与正向峰值正常转接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MW、承接7.65 MW，转接后净负荷为42.08 MW，区域最低净负荷工况下为-21.58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四年校核截面中，本站绝对功率最大的工况出现在2025年，转接前为34.43 MW，主要表现为正向受电需求，该年设备在最大单台主变N-1后剩余容量为20.00 MVA。故障方式下本站转出15.43 MW、承接0.00 MW，其中与河湾变之间的主要转出功率为15.43 MW，转接后净负荷为19.00 MW。这一工况通过邻站分担本站故障后的正向负荷。</w:t>
      </w:r>
    </w:p>
    <w:p>
      <w:pPr>
        <w:pStyle w:val="5"/>
        <w:keepNext/>
        <w:numPr>
          <w:numId w:val="0"/>
        </w:numPr>
        <w:spacing w:line="390" w:lineRule="exact" w:before="160" w:after="120"/>
        <w:ind w:firstLine="0"/>
      </w:pPr>
      <w:bookmarkStart w:id="216" w:name="市区逐站规划方案"/>
      <w:r>
        <w:rPr>
          <w:rFonts w:ascii="Times New Roman" w:hAnsi="Times New Roman" w:eastAsia="方正仿宋_GBK"/>
          <w:b/>
          <w:sz w:val="26"/>
        </w:rPr>
        <w:t xml:space="preserve">5.4.6 市区逐站规划方案</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17" w:name="大黄山变规划分析"/>
      <w:r>
        <w:rPr>
          <w:rFonts w:ascii="Times New Roman" w:hAnsi="Times New Roman" w:eastAsia="方正仿宋_GBK"/>
          <w:b/>
          <w:sz w:val="24"/>
        </w:rPr>
        <w:t xml:space="preserve">大黄山变规划分析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2025年本站最大正向、反向净负荷分别为32.29 MW、35.73 MW。在同一需求下，刚性方案当年主变容量为103.00 MVA、储能额定功率0.00 MW，弹性方案分别为103.00 MVA和0.00 MW，两类方案本站主变总容量相同。弹性方案按当年各站局部极值计算的站级负载率为37%。</w:t>
      </w:r>
    </w:p>
    <w:p>
      <w:pPr>
        <w:pStyle w:val="2"/>
        <w:keepNext/>
        <w:spacing w:line="280" w:lineRule="exact" w:before="120" w:after="80"/>
        <w:ind w:firstLine="0"/>
        <w:jc w:val="center"/>
      </w:pPr>
      <w:r>
        <w:rPr>
          <w:rFonts w:ascii="Times New Roman" w:hAnsi="Times New Roman" w:eastAsia="宋体"/>
          <w:b w:val="0"/>
          <w:sz w:val="21"/>
        </w:rPr>
        <w:t xml:space="preserve">表5-33 大黄山变年度配置与正向峰值正常转接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MW，转接后净负荷为30.59 MW，区域最低净负荷工况下为-32.17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MVA，两代表工况重新转供后的本站净负荷分别为30.59 MW、-32.17 MW，两方向最小容量余量为5.83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四年校核截面中，本站绝对功率最大的工况出现在2023年，转接前为-36.05 MW，主要表现为反向输送需求，该年设备在最大单台主变N-1后剩余容量为40.00 MVA。该工况本站由剩余主变满足承载要求。</w:t>
      </w:r>
    </w:p>
    <w:p>
      <w:pPr>
        <w:pStyle w:val="7"/>
        <w:keepNext/>
        <w:numPr>
          <w:numId w:val="0"/>
        </w:numPr>
        <w:spacing w:line="360" w:lineRule="exact" w:before="160" w:after="120"/>
        <w:ind w:firstLine="0"/>
      </w:pPr>
      <w:bookmarkStart w:id="218" w:name="大庙变规划分析"/>
      <w:r>
        <w:rPr>
          <w:rFonts w:ascii="Times New Roman" w:hAnsi="Times New Roman" w:eastAsia="方正仿宋_GBK"/>
          <w:b/>
          <w:sz w:val="24"/>
        </w:rPr>
        <w:t xml:space="preserve">大庙变规划分析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2025年本站最大正向、反向净负荷分别为70.32 MW、8.70 MW。在同一需求下，刚性方案当年主变容量为90.00 MVA、储能额定功率0.00 MW，弹性方案分别为90.00 MVA和0.00 MW，两类方案本站主变总容量相同。弹性方案按当年各站局部极值计算的站级负载率为82%。</w:t>
      </w:r>
    </w:p>
    <w:p>
      <w:pPr>
        <w:pStyle w:val="2"/>
        <w:keepNext/>
        <w:spacing w:line="280" w:lineRule="exact" w:before="120" w:after="80"/>
        <w:ind w:firstLine="0"/>
        <w:jc w:val="center"/>
      </w:pPr>
      <w:r>
        <w:rPr>
          <w:rFonts w:ascii="Times New Roman" w:hAnsi="Times New Roman" w:eastAsia="宋体"/>
          <w:b w:val="0"/>
          <w:sz w:val="21"/>
        </w:rPr>
        <w:t xml:space="preserve">表5-34 大庙变年度配置与正向峰值正常转接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MW，转接后净负荷为69.73 MW，区域最低净负荷工况下为1.68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MW、1.68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四年校核截面中，本站绝对功率最大的工况出现在2023年，转接前为70.93 MW，主要表现为正向受电需求，该年设备在最大单台主变N-1后剩余容量为40.00 MVA。故障方式下本站转出32.93 MW、承接0.00 MW，其中与龙湖变之间的主要转出功率为13.08 MW，转接后净负荷为38.00 MW。这一工况通过邻站分担本站故障后的正向负荷。</w:t>
      </w:r>
    </w:p>
    <w:p>
      <w:pPr>
        <w:pStyle w:val="7"/>
        <w:keepNext/>
        <w:numPr>
          <w:numId w:val="0"/>
        </w:numPr>
        <w:spacing w:line="360" w:lineRule="exact" w:before="160" w:after="120"/>
        <w:ind w:firstLine="0"/>
      </w:pPr>
      <w:bookmarkStart w:id="219" w:name="堤北变规划分析"/>
      <w:r>
        <w:rPr>
          <w:rFonts w:ascii="Times New Roman" w:hAnsi="Times New Roman" w:eastAsia="方正仿宋_GBK"/>
          <w:b/>
          <w:sz w:val="24"/>
        </w:rPr>
        <w:t xml:space="preserve">堤北变规划分析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2025年本站最大正向、反向净负荷分别为102.93 MW、0.00 MW。在同一需求下，刚性方案当年主变容量为126.00 MVA、储能额定功率0.00 MW，弹性方案分别为126.00 MVA和0.00 MW，两类方案本站主变总容量相同。弹性方案按当年各站局部极值计算的站级负载率为86%。</w:t>
      </w:r>
    </w:p>
    <w:p>
      <w:pPr>
        <w:pStyle w:val="2"/>
        <w:keepNext/>
        <w:spacing w:line="280" w:lineRule="exact" w:before="120" w:after="80"/>
        <w:ind w:firstLine="0"/>
        <w:jc w:val="center"/>
      </w:pPr>
      <w:r>
        <w:rPr>
          <w:rFonts w:ascii="Times New Roman" w:hAnsi="Times New Roman" w:eastAsia="宋体"/>
          <w:b w:val="0"/>
          <w:sz w:val="21"/>
        </w:rPr>
        <w:t xml:space="preserve">表5-35 堤北变年度配置与正向峰值正常转接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95.25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95.25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MW，转接后净负荷为100.47 MW，区域最低净负荷工况下为32.89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MW、32.89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四年校核截面中，本站绝对功率最大的工况出现在2023年，转接前为103.83 MW，主要表现为正向受电需求，该年设备在最大单台主变N-1后剩余容量为63.00 MVA。故障方式下本站转出43.98 MW、承接0.00 MW，其中与彭场变之间的主要转出功率为25.50 MW，转接后净负荷为59.85 MW。这一工况通过邻站分担本站故障后的正向负荷。</w:t>
      </w:r>
    </w:p>
    <w:p>
      <w:pPr>
        <w:pStyle w:val="7"/>
        <w:keepNext/>
        <w:numPr>
          <w:numId w:val="0"/>
        </w:numPr>
        <w:spacing w:line="360" w:lineRule="exact" w:before="160" w:after="120"/>
        <w:ind w:firstLine="0"/>
      </w:pPr>
      <w:bookmarkStart w:id="220" w:name="翟山变规划分析"/>
      <w:r>
        <w:rPr>
          <w:rFonts w:ascii="Times New Roman" w:hAnsi="Times New Roman" w:eastAsia="方正仿宋_GBK"/>
          <w:b/>
          <w:sz w:val="24"/>
        </w:rPr>
        <w:t xml:space="preserve">翟山变规划分析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该站初始主变组合为40+80 MVA，弹性方案2022年40 MVA更换为63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2025年本站最大正向、反向净负荷分别为95.63 MW、0.00 MW。在同一需求下，刚性方案当年主变容量为120.00 MVA、储能额定功率0.00 MW，弹性方案分别为143.00 MVA和0.00 MW，弹性方案本站增加23.00 MVA容量。弹性方案按当年各站局部极值计算的站级负载率为70%。</w:t>
      </w:r>
    </w:p>
    <w:p>
      <w:pPr>
        <w:pStyle w:val="2"/>
        <w:keepNext/>
        <w:spacing w:line="280" w:lineRule="exact" w:before="120" w:after="80"/>
        <w:ind w:firstLine="0"/>
        <w:jc w:val="center"/>
      </w:pPr>
      <w:r>
        <w:rPr>
          <w:rFonts w:ascii="Times New Roman" w:hAnsi="Times New Roman" w:eastAsia="宋体"/>
          <w:b w:val="0"/>
          <w:sz w:val="21"/>
        </w:rPr>
        <w:t xml:space="preserve">表5-36 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82.49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MW，转接后净负荷为87.01 MW，区域最低净负荷工况下为26.76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MW、26.76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四年校核截面中，本站绝对功率最大的工况出现在2023年，转接前为96.46 MW，主要表现为正向受电需求，该年设备在最大单台主变N-1后剩余容量为63.00 MVA。故障方式下本站转出36.61 MW、承接0.00 MW，其中与古彭变之间的主要转出功率为27.51 MW，转接后净负荷为59.85 MW。这一工况通过邻站分担本站故障后的正向负荷。</w:t>
      </w:r>
    </w:p>
    <w:p>
      <w:pPr>
        <w:pStyle w:val="7"/>
        <w:keepNext/>
        <w:numPr>
          <w:numId w:val="0"/>
        </w:numPr>
        <w:spacing w:line="360" w:lineRule="exact" w:before="160" w:after="120"/>
        <w:ind w:firstLine="0"/>
      </w:pPr>
      <w:bookmarkStart w:id="221" w:name="古彭变规划分析"/>
      <w:r>
        <w:rPr>
          <w:rFonts w:ascii="Times New Roman" w:hAnsi="Times New Roman" w:eastAsia="方正仿宋_GBK"/>
          <w:b/>
          <w:sz w:val="24"/>
        </w:rPr>
        <w:t xml:space="preserve">古彭变规划分析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2025年本站最大正向、反向净负荷分别为84.10 MW、0.00 MW。在同一需求下，刚性方案当年主变容量为130.00 MVA、储能额定功率0.00 MW，弹性方案分别为130.00 MVA和0.00 MW，两类方案本站主变总容量相同。弹性方案按当年各站局部极值计算的站级负载率为68%。</w:t>
      </w:r>
    </w:p>
    <w:p>
      <w:pPr>
        <w:pStyle w:val="2"/>
        <w:keepNext/>
        <w:spacing w:line="280" w:lineRule="exact" w:before="120" w:after="80"/>
        <w:ind w:firstLine="0"/>
        <w:jc w:val="center"/>
      </w:pPr>
      <w:r>
        <w:rPr>
          <w:rFonts w:ascii="Times New Roman" w:hAnsi="Times New Roman" w:eastAsia="宋体"/>
          <w:b w:val="0"/>
          <w:sz w:val="21"/>
        </w:rPr>
        <w:t xml:space="preserve">表5-37 古彭变年度配置与正向峰值正常转接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58.82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MW，转接后净负荷为60.03 MW，区域最低净负荷工况下为24.10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MVA，两代表工况重新转供后的本站净负荷分别为47.50 MW、24.10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四年校核截面中，本站绝对功率最大的工况出现在2023年，转接前为84.84 MW，主要表现为正向受电需求，该年设备在最大单台主变N-1后剩余容量为50.00 MVA。故障方式下本站转出37.34 MW、承接0.00 MW，其中与吴庄变之间的主要转出功率为19.58 MW，转接后净负荷为47.50 MW。这一工况通过邻站分担本站故障后的正向负荷。</w:t>
      </w:r>
    </w:p>
    <w:p>
      <w:pPr>
        <w:pStyle w:val="7"/>
        <w:keepNext/>
        <w:numPr>
          <w:numId w:val="0"/>
        </w:numPr>
        <w:spacing w:line="360" w:lineRule="exact" w:before="160" w:after="120"/>
        <w:ind w:firstLine="0"/>
      </w:pPr>
      <w:bookmarkStart w:id="222" w:name="花园变规划分析"/>
      <w:r>
        <w:rPr>
          <w:rFonts w:ascii="Times New Roman" w:hAnsi="Times New Roman" w:eastAsia="方正仿宋_GBK"/>
          <w:b/>
          <w:sz w:val="24"/>
        </w:rPr>
        <w:t xml:space="preserve">花园变规划分析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2025年本站最大正向、反向净负荷分别为63.57 MW、0.00 MW。在同一需求下，刚性方案当年主变容量为80.00 MVA、储能额定功率0.00 MW，弹性方案分别为80.00 MVA和0.00 MW，两类方案本站主变总容量相同。弹性方案按当年各站局部极值计算的站级负载率为84%。</w:t>
      </w:r>
    </w:p>
    <w:p>
      <w:pPr>
        <w:pStyle w:val="2"/>
        <w:keepNext/>
        <w:spacing w:line="280" w:lineRule="exact" w:before="120" w:after="80"/>
        <w:ind w:firstLine="0"/>
        <w:jc w:val="center"/>
      </w:pPr>
      <w:r>
        <w:rPr>
          <w:rFonts w:ascii="Times New Roman" w:hAnsi="Times New Roman" w:eastAsia="宋体"/>
          <w:b w:val="0"/>
          <w:sz w:val="21"/>
        </w:rPr>
        <w:t xml:space="preserve">表5-38 花园变年度配置与正向峰值正常转接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MW，转接后净负荷为49.60 MW，区域最低净负荷工况下为19.62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MW、19.62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四年校核截面中，本站绝对功率最大的工况出现在2023年，转接前为64.13 MW，主要表现为正向受电需求，该年设备在最大单台主变N-1后剩余容量为40.00 MVA。故障方式下本站转出26.13 MW、承接0.00 MW，其中与拾屯变之间的主要转出功率为22.94 MW，转接后净负荷为38.00 MW。这一工况通过邻站分担本站故障后的正向负荷。</w:t>
      </w:r>
    </w:p>
    <w:p>
      <w:pPr>
        <w:pStyle w:val="7"/>
        <w:keepNext/>
        <w:numPr>
          <w:numId w:val="0"/>
        </w:numPr>
        <w:spacing w:line="360" w:lineRule="exact" w:before="160" w:after="120"/>
        <w:ind w:firstLine="0"/>
      </w:pPr>
      <w:bookmarkStart w:id="223" w:name="惠民变规划分析"/>
      <w:r>
        <w:rPr>
          <w:rFonts w:ascii="Times New Roman" w:hAnsi="Times New Roman" w:eastAsia="方正仿宋_GBK"/>
          <w:b/>
          <w:sz w:val="24"/>
        </w:rPr>
        <w:t xml:space="preserve">惠民变规划分析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2025年本站最大正向、反向净负荷分别为85.29 MW、0.00 MW。在同一需求下，刚性方案当年主变容量为103.00 MVA、储能额定功率0.00 MW，弹性方案分别为103.00 MVA和0.00 MW，两类方案本站主变总容量相同。弹性方案按当年各站局部极值计算的站级负载率为87%。</w:t>
      </w:r>
    </w:p>
    <w:p>
      <w:pPr>
        <w:pStyle w:val="2"/>
        <w:keepNext/>
        <w:spacing w:line="280" w:lineRule="exact" w:before="120" w:after="80"/>
        <w:ind w:firstLine="0"/>
        <w:jc w:val="center"/>
      </w:pPr>
      <w:r>
        <w:rPr>
          <w:rFonts w:ascii="Times New Roman" w:hAnsi="Times New Roman" w:eastAsia="宋体"/>
          <w:b w:val="0"/>
          <w:sz w:val="21"/>
        </w:rPr>
        <w:t xml:space="preserve">表5-39 惠民变年度配置与正向峰值正常转接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MW，转接后净负荷为74.38 MW，区域最低净负荷工况下为24.04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MW、24.04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四年校核截面中，本站绝对功率最大的工况出现在2023年，转接前为86.03 MW，主要表现为正向受电需求，该年设备在最大单台主变N-1后剩余容量为40.00 MVA。故障方式下本站转出48.03 MW、承接0.00 MW，其中与大庙变之间的主要转出功率为28.84 MW，转接后净负荷为38.00 MW。这一工况通过邻站分担本站故障后的正向负荷。</w:t>
      </w:r>
    </w:p>
    <w:p>
      <w:pPr>
        <w:pStyle w:val="7"/>
        <w:keepNext/>
        <w:numPr>
          <w:numId w:val="0"/>
        </w:numPr>
        <w:spacing w:line="360" w:lineRule="exact" w:before="160" w:after="120"/>
        <w:ind w:firstLine="0"/>
      </w:pPr>
      <w:bookmarkStart w:id="224" w:name="夹河变规划分析"/>
      <w:r>
        <w:rPr>
          <w:rFonts w:ascii="Times New Roman" w:hAnsi="Times New Roman" w:eastAsia="方正仿宋_GBK"/>
          <w:b/>
          <w:sz w:val="24"/>
        </w:rPr>
        <w:t xml:space="preserve">夹河变规划分析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2025年本站最大正向、反向净负荷分别为46.06 MW、6.81 MW。在同一需求下，刚性方案当年主变容量为80.00 MVA、储能额定功率0.00 MW，弹性方案分别为80.00 MVA和0.00 MW，两类方案本站主变总容量相同。弹性方案按当年各站局部极值计算的站级负载率为61%。</w:t>
      </w:r>
    </w:p>
    <w:p>
      <w:pPr>
        <w:pStyle w:val="2"/>
        <w:keepNext/>
        <w:spacing w:line="280" w:lineRule="exact" w:before="120" w:after="80"/>
        <w:ind w:firstLine="0"/>
        <w:jc w:val="center"/>
      </w:pPr>
      <w:r>
        <w:rPr>
          <w:rFonts w:ascii="Times New Roman" w:hAnsi="Times New Roman" w:eastAsia="宋体"/>
          <w:b w:val="0"/>
          <w:sz w:val="21"/>
        </w:rPr>
        <w:t xml:space="preserve">表5-40 夹河变年度配置与正向峰值正常转接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MW，转接后净负荷为46.06 MW，区域最低净负荷工况下为-6.81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MW、-6.81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四年校核截面中，本站绝对功率最大的工况出现在2023年，转接前为46.47 MW，主要表现为正向受电需求，该年设备在最大单台主变N-1后剩余容量为40.00 MVA。故障方式下本站转出8.47 MW、承接0.00 MW，其中与开元变之间的主要转出功率为8.47 MW，转接后净负荷为38.00 MW。这一工况通过邻站分担本站故障后的正向负荷。</w:t>
      </w:r>
    </w:p>
    <w:p>
      <w:pPr>
        <w:pStyle w:val="7"/>
        <w:keepNext/>
        <w:numPr>
          <w:numId w:val="0"/>
        </w:numPr>
        <w:spacing w:line="360" w:lineRule="exact" w:before="160" w:after="120"/>
        <w:ind w:firstLine="0"/>
      </w:pPr>
      <w:bookmarkStart w:id="225" w:name="开元变规划分析"/>
      <w:r>
        <w:rPr>
          <w:rFonts w:ascii="Times New Roman" w:hAnsi="Times New Roman" w:eastAsia="方正仿宋_GBK"/>
          <w:b/>
          <w:sz w:val="24"/>
        </w:rPr>
        <w:t xml:space="preserve">开元变规划分析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2025年本站最大正向、反向净负荷分别为56.24 MW、0.00 MW。在同一需求下，刚性方案当年主变容量为103.00 MVA、储能额定功率0.00 MW，弹性方案分别为103.00 MVA和0.00 MW，两类方案本站主变总容量相同。弹性方案按当年各站局部极值计算的站级负载率为57%。</w:t>
      </w:r>
    </w:p>
    <w:p>
      <w:pPr>
        <w:pStyle w:val="2"/>
        <w:keepNext/>
        <w:spacing w:line="280" w:lineRule="exact" w:before="120" w:after="80"/>
        <w:ind w:firstLine="0"/>
        <w:jc w:val="center"/>
      </w:pPr>
      <w:r>
        <w:rPr>
          <w:rFonts w:ascii="Times New Roman" w:hAnsi="Times New Roman" w:eastAsia="宋体"/>
          <w:b w:val="0"/>
          <w:sz w:val="21"/>
        </w:rPr>
        <w:t xml:space="preserve">表5-41 开元变年度配置与正向峰值正常转接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64.81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MW、承接8.57 MW，转接后净负荷为64.81 MW，区域最低净负荷工况下为13.51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MW、13.51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四年校核截面中，本站绝对功率最大的工况出现在2023年，转接前为56.73 MW，主要表现为正向受电需求，该年设备在最大单台主变N-1后剩余容量为40.00 MVA。故障方式下本站转出18.73 MW、承接0.00 MW，其中与翟山变之间的主要转出功率为18.73 MW，转接后净负荷为38.00 MW。这一工况通过邻站分担本站故障后的正向负荷。</w:t>
      </w:r>
    </w:p>
    <w:p>
      <w:pPr>
        <w:pStyle w:val="7"/>
        <w:keepNext/>
        <w:numPr>
          <w:numId w:val="0"/>
        </w:numPr>
        <w:spacing w:line="360" w:lineRule="exact" w:before="160" w:after="120"/>
        <w:ind w:firstLine="0"/>
      </w:pPr>
      <w:bookmarkStart w:id="226" w:name="奎山变规划分析"/>
      <w:r>
        <w:rPr>
          <w:rFonts w:ascii="Times New Roman" w:hAnsi="Times New Roman" w:eastAsia="方正仿宋_GBK"/>
          <w:b/>
          <w:sz w:val="24"/>
        </w:rPr>
        <w:t xml:space="preserve">奎山变规划分析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2025年本站最大正向、反向净负荷分别为83.73 MW、0.00 MW。在同一需求下，刚性方案当年主变容量为130.00 MVA、储能额定功率0.00 MW，弹性方案分别为130.00 MVA和0.00 MW，两类方案本站主变总容量相同。弹性方案按当年各站局部极值计算的站级负载率为68%。</w:t>
      </w:r>
    </w:p>
    <w:p>
      <w:pPr>
        <w:pStyle w:val="2"/>
        <w:keepNext/>
        <w:spacing w:line="280" w:lineRule="exact" w:before="120" w:after="80"/>
        <w:ind w:firstLine="0"/>
        <w:jc w:val="center"/>
      </w:pPr>
      <w:r>
        <w:rPr>
          <w:rFonts w:ascii="Times New Roman" w:hAnsi="Times New Roman" w:eastAsia="宋体"/>
          <w:b w:val="0"/>
          <w:sz w:val="21"/>
        </w:rPr>
        <w:t xml:space="preserve">表5-42 奎山变年度配置与正向峰值正常转接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78.52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86.99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MW、承接15.55 MW，转接后净负荷为86.99 MW，区域最低净负荷工况下为22.48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MVA，两代表工况重新转供后的本站净负荷分别为47.50 MW、22.48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四年校核截面中，本站绝对功率最大的工况出现在2023年，转接前为84.47 MW，主要表现为正向受电需求，该年设备在最大单台主变N-1后剩余容量为50.00 MVA。故障方式下本站转出36.97 MW、承接0.00 MW，其中与升辉变之间的主要转出功率为13.08 MW，转接后净负荷为47.50 MW。这一工况通过邻站分担本站故障后的正向负荷。</w:t>
      </w:r>
    </w:p>
    <w:p>
      <w:pPr>
        <w:pStyle w:val="7"/>
        <w:keepNext/>
        <w:numPr>
          <w:numId w:val="0"/>
        </w:numPr>
        <w:spacing w:line="360" w:lineRule="exact" w:before="160" w:after="120"/>
        <w:ind w:firstLine="0"/>
      </w:pPr>
      <w:bookmarkStart w:id="227" w:name="刘湾变规划分析"/>
      <w:r>
        <w:rPr>
          <w:rFonts w:ascii="Times New Roman" w:hAnsi="Times New Roman" w:eastAsia="方正仿宋_GBK"/>
          <w:b/>
          <w:sz w:val="24"/>
        </w:rPr>
        <w:t xml:space="preserve">刘湾变规划分析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2025年本站最大正向、反向净负荷分别为71.22 MW、13.31 MW。在同一需求下，刚性方案当年主变容量为90.00 MVA、储能额定功率0.00 MW，弹性方案分别为90.00 MVA和0.00 MW，两类方案本站主变总容量相同。弹性方案按当年各站局部极值计算的站级负载率为83%。</w:t>
      </w:r>
    </w:p>
    <w:p>
      <w:pPr>
        <w:pStyle w:val="2"/>
        <w:keepNext/>
        <w:spacing w:line="280" w:lineRule="exact" w:before="120" w:after="80"/>
        <w:ind w:firstLine="0"/>
        <w:jc w:val="center"/>
      </w:pPr>
      <w:r>
        <w:rPr>
          <w:rFonts w:ascii="Times New Roman" w:hAnsi="Times New Roman" w:eastAsia="宋体"/>
          <w:b w:val="0"/>
          <w:sz w:val="21"/>
        </w:rPr>
        <w:t xml:space="preserve">表5-43 刘湾变年度配置与正向峰值正常转接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57.30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MW，转接后净负荷为60.43 MW，区域最低净负荷工况下为2.04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MW、2.04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四年校核截面中，本站绝对功率最大的工况出现在2023年，转接前为71.84 MW，主要表现为正向受电需求，该年设备在最大单台主变N-1后剩余容量为40.00 MVA。故障方式下本站转出33.84 MW、承接0.00 MW，其中与石桥变之间的主要转出功率为33.84 MW，转接后净负荷为38.00 MW。这一工况通过邻站分担本站故障后的正向负荷。</w:t>
      </w:r>
    </w:p>
    <w:p>
      <w:pPr>
        <w:pStyle w:val="7"/>
        <w:keepNext/>
        <w:numPr>
          <w:numId w:val="0"/>
        </w:numPr>
        <w:spacing w:line="360" w:lineRule="exact" w:before="160" w:after="120"/>
        <w:ind w:firstLine="0"/>
      </w:pPr>
      <w:bookmarkStart w:id="228" w:name="龙湖变规划分析"/>
      <w:r>
        <w:rPr>
          <w:rFonts w:ascii="Times New Roman" w:hAnsi="Times New Roman" w:eastAsia="方正仿宋_GBK"/>
          <w:b/>
          <w:sz w:val="24"/>
        </w:rPr>
        <w:t xml:space="preserve">龙湖变规划分析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2025年本站最大正向、反向净负荷分别为31.83 MW、0.00 MW。在同一需求下，刚性方案当年主变容量为80.00 MVA、储能额定功率0.00 MW，弹性方案分别为80.00 MVA和0.00 MW，两类方案本站主变总容量相同。弹性方案按当年各站局部极值计算的站级负载率为42%。</w:t>
      </w:r>
    </w:p>
    <w:p>
      <w:pPr>
        <w:pStyle w:val="2"/>
        <w:keepNext/>
        <w:spacing w:line="280" w:lineRule="exact" w:before="120" w:after="80"/>
        <w:ind w:firstLine="0"/>
        <w:jc w:val="center"/>
      </w:pPr>
      <w:r>
        <w:rPr>
          <w:rFonts w:ascii="Times New Roman" w:hAnsi="Times New Roman" w:eastAsia="宋体"/>
          <w:b w:val="0"/>
          <w:sz w:val="21"/>
        </w:rPr>
        <w:t xml:space="preserve">表5-44 龙湖变年度配置与正向峰值正常转接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MW，转接后净负荷为28.53 MW，区域最低净负荷工况下为9.38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MVA，两代表工况重新转供后的本站净负荷分别为28.53 MW、9.38 MW，两方向最小容量余量为9.47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四年校核截面中，本站绝对功率最大的工况出现在2023年，转接前为32.11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29" w:name="庞庄变规划分析"/>
      <w:r>
        <w:rPr>
          <w:rFonts w:ascii="Times New Roman" w:hAnsi="Times New Roman" w:eastAsia="方正仿宋_GBK"/>
          <w:b/>
          <w:sz w:val="24"/>
        </w:rPr>
        <w:t xml:space="preserve">庞庄变规划分析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2025年本站最大正向、反向净负荷分别为11.20 MW、7.08 MW。在同一需求下，刚性方案当年主变容量为80.00 MVA、储能额定功率0.00 MW，弹性方案分别为80.00 MVA和0.00 MW，两类方案本站主变总容量相同。弹性方案按当年各站局部极值计算的站级负载率为15%。</w:t>
      </w:r>
    </w:p>
    <w:p>
      <w:pPr>
        <w:pStyle w:val="2"/>
        <w:keepNext/>
        <w:spacing w:line="280" w:lineRule="exact" w:before="120" w:after="80"/>
        <w:ind w:firstLine="0"/>
        <w:jc w:val="center"/>
      </w:pPr>
      <w:r>
        <w:rPr>
          <w:rFonts w:ascii="Times New Roman" w:hAnsi="Times New Roman" w:eastAsia="宋体"/>
          <w:b w:val="0"/>
          <w:sz w:val="21"/>
        </w:rPr>
        <w:t xml:space="preserve">表5-45 庞庄变年度配置与正向峰值正常转接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MW，转接后净负荷为9.50 MW，区域最低净负荷工况下为-6.87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MVA，两代表工况重新转供后的本站净负荷分别为9.50 MW、-6.87 MW，两方向最小容量余量为28.50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四年校核截面中，本站绝对功率最大的工况出现在2023年，转接前为11.30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30" w:name="彭场变规划分析"/>
      <w:r>
        <w:rPr>
          <w:rFonts w:ascii="Times New Roman" w:hAnsi="Times New Roman" w:eastAsia="方正仿宋_GBK"/>
          <w:b/>
          <w:sz w:val="24"/>
        </w:rPr>
        <w:t xml:space="preserve">彭场变规划分析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2025年本站最大正向、反向净负荷分别为64.92 MW、0.00 MW。在同一需求下，刚性方案当年主变容量为90.00 MVA、储能额定功率0.00 MW，弹性方案分别为90.00 MVA和0.00 MW，两类方案本站主变总容量相同。弹性方案按当年各站局部极值计算的站级负载率为76%。</w:t>
      </w:r>
    </w:p>
    <w:p>
      <w:pPr>
        <w:pStyle w:val="2"/>
        <w:keepNext/>
        <w:spacing w:line="280" w:lineRule="exact" w:before="120" w:after="80"/>
        <w:ind w:firstLine="0"/>
        <w:jc w:val="center"/>
      </w:pPr>
      <w:r>
        <w:rPr>
          <w:rFonts w:ascii="Times New Roman" w:hAnsi="Times New Roman" w:eastAsia="宋体"/>
          <w:b w:val="0"/>
          <w:sz w:val="21"/>
        </w:rPr>
        <w:t xml:space="preserve">表5-46 彭场变年度配置与正向峰值正常转接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MW，转接后净负荷为55.66 MW，区域最低净负荷工况下为7.76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MW、7.76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四年校核截面中，本站绝对功率最大的工况出现在2023年，转接前为65.49 MW，主要表现为正向受电需求，该年设备在最大单台主变N-1后剩余容量为40.00 MVA。故障方式下本站转出27.49 MW、承接0.00 MW，其中与庆云桥变之间的主要转出功率为12.88 MW，转接后净负荷为38.00 MW。这一工况通过邻站分担本站故障后的正向负荷。</w:t>
      </w:r>
    </w:p>
    <w:p>
      <w:pPr>
        <w:pStyle w:val="7"/>
        <w:keepNext/>
        <w:numPr>
          <w:numId w:val="0"/>
        </w:numPr>
        <w:spacing w:line="360" w:lineRule="exact" w:before="160" w:after="120"/>
        <w:ind w:firstLine="0"/>
      </w:pPr>
      <w:bookmarkStart w:id="231" w:name="庆云桥变规划分析"/>
      <w:r>
        <w:rPr>
          <w:rFonts w:ascii="Times New Roman" w:hAnsi="Times New Roman" w:eastAsia="方正仿宋_GBK"/>
          <w:b/>
          <w:sz w:val="24"/>
        </w:rPr>
        <w:t xml:space="preserve">庆云桥变规划分析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2025年本站最大正向、反向净负荷分别为65.76 MW、0.00 MW。在同一需求下，刚性方案当年主变容量为80.00 MVA、储能额定功率0.00 MW，弹性方案分别为80.00 MVA和0.00 MW，两类方案本站主变总容量相同。弹性方案按当年各站局部极值计算的站级负载率为87%。</w:t>
      </w:r>
    </w:p>
    <w:p>
      <w:pPr>
        <w:pStyle w:val="2"/>
        <w:keepNext/>
        <w:spacing w:line="280" w:lineRule="exact" w:before="120" w:after="80"/>
        <w:ind w:firstLine="0"/>
        <w:jc w:val="center"/>
      </w:pPr>
      <w:r>
        <w:rPr>
          <w:rFonts w:ascii="Times New Roman" w:hAnsi="Times New Roman" w:eastAsia="宋体"/>
          <w:b w:val="0"/>
          <w:sz w:val="21"/>
        </w:rPr>
        <w:t xml:space="preserve">表5-47 庆云桥变年度配置与正向峰值正常转接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MW，转接后净负荷为58.45 MW，区域最低净负荷工况下为17.85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MW、17.85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四年校核截面中，本站绝对功率最大的工况出现在2023年，转接前为66.34 MW，主要表现为正向受电需求，该年设备在最大单台主变N-1后剩余容量为40.00 MVA。故障方式下本站转出28.34 MW、承接0.00 MW，其中与古彭变之间的主要转出功率为27.51 MW，转接后净负荷为38.00 MW。这一工况通过邻站分担本站故障后的正向负荷。</w:t>
      </w:r>
    </w:p>
    <w:p>
      <w:pPr>
        <w:pStyle w:val="7"/>
        <w:keepNext/>
        <w:numPr>
          <w:numId w:val="0"/>
        </w:numPr>
        <w:spacing w:line="360" w:lineRule="exact" w:before="160" w:after="120"/>
        <w:ind w:firstLine="0"/>
      </w:pPr>
      <w:bookmarkStart w:id="232" w:name="山南变规划分析"/>
      <w:r>
        <w:rPr>
          <w:rFonts w:ascii="Times New Roman" w:hAnsi="Times New Roman" w:eastAsia="方正仿宋_GBK"/>
          <w:b/>
          <w:sz w:val="24"/>
        </w:rPr>
        <w:t xml:space="preserve">山南变规划分析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2025年本站最大正向、反向净负荷分别为5.80 MW、0.00 MW。在同一需求下，刚性方案当年主变容量为80.00 MVA、储能额定功率0.00 MW，弹性方案分别为80.00 MVA和0.00 MW，两类方案本站主变总容量相同。弹性方案按当年各站局部极值计算的站级负载率为8%。</w:t>
      </w:r>
    </w:p>
    <w:p>
      <w:pPr>
        <w:pStyle w:val="2"/>
        <w:keepNext/>
        <w:spacing w:line="280" w:lineRule="exact" w:before="120" w:after="80"/>
        <w:ind w:firstLine="0"/>
        <w:jc w:val="center"/>
      </w:pPr>
      <w:r>
        <w:rPr>
          <w:rFonts w:ascii="Times New Roman" w:hAnsi="Times New Roman" w:eastAsia="宋体"/>
          <w:b w:val="0"/>
          <w:sz w:val="21"/>
        </w:rPr>
        <w:t xml:space="preserve">表5-48 山南变年度配置与正向峰值正常转接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MW，转接后净负荷为5.80 MW，区域最低净负荷工况下为0.64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MVA，两代表工况重新转供后的本站净负荷分别为5.80 MW、0.64 MW，两方向最小容量余量为32.20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四年校核截面中，本站绝对功率最大的工况出现在2023年，转接前为5.85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33" w:name="升辉变规划分析"/>
      <w:r>
        <w:rPr>
          <w:rFonts w:ascii="Times New Roman" w:hAnsi="Times New Roman" w:eastAsia="方正仿宋_GBK"/>
          <w:b/>
          <w:sz w:val="24"/>
        </w:rPr>
        <w:t xml:space="preserve">升辉变规划分析</w:t>
      </w:r>
      <w:bookmarkEnd w:id="23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该站初始主变组合为80+80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2025年本站最大正向、反向净负荷分别为38.35 MW、0.00 MW。在同一需求下，刚性方案当年主变容量为160.00 MVA、储能额定功率0.00 MW，弹性方案分别为160.00 MVA和0.00 MW，两类方案本站主变总容量相同。弹性方案按当年各站局部极值计算的站级负载率为25%。</w:t>
      </w:r>
    </w:p>
    <w:p>
      <w:pPr>
        <w:pStyle w:val="2"/>
        <w:keepNext/>
        <w:spacing w:line="280" w:lineRule="exact" w:before="120" w:after="80"/>
        <w:ind w:firstLine="0"/>
        <w:jc w:val="center"/>
      </w:pPr>
      <w:r>
        <w:rPr>
          <w:rFonts w:ascii="Times New Roman" w:hAnsi="Times New Roman" w:eastAsia="宋体"/>
          <w:b w:val="0"/>
          <w:sz w:val="21"/>
        </w:rPr>
        <w:t xml:space="preserve">表5-49 升辉变年度配置与正向峰值正常转接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MW，转接后净负荷为28.55 MW，区域最低净负荷工况下为11.59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按最大单台主变N-1校核，本站剩余容量为80.00 MVA，两代表工况重新转供后的本站净负荷分别为28.55 MW、11.59 MW，两方向最小容量余量为47.45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四年校核截面中，本站绝对功率最大的工况出现在2023年，转接前为38.68 MW，主要表现为正向受电需求，该年设备在最大单台主变N-1后剩余容量为80.00 MVA。该工况本站由剩余主变满足承载要求。</w:t>
      </w:r>
    </w:p>
    <w:p>
      <w:pPr>
        <w:pStyle w:val="7"/>
        <w:keepNext/>
        <w:numPr>
          <w:numId w:val="0"/>
        </w:numPr>
        <w:spacing w:line="360" w:lineRule="exact" w:before="160" w:after="120"/>
        <w:ind w:firstLine="0"/>
      </w:pPr>
      <w:bookmarkStart w:id="234" w:name="石桥变规划分析"/>
      <w:r>
        <w:rPr>
          <w:rFonts w:ascii="Times New Roman" w:hAnsi="Times New Roman" w:eastAsia="方正仿宋_GBK"/>
          <w:b/>
          <w:sz w:val="24"/>
        </w:rPr>
        <w:t xml:space="preserve">石桥变规划分析</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2025年本站最大正向、反向净负荷分别为110.02 MW、10.95 MW。在同一需求下，刚性方案当年主变容量为143.00 MVA、储能额定功率0.00 MW，弹性方案分别为143.00 MVA和0.00 MW，两类方案本站主变总容量相同。弹性方案按当年各站局部极值计算的站级负载率为81%。</w:t>
      </w:r>
    </w:p>
    <w:p>
      <w:pPr>
        <w:pStyle w:val="2"/>
        <w:keepNext/>
        <w:spacing w:line="280" w:lineRule="exact" w:before="120" w:after="80"/>
        <w:ind w:firstLine="0"/>
        <w:jc w:val="center"/>
      </w:pPr>
      <w:r>
        <w:rPr>
          <w:rFonts w:ascii="Times New Roman" w:hAnsi="Times New Roman" w:eastAsia="宋体"/>
          <w:b w:val="0"/>
          <w:sz w:val="21"/>
        </w:rPr>
        <w:t xml:space="preserve">表5-50 石桥变年度配置与正向峰值正常转接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MW，转接后净负荷为103.71 MW，区域最低净负荷工况下为2.91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MW、2.91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四年校核截面中，本站绝对功率最大的工况出现在2023年，转接前为110.98 MW，主要表现为正向受电需求，该年设备在最大单台主变N-1后剩余容量为63.00 MVA。故障方式下本站转出51.13 MW、承接0.00 MW，其中与刘湾变之间的主要转出功率为19.00 MW，转接后净负荷为59.85 MW。这一工况通过邻站分担本站故障后的正向负荷。</w:t>
      </w:r>
    </w:p>
    <w:p>
      <w:pPr>
        <w:pStyle w:val="7"/>
        <w:keepNext/>
        <w:numPr>
          <w:numId w:val="0"/>
        </w:numPr>
        <w:spacing w:line="360" w:lineRule="exact" w:before="160" w:after="120"/>
        <w:ind w:firstLine="0"/>
      </w:pPr>
      <w:bookmarkStart w:id="235" w:name="拾屯变规划分析"/>
      <w:r>
        <w:rPr>
          <w:rFonts w:ascii="Times New Roman" w:hAnsi="Times New Roman" w:eastAsia="方正仿宋_GBK"/>
          <w:b/>
          <w:sz w:val="24"/>
        </w:rPr>
        <w:t xml:space="preserve">拾屯变规划分析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2025年本站最大正向、反向净负荷分别为73.47 MW、0.00 MW。在同一需求下，刚性方案当年主变容量为80.00 MVA、储能额定功率0.00 MW，弹性方案分别为80.00 MVA和0.00 MW，两类方案本站主变总容量相同。弹性方案按当年各站局部极值计算的站级负载率为97%。</w:t>
      </w:r>
    </w:p>
    <w:p>
      <w:pPr>
        <w:pStyle w:val="2"/>
        <w:keepNext/>
        <w:spacing w:line="280" w:lineRule="exact" w:before="120" w:after="80"/>
        <w:ind w:firstLine="0"/>
        <w:jc w:val="center"/>
      </w:pPr>
      <w:r>
        <w:rPr>
          <w:rFonts w:ascii="Times New Roman" w:hAnsi="Times New Roman" w:eastAsia="宋体"/>
          <w:b w:val="0"/>
          <w:sz w:val="21"/>
        </w:rPr>
        <w:t xml:space="preserve">表5-51 拾屯变年度配置与正向峰值正常转接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MW，转接后净负荷为72.26 MW，区域最低净负荷工况下为4.74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MW、4.74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四年校核截面中，本站绝对功率最大的工况出现在2023年，转接前为74.11 MW，主要表现为正向受电需求，该年设备在最大单台主变N-1后剩余容量为40.00 MVA。故障方式下本站转出36.11 MW、承接0.00 MW，其中与彭场变之间的主要转出功率为25.50 MW，转接后净负荷为38.00 MW。这一工况通过邻站分担本站故障后的正向负荷。</w:t>
      </w:r>
    </w:p>
    <w:p>
      <w:pPr>
        <w:pStyle w:val="7"/>
        <w:keepNext/>
        <w:numPr>
          <w:numId w:val="0"/>
        </w:numPr>
        <w:spacing w:line="360" w:lineRule="exact" w:before="160" w:after="120"/>
        <w:ind w:firstLine="0"/>
      </w:pPr>
      <w:bookmarkStart w:id="236" w:name="统一变规划分析"/>
      <w:r>
        <w:rPr>
          <w:rFonts w:ascii="Times New Roman" w:hAnsi="Times New Roman" w:eastAsia="方正仿宋_GBK"/>
          <w:b/>
          <w:sz w:val="24"/>
        </w:rPr>
        <w:t xml:space="preserve">统一变规划分析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2025年本站最大正向、反向净负荷分别为92.94 MW、0.00 MW。在同一需求下，刚性方案当年主变容量为80.00 MVA、储能额定功率0.00 MW，弹性方案分别为80.00 MVA和0.00 MW，两类方案本站主变总容量相同。弹性方案按当年各站局部极值计算的站级负载率为122%。</w:t>
      </w:r>
    </w:p>
    <w:p>
      <w:pPr>
        <w:pStyle w:val="2"/>
        <w:keepNext/>
        <w:spacing w:line="280" w:lineRule="exact" w:before="120" w:after="80"/>
        <w:ind w:firstLine="0"/>
        <w:jc w:val="center"/>
      </w:pPr>
      <w:r>
        <w:rPr>
          <w:rFonts w:ascii="Times New Roman" w:hAnsi="Times New Roman" w:eastAsia="宋体"/>
          <w:b w:val="0"/>
          <w:sz w:val="21"/>
        </w:rPr>
        <w:t xml:space="preserve">表5-52 统一变年度配置与正向峰值正常转接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2025年区域正向峰值正常工况下，本站转出15.55 MW、承接0.00 MW，转接后净负荷为76.00 MW，区域最低净负荷工况下为14.84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MW、14.84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四年校核截面中，本站绝对功率最大的工况出现在2023年，转接前为93.76 MW，主要表现为正向受电需求，该年设备在最大单台主变N-1后剩余容量为40.00 MVA。故障方式下本站转出55.76 MW、承接0.00 MW，其中与奎山变之间的主要转出功率为32.73 MW，转接后净负荷为38.00 MW。这一工况通过邻站分担本站故障后的正向负荷。</w:t>
      </w:r>
    </w:p>
    <w:p>
      <w:pPr>
        <w:pStyle w:val="7"/>
        <w:keepNext/>
        <w:numPr>
          <w:numId w:val="0"/>
        </w:numPr>
        <w:spacing w:line="360" w:lineRule="exact" w:before="160" w:after="120"/>
        <w:ind w:firstLine="0"/>
      </w:pPr>
      <w:bookmarkStart w:id="237" w:name="吴庄变规划分析"/>
      <w:r>
        <w:rPr>
          <w:rFonts w:ascii="Times New Roman" w:hAnsi="Times New Roman" w:eastAsia="方正仿宋_GBK"/>
          <w:b/>
          <w:sz w:val="24"/>
        </w:rPr>
        <w:t xml:space="preserve">吴庄变规划分析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2025年本站最大正向、反向净负荷分别为103.02 MW、0.00 MW。在同一需求下，刚性方案当年主变容量为130.00 MVA、储能额定功率0.00 MW，弹性方案分别为130.00 MVA和0.00 MW，两类方案本站主变总容量相同。弹性方案按当年各站局部极值计算的站级负载率为83%。</w:t>
      </w:r>
    </w:p>
    <w:p>
      <w:pPr>
        <w:pStyle w:val="2"/>
        <w:keepNext/>
        <w:spacing w:line="280" w:lineRule="exact" w:before="120" w:after="80"/>
        <w:ind w:firstLine="0"/>
        <w:jc w:val="center"/>
      </w:pPr>
      <w:r>
        <w:rPr>
          <w:rFonts w:ascii="Times New Roman" w:hAnsi="Times New Roman" w:eastAsia="宋体"/>
          <w:b w:val="0"/>
          <w:sz w:val="21"/>
        </w:rPr>
        <w:t xml:space="preserve">表5-53 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MW，转接后净负荷为96.47 MW，区域最低净负荷工况下为31.10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MVA，两代表工况重新转供后的本站净负荷分别为47.50 MW、31.10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四年校核截面中，本站绝对功率最大的工况出现在2023年，转接前为103.92 MW，主要表现为正向受电需求，该年设备在最大单台主变N-1后剩余容量为50.00 MVA。故障方式下本站转出56.42 MW、承接0.00 MW，其中与夹河变之间的主要转出功率为21.11 MW，转接后净负荷为47.50 MW。这一工况通过邻站分担本站故障后的正向负荷。</w:t>
      </w:r>
    </w:p>
    <w:p>
      <w:pPr>
        <w:pStyle w:val="7"/>
        <w:keepNext/>
        <w:numPr>
          <w:numId w:val="0"/>
        </w:numPr>
        <w:spacing w:line="360" w:lineRule="exact" w:before="160" w:after="120"/>
        <w:ind w:firstLine="0"/>
      </w:pPr>
      <w:bookmarkStart w:id="238" w:name="西郊变规划分析"/>
      <w:r>
        <w:rPr>
          <w:rFonts w:ascii="Times New Roman" w:hAnsi="Times New Roman" w:eastAsia="方正仿宋_GBK"/>
          <w:b/>
          <w:sz w:val="24"/>
        </w:rPr>
        <w:t xml:space="preserve">西郊变规划分析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2025年本站最大正向、反向净负荷分别为128.27 MW、0.00 MW。在同一需求下，刚性方案当年主变容量为126.00 MVA、储能额定功率0.00 MW，弹性方案分别为126.00 MVA和0.00 MW，两类方案本站主变总容量相同。弹性方案按当年各站局部极值计算的站级负载率为107%。</w:t>
      </w:r>
    </w:p>
    <w:p>
      <w:pPr>
        <w:pStyle w:val="2"/>
        <w:keepNext/>
        <w:spacing w:line="280" w:lineRule="exact" w:before="120" w:after="80"/>
        <w:ind w:firstLine="0"/>
        <w:jc w:val="center"/>
      </w:pPr>
      <w:r>
        <w:rPr>
          <w:rFonts w:ascii="Times New Roman" w:hAnsi="Times New Roman" w:eastAsia="宋体"/>
          <w:b w:val="0"/>
          <w:sz w:val="21"/>
        </w:rPr>
        <w:t xml:space="preserve">表5-54 西郊变年度配置与正向峰值正常转接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2025年区域正向峰值正常工况下，本站转出8.57 MW、承接0.00 MW，转接后净负荷为119.70 MW，区域最低净负荷工况下为32.04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MW、32.04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四年校核截面中，本站绝对功率最大的工况出现在2023年，转接前为129.39 MW，主要表现为正向受电需求，该年设备在最大单台主变N-1后剩余容量为63.00 MVA。故障方式下本站转出69.54 MW、承接0.00 MW，其中与开元变之间的主要转出功率为25.77 MW，转接后净负荷为59.85 MW。这一工况通过邻站分担本站故障后的正向负荷。</w:t>
      </w:r>
    </w:p>
    <w:p>
      <w:pPr>
        <w:pStyle w:val="7"/>
        <w:keepNext/>
        <w:numPr>
          <w:numId w:val="0"/>
        </w:numPr>
        <w:spacing w:line="360" w:lineRule="exact" w:before="160" w:after="120"/>
        <w:ind w:firstLine="0"/>
      </w:pPr>
      <w:bookmarkStart w:id="239" w:name="祥和变规划分析"/>
      <w:r>
        <w:rPr>
          <w:rFonts w:ascii="Times New Roman" w:hAnsi="Times New Roman" w:eastAsia="方正仿宋_GBK"/>
          <w:b/>
          <w:sz w:val="24"/>
        </w:rPr>
        <w:t xml:space="preserve">祥和变规划分析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2025年本站最大正向、反向净负荷分别为19.37 MW、0.00 MW。在同一需求下，刚性方案当年主变容量为90.00 MVA、储能额定功率0.00 MW，弹性方案分别为90.00 MVA和0.00 MW，两类方案本站主变总容量相同。弹性方案按当年各站局部极值计算的站级负载率为23%。</w:t>
      </w:r>
    </w:p>
    <w:p>
      <w:pPr>
        <w:pStyle w:val="2"/>
        <w:keepNext/>
        <w:spacing w:line="280" w:lineRule="exact" w:before="120" w:after="80"/>
        <w:ind w:firstLine="0"/>
        <w:jc w:val="center"/>
      </w:pPr>
      <w:r>
        <w:rPr>
          <w:rFonts w:ascii="Times New Roman" w:hAnsi="Times New Roman" w:eastAsia="宋体"/>
          <w:b w:val="0"/>
          <w:sz w:val="21"/>
        </w:rPr>
        <w:t xml:space="preserve">表5-55 祥和变年度配置与正向峰值正常转接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MW，转接后净负荷为19.35 MW，区域最低净负荷工况下为5.17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MVA，两代表工况重新转供后的本站净负荷分别为19.35 MW、5.17 MW，两方向最小容量余量为18.65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四年校核截面中，本站绝对功率最大的工况出现在2023年，转接前为19.54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40" w:name="响山变规划分析"/>
      <w:r>
        <w:rPr>
          <w:rFonts w:ascii="Times New Roman" w:hAnsi="Times New Roman" w:eastAsia="方正仿宋_GBK"/>
          <w:b/>
          <w:sz w:val="24"/>
        </w:rPr>
        <w:t xml:space="preserve">响山变规划分析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2025年本站最大正向、反向净负荷分别为53.11 MW、0.00 MW。在同一需求下，刚性方案当年主变容量为80.00 MVA、储能额定功率0.00 MW，弹性方案分别为80.00 MVA和0.00 MW，两类方案本站主变总容量相同。弹性方案按当年各站局部极值计算的站级负载率为70%。</w:t>
      </w:r>
    </w:p>
    <w:p>
      <w:pPr>
        <w:pStyle w:val="2"/>
        <w:keepNext/>
        <w:spacing w:line="280" w:lineRule="exact" w:before="120" w:after="80"/>
        <w:ind w:firstLine="0"/>
        <w:jc w:val="center"/>
      </w:pPr>
      <w:r>
        <w:rPr>
          <w:rFonts w:ascii="Times New Roman" w:hAnsi="Times New Roman" w:eastAsia="宋体"/>
          <w:b w:val="0"/>
          <w:sz w:val="21"/>
        </w:rPr>
        <w:t xml:space="preserve">表5-56 响山变年度配置与正向峰值正常转接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MW，转接后净负荷为53.11 MW，区域最低净负荷工况下为11.38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MW、11.38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四年校核截面中，本站绝对功率最大的工况出现在2023年，转接前为53.58 MW，主要表现为正向受电需求，该年设备在最大单台主变N-1后剩余容量为40.00 MVA。故障方式下本站转出15.58 MW、承接0.00 MW，其中与奎山变之间的主要转出功率为15.58 MW，转接后净负荷为38.00 MW。这一工况通过邻站分担本站故障后的正向负荷。</w:t>
      </w:r>
    </w:p>
    <w:p>
      <w:pPr>
        <w:pStyle w:val="7"/>
        <w:keepNext/>
        <w:numPr>
          <w:numId w:val="0"/>
        </w:numPr>
        <w:spacing w:line="360" w:lineRule="exact" w:before="160" w:after="120"/>
        <w:ind w:firstLine="0"/>
      </w:pPr>
      <w:bookmarkStart w:id="241" w:name="玉潭变规划分析"/>
      <w:r>
        <w:rPr>
          <w:rFonts w:ascii="Times New Roman" w:hAnsi="Times New Roman" w:eastAsia="方正仿宋_GBK"/>
          <w:b/>
          <w:sz w:val="24"/>
        </w:rPr>
        <w:t xml:space="preserve">玉潭变规划分析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2025年本站最大正向、反向净负荷分别为45.03 MW、0.00 MW。在同一需求下，刚性方案当年主变容量为126.00 MVA、储能额定功率0.00 MW，弹性方案分别为126.00 MVA和0.00 MW，两类方案本站主变总容量相同。弹性方案按当年各站局部极值计算的站级负载率为38%。</w:t>
      </w:r>
    </w:p>
    <w:p>
      <w:pPr>
        <w:pStyle w:val="2"/>
        <w:keepNext/>
        <w:spacing w:line="280" w:lineRule="exact" w:before="120" w:after="80"/>
        <w:ind w:firstLine="0"/>
        <w:jc w:val="center"/>
      </w:pPr>
      <w:r>
        <w:rPr>
          <w:rFonts w:ascii="Times New Roman" w:hAnsi="Times New Roman" w:eastAsia="宋体"/>
          <w:b w:val="0"/>
          <w:sz w:val="21"/>
        </w:rPr>
        <w:t xml:space="preserve">表5-57 玉潭变年度配置与正向峰值正常转接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MW，转接后净负荷为45.03 MW，区域最低净负荷工况下为9.12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MVA，两代表工况重新转供后的本站净负荷分别为45.03 MW、9.12 MW，两方向最小容量余量为14.82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四年校核截面中，本站绝对功率最大的工况出现在2023年，转接前为45.42 MW，主要表现为正向受电需求，该年设备在最大单台主变N-1后剩余容量为63.00 MVA。该工况本站由剩余主变满足承载要求。</w:t>
      </w:r>
    </w:p>
    <w:p>
      <w:pPr>
        <w:pStyle w:val="7"/>
        <w:keepNext/>
        <w:numPr>
          <w:numId w:val="0"/>
        </w:numPr>
        <w:spacing w:line="360" w:lineRule="exact" w:before="160" w:after="120"/>
        <w:ind w:firstLine="0"/>
      </w:pPr>
      <w:bookmarkStart w:id="242" w:name="茱萸变规划分析"/>
      <w:r>
        <w:rPr>
          <w:rFonts w:ascii="Times New Roman" w:hAnsi="Times New Roman" w:eastAsia="方正仿宋_GBK"/>
          <w:b/>
          <w:sz w:val="24"/>
        </w:rPr>
        <w:t xml:space="preserve">茱萸变规划分析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2025年本站最大正向、反向净负荷分别为16.47 MW、5.61 MW。在同一需求下，刚性方案当年主变容量为80.00 MVA、储能额定功率0.00 MW，弹性方案分别为80.00 MVA和0.00 MW，两类方案本站主变总容量相同。弹性方案按当年各站局部极值计算的站级负载率为22%。</w:t>
      </w:r>
    </w:p>
    <w:p>
      <w:pPr>
        <w:pStyle w:val="2"/>
        <w:keepNext/>
        <w:spacing w:line="280" w:lineRule="exact" w:before="120" w:after="80"/>
        <w:ind w:firstLine="0"/>
        <w:jc w:val="center"/>
      </w:pPr>
      <w:r>
        <w:rPr>
          <w:rFonts w:ascii="Times New Roman" w:hAnsi="Times New Roman" w:eastAsia="宋体"/>
          <w:b w:val="0"/>
          <w:sz w:val="21"/>
        </w:rPr>
        <w:t xml:space="preserve">表5-58 茱萸变年度配置与正向峰值正常转接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MW，转接后净负荷为11.51 MW，区域最低净负荷工况下为-4.81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MVA，两代表工况重新转供后的本站净负荷分别为11.51 MW、-4.81 MW，两方向最小容量余量为26.49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四年校核截面中，本站绝对功率最大的工况出现在2023年，转接前为16.61 MW，主要表现为正向受电需求，该年设备在最大单台主变N-1后剩余容量为40.00 MVA。该工况本站由剩余主变满足承载要求。</w:t>
      </w:r>
    </w:p>
    <w:p>
      <w:pPr>
        <w:pStyle w:val="5"/>
        <w:keepNext/>
        <w:numPr>
          <w:numId w:val="0"/>
        </w:numPr>
        <w:spacing w:line="390" w:lineRule="exact" w:before="160" w:after="120"/>
        <w:ind w:firstLine="0"/>
      </w:pPr>
      <w:bookmarkStart w:id="243" w:name="年度设备配置与站间差异"/>
      <w:r>
        <w:rPr>
          <w:rFonts w:ascii="Times New Roman" w:hAnsi="Times New Roman" w:eastAsia="方正仿宋_GBK"/>
          <w:b/>
          <w:sz w:val="26"/>
        </w:rPr>
        <w:t xml:space="preserve">5.4.7 年度设备配置与站间差异</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表5-59 2025年站级展示范围内主变台数与配储站数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邳州两类方案均有1座三台主变站，但配储站数及储能规模不同。市区两类方案均保持两台主变的站内结构，弹性方案通过翟山变单台升档提高故障后剩余容量。主变台数只反映设备结构的一部分，同样为两台主变的站，额定规格和最大单台停运后的可用容量仍有差异。各年的具体组合、支援方向和投运变化需结合逐站表确定。</w:t>
      </w:r>
    </w:p>
    <w:p>
      <w:pPr>
        <w:pStyle w:val="2"/>
        <w:widowControl/>
        <w:spacing w:line="348" w:lineRule="exact" w:before="0" w:after="0"/>
        <w:ind w:firstLine="480"/>
        <w:jc w:val="both"/>
      </w:pPr>
      <w:r>
        <w:rPr>
          <w:rFonts w:ascii="Times New Roman" w:hAnsi="Times New Roman" w:eastAsia="方正仿宋_GBK"/>
          <w:b w:val="0"/>
          <w:sz w:val="24"/>
        </w:rPr>
        <w:t xml:space="preserve">同一容载比可以由不同站内设备结构形成，因此区域推荐区间需与主变台数、规格及站间任务对应。逐站比较需求和建设选择后，再归纳区域指标，才能说明新增容量用于哪些站点，以及费用变化来自哪些措施。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w:t>
      </w:r>
    </w:p>
    <w:p>
      <w:pPr>
        <w:pStyle w:val="5"/>
        <w:keepNext/>
        <w:numPr>
          <w:numId w:val="0"/>
        </w:numPr>
        <w:spacing w:line="390" w:lineRule="exact" w:before="160" w:after="120"/>
        <w:ind w:firstLine="0"/>
      </w:pPr>
      <w:bookmarkStart w:id="244" w:name="保留2021原表容量的方案对照"/>
      <w:r>
        <w:rPr>
          <w:rFonts w:ascii="Times New Roman" w:hAnsi="Times New Roman" w:eastAsia="方正仿宋_GBK"/>
          <w:b/>
          <w:sz w:val="26"/>
        </w:rPr>
        <w:t xml:space="preserve">5.4.8 保留2021原表容量的方案对照</w:t>
      </w:r>
      <w:bookmarkEnd w:id="244"/>
    </w:p>
    <w:p>
      <w:pPr>
        <w:pStyle w:val="FirstParagraph"/>
        <w:widowControl/>
        <w:spacing w:line="348" w:lineRule="exact" w:before="0" w:after="0"/>
        <w:ind w:firstLine="480"/>
        <w:jc w:val="both"/>
      </w:pPr>
      <w:r>
        <w:rPr>
          <w:rFonts w:ascii="Times New Roman" w:hAnsi="Times New Roman" w:eastAsia="方正仿宋_GBK"/>
          <w:b w:val="0"/>
          <w:sz w:val="24"/>
        </w:rPr>
        <w:t xml:space="preserve">在共同仿真起点之外，补充以2021年原表地区总容量为起点的两类方案，邳州2027.00 MVA、市区3113.50 MVA。2021年固定，2022—2025年继续采用相同年度负荷、逐站转供能力、承载约束和经济参数，比较存量容量条件对新增措施的影响。逐站初始组合沿用按地区总容量标定的研究输入。</w:t>
      </w:r>
    </w:p>
    <w:p>
      <w:pPr>
        <w:pStyle w:val="2"/>
        <w:keepNext/>
        <w:spacing w:line="280" w:lineRule="exact" w:before="120" w:after="80"/>
        <w:ind w:firstLine="0"/>
        <w:jc w:val="center"/>
      </w:pPr>
      <w:r>
        <w:rPr>
          <w:rFonts w:ascii="Times New Roman" w:hAnsi="Times New Roman" w:eastAsia="宋体"/>
          <w:b w:val="0"/>
          <w:sz w:val="21"/>
        </w:rPr>
        <w:t xml:space="preserve">表5-60 保留2021原表容量的逐年规划汇总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年末主变/MVA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年末储能/MWh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累计新联络/条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邳州原表容量高于各年负荷的两倍，刚性方案因此保持2027.00 MVA，通过储能和少量联络承担局部正反向需求。其2022年配置122.34 MWh储能，2024年增至144.05 MWh，2025年达到201.24 MWh。弹性方案2022年净增121.50 MVA至2148.50 MVA，随后保持，以站内补强减少局部储能需求，末年储能为7.74 MWh，累计新增联络3条。两者容载比差异随同一年度负荷折算，2025年分别为2.12和2.25。</w:t>
      </w:r>
    </w:p>
    <w:p>
      <w:pPr>
        <w:pStyle w:val="2"/>
        <w:widowControl/>
        <w:spacing w:line="348" w:lineRule="exact" w:before="0" w:after="0"/>
        <w:ind w:firstLine="480"/>
        <w:jc w:val="both"/>
      </w:pPr>
      <w:r>
        <w:rPr>
          <w:rFonts w:ascii="Times New Roman" w:hAnsi="Times New Roman" w:eastAsia="方正仿宋_GBK"/>
          <w:b w:val="0"/>
          <w:sz w:val="24"/>
        </w:rPr>
        <w:t xml:space="preserve">市区两类方案四年均保持3113.50 MVA，无新增主变、储能或联络。原有主变与既有网络已能满足本次静态校核，年度容载比随实际负荷变化，为2.17、2.02、2.15和2.04。零新增费用对应既有设备继续承担供电与转供任务。</w:t>
      </w:r>
    </w:p>
    <w:p>
      <w:pPr>
        <w:pStyle w:val="2"/>
        <w:keepNext/>
        <w:spacing w:line="280" w:lineRule="exact" w:before="120" w:after="80"/>
        <w:ind w:firstLine="0"/>
        <w:jc w:val="center"/>
      </w:pPr>
      <w:r>
        <w:rPr>
          <w:rFonts w:ascii="Times New Roman" w:hAnsi="Times New Roman" w:eastAsia="宋体"/>
          <w:b w:val="0"/>
          <w:sz w:val="21"/>
        </w:rPr>
        <w:t xml:space="preserve">表5-61 保留2021原表容量的方案费用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23753.31</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7342.18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刚性、弹性方案费用现值分别为23753.31万元和7342.18万元，减少16411.13万元，约69%；市区两类方案新增费用均为零。与共同仿真起点对照可见，地区存量总容量增加后，仍可能存在局部反向或N-1剩余容量不足，新增措施取决于容量的站间分布及网络支援条件。该组结果汇总用于说明起点敏感性。</w:t>
      </w:r>
    </w:p>
    <w:p>
      <w:pPr>
        <w:pStyle w:val="4"/>
        <w:keepNext/>
        <w:numPr>
          <w:numId w:val="0"/>
        </w:numPr>
        <w:spacing w:line="480" w:lineRule="exact" w:before="160" w:after="120"/>
        <w:ind w:firstLine="0"/>
      </w:pPr>
      <w:bookmarkStart w:id="1942" w:name="h942"/>
      <w:bookmarkStart w:id="245" w:name="措施作用与工程衔接"/>
      <w:r>
        <w:rPr>
          <w:rFonts w:ascii="Times New Roman" w:hAnsi="Times New Roman" w:eastAsia="方正仿宋_GBK"/>
          <w:b/>
          <w:sz w:val="32"/>
        </w:rPr>
        <w:t xml:space="preserve">5.5 措施作用与工程衔接</w:t>
      </w:r>
      <w:bookmarkEnd w:id="245"/>
      <w:bookmarkEnd w:id="1942"/>
    </w:p>
    <w:p>
      <w:pPr>
        <w:pStyle w:val="5"/>
        <w:keepNext/>
        <w:numPr>
          <w:numId w:val="0"/>
        </w:numPr>
        <w:spacing w:line="390" w:lineRule="exact" w:before="160" w:after="120"/>
        <w:ind w:firstLine="0"/>
      </w:pPr>
      <w:bookmarkStart w:id="246" w:name="逐年负荷转接与站间任务"/>
      <w:r>
        <w:rPr>
          <w:rFonts w:ascii="Times New Roman" w:hAnsi="Times New Roman" w:eastAsia="方正仿宋_GBK"/>
          <w:b/>
          <w:sz w:val="26"/>
        </w:rPr>
        <w:t xml:space="preserve">5.5.1 逐年负荷转接与站间任务</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新增线路按建设数量计投资，可转能力受线路及两端设备限制，实际转接功率则由具体运行工况确定，因此三者需分别统计。以下按区域正向峰值与最低净负荷两种正常工况列示网络利用情况。</w:t>
      </w:r>
    </w:p>
    <w:p>
      <w:pPr>
        <w:pStyle w:val="2"/>
        <w:keepNext/>
        <w:spacing w:line="280" w:lineRule="exact" w:before="120" w:after="80"/>
        <w:ind w:firstLine="0"/>
        <w:jc w:val="center"/>
      </w:pPr>
      <w:r>
        <w:rPr>
          <w:rFonts w:ascii="Times New Roman" w:hAnsi="Times New Roman" w:eastAsia="宋体"/>
          <w:b w:val="0"/>
          <w:sz w:val="21"/>
        </w:rPr>
        <w:t xml:space="preserve">表5-62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keepNext/>
        <w:spacing w:line="280" w:lineRule="exact" w:before="120" w:after="80"/>
        <w:ind w:firstLine="0"/>
        <w:jc w:val="center"/>
      </w:pPr>
      <w:r>
        <w:rPr>
          <w:rFonts w:ascii="Times New Roman" w:hAnsi="Times New Roman" w:eastAsia="宋体"/>
          <w:b w:val="0"/>
          <w:sz w:val="21"/>
        </w:rPr>
        <w:t xml:space="preserve">表5-63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同一设备布局可对应多种可行负荷分配，表中转接量展示所列方案的网络利用情况。后续工程安排应结合开关位置、实际负荷块和操作条件确定具体转供方式。</w:t>
      </w:r>
    </w:p>
    <w:p>
      <w:pPr>
        <w:pStyle w:val="5"/>
        <w:keepNext/>
        <w:numPr>
          <w:numId w:val="0"/>
        </w:numPr>
        <w:spacing w:line="390" w:lineRule="exact" w:before="160" w:after="120"/>
        <w:ind w:firstLine="0"/>
      </w:pPr>
      <w:bookmarkStart w:id="247" w:name="主变储能与联络的共同作用"/>
      <w:r>
        <w:rPr>
          <w:rFonts w:ascii="Times New Roman" w:hAnsi="Times New Roman" w:eastAsia="方正仿宋_GBK"/>
          <w:b/>
          <w:sz w:val="26"/>
        </w:rPr>
        <w:t xml:space="preserve">5.5.2 主变、储能与联络的共同作用</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w:t>
      </w:r>
    </w:p>
    <w:p>
      <w:pPr>
        <w:pStyle w:val="2"/>
        <w:widowControl/>
        <w:spacing w:line="348" w:lineRule="exact" w:before="0" w:after="0"/>
        <w:ind w:firstLine="480"/>
        <w:jc w:val="both"/>
      </w:pPr>
      <w:r>
        <w:rPr>
          <w:rFonts w:ascii="Times New Roman" w:hAnsi="Times New Roman" w:eastAsia="方正仿宋_GBK"/>
          <w:b w:val="0"/>
          <w:sz w:val="24"/>
        </w:rPr>
        <w:t xml:space="preserve">逐站结果显示，设备选择与站间任务相互衔接。翟山变的更换直接增加最大单台主变N-1后的剩余容量，邢楼变扩建第三台主变改变原有两台小容量主变的组合，保持原设备的站点则结合既有通道安排故障负荷。各站的建设方式由本地源荷、相邻站能力、可扩建位置与工程费用共同确定，区域费用下降最终对应这些具体措施的差异。</w:t>
      </w:r>
    </w:p>
    <w:p>
      <w:pPr>
        <w:pStyle w:val="2"/>
        <w:widowControl/>
        <w:spacing w:line="348" w:lineRule="exact" w:before="0" w:after="0"/>
        <w:ind w:firstLine="480"/>
        <w:jc w:val="both"/>
      </w:pPr>
      <w:r>
        <w:rPr>
          <w:rFonts w:ascii="Times New Roman" w:hAnsi="Times New Roman" w:eastAsia="方正仿宋_GBK"/>
          <w:b w:val="0"/>
          <w:sz w:val="24"/>
        </w:rPr>
        <w:t xml:space="preserve">兴塘变可进一步说明主变对反向吸收任务的替代。2025年同一反向极值截面净负荷为－30.66 MW，刚性方案主变20+20 MVA，最大单台停运后有功能力为19.00 MW，所需储能充电吸收11.66 MW；弹性方案采用31.50+31.50 MVA，剩余有功能力提高至29.93 MW，所需吸收功率降至0.74 MW。对应储能能量分别为25.16 MWh和1.72 MWh，该截面两类方案本站转供均为零，储能减少直接对应站内剩余能力增加。地区总容量同时包含其他站点的调整，逐站剩余容量与同一截面功率平衡共同解释各措施的替代。</w:t>
      </w:r>
    </w:p>
    <w:p>
      <w:pPr>
        <w:pStyle w:val="5"/>
        <w:keepNext/>
        <w:numPr>
          <w:numId w:val="0"/>
        </w:numPr>
        <w:spacing w:line="390" w:lineRule="exact" w:before="160" w:after="120"/>
        <w:ind w:firstLine="0"/>
      </w:pPr>
      <w:bookmarkStart w:id="248" w:name="储能支撑与必要转供量"/>
      <w:r>
        <w:rPr>
          <w:rFonts w:ascii="Times New Roman" w:hAnsi="Times New Roman" w:eastAsia="方正仿宋_GBK"/>
          <w:b/>
          <w:sz w:val="26"/>
        </w:rPr>
        <w:t xml:space="preserve">5.5.3 储能支撑与必要转供量</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邳州正向支撑持续时间为2 h，每柜有效功率0.08170 MW；市区为6 h，每柜约0.02723 MW。邳州弹性方案2025年储能额定功率3.40 MW、额定能量7.31 MWh，刚性方案分别为22.30 MW、47.95 MWh。市区两类方案均通过主变和网络满足本次静态支撑要求。</w:t>
      </w:r>
    </w:p>
    <w:p>
      <w:pPr>
        <w:pStyle w:val="2"/>
        <w:keepNext/>
        <w:spacing w:line="280" w:lineRule="exact" w:before="120" w:after="80"/>
        <w:ind w:firstLine="0"/>
        <w:jc w:val="center"/>
      </w:pPr>
      <w:r>
        <w:rPr>
          <w:rFonts w:ascii="Times New Roman" w:hAnsi="Times New Roman" w:eastAsia="宋体"/>
          <w:b w:val="0"/>
          <w:sz w:val="21"/>
        </w:rPr>
        <w:t xml:space="preserve">表5-64 全部静态工况中的最大必要转供功率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正常既有边/MW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N-1既有边/MW</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53.79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61.68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53.79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r>
    </w:tbl>
    <w:p>
      <w:pPr>
        <w:pStyle w:val="2"/>
        <w:widowControl/>
        <w:spacing w:line="348" w:lineRule="exact" w:before="0" w:after="0"/>
        <w:ind w:firstLine="480"/>
        <w:jc w:val="both"/>
      </w:pPr>
      <w:r>
        <w:rPr>
          <w:rFonts w:ascii="Times New Roman" w:hAnsi="Times New Roman" w:eastAsia="方正仿宋_GBK"/>
          <w:b w:val="0"/>
          <w:sz w:val="24"/>
        </w:rPr>
        <w:t xml:space="preserve">注：固定设备后逐工况最小化通道转供功率，分别取正常及N-1工况最大值；总量与既有边列分别取最大值。</w:t>
      </w:r>
    </w:p>
    <w:p>
      <w:pPr>
        <w:pStyle w:val="2"/>
        <w:widowControl/>
        <w:spacing w:line="348" w:lineRule="exact" w:before="0" w:after="0"/>
        <w:ind w:firstLine="480"/>
        <w:jc w:val="both"/>
      </w:pPr>
      <w:r>
        <w:rPr>
          <w:rFonts w:ascii="Times New Roman" w:hAnsi="Times New Roman" w:eastAsia="方正仿宋_GBK"/>
          <w:b w:val="0"/>
          <w:sz w:val="24"/>
        </w:rPr>
        <w:t xml:space="preserve">表中固定设备方案后，遍历全部静态截面及各站最大单台主变N-1，以最小总通道转供功率计算必要转供，分别列出正常及故障方式下的总量与既有边最大值。既有网络支援在正常及故障工况下共同参与容量平衡，新增联络费用由实际建设项目计取。</w:t>
      </w:r>
    </w:p>
    <w:p>
      <w:pPr>
        <w:pStyle w:val="2"/>
        <w:widowControl/>
        <w:spacing w:line="348" w:lineRule="exact" w:before="0" w:after="0"/>
        <w:ind w:firstLine="480"/>
        <w:jc w:val="both"/>
      </w:pPr>
      <w:r>
        <w:rPr>
          <w:rFonts w:ascii="Times New Roman" w:hAnsi="Times New Roman" w:eastAsia="方正仿宋_GBK"/>
          <w:b w:val="0"/>
          <w:sz w:val="24"/>
        </w:rPr>
        <w:t xml:space="preserve">必要转供功率还说明既有网络的作用。市区弹性方案没有新增联络，仍需要在既有逐站额度和通道内安排正常及故障支援；刚性方案的5项新增工程是在相同既有网络基础上增加可用路径。邳州两类方案均建设联络，但储能和主变的站内分布不同，各年的必要转供任务随负荷及投运状态变化。比较新增工程时，应将已有网络提供的支援与新建通道形成的增量分别对应到方案。</w:t>
      </w:r>
    </w:p>
    <w:p>
      <w:pPr>
        <w:pStyle w:val="4"/>
        <w:keepNext/>
        <w:numPr>
          <w:numId w:val="0"/>
        </w:numPr>
        <w:spacing w:line="480" w:lineRule="exact" w:before="160" w:after="120"/>
        <w:ind w:firstLine="0"/>
      </w:pPr>
      <w:bookmarkStart w:id="1960" w:name="h960"/>
      <w:bookmarkStart w:id="249" w:name="五参数推广矩阵"/>
      <w:r>
        <w:rPr>
          <w:rFonts w:ascii="Times New Roman" w:hAnsi="Times New Roman" w:eastAsia="方正仿宋_GBK"/>
          <w:b/>
          <w:sz w:val="32"/>
        </w:rPr>
        <w:t xml:space="preserve">5.6 五参数推广矩阵</w:t>
      </w:r>
      <w:bookmarkEnd w:id="249"/>
      <w:bookmarkEnd w:id="1960"/>
    </w:p>
    <w:p>
      <w:pPr>
        <w:pStyle w:val="5"/>
        <w:keepNext/>
        <w:numPr>
          <w:numId w:val="0"/>
        </w:numPr>
        <w:spacing w:line="390" w:lineRule="exact" w:before="160" w:after="120"/>
        <w:ind w:firstLine="0"/>
      </w:pPr>
      <w:bookmarkStart w:id="250" w:name="参数组织与推广模型"/>
      <w:r>
        <w:rPr>
          <w:rFonts w:ascii="Times New Roman" w:hAnsi="Times New Roman" w:eastAsia="方正仿宋_GBK"/>
          <w:b/>
          <w:sz w:val="26"/>
        </w:rPr>
        <w:t xml:space="preserve">5.6.1 参数组织与推广模型</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第3.5节通过与容载比的相关强度筛选、指标间信息归并及参数间相关核验，确定分布式电源装机渗透率、年最大净负荷平均增长率、电缆长度占比、初始转供率和负荷分散系数五项推广参数。本节按这些条件归纳设备比选结果，形成容载比矩阵。</w:t>
      </w:r>
    </w:p>
    <w:p>
      <w:pPr>
        <w:pStyle w:val="2"/>
        <w:widowControl/>
        <w:spacing w:line="348" w:lineRule="exact" w:before="0" w:after="0"/>
        <w:ind w:firstLine="480"/>
        <w:jc w:val="both"/>
      </w:pPr>
      <w:r>
        <w:rPr>
          <w:rFonts w:ascii="Times New Roman" w:hAnsi="Times New Roman" w:eastAsia="方正仿宋_GBK"/>
          <w:b w:val="0"/>
          <w:sz w:val="24"/>
        </w:rPr>
        <w:t xml:space="preserve">五站模板采用设备重新选配条件，每站两台主变在31.50、50、63、80 MVA序列中选择，基础最小总容量为315.00 MVA，基期网供峰值250 MW，比选时点为基期后第4年。主变允许规格、扩建位置、馈线和间隔条件进入承载约束，主变、储能和新增联络按共同评价期费用比选。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0.30</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0.75</m:t>
                    </m:r>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为基期后第4年的网供最大负荷，</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晚峰及日间净负荷，单位MW；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为装机渗透率；</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oMath>
      <w:r>
        <w:rPr>
          <w:rFonts w:ascii="Times New Roman" w:hAnsi="Times New Roman" w:eastAsia="方正仿宋_GBK"/>
          <w:b w:val="0"/>
          <w:sz w:val="24"/>
        </w:rPr>
        <w:t xml:space="preserve">分别为负荷、光伏分配权重，各自合计为1。晚峰光伏出力取零，日间负荷和光伏出力系数分别为0.30、0.75。</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以各站局部高峰工况体现，每个工况的区域合计仍为同一规划时点峰值。既有相邻站环网按基期可实现转供率标定通道能力和馈线余量；新增联络可配置独立接收馈线，并受备用间隔限制。电缆长度占比按第4.3节折算线路费用。</w:t>
      </w:r>
    </w:p>
    <w:p>
      <w:pPr>
        <w:pStyle w:val="2"/>
        <w:keepNext/>
        <w:spacing w:line="280" w:lineRule="exact" w:before="120" w:after="80"/>
        <w:ind w:firstLine="0"/>
        <w:jc w:val="center"/>
      </w:pPr>
      <w:r>
        <w:rPr>
          <w:rFonts w:ascii="Times New Roman" w:hAnsi="Times New Roman" w:eastAsia="宋体"/>
          <w:b w:val="0"/>
          <w:sz w:val="21"/>
        </w:rPr>
        <w:t xml:space="preserve">表5-65 五站推广模板</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设备条件</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5站，每站2台主变，从31.50、50、63、80 MVA重新选配，基础最小总容量315 MVA</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基期网供峰值/目标时点</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 MW/基期后第4年</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既有网络</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相邻站环网；按基期可实现转供率标定通道和馈线余量</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单项3 km、7.49 MW；允许独立接收馈线，备用间隔按站限制</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经济参数</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第四章统一工程价格与评价期费用</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由满足正常及N-1约束、按费用目标比选的可行设备方案计算</w:t>
            </w:r>
          </w:p>
        </w:tc>
      </w:tr>
    </w:tbl>
    <w:p>
      <w:pPr>
        <w:pStyle w:val="5"/>
        <w:keepNext/>
        <w:numPr>
          <w:numId w:val="0"/>
        </w:numPr>
        <w:spacing w:line="390" w:lineRule="exact" w:before="160" w:after="120"/>
        <w:ind w:firstLine="0"/>
      </w:pPr>
      <w:bookmarkStart w:id="251" w:name="矩阵结果与查表方法"/>
      <w:r>
        <w:rPr>
          <w:rFonts w:ascii="Times New Roman" w:hAnsi="Times New Roman" w:eastAsia="方正仿宋_GBK"/>
          <w:b/>
          <w:sz w:val="26"/>
        </w:rPr>
        <w:t xml:space="preserve">5.6.2 矩阵结果与查表方法</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在电缆长度占比50%、储能支撑持续时间4 h的共同条件下，选取装机渗透率50%的两组典型源荷场景。每组包含10%～90%的九个初始转供率节点，按四档归纳容载比推荐范围，共形成8个区间单元。两组区间上下界均随转供档位提高而逐档下降。</w:t>
      </w:r>
    </w:p>
    <w:p>
      <w:pPr>
        <w:pStyle w:val="2"/>
        <w:widowControl/>
        <w:spacing w:line="348" w:lineRule="exact" w:before="0" w:after="0"/>
        <w:ind w:firstLine="480"/>
        <w:jc w:val="both"/>
      </w:pPr>
      <w:r>
        <w:rPr>
          <w:rFonts w:ascii="Times New Roman" w:hAnsi="Times New Roman" w:eastAsia="方正仿宋_GBK"/>
          <w:b w:val="0"/>
          <w:sz w:val="24"/>
        </w:rPr>
        <w:t xml:space="preserve">矩阵采用统一工程价格、日间负荷系数0.30和光伏出力系数0.75，在固定电缆长度占比和支撑时长后，按装机渗透率、平均增长率及负荷分散系数列示典型场景，按初始转供率四档选列。每格取该档已计算节点的容载比最小值与最大值形成区间。查表先核对表中源荷条件、电缆造价及支撑时长，再读取对应转供档位。表内区间用于这些条件下的容量比选，实际应用按片区设备、网络和持续支撑任务复核。</w:t>
      </w:r>
    </w:p>
    <w:p>
      <w:pPr>
        <w:pStyle w:val="2"/>
        <w:keepNext/>
        <w:spacing w:line="280" w:lineRule="exact" w:before="120" w:after="80"/>
        <w:ind w:firstLine="0"/>
        <w:jc w:val="center"/>
      </w:pPr>
      <w:r>
        <w:rPr>
          <w:rFonts w:ascii="Times New Roman" w:hAnsi="Times New Roman" w:eastAsia="宋体"/>
          <w:b w:val="0"/>
          <w:sz w:val="21"/>
        </w:rPr>
        <w:t xml:space="preserve">表5-66 典型源荷条件下随初始转供率变化的容载比推荐范围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平均增长率（小数）</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1.86～1.96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1.43～1.66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1.31～1.44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1.26～1.36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1.35～1.57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1.33～1.36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1.25～1.26</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注：两组均采用电缆长度占比50%、储能支撑持续时间4 h和五站设备重新选配条件。</w:t>
      </w:r>
    </w:p>
    <w:p>
      <w:pPr>
        <w:pStyle w:val="5"/>
        <w:keepNext/>
        <w:numPr>
          <w:numId w:val="0"/>
        </w:numPr>
        <w:spacing w:line="390" w:lineRule="exact" w:before="160" w:after="120"/>
        <w:ind w:firstLine="0"/>
      </w:pPr>
      <w:bookmarkStart w:id="252" w:name="参数关联对应的设备变化"/>
      <w:r>
        <w:rPr>
          <w:rFonts w:ascii="Times New Roman" w:hAnsi="Times New Roman" w:eastAsia="方正仿宋_GBK"/>
          <w:b/>
          <w:sz w:val="26"/>
        </w:rPr>
        <w:t xml:space="preserve">5.6.3 参数关联对应的设备变化</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第3.5节组内相关显示，装机渗透率增加主要提高反向容量需求，初始转供率提高通常减少本地容量或新增工程需求。平均增长率同时改变规划时点负荷和设备配置，容载比随容量离散投运呈阶段变化。电缆长度占比和负荷分散系数在部分组合中触发设备替代，以下完整受控序列将这些关联落实到主变、联络和储能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2188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3"/>
                    <a:stretch>
                      <a:fillRect/>
                    </a:stretch>
                  </pic:blipFill>
                  <pic:spPr bwMode="auto">
                    <a:xfrm>
                      <a:off x="0" y="0"/>
                      <a:ext cx="5120640" cy="3321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装机渗透率与年最大净负荷平均增长率对应的容载比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图中固定电缆长度占比10%、初始转供率40%、储能支撑持续时间4 h和负荷分散系数1.10，显示同一组背景下源荷条件的作用。</w:t>
      </w:r>
    </w:p>
    <w:p>
      <w:pPr>
        <w:pStyle w:val="5"/>
        <w:keepNext/>
        <w:numPr>
          <w:numId w:val="0"/>
        </w:numPr>
        <w:spacing w:line="390" w:lineRule="exact" w:before="160" w:after="120"/>
        <w:ind w:firstLine="0"/>
      </w:pPr>
      <w:bookmarkStart w:id="254" w:name="固定源荷条件下的转供序列"/>
      <w:r>
        <w:rPr>
          <w:rFonts w:ascii="Times New Roman" w:hAnsi="Times New Roman" w:eastAsia="方正仿宋_GBK"/>
          <w:b/>
          <w:sz w:val="26"/>
        </w:rPr>
        <w:t xml:space="preserve">5.6.4 固定源荷条件下的转供序列</w:t>
      </w:r>
      <w:bookmarkEnd w:id="254"/>
    </w:p>
    <w:p>
      <w:pPr>
        <w:pStyle w:val="FirstParagraph"/>
        <w:widowControl/>
        <w:spacing w:line="348" w:lineRule="exact" w:before="0" w:after="0"/>
        <w:ind w:firstLine="480"/>
        <w:jc w:val="both"/>
      </w:pPr>
      <w:r>
        <w:rPr>
          <w:rFonts w:ascii="Times New Roman" w:hAnsi="Times New Roman" w:eastAsia="方正仿宋_GBK"/>
          <w:b w:val="0"/>
          <w:sz w:val="24"/>
        </w:rPr>
        <w:t xml:space="preserve">两组典型场景均取装机渗透率50%、电缆长度占比50%、储能支撑持续时间4 h。场景1的平均增长率为4%、负荷分散系数1.10，场景2分别为0.055和1.00。以下同时列示10%～90%的完整初始转供率节点，以设备组合解释四档区间的响应。</w:t>
      </w:r>
    </w:p>
    <w:p>
      <w:pPr>
        <w:pStyle w:val="2"/>
        <w:keepNext/>
        <w:spacing w:line="280" w:lineRule="exact" w:before="120" w:after="80"/>
        <w:ind w:firstLine="0"/>
        <w:jc w:val="center"/>
      </w:pPr>
      <w:r>
        <w:rPr>
          <w:rFonts w:ascii="Times New Roman" w:hAnsi="Times New Roman" w:eastAsia="宋体"/>
          <w:b w:val="0"/>
          <w:sz w:val="21"/>
        </w:rPr>
        <w:t xml:space="preserve">表5-67 场景1的完整转供率节点及设备方案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储能/MWh</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11675.95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11105.20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9559.88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9064.34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8522.47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7414.40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6928.21</w:t>
            </w:r>
          </w:p>
        </w:tc>
      </w:tr>
    </w:tbl>
    <w:p>
      <w:pPr>
        <w:pStyle w:val="2"/>
        <w:widowControl/>
        <w:spacing w:line="348" w:lineRule="exact" w:before="0" w:after="0"/>
        <w:ind w:firstLine="480"/>
        <w:jc w:val="both"/>
      </w:pPr>
      <w:r>
        <w:rPr>
          <w:rFonts w:ascii="Times New Roman" w:hAnsi="Times New Roman" w:eastAsia="方正仿宋_GBK"/>
          <w:b w:val="0"/>
          <w:sz w:val="24"/>
        </w:rPr>
        <w:t xml:space="preserve">场景1在低转供档位需较多本地容量和新增联络，转供率达到30%时主变降至544.50 MVA，40%和50%节点继续降至483.50 MVA和420.50 MVA。50%与60%节点主变保持420.50 MVA，但储能及联络组合调整，70%节点进一步降至383.50 MVA。80%节点为396.50 MVA并取消新增联络，费用仍低于70%节点；90%节点再降至370.50 MVA。费用比选将主变和联络共同配置，形成局部平台及组合切换。</w:t>
      </w:r>
    </w:p>
    <w:p>
      <w:pPr>
        <w:pStyle w:val="2"/>
        <w:keepNext/>
        <w:spacing w:line="280" w:lineRule="exact" w:before="120" w:after="80"/>
        <w:ind w:firstLine="0"/>
        <w:jc w:val="center"/>
      </w:pPr>
      <w:r>
        <w:rPr>
          <w:rFonts w:ascii="Times New Roman" w:hAnsi="Times New Roman" w:eastAsia="宋体"/>
          <w:b w:val="0"/>
          <w:sz w:val="21"/>
        </w:rPr>
        <w:t xml:space="preserve">表5-68 场景2的完整转供率节点及设备方案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储能/MWh</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14092.58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11460.49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10392.43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8912.27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8062.42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7576.23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7274.15</w:t>
            </w:r>
          </w:p>
        </w:tc>
      </w:tr>
    </w:tbl>
    <w:p>
      <w:pPr>
        <w:pStyle w:val="2"/>
        <w:widowControl/>
        <w:spacing w:line="348" w:lineRule="exact" w:before="0" w:after="0"/>
        <w:ind w:firstLine="480"/>
        <w:jc w:val="both"/>
      </w:pPr>
      <w:r>
        <w:rPr>
          <w:rFonts w:ascii="Times New Roman" w:hAnsi="Times New Roman" w:eastAsia="方正仿宋_GBK"/>
          <w:b w:val="0"/>
          <w:sz w:val="24"/>
        </w:rPr>
        <w:t xml:space="preserve">场景2在10%～30%内主变连续减至476.00 MVA，40%节点改用483.50 MVA并减少4项新增联络，50%节点降至420.50 MVA。60%与50%保持同一容量，通过减少2项联络降低费用，70%节点再降至415.00 MVA，80%和90%为389.00 MVA，末个节点取消新增联络。两组均在四档转供率间形成不同的推荐区间，说明既有网络改善能够在各档体现为区域容量需求下降，同时改变新增工程组合。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006737"/>
            <wp:effectExtent b="0" l="0" r="0" t="0"/>
            <wp:docPr descr="" title="" id="1" name="Picture"/>
            <a:graphic>
              <a:graphicData uri="http://schemas.openxmlformats.org/drawingml/2006/picture">
                <pic:pic>
                  <pic:nvPicPr>
                    <pic:cNvPr descr="研究报告/02图表/当前版/typical_transfer_response.png" id="0" name="Picture"/>
                    <pic:cNvPicPr>
                      <a:picLocks noChangeArrowheads="1" noChangeAspect="1"/>
                    </pic:cNvPicPr>
                  </pic:nvPicPr>
                  <pic:blipFill>
                    <a:blip r:embed="rId255"/>
                    <a:stretch>
                      <a:fillRect/>
                    </a:stretch>
                  </pic:blipFill>
                  <pic:spPr bwMode="auto">
                    <a:xfrm>
                      <a:off x="0" y="0"/>
                      <a:ext cx="5120640" cy="200673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图5-5 典型场景中初始转供率与容载比、费用的关系</w:t>
      </w:r>
    </w:p>
    <w:p>
      <w:pPr>
        <w:pStyle w:val="2"/>
        <w:widowControl/>
        <w:spacing w:line="348" w:lineRule="exact" w:before="0" w:after="0"/>
        <w:ind w:firstLine="480"/>
        <w:jc w:val="both"/>
      </w:pPr>
      <w:r>
        <w:rPr>
          <w:rFonts w:ascii="Times New Roman" w:hAnsi="Times New Roman" w:eastAsia="方正仿宋_GBK"/>
          <w:b w:val="0"/>
          <w:sz w:val="24"/>
        </w:rPr>
        <w:t xml:space="preserve">细节点的容量平台与额定规格离散、各站N-1剩余能力及费用替代共同有关。两组全部容量均高于315.00 MVA的设备最小组合，平台应联系具体主变和网络配置解释。四档区间归纳反映总体响应，完整序列中的局部回升则对应更大主变与更少联络的经济组合。</w:t>
      </w:r>
    </w:p>
    <w:p>
      <w:pPr>
        <w:pStyle w:val="5"/>
        <w:keepNext/>
        <w:numPr>
          <w:numId w:val="0"/>
        </w:numPr>
        <w:spacing w:line="390" w:lineRule="exact" w:before="160" w:after="120"/>
        <w:ind w:firstLine="0"/>
      </w:pPr>
      <w:bookmarkStart w:id="256" w:name="装机渗透率与双向容量需求"/>
      <w:r>
        <w:rPr>
          <w:rFonts w:ascii="Times New Roman" w:hAnsi="Times New Roman" w:eastAsia="方正仿宋_GBK"/>
          <w:b/>
          <w:sz w:val="26"/>
        </w:rPr>
        <w:t xml:space="preserve">5.6.5 装机渗透率与双向容量需求</w:t>
      </w:r>
      <w:bookmarkEnd w:id="256"/>
    </w:p>
    <w:p>
      <w:pPr>
        <w:pStyle w:val="FirstParagraph"/>
        <w:widowControl/>
        <w:spacing w:line="348" w:lineRule="exact" w:before="0" w:after="0"/>
        <w:ind w:firstLine="480"/>
        <w:jc w:val="both"/>
      </w:pPr>
      <w:r>
        <w:rPr>
          <w:rFonts w:ascii="Times New Roman" w:hAnsi="Times New Roman" w:eastAsia="方正仿宋_GBK"/>
          <w:b w:val="0"/>
          <w:sz w:val="24"/>
        </w:rPr>
        <w:t xml:space="preserve">固定平均增长率4%、电缆长度占比10%、初始转供率40%、储能支撑持续时间4 h和负荷分散系数1.10，读取装机渗透率0～3.00、步长0.25的完整序列。</w:t>
      </w:r>
    </w:p>
    <w:p>
      <w:pPr>
        <w:pStyle w:val="2"/>
        <w:keepNext/>
        <w:spacing w:line="280" w:lineRule="exact" w:before="120" w:after="80"/>
        <w:ind w:firstLine="0"/>
        <w:jc w:val="center"/>
      </w:pPr>
      <w:r>
        <w:rPr>
          <w:rFonts w:ascii="Times New Roman" w:hAnsi="Times New Roman" w:eastAsia="宋体"/>
          <w:b w:val="0"/>
          <w:sz w:val="21"/>
        </w:rPr>
        <w:t xml:space="preserve">表5-69 装机渗透率对应的设备配置变化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2483.72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5720.12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6693.98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29449.91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40296.03</w:t>
            </w:r>
          </w:p>
        </w:tc>
      </w:tr>
    </w:tbl>
    <w:p>
      <w:pPr>
        <w:pStyle w:val="2"/>
        <w:widowControl/>
        <w:spacing w:line="348" w:lineRule="exact" w:before="0" w:after="0"/>
        <w:ind w:firstLine="480"/>
        <w:jc w:val="both"/>
      </w:pPr>
      <w:r>
        <w:rPr>
          <w:rFonts w:ascii="Times New Roman" w:hAnsi="Times New Roman" w:eastAsia="方正仿宋_GBK"/>
          <w:b w:val="0"/>
          <w:sz w:val="24"/>
        </w:rPr>
        <w:t xml:space="preserve">注：0～1.50合并表示该范围内步长0.25的采样节点采用相同方案。</w:t>
      </w:r>
    </w:p>
    <w:p>
      <w:pPr>
        <w:pStyle w:val="2"/>
        <w:widowControl/>
        <w:spacing w:line="348" w:lineRule="exact" w:before="0" w:after="0"/>
        <w:ind w:firstLine="480"/>
        <w:jc w:val="both"/>
      </w:pPr>
      <w:r>
        <w:rPr>
          <w:rFonts w:ascii="Times New Roman" w:hAnsi="Times New Roman" w:eastAsia="方正仿宋_GBK"/>
          <w:b w:val="0"/>
          <w:sz w:val="24"/>
        </w:rPr>
        <w:t xml:space="preserve">在0～1.50的已采样节点中，主变及联络配置保持一致，晚间正向供电任务决定该段的基础设备规模。装机渗透率达到1.75时先出现储能，主变容量仍保持550.00 MVA，说明反向缺口开始通过局部补充措施解决。达到2.00时主变升至626.00 MVA，设备选择进入另一组合。更高装机节点同时增加主变与储能，至3.00节点主变达到820.00 MVA、储能额定功率129.20 MW，容量候选和反向需求共同影响费用。</w:t>
      </w:r>
    </w:p>
    <w:p>
      <w:pPr>
        <w:pStyle w:val="2"/>
        <w:widowControl/>
        <w:spacing w:line="348" w:lineRule="exact" w:before="0" w:after="0"/>
        <w:ind w:firstLine="480"/>
        <w:jc w:val="both"/>
      </w:pPr>
      <w:r>
        <w:rPr>
          <w:rFonts w:ascii="Times New Roman" w:hAnsi="Times New Roman" w:eastAsia="方正仿宋_GBK"/>
          <w:b w:val="0"/>
          <w:sz w:val="24"/>
        </w:rPr>
        <w:t xml:space="preserve">这一序列解释了第3.5节装机渗透率正相关的工程来源。光伏装机增加先改变日间净负荷，只有进入现有主变及网络难以承担的区段，才触发设备变化。转供调整用电负荷归属，电源保留原站；在反向工况，向其他站转出用电负荷可能加大本地反送，因此正向转供方式与反向吸收方式需分别校核。主变、储能和联络的组合应随功率方向落实[7]。</w:t>
      </w:r>
    </w:p>
    <w:p>
      <w:pPr>
        <w:pStyle w:val="5"/>
        <w:keepNext/>
        <w:numPr>
          <w:numId w:val="0"/>
        </w:numPr>
        <w:spacing w:line="390" w:lineRule="exact" w:before="160" w:after="120"/>
        <w:ind w:firstLine="0"/>
      </w:pPr>
      <w:bookmarkStart w:id="257" w:name="平均增长率与容量储备消耗"/>
      <w:r>
        <w:rPr>
          <w:rFonts w:ascii="Times New Roman" w:hAnsi="Times New Roman" w:eastAsia="方正仿宋_GBK"/>
          <w:b/>
          <w:sz w:val="26"/>
        </w:rPr>
        <w:t xml:space="preserve">5.6.6 平均增长率与容量储备消耗</w:t>
      </w:r>
      <w:bookmarkEnd w:id="257"/>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固定装机渗透率1.50、电缆长度占比10%、初始转供率40%、支撑持续时间4 h及负荷分散系数1.10，比较锁定库中相应的八个增长节点。</w:t>
      </w:r>
    </w:p>
    <w:p>
      <w:pPr>
        <w:pStyle w:val="2"/>
        <w:keepNext/>
        <w:spacing w:line="280" w:lineRule="exact" w:before="120" w:after="80"/>
        <w:ind w:firstLine="0"/>
        <w:jc w:val="center"/>
      </w:pPr>
      <w:r>
        <w:rPr>
          <w:rFonts w:ascii="Times New Roman" w:hAnsi="Times New Roman" w:eastAsia="宋体"/>
          <w:b w:val="0"/>
          <w:sz w:val="21"/>
        </w:rPr>
        <w:t xml:space="preserve">表5-70 平均增长率对应的容量及工程变化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1621.57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3726.46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6564.58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7704.18</w:t>
            </w:r>
          </w:p>
        </w:tc>
      </w:tr>
    </w:tbl>
    <w:p>
      <w:pPr>
        <w:pStyle w:val="2"/>
        <w:widowControl/>
        <w:spacing w:line="348" w:lineRule="exact" w:before="0" w:after="0"/>
        <w:ind w:firstLine="480"/>
        <w:jc w:val="both"/>
      </w:pPr>
      <w:r>
        <w:rPr>
          <w:rFonts w:ascii="Times New Roman" w:hAnsi="Times New Roman" w:eastAsia="方正仿宋_GBK"/>
          <w:b w:val="0"/>
          <w:sz w:val="24"/>
        </w:rPr>
        <w:t xml:space="preserve">从零增长至4%的节点，主变均为550.00 MVA。负荷增长逐步消耗该容量的储备，容载比下降，同时通过增加联络满足局部供电要求。5.5%节点仍保持同一主变容量，以少量储能补充缺口，7%节点主变升至600.00 MVA，容载比出现回升。8%、10%节点继续采用不同主变组合，表明容量以整台设备离散投运，容载比在连续增长条件下可以呈阶段波动。</w:t>
      </w:r>
    </w:p>
    <w:p>
      <w:pPr>
        <w:pStyle w:val="2"/>
        <w:widowControl/>
        <w:spacing w:line="348" w:lineRule="exact" w:before="0" w:after="0"/>
        <w:ind w:firstLine="480"/>
        <w:jc w:val="both"/>
      </w:pPr>
      <w:r>
        <w:rPr>
          <w:rFonts w:ascii="Times New Roman" w:hAnsi="Times New Roman" w:eastAsia="方正仿宋_GBK"/>
          <w:b w:val="0"/>
          <w:sz w:val="24"/>
        </w:rPr>
        <w:t xml:space="preserve">平均增长率与容载比的负相关应联系这些容量和负荷的共同变化。较高增长节点的容载比可以较低，但主变规模、联络数量或费用仍可能更高；相同主变规模下，比值下降首先表示负荷分母增加。地区案例保留真实逐年负荷与建设时序，推广模板则比较基期后第4年的配置，两者分别回答建设时点和给定发展水平下的规模问题。</w:t>
      </w:r>
    </w:p>
    <w:p>
      <w:pPr>
        <w:pStyle w:val="5"/>
        <w:keepNext/>
        <w:numPr>
          <w:numId w:val="0"/>
        </w:numPr>
        <w:spacing w:line="390" w:lineRule="exact" w:before="160" w:after="120"/>
        <w:ind w:firstLine="0"/>
      </w:pPr>
      <w:bookmarkStart w:id="258" w:name="电缆长度占比与联络主变替代"/>
      <w:r>
        <w:rPr>
          <w:rFonts w:ascii="Times New Roman" w:hAnsi="Times New Roman" w:eastAsia="方正仿宋_GBK"/>
          <w:b/>
          <w:sz w:val="26"/>
        </w:rPr>
        <w:t xml:space="preserve">5.6.7 电缆长度占比与联络、主变替代</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固定装机渗透率2.50、平均增长率4%、初始转供率70%、支撑持续时间4 h和负荷分散系数1.10，读取10%、30%、50%、80%、90%电缆长度占比节点。全部节点采用相同的单位线路能力和候选网络，费用按第四章长度加权关系计算。</w:t>
      </w:r>
    </w:p>
    <w:p>
      <w:pPr>
        <w:pStyle w:val="2"/>
        <w:keepNext/>
        <w:spacing w:line="280" w:lineRule="exact" w:before="120" w:after="80"/>
        <w:ind w:firstLine="0"/>
        <w:jc w:val="center"/>
      </w:pPr>
      <w:r>
        <w:rPr>
          <w:rFonts w:ascii="Times New Roman" w:hAnsi="Times New Roman" w:eastAsia="宋体"/>
          <w:b w:val="0"/>
          <w:sz w:val="21"/>
        </w:rPr>
        <w:t xml:space="preserve">表5-71 电缆长度占比对应的造价与设备切换</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12680.32～14900.59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15147.71</w:t>
            </w:r>
          </w:p>
        </w:tc>
      </w:tr>
    </w:tbl>
    <w:p>
      <w:pPr>
        <w:pStyle w:val="2"/>
        <w:widowControl/>
        <w:spacing w:line="348" w:lineRule="exact" w:before="0" w:after="0"/>
        <w:ind w:firstLine="480"/>
        <w:jc w:val="both"/>
      </w:pPr>
      <w:r>
        <w:rPr>
          <w:rFonts w:ascii="Times New Roman" w:hAnsi="Times New Roman" w:eastAsia="方正仿宋_GBK"/>
          <w:b w:val="0"/>
          <w:sz w:val="24"/>
        </w:rPr>
        <w:t xml:space="preserve">注：首行四个节点配置相同，费用范围对应四个已计算节点。</w:t>
      </w:r>
    </w:p>
    <w:p>
      <w:pPr>
        <w:pStyle w:val="2"/>
        <w:widowControl/>
        <w:spacing w:line="348" w:lineRule="exact" w:before="0" w:after="0"/>
        <w:ind w:firstLine="480"/>
        <w:jc w:val="both"/>
      </w:pPr>
      <w:r>
        <w:rPr>
          <w:rFonts w:ascii="Times New Roman" w:hAnsi="Times New Roman" w:eastAsia="方正仿宋_GBK"/>
          <w:b w:val="0"/>
          <w:sz w:val="24"/>
        </w:rPr>
        <w:t xml:space="preserve">在相同源荷和支撑条件下，进一步比较初始转供率50%～90%的共同节点。电缆长度占比影响联络造价，初始转供率决定既有网络支援，图中两项条件共同作用于主变与联络的经济选择。</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54314"/>
            <wp:effectExtent b="0" l="0" r="0" t="0"/>
            <wp:docPr descr="" title="" id="1" name="Picture"/>
            <a:graphic>
              <a:graphicData uri="http://schemas.openxmlformats.org/drawingml/2006/picture">
                <pic:pic>
                  <pic:nvPicPr>
                    <pic:cNvPr descr="研究报告/02图表/当前版/discussion_cable_transfer.png" id="0" name="Picture"/>
                    <pic:cNvPicPr>
                      <a:picLocks noChangeArrowheads="1" noChangeAspect="1"/>
                    </pic:cNvPicPr>
                  </pic:nvPicPr>
                  <pic:blipFill>
                    <a:blip r:embed="rId259"/>
                    <a:stretch>
                      <a:fillRect/>
                    </a:stretch>
                  </pic:blipFill>
                  <pic:spPr bwMode="auto">
                    <a:xfrm>
                      <a:off x="0" y="0"/>
                      <a:ext cx="5120640" cy="2854314"/>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图5-6 电缆长度占比与初始转供率对应的容载比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10%～80%范围内的四个已采样节点采用相同设备，费用增加来自同一组新增联络的造价变化，而90%节点则将主变由660.00 MVA提高至710.00 MVA，新增联络由7项减少为4项，储能配置保持28.00 MW。高电缆占比下新增联络较贵，费用比选转向更多站内容量，形成主变与联络的替代。该变化具有明确的项目费用依据。</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与初始转供率在第3.5节分析中的相关系数为0.29，但两者分别作用于造价和既有网络能力。表中比较固定转供率，用于识别造价引起的设备切换，第5.6.4节则固定线路条件，观察既有能力改善带来的新增工程减少。两组受控结果结合参数间统计关联，解释各项输入的规划作用。</w:t>
      </w:r>
    </w:p>
    <w:p>
      <w:pPr>
        <w:pStyle w:val="5"/>
        <w:keepNext/>
        <w:numPr>
          <w:numId w:val="0"/>
        </w:numPr>
        <w:spacing w:line="390" w:lineRule="exact" w:before="160" w:after="120"/>
        <w:ind w:firstLine="0"/>
      </w:pPr>
      <w:bookmarkStart w:id="260" w:name="储能持续时间与有效功率配置"/>
      <w:r>
        <w:rPr>
          <w:rFonts w:ascii="Times New Roman" w:hAnsi="Times New Roman" w:eastAsia="方正仿宋_GBK"/>
          <w:b/>
          <w:sz w:val="26"/>
        </w:rPr>
        <w:t xml:space="preserve">5.6.8 储能持续时间与有效功率配置</w:t>
      </w:r>
      <w:bookmarkEnd w:id="260"/>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固定装机渗透率2.50、平均增长率4%、电缆长度占比10%、初始转供率40%和负荷分散系数1.10，分别读取2、4、6 h三个定值。三组主变均为710.00 MVA，新增联络均为8项，储能有效支撑功率约14.38 MW。</w:t>
      </w:r>
    </w:p>
    <w:p>
      <w:pPr>
        <w:pStyle w:val="2"/>
        <w:keepNext/>
        <w:spacing w:line="280" w:lineRule="exact" w:before="120" w:after="80"/>
        <w:ind w:firstLine="0"/>
        <w:jc w:val="center"/>
      </w:pPr>
      <w:r>
        <w:rPr>
          <w:rFonts w:ascii="Times New Roman" w:hAnsi="Times New Roman" w:eastAsia="宋体"/>
          <w:b w:val="0"/>
          <w:sz w:val="21"/>
        </w:rPr>
        <w:t xml:space="preserve">表5-72 固定主变及联络配置下的储能持续时间比较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储能额定能量/MWh</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11921.75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75.68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52.80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113.52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19568.63</w:t>
            </w:r>
          </w:p>
        </w:tc>
      </w:tr>
    </w:tbl>
    <w:p>
      <w:pPr>
        <w:pStyle w:val="2"/>
        <w:widowControl/>
        <w:spacing w:line="348" w:lineRule="exact" w:before="0" w:after="0"/>
        <w:ind w:firstLine="480"/>
        <w:jc w:val="both"/>
      </w:pPr>
      <w:r>
        <w:rPr>
          <w:rFonts w:ascii="Times New Roman" w:hAnsi="Times New Roman" w:eastAsia="方正仿宋_GBK"/>
          <w:b w:val="0"/>
          <w:sz w:val="24"/>
        </w:rPr>
        <w:t xml:space="preserve">保持平均增长率4%、电缆长度占比10%、初始转供率40%和负荷分散系数1.10，比较不同装机节点下的支撑时长。装机渗透率2.00时，支撑持续时间由2 h延长至4 h，容载比由2.05升至2.14，延长至6 h后保持2.14，容量响应集中于部分设备替代节点。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72833"/>
            <wp:effectExtent b="0" l="0" r="0" t="0"/>
            <wp:docPr descr="" title="" id="1" name="Picture"/>
            <a:graphic>
              <a:graphicData uri="http://schemas.openxmlformats.org/drawingml/2006/picture">
                <pic:pic>
                  <pic:nvPicPr>
                    <pic:cNvPr descr="研究报告/02图表/当前版/discussion_hours_eta.png" id="0" name="Picture"/>
                    <pic:cNvPicPr>
                      <a:picLocks noChangeArrowheads="1" noChangeAspect="1"/>
                    </pic:cNvPicPr>
                  </pic:nvPicPr>
                  <pic:blipFill>
                    <a:blip r:embed="rId261"/>
                    <a:stretch>
                      <a:fillRect/>
                    </a:stretch>
                  </pic:blipFill>
                  <pic:spPr bwMode="auto">
                    <a:xfrm>
                      <a:off x="0" y="0"/>
                      <a:ext cx="5120640" cy="287283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图5-7 装机渗透率与储能支撑持续时间对应的容载比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该组设备所需补充的有效功率接近一致，持续时间由2 h延长至4 h和6 h时，储能额定功率及额定能量按所需柜数增加，费用相应提高。主变及联络没有切换，说明这一组背景下增加柜数仍是相应可行组合的选择。其工程含义是：持续时间控制为同一功率缺口准备多少可用电量，铭牌功率变化还需结合有效支撑功率解释。</w:t>
      </w:r>
    </w:p>
    <w:p>
      <w:pPr>
        <w:pStyle w:val="2"/>
        <w:widowControl/>
        <w:spacing w:line="348" w:lineRule="exact" w:before="0" w:after="0"/>
        <w:ind w:firstLine="480"/>
        <w:jc w:val="both"/>
      </w:pPr>
      <w:r>
        <w:rPr>
          <w:rFonts w:ascii="Times New Roman" w:hAnsi="Times New Roman" w:eastAsia="方正仿宋_GBK"/>
          <w:b w:val="0"/>
          <w:sz w:val="24"/>
        </w:rPr>
        <w:t xml:space="preserve">第3.5节统计中，支撑时间仅在12%的受控组触发主变容量变化，其余组可能保持主变并调整储能，也可能由主变和网络满足全部需求。时间参数因此按2、4、6 h分别展示，便于将地区近峰特征与具体设备配置对应。实际项目的支撑时长还需结合故障恢复过程和功率缺口持续时间核定[28][10]。</w:t>
      </w:r>
    </w:p>
    <w:p>
      <w:pPr>
        <w:pStyle w:val="5"/>
        <w:keepNext/>
        <w:numPr>
          <w:numId w:val="0"/>
        </w:numPr>
        <w:spacing w:line="390" w:lineRule="exact" w:before="160" w:after="120"/>
        <w:ind w:firstLine="0"/>
      </w:pPr>
      <w:bookmarkStart w:id="262" w:name="负荷分散系数与局部高峰承载"/>
      <w:r>
        <w:rPr>
          <w:rFonts w:ascii="Times New Roman" w:hAnsi="Times New Roman" w:eastAsia="方正仿宋_GBK"/>
          <w:b/>
          <w:sz w:val="26"/>
        </w:rPr>
        <w:t xml:space="preserve">5.6.9 负荷分散系数与局部高峰承载</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固定装机渗透率0、平均增长率4%、电缆长度占比10%、初始转供率40%和储能支撑持续时间4 h，分别比较负荷分散系数1.00、1.10、1.15。各工况区域负荷合计相同，分散系数改变局部高峰在各站之间的分布。</w:t>
      </w:r>
    </w:p>
    <w:p>
      <w:pPr>
        <w:pStyle w:val="2"/>
        <w:keepNext/>
        <w:spacing w:line="280" w:lineRule="exact" w:before="120" w:after="80"/>
        <w:ind w:firstLine="0"/>
        <w:jc w:val="center"/>
      </w:pPr>
      <w:r>
        <w:rPr>
          <w:rFonts w:ascii="Times New Roman" w:hAnsi="Times New Roman" w:eastAsia="宋体"/>
          <w:b w:val="0"/>
          <w:sz w:val="21"/>
        </w:rPr>
        <w:t xml:space="preserve">表5-73 局部峰值分散程度对应的设备配置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591.95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2225.73</w:t>
            </w:r>
          </w:p>
        </w:tc>
      </w:tr>
    </w:tbl>
    <w:p>
      <w:pPr>
        <w:pStyle w:val="2"/>
        <w:widowControl/>
        <w:spacing w:line="348" w:lineRule="exact" w:before="0" w:after="0"/>
        <w:ind w:firstLine="480"/>
        <w:jc w:val="both"/>
      </w:pPr>
      <w:r>
        <w:rPr>
          <w:rFonts w:ascii="Times New Roman" w:hAnsi="Times New Roman" w:eastAsia="方正仿宋_GBK"/>
          <w:b w:val="0"/>
          <w:sz w:val="24"/>
        </w:rPr>
        <w:t xml:space="preserve">固定装机渗透率1.50、平均增长率4%、电缆长度占比10%和支撑持续时间4 h，比较初始转供率20%～90%的共同有效节点。转供率20%时，分散系数1.00、1.10、1.15对应容载比1.88、2.05、2.22，转供率达到40%后三种分散系数均为1.88，本组节点中网络支援改善能够缓解局部高峰对新增容量的要求。</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57500"/>
            <wp:effectExtent b="0" l="0" r="0" t="0"/>
            <wp:docPr descr="" title="" id="1" name="Picture"/>
            <a:graphic>
              <a:graphicData uri="http://schemas.openxmlformats.org/drawingml/2006/picture">
                <pic:pic>
                  <pic:nvPicPr>
                    <pic:cNvPr descr="研究报告/02图表/当前版/discussion_dispersion_transfer.png" id="0" name="Picture"/>
                    <pic:cNvPicPr>
                      <a:picLocks noChangeArrowheads="1" noChangeAspect="1"/>
                    </pic:cNvPicPr>
                  </pic:nvPicPr>
                  <pic:blipFill>
                    <a:blip r:embed="rId263"/>
                    <a:stretch>
                      <a:fillRect/>
                    </a:stretch>
                  </pic:blipFill>
                  <pic:spPr bwMode="auto">
                    <a:xfrm>
                      <a:off x="0" y="0"/>
                      <a:ext cx="5120640" cy="285750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图5-8 初始转供率与负荷分散系数对应的容载比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负荷分散系数由1.00提高至1.10时，局部高峰任务触发主变补强，容量增加50.00 MVA，并以主变和新增联络替代原少量储能。继续提高至1.15后，主变容量保持550.00 MVA，通过进一步增加2项联络利用已有容量。这表明即使区域同时峰值相同，局部负荷分布仍会影响站级设备需求。</w:t>
      </w:r>
    </w:p>
    <w:p>
      <w:pPr>
        <w:pStyle w:val="2"/>
        <w:widowControl/>
        <w:spacing w:line="348" w:lineRule="exact" w:before="0" w:after="0"/>
        <w:ind w:firstLine="480"/>
        <w:jc w:val="both"/>
      </w:pPr>
      <w:r>
        <w:rPr>
          <w:rFonts w:ascii="Times New Roman" w:hAnsi="Times New Roman" w:eastAsia="方正仿宋_GBK"/>
          <w:b w:val="0"/>
          <w:sz w:val="24"/>
        </w:rPr>
        <w:t xml:space="preserve">在装机渗透率2.50、其余背景相同的另一组节点中，三种分散系数均采用710.00 MVA主变，但储能额定功率分别为28.40、35.20、45.90 MW，新增联络也有调整。反向容量和局部高峰共同影响配置时，分散程度的作用可以更多体现为储能与线路组合。矩阵将三个定值分别列示，可保留这些设备差异，后续查表应与片区各站峰值及实际联络条件衔接。</w:t>
      </w:r>
    </w:p>
    <w:p>
      <w:pPr>
        <w:pStyle w:val="5"/>
        <w:keepNext/>
        <w:numPr>
          <w:numId w:val="0"/>
        </w:numPr>
        <w:spacing w:line="390" w:lineRule="exact" w:before="160" w:after="120"/>
        <w:ind w:firstLine="0"/>
      </w:pPr>
      <w:bookmarkStart w:id="264" w:name="电量峰段及相对投资条件下的配置"/>
      <w:r>
        <w:rPr>
          <w:rFonts w:ascii="Times New Roman" w:hAnsi="Times New Roman" w:eastAsia="方正仿宋_GBK"/>
          <w:b/>
          <w:sz w:val="26"/>
        </w:rPr>
        <w:t xml:space="preserve">5.6.10 电量、峰段及相对投资条件下的配置</w:t>
      </w:r>
      <w:bookmarkEnd w:id="264"/>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固定装机渗透率2.00、平均增长率4%、电缆长度占比10%、初始转供率40%、负荷分散系数1.10和参考工程价格，按第3.5.2节的全年电量平衡校准光伏出力，先取95%峰值持续时间4 h比较电量完整序列。</w:t>
      </w:r>
    </w:p>
    <w:p>
      <w:pPr>
        <w:pStyle w:val="2"/>
        <w:keepNext/>
        <w:spacing w:line="280" w:lineRule="exact" w:before="120" w:after="80"/>
        <w:ind w:firstLine="0"/>
        <w:jc w:val="center"/>
      </w:pPr>
      <w:r>
        <w:rPr>
          <w:rFonts w:ascii="Times New Roman" w:hAnsi="Times New Roman" w:eastAsia="宋体"/>
          <w:b w:val="0"/>
          <w:sz w:val="21"/>
        </w:rPr>
        <w:t xml:space="preserve">表5-74 固定装机条件下的电量与配置变化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电量渗透率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25%、28%、30%、32%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3243.14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4518.04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6082.61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6476.74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8660.44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13777.81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49.80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18916.91</w:t>
            </w:r>
          </w:p>
        </w:tc>
      </w:tr>
    </w:tbl>
    <w:p>
      <w:pPr>
        <w:pStyle w:val="2"/>
        <w:widowControl/>
        <w:spacing w:line="348" w:lineRule="exact" w:before="0" w:after="0"/>
        <w:ind w:firstLine="480"/>
        <w:jc w:val="both"/>
      </w:pPr>
      <w:r>
        <w:rPr>
          <w:rFonts w:ascii="Times New Roman" w:hAnsi="Times New Roman" w:eastAsia="方正仿宋_GBK"/>
          <w:b w:val="0"/>
          <w:sz w:val="24"/>
        </w:rPr>
        <w:t xml:space="preserve">较低电量节点主要由晚间正向高峰决定主变需求，电量增加先通过联络调整日间负荷分配，反向承载约束增强后转向主变补强。容载比达到2.43后主变保持710 MVA，继续提高电量主要增加储能吸收功率及联络，表明容量比值相同也可以对应不同配套工程。电量信息用于核定源荷场景，代表参数装机渗透率需与所采用的典型出力水平共同使用。</w:t>
      </w:r>
    </w:p>
    <w:p>
      <w:pPr>
        <w:pStyle w:val="2"/>
        <w:widowControl/>
        <w:spacing w:line="348" w:lineRule="exact" w:before="0" w:after="0"/>
        <w:ind w:firstLine="480"/>
        <w:jc w:val="both"/>
      </w:pPr>
      <w:r>
        <w:rPr>
          <w:rFonts w:ascii="Times New Roman" w:hAnsi="Times New Roman" w:eastAsia="方正仿宋_GBK"/>
          <w:b w:val="0"/>
          <w:sz w:val="24"/>
        </w:rPr>
        <w:t xml:space="preserve">保持电量渗透率40%，比较1～8 h的完整峰段序列。各节点均采用600 MVA主变和7项新增联络，容载比为2.05，持续支撑任务的变化由储能规模承担。</w:t>
      </w:r>
    </w:p>
    <w:p>
      <w:pPr>
        <w:pStyle w:val="2"/>
        <w:keepNext/>
        <w:spacing w:line="280" w:lineRule="exact" w:before="120" w:after="80"/>
        <w:ind w:firstLine="0"/>
        <w:jc w:val="center"/>
      </w:pPr>
      <w:r>
        <w:rPr>
          <w:rFonts w:ascii="Times New Roman" w:hAnsi="Times New Roman" w:eastAsia="宋体"/>
          <w:b w:val="0"/>
          <w:sz w:val="21"/>
        </w:rPr>
        <w:t xml:space="preserve">表5-75 固定主变与联络条件下的峰段支撑配置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95%峰值持续时间/h</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4018.39</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4083.56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4300.80</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4518.04</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4670.11</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4800.46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4887.35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4952.53</w:t>
            </w:r>
          </w:p>
        </w:tc>
      </w:tr>
    </w:tbl>
    <w:p>
      <w:pPr>
        <w:pStyle w:val="2"/>
        <w:widowControl/>
        <w:spacing w:line="348" w:lineRule="exact" w:before="0" w:after="0"/>
        <w:ind w:firstLine="480"/>
        <w:jc w:val="both"/>
      </w:pPr>
      <w:r>
        <w:rPr>
          <w:rFonts w:ascii="Times New Roman" w:hAnsi="Times New Roman" w:eastAsia="方正仿宋_GBK"/>
          <w:b w:val="0"/>
          <w:sz w:val="24"/>
        </w:rPr>
        <w:t xml:space="preserve">支撑要求延长后，储能可用电量约束起作用，额定功率随所需柜数增加，费用相应提高。这组结果联系第3.5节较弱的时间—容载比相关：时间对主变容量的作用取决于设备替代条件，对储能定容则直接进入有效支撑功率计算。</w:t>
      </w:r>
    </w:p>
    <w:p>
      <w:pPr>
        <w:pStyle w:val="2"/>
        <w:widowControl/>
        <w:spacing w:line="348" w:lineRule="exact" w:before="0" w:after="0"/>
        <w:ind w:firstLine="480"/>
        <w:jc w:val="both"/>
      </w:pPr>
      <w:r>
        <w:rPr>
          <w:rFonts w:ascii="Times New Roman" w:hAnsi="Times New Roman" w:eastAsia="方正仿宋_GBK"/>
          <w:b w:val="0"/>
          <w:sz w:val="24"/>
        </w:rPr>
        <w:t xml:space="preserve">在电量40%、峰段4 h时分别改变线路和储能价格。完整价格序列均采用600 MVA主变、4.20 MW储能和7项联络，容载比2.05，费用范围如下。</w:t>
      </w:r>
    </w:p>
    <w:p>
      <w:pPr>
        <w:pStyle w:val="2"/>
        <w:keepNext/>
        <w:spacing w:line="280" w:lineRule="exact" w:before="120" w:after="80"/>
        <w:ind w:firstLine="0"/>
        <w:jc w:val="center"/>
      </w:pPr>
      <w:r>
        <w:rPr>
          <w:rFonts w:ascii="Times New Roman" w:hAnsi="Times New Roman" w:eastAsia="宋体"/>
          <w:b w:val="0"/>
          <w:sz w:val="21"/>
        </w:rPr>
        <w:t xml:space="preserve">表5-76 固定设备配置下的两类价格比较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变化条件</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参考价格比例</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线路价格</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70%～130%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4264.30～4771.79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储能价格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70%～130%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4244.32～4791.77</w:t>
            </w:r>
          </w:p>
        </w:tc>
      </w:tr>
    </w:tbl>
    <w:p>
      <w:pPr>
        <w:pStyle w:val="2"/>
        <w:widowControl/>
        <w:spacing w:line="348" w:lineRule="exact" w:before="0" w:after="0"/>
        <w:ind w:firstLine="480"/>
        <w:jc w:val="both"/>
      </w:pPr>
      <w:r>
        <w:rPr>
          <w:rFonts w:ascii="Times New Roman" w:hAnsi="Times New Roman" w:eastAsia="方正仿宋_GBK"/>
          <w:b w:val="0"/>
          <w:sz w:val="24"/>
        </w:rPr>
        <w:t xml:space="preserve">该组配置在所比较价格范围内保持，费用变化分别来自联络或储能采购及相应固定运维。相对投资指标有助于解释经济条件，主矩阵则通过五项源荷和网络参数归纳容量范围，工程应用结合当地价格核定完整方案费用。</w:t>
      </w:r>
    </w:p>
    <w:p>
      <w:pPr>
        <w:pStyle w:val="4"/>
        <w:keepNext/>
        <w:numPr>
          <w:numId w:val="0"/>
        </w:numPr>
        <w:spacing w:line="480" w:lineRule="exact" w:before="160" w:after="120"/>
        <w:ind w:firstLine="0"/>
      </w:pPr>
      <w:bookmarkStart w:id="2032" w:name="h1032"/>
      <w:bookmarkStart w:id="265" w:name="规划建议"/>
      <w:r>
        <w:rPr>
          <w:rFonts w:ascii="Times New Roman" w:hAnsi="Times New Roman" w:eastAsia="方正仿宋_GBK"/>
          <w:b/>
          <w:sz w:val="32"/>
        </w:rPr>
        <w:t xml:space="preserve">5.7 规划建议</w:t>
      </w:r>
      <w:bookmarkEnd w:id="265"/>
      <w:bookmarkEnd w:id="2032"/>
    </w:p>
    <w:p>
      <w:pPr>
        <w:pStyle w:val="5"/>
        <w:keepNext/>
        <w:numPr>
          <w:numId w:val="0"/>
        </w:numPr>
        <w:spacing w:line="390" w:lineRule="exact" w:before="160" w:after="120"/>
        <w:ind w:firstLine="0"/>
      </w:pPr>
      <w:bookmarkStart w:id="266" w:name="按源荷条件和网络能力选取容量"/>
      <w:r>
        <w:rPr>
          <w:rFonts w:ascii="Times New Roman" w:hAnsi="Times New Roman" w:eastAsia="方正仿宋_GBK"/>
          <w:b/>
          <w:sz w:val="26"/>
        </w:rPr>
        <w:t xml:space="preserve">5.7.1 按源荷条件和网络能力选取容量</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邳州兼顾晚间正向供电、日间反向输送及各站局部峰值，市区结合既有网络和邻站承接能力确定补强位置。地区全部电压等级转供统计约67%、92%，进入110 kV案例时落实为逐站MW能力和具体网络约束。推广矩阵按五项参数查找容量区间，规划应用再以实际设备、网络和支撑条件确定具体配置。</w:t>
      </w:r>
    </w:p>
    <w:p>
      <w:pPr>
        <w:pStyle w:val="5"/>
        <w:keepNext/>
        <w:numPr>
          <w:numId w:val="0"/>
        </w:numPr>
        <w:spacing w:line="390" w:lineRule="exact" w:before="160" w:after="120"/>
        <w:ind w:firstLine="0"/>
      </w:pPr>
      <w:bookmarkStart w:id="267" w:name="统筹主变储能及联络建设"/>
      <w:r>
        <w:rPr>
          <w:rFonts w:ascii="Times New Roman" w:hAnsi="Times New Roman" w:eastAsia="方正仿宋_GBK"/>
          <w:b/>
          <w:sz w:val="26"/>
        </w:rPr>
        <w:t xml:space="preserve">5.7.2 统筹主变、储能及联络建设</w:t>
      </w:r>
      <w:bookmarkEnd w:id="267"/>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pPr>
        <w:pStyle w:val="5"/>
        <w:keepNext/>
        <w:numPr>
          <w:numId w:val="0"/>
        </w:numPr>
        <w:spacing w:line="390" w:lineRule="exact" w:before="160" w:after="120"/>
        <w:ind w:firstLine="0"/>
      </w:pPr>
      <w:bookmarkStart w:id="268" w:name="保留参数区间滚动更新计算依据"/>
      <w:r>
        <w:rPr>
          <w:rFonts w:ascii="Times New Roman" w:hAnsi="Times New Roman" w:eastAsia="方正仿宋_GBK"/>
          <w:b/>
          <w:sz w:val="26"/>
        </w:rPr>
        <w:t xml:space="preserve">5.7.3 保留参数区间，滚动更新计算依据</w:t>
      </w:r>
      <w:bookmarkEnd w:id="268"/>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69" w:name="推荐区间与具体设备的衔接"/>
      <w:r>
        <w:rPr>
          <w:rFonts w:ascii="Times New Roman" w:hAnsi="Times New Roman" w:eastAsia="方正仿宋_GBK"/>
          <w:b/>
          <w:sz w:val="26"/>
        </w:rPr>
        <w:t xml:space="preserve">5.7.4 推荐区间与具体设备的衔接</w:t>
      </w:r>
      <w:bookmarkEnd w:id="269"/>
    </w:p>
    <w:p>
      <w:pPr>
        <w:pStyle w:val="FirstParagraph"/>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推荐区间与地区年网供最大负荷结合，可得到区域主变容量的初步范围。例如网供最大负荷1000.00 MW时，容载比每变化0.10，对应主变总容量变化100.00 MVA。容量分配结合各站正反向功率、最大单台主变N-1和站间承接能力落实。</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对应不同设备组合。对有扩建位置且停运后剩余容量不足的站，增加主变台数可以提高供电储备，峰值缺口较短的站可比较储能支撑，邻站余量较大的站可利用联络。推荐容载比与逐站措施及投运时点一并确定。</w:t>
      </w:r>
    </w:p>
    <w:p>
      <w:pPr>
        <w:pStyle w:val="5"/>
        <w:keepNext/>
        <w:numPr>
          <w:numId w:val="0"/>
        </w:numPr>
        <w:spacing w:line="390" w:lineRule="exact" w:before="160" w:after="120"/>
        <w:ind w:firstLine="0"/>
      </w:pPr>
      <w:bookmarkStart w:id="270" w:name="邳州与市区建设措施的综合比较"/>
      <w:r>
        <w:rPr>
          <w:rFonts w:ascii="Times New Roman" w:hAnsi="Times New Roman" w:eastAsia="方正仿宋_GBK"/>
          <w:b/>
          <w:sz w:val="26"/>
        </w:rPr>
        <w:t xml:space="preserve">5.7.5 邳州与市区建设措施的综合比较</w:t>
      </w:r>
      <w:bookmarkEnd w:id="270"/>
    </w:p>
    <w:p>
      <w:pPr>
        <w:pStyle w:val="FirstParagraph"/>
        <w:widowControl/>
        <w:spacing w:line="348" w:lineRule="exact" w:before="0" w:after="0"/>
        <w:ind w:firstLine="480"/>
        <w:jc w:val="both"/>
      </w:pPr>
      <w:r>
        <w:rPr>
          <w:rFonts w:ascii="Times New Roman" w:hAnsi="Times New Roman" w:eastAsia="方正仿宋_GBK"/>
          <w:b w:val="0"/>
          <w:sz w:val="24"/>
        </w:rPr>
        <w:t xml:space="preserve">两地区的弹性方案均增加了区域主变容量，逐站采用不同的建设方式。部分站更换既有主变，部分站扩建第三台，部分站保持原有设备并利用邻站支援。地区比值反映总容量与负荷的关系，逐站年度表反映设备和转供任务，两者共同说明新增容量的具体用途。</w:t>
      </w:r>
    </w:p>
    <w:p>
      <w:pPr>
        <w:pStyle w:val="2"/>
        <w:widowControl/>
        <w:spacing w:line="348" w:lineRule="exact" w:before="0" w:after="0"/>
        <w:ind w:firstLine="480"/>
        <w:jc w:val="both"/>
      </w:pPr>
      <w:r>
        <w:rPr>
          <w:rFonts w:ascii="Times New Roman" w:hAnsi="Times New Roman" w:eastAsia="方正仿宋_GBK"/>
          <w:b w:val="0"/>
          <w:sz w:val="24"/>
        </w:rPr>
        <w:t xml:space="preserve">邳州两类方案2025年主变容量分别为1704.00 MVA和1715.50 MVA，容载比1.78和1.79。弹性方案首年完成较多站内补强，2024年再净增11.50 MVA，2025年储能为7.31 MWh、累计新增联络13条；刚性方案储能为47.95 MWh、累计新增联络16条。兴塘等站提高最大单台主变停运后的剩余能力，减少了相应功率缺口及配套工程。</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市区弹性方案首年更换一台40 MVA主变为63 MVA，四年容量保持2923.00 MVA，2025年容载比1.91，刚性方案容量保持2900.00 MVA，前两年累计新增5条联络，2025年容载比1.90。两地区刚性可行方案费用合计21787.83万元，弹性为16248.62万元，减少5539.21万元，约25%。</w:t>
      </w:r>
    </w:p>
    <w:p>
      <w:pPr>
        <w:pStyle w:val="2"/>
        <w:widowControl/>
        <w:spacing w:line="348" w:lineRule="exact" w:before="0" w:after="0"/>
        <w:ind w:firstLine="480"/>
        <w:jc w:val="both"/>
      </w:pPr>
      <w:r>
        <w:rPr>
          <w:rFonts w:ascii="Times New Roman" w:hAnsi="Times New Roman" w:eastAsia="方正仿宋_GBK"/>
          <w:b w:val="0"/>
          <w:sz w:val="24"/>
        </w:rPr>
        <w:t xml:space="preserve">年度建设先满足当年需求，投运后持续在役的容量再供后续年份使用。负荷回落会提高同一容量对应的容载比，负荷恢复则消耗已有储备，整台主变投运又使容量按项目离散变化。因此，推荐区间用于前期比选，逐站工程与建设时点共同落实</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的规划方案。</w:t>
      </w:r>
    </w:p>
    <w:p>
      <w:pPr>
        <w:pStyle w:val="3"/>
        <w:keepNext/>
        <w:pageBreakBefore/>
        <w:numPr>
          <w:numId w:val="0"/>
        </w:numPr>
        <w:spacing w:line="540" w:lineRule="exact" w:before="0" w:after="120"/>
        <w:ind w:firstLine="0"/>
      </w:pPr>
      <w:bookmarkStart w:id="2047" w:name="h1047"/>
      <w:bookmarkStart w:id="271" w:name="第六章-结论与建议"/>
      <w:r>
        <w:rPr>
          <w:rFonts w:ascii="Times New Roman" w:hAnsi="Times New Roman" w:eastAsia="方正仿宋_GBK"/>
          <w:b/>
          <w:sz w:val="36"/>
        </w:rPr>
        <w:t xml:space="preserve">第六章 结论与建议</w:t>
      </w:r>
      <w:bookmarkEnd w:id="271"/>
      <w:bookmarkEnd w:id="2047"/>
    </w:p>
    <w:p>
      <w:pPr>
        <w:pStyle w:val="FirstParagraph"/>
        <w:widowControl/>
        <w:spacing w:line="348" w:lineRule="exact" w:before="0" w:after="0"/>
        <w:ind w:firstLine="480"/>
        <w:jc w:val="both"/>
      </w:pPr>
      <w:r>
        <w:rPr>
          <w:rFonts w:ascii="Times New Roman" w:hAnsi="Times New Roman" w:eastAsia="方正仿宋_GBK"/>
          <w:b w:val="0"/>
          <w:sz w:val="24"/>
        </w:rPr>
        <w:t xml:space="preserve">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pPr>
        <w:pStyle w:val="4"/>
        <w:keepNext/>
        <w:numPr>
          <w:numId w:val="0"/>
        </w:numPr>
        <w:spacing w:line="480" w:lineRule="exact" w:before="160" w:after="120"/>
        <w:ind w:firstLine="0"/>
      </w:pPr>
      <w:bookmarkStart w:id="2049" w:name="h1049"/>
      <w:bookmarkStart w:id="272" w:name="主要研究结论"/>
      <w:r>
        <w:rPr>
          <w:rFonts w:ascii="Times New Roman" w:hAnsi="Times New Roman" w:eastAsia="方正仿宋_GBK"/>
          <w:b/>
          <w:sz w:val="32"/>
        </w:rPr>
        <w:t xml:space="preserve">6.1 主要研究结论</w:t>
      </w:r>
      <w:bookmarkEnd w:id="272"/>
      <w:bookmarkEnd w:id="2049"/>
    </w:p>
    <w:p>
      <w:pPr>
        <w:pStyle w:val="5"/>
        <w:keepNext/>
        <w:numPr>
          <w:numId w:val="0"/>
        </w:numPr>
        <w:spacing w:line="390" w:lineRule="exact" w:before="160" w:after="120"/>
        <w:ind w:firstLine="0"/>
      </w:pPr>
      <w:bookmarkStart w:id="273" w:name="容载比与局部容量压力应结合分析"/>
      <w:r>
        <w:rPr>
          <w:rFonts w:ascii="Times New Roman" w:hAnsi="Times New Roman" w:eastAsia="方正仿宋_GBK"/>
          <w:b/>
          <w:sz w:val="26"/>
        </w:rPr>
        <w:t xml:space="preserve">6.1.1 容载比与局部容量压力应结合分析</w:t>
      </w:r>
      <w:bookmarkEnd w:id="273"/>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74" w:name="弹性容量配置降低了所设条件下的方案费用"/>
      <w:r>
        <w:rPr>
          <w:rFonts w:ascii="Times New Roman" w:hAnsi="Times New Roman" w:eastAsia="方正仿宋_GBK"/>
          <w:b/>
          <w:sz w:val="26"/>
        </w:rPr>
        <w:t xml:space="preserve">6.1.2 弹性容量配置降低了所设条件下的方案费用</w:t>
      </w:r>
      <w:bookmarkEnd w:id="274"/>
    </w:p>
    <w:p>
      <w:pPr>
        <w:pStyle w:val="FirstParagraph"/>
        <w:widowControl/>
        <w:spacing w:line="348" w:lineRule="exact" w:before="0" w:after="0"/>
        <w:ind w:firstLine="480"/>
        <w:jc w:val="both"/>
      </w:pPr>
      <w:r>
        <w:rPr>
          <w:rFonts w:ascii="Times New Roman" w:hAnsi="Times New Roman" w:eastAsia="方正仿宋_GBK"/>
          <w:b w:val="0"/>
          <w:sz w:val="24"/>
        </w:rPr>
        <w:t xml:space="preserve">在相同初始设备、实际年度负荷及逐站转供约束下，邳州刚性、弹性方案2025年主变容量分别为1704.00 MVA和1715.50 MVA，容载比1.78和1.79，市区弹性方案为2923.00 MVA、1.91，刚性为2900.00 MVA、1.90。弹性配置由承载需求和费用确定，容量随年度建设保持非减。</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邳州弹性方案首年完成主变补强，减少后期配储，2025年储能额定能量7.31 MWh，刚性为47.95 MWh。市区弹性方案以一台主变更换替代刚性方案的5项新增联络。保留2021原表容量时，邳州弹性方案末年2148.50 MVA、7.74 MWh储能和3条新增联络，刚性为2027.00 MVA、201.24 MWh和4条；市区两类方案均利用3113.50 MVA存量及既有网络满足本次静态要求，新增费用为零。两地区刚性可行方案费用合计21787.83万元，弹性为16248.62万元，减少5539.21万元，约25%。</w:t>
      </w:r>
    </w:p>
    <w:p>
      <w:pPr>
        <w:pStyle w:val="5"/>
        <w:keepNext/>
        <w:numPr>
          <w:numId w:val="0"/>
        </w:numPr>
        <w:spacing w:line="390" w:lineRule="exact" w:before="160" w:after="120"/>
        <w:ind w:firstLine="0"/>
      </w:pPr>
      <w:bookmarkStart w:id="275"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75"/>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w:t>
      </w:r>
    </w:p>
    <w:p>
      <w:pPr>
        <w:pStyle w:val="5"/>
        <w:keepNext/>
        <w:numPr>
          <w:numId w:val="0"/>
        </w:numPr>
        <w:spacing w:line="390" w:lineRule="exact" w:before="160" w:after="120"/>
        <w:ind w:firstLine="0"/>
      </w:pPr>
      <w:bookmarkStart w:id="276" w:name="两层相关分析确定五项推广参数"/>
      <w:r>
        <w:rPr>
          <w:rFonts w:ascii="Times New Roman" w:hAnsi="Times New Roman" w:eastAsia="方正仿宋_GBK"/>
          <w:b/>
          <w:sz w:val="26"/>
        </w:rPr>
        <w:t xml:space="preserve">6.1.4 两层相关分析确定五项推广参数</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十三项候选指标先按与容载比的组内相关绝对值不低于0.40筛选，九项进入参数间关联比较，再按高相关指标组归并并优先采用基础规划输入，确定装机渗透率、年最大净负荷平均增长率、电缆长度占比、初始转供率和负荷分散系数五项参数。五项最大参数间Pearson绝对值为0.29，在所设有效情景库中线性信息重叠较少。</w:t>
      </w:r>
    </w:p>
    <w:p>
      <w:pPr>
        <w:pStyle w:val="2"/>
        <w:widowControl/>
        <w:spacing w:line="348" w:lineRule="exact" w:before="0" w:after="0"/>
        <w:ind w:firstLine="480"/>
        <w:jc w:val="both"/>
      </w:pPr>
      <w:r>
        <w:rPr>
          <w:rFonts w:ascii="Times New Roman" w:hAnsi="Times New Roman" w:eastAsia="方正仿宋_GBK"/>
          <w:b w:val="0"/>
          <w:sz w:val="24"/>
        </w:rPr>
        <w:t xml:space="preserve">五项与容载比的组内相关依次为0.88、－0.80、0.45、－0.74、0.52，分别对应反向承载、负荷发展、联络造价、网络支援和局部峰值任务。典型推荐矩阵固定电缆长度占比50%、储能支撑4 h，列示装机渗透率50%及两组增长、分散条件，18个细节点归纳为8个区间单元。两组推荐区间的上下界均随四档初始转供率提高而下降，细节点中的容量平台和局部回升对应离散主变与联络的组合切换。查表后按实际站级缺口及可实施措施确定设备方案。</w:t>
      </w:r>
    </w:p>
    <w:p>
      <w:pPr>
        <w:pStyle w:val="4"/>
        <w:keepNext/>
        <w:numPr>
          <w:numId w:val="0"/>
        </w:numPr>
        <w:spacing w:line="480" w:lineRule="exact" w:before="160" w:after="120"/>
        <w:ind w:firstLine="0"/>
      </w:pPr>
      <w:bookmarkStart w:id="2063" w:name="h1063"/>
      <w:bookmarkStart w:id="277" w:name="规划应用建议"/>
      <w:r>
        <w:rPr>
          <w:rFonts w:ascii="Times New Roman" w:hAnsi="Times New Roman" w:eastAsia="方正仿宋_GBK"/>
          <w:b/>
          <w:sz w:val="32"/>
        </w:rPr>
        <w:t xml:space="preserve">6.2 规划应用建议</w:t>
      </w:r>
      <w:bookmarkEnd w:id="277"/>
      <w:bookmarkEnd w:id="2063"/>
    </w:p>
    <w:p>
      <w:pPr>
        <w:pStyle w:val="5"/>
        <w:keepNext/>
        <w:numPr>
          <w:numId w:val="0"/>
        </w:numPr>
        <w:spacing w:line="390" w:lineRule="exact" w:before="160" w:after="120"/>
        <w:ind w:firstLine="0"/>
      </w:pPr>
      <w:bookmarkStart w:id="278" w:name="按输入区间查表再落实设备方案"/>
      <w:r>
        <w:rPr>
          <w:rFonts w:ascii="Times New Roman" w:hAnsi="Times New Roman" w:eastAsia="方正仿宋_GBK"/>
          <w:b/>
          <w:sz w:val="26"/>
        </w:rPr>
        <w:t xml:space="preserve">6.2.1 按输入区间查表，再落实设备方案</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规划应用先按同一统计范围计算源荷指标和复合增长率，确定参数区间，再核对初始主变、负荷分散系数、联络路径及可扩建位置。查表得到容量的初步比选范围后，将其落实为受设备和站址条件限制的可实施组合，并以主变总容量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279" w:name="核实分区转供能力与储能支撑条件"/>
      <w:r>
        <w:rPr>
          <w:rFonts w:ascii="Times New Roman" w:hAnsi="Times New Roman" w:eastAsia="方正仿宋_GBK"/>
          <w:b/>
          <w:sz w:val="26"/>
        </w:rPr>
        <w:t xml:space="preserve">6.2.2 核实分区转供能力与储能支撑条件</w:t>
      </w:r>
      <w:bookmarkEnd w:id="279"/>
    </w:p>
    <w:p>
      <w:pPr>
        <w:pStyle w:val="FirstParagraph"/>
        <w:widowControl/>
        <w:spacing w:line="348" w:lineRule="exact" w:before="0" w:after="0"/>
        <w:ind w:firstLine="480"/>
        <w:jc w:val="both"/>
      </w:pPr>
      <w:r>
        <w:rPr>
          <w:rFonts w:ascii="Times New Roman" w:hAnsi="Times New Roman" w:eastAsia="方正仿宋_GBK"/>
          <w:b w:val="0"/>
          <w:sz w:val="24"/>
        </w:rPr>
        <w:t xml:space="preserve">地区转供统计按补充资料的可转负荷与损失负荷计算，市区约92%、邳州约67%，案例对每站既有转出功率施加对应MW上限，并共同校核馈线接收余量和邻站主变能力。新增联络分别按市区约80%、邳州约11%的电缆长度占比计价。</w:t>
      </w:r>
    </w:p>
    <w:p>
      <w:pPr>
        <w:pStyle w:val="2"/>
        <w:widowControl/>
        <w:spacing w:line="348" w:lineRule="exact" w:before="0" w:after="0"/>
        <w:ind w:firstLine="480"/>
        <w:jc w:val="both"/>
      </w:pPr>
      <w:r>
        <w:rPr>
          <w:rFonts w:ascii="Times New Roman" w:hAnsi="Times New Roman" w:eastAsia="方正仿宋_GBK"/>
          <w:b w:val="0"/>
          <w:sz w:val="24"/>
        </w:rPr>
        <w:t xml:space="preserve">储能正向支撑持续时间采用邳州2 h、市区6 h，推广比较2、4、6 h。工程应用结合容量缺口的连续过程与故障恢复时间确定支撑要求，并核定可放电电量和可充电空间。</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280" w:name="随数据和工程条件更新结果"/>
      <w:r>
        <w:rPr>
          <w:rFonts w:ascii="Times New Roman" w:hAnsi="Times New Roman" w:eastAsia="方正仿宋_GBK"/>
          <w:b/>
          <w:sz w:val="26"/>
        </w:rPr>
        <w:t xml:space="preserve">6.2.3 随数据和工程条件更新结果</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保留输入参数的区间形式，新增年度资料用于更新区间内的计算节点和设备配置。线路造价、储能价格、负荷分布或可用间隔改变后，按统一费用范围重新比较，同步更新设备方案与推荐区间。</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075" w:name="h1075"/>
      <w:bookmarkStart w:id="281" w:name="后续研究方向"/>
      <w:r>
        <w:rPr>
          <w:rFonts w:ascii="Times New Roman" w:hAnsi="Times New Roman" w:eastAsia="方正仿宋_GBK"/>
          <w:b/>
          <w:sz w:val="32"/>
        </w:rPr>
        <w:t xml:space="preserve">6.3 后续研究方向</w:t>
      </w:r>
      <w:bookmarkEnd w:id="281"/>
      <w:bookmarkEnd w:id="2075"/>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采用市区45个、邳州26个同期静态截面，覆盖地区和各站局部极值，既有等效通道及部分设备条件采用研究假设，后续结合真实接线补充逐时荷电状态、电压和保护校核。费用包括共同评价期内的建设、固定运维及规定更新，尚未纳入期末残值、储能充电和损耗等科目。研究结果用于当前假定下的技术经济比选，具体建设需以核定网络和工程资料进一步校核。</w:t>
      </w:r>
    </w:p>
    <w:p>
      <w:pPr>
        <w:pStyle w:val="5"/>
        <w:keepNext/>
        <w:numPr>
          <w:numId w:val="0"/>
        </w:numPr>
        <w:spacing w:line="390" w:lineRule="exact" w:before="160" w:after="120"/>
        <w:ind w:firstLine="0"/>
      </w:pPr>
      <w:bookmarkStart w:id="282" w:name="深化储能运行与实际网络校核"/>
      <w:r>
        <w:rPr>
          <w:rFonts w:ascii="Times New Roman" w:hAnsi="Times New Roman" w:eastAsia="方正仿宋_GBK"/>
          <w:b/>
          <w:sz w:val="26"/>
        </w:rPr>
        <w:t xml:space="preserve">6.3.1 深化储能运行与实际网络校核</w:t>
      </w:r>
      <w:bookmarkEnd w:id="282"/>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283" w:name="拓展片区结构和经济参数"/>
      <w:r>
        <w:rPr>
          <w:rFonts w:ascii="Times New Roman" w:hAnsi="Times New Roman" w:eastAsia="方正仿宋_GBK"/>
          <w:b/>
          <w:sz w:val="26"/>
        </w:rPr>
        <w:t xml:space="preserve">6.3.2 拓展片区结构和经济参数</w:t>
      </w:r>
      <w:bookmarkEnd w:id="283"/>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081" w:name="h1081"/>
      <w:bookmarkStart w:id="284" w:name="参考文献"/>
      <w:r>
        <w:rPr>
          <w:rFonts w:ascii="Times New Roman" w:hAnsi="Times New Roman" w:eastAsia="方正仿宋_GBK"/>
          <w:b/>
          <w:sz w:val="36"/>
        </w:rPr>
        <w:t xml:space="preserve">参考文献</w:t>
      </w:r>
      <w:bookmarkEnd w:id="284"/>
      <w:bookmarkEnd w:id="2081"/>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国家能源局举行新闻发布会 介绍2026年一季度可再生能源并网运行情况[EB/OL].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[88]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[89]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[90]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[91]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[92]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[93]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[94] 李阳彤, 王主丁, 陈琳, 等. 基于变电站容量概率规划的分布式电源可信度和有源配电网容载比计算分析[J]. 电网技术, 2026, 50(2): 619-628. DOI: 10.13335/j.1000-3673.pst.2024.1440.</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Times New Roman"/>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90" Type="http://schemas.openxmlformats.org/officeDocument/2006/relationships/image" Target="media/rId190.png"/><Relationship Id="rId98" Type="http://schemas.openxmlformats.org/officeDocument/2006/relationships/image" Target="media/rId98.png"/><Relationship Id="rId111" Type="http://schemas.openxmlformats.org/officeDocument/2006/relationships/image" Target="media/rId111.png"/><Relationship Id="rId131" Type="http://schemas.openxmlformats.org/officeDocument/2006/relationships/image" Target="media/rId131.png"/><Relationship Id="rId114" Type="http://schemas.openxmlformats.org/officeDocument/2006/relationships/image" Target="media/rId114.png"/><Relationship Id="rId259" Type="http://schemas.openxmlformats.org/officeDocument/2006/relationships/image" Target="media/rId259.png"/><Relationship Id="rId263" Type="http://schemas.openxmlformats.org/officeDocument/2006/relationships/image" Target="media/rId263.png"/><Relationship Id="rId261" Type="http://schemas.openxmlformats.org/officeDocument/2006/relationships/image" Target="media/rId261.png"/><Relationship Id="rId193" Type="http://schemas.openxmlformats.org/officeDocument/2006/relationships/image" Target="media/rId193.png"/><Relationship Id="rId109" Type="http://schemas.openxmlformats.org/officeDocument/2006/relationships/image" Target="media/rId109.png"/><Relationship Id="rId194" Type="http://schemas.openxmlformats.org/officeDocument/2006/relationships/image" Target="media/rId194.png"/><Relationship Id="rId129" Type="http://schemas.openxmlformats.org/officeDocument/2006/relationships/image" Target="media/rId129.png"/><Relationship Id="rId113" Type="http://schemas.openxmlformats.org/officeDocument/2006/relationships/image" Target="media/rId113.png"/><Relationship Id="rId253" Type="http://schemas.openxmlformats.org/officeDocument/2006/relationships/image" Target="media/rId253.png"/><Relationship Id="rId103" Type="http://schemas.openxmlformats.org/officeDocument/2006/relationships/image" Target="media/rId103.png"/><Relationship Id="rId158" Type="http://schemas.openxmlformats.org/officeDocument/2006/relationships/image" Target="media/rId158.png"/><Relationship Id="rId42" Type="http://schemas.openxmlformats.org/officeDocument/2006/relationships/image" Target="media/rId42.png"/><Relationship Id="rId255" Type="http://schemas.openxmlformats.org/officeDocument/2006/relationships/image" Target="media/rId25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132</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2026-10-16T00:17:12Z</dcterms:created>
  <dcterms:modified xsi:type="dcterms:W3CDTF">2026-10-16T00:17:12Z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