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2"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h32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3"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h73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6"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h76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9"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h79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39"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h139 \h </w:instrText>
      </w:r>
      <w:r>
        <w:rPr>
          <w:rFonts w:ascii="Times New Roman" w:hAnsi="Times New Roman" w:eastAsia="方正仿宋_GBK"/>
          <w:b w:val="0"/>
          <w:sz w:val="24"/>
        </w:rPr>
        <w:fldChar w:fldCharType="separate"/>
      </w:r>
      <w:r>
        <w:rPr>
          <w:rFonts w:ascii="Times New Roman" w:hAnsi="Times New Roman" w:eastAsia="方正仿宋_GBK"/>
          <w:b w:val="0"/>
          <w:sz w:val="24"/>
        </w:rPr>
        <w:t>19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h153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7"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h167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4"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h184 \h </w:instrText>
      </w:r>
      <w:r>
        <w:rPr>
          <w:rFonts w:ascii="Times New Roman" w:hAnsi="Times New Roman" w:eastAsia="方正仿宋_GBK"/>
          <w:b w:val="0"/>
          <w:sz w:val="24"/>
        </w:rPr>
        <w:fldChar w:fldCharType="separate"/>
      </w:r>
      <w:r>
        <w:rPr>
          <w:rFonts w:ascii="Times New Roman" w:hAnsi="Times New Roman" w:eastAsia="方正仿宋_GBK"/>
          <w:b w:val="0"/>
          <w:sz w:val="24"/>
        </w:rPr>
        <w:t>22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8"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h198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1"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h211 \h </w:instrText>
      </w:r>
      <w:r>
        <w:rPr>
          <w:rFonts w:ascii="Times New Roman" w:hAnsi="Times New Roman" w:eastAsia="方正仿宋_GBK"/>
          <w:b w:val="0"/>
          <w:sz w:val="24"/>
        </w:rPr>
        <w:fldChar w:fldCharType="separate"/>
      </w:r>
      <w:r>
        <w:rPr>
          <w:rFonts w:ascii="Times New Roman" w:hAnsi="Times New Roman" w:eastAsia="方正仿宋_GBK"/>
          <w:b w:val="0"/>
          <w:sz w:val="24"/>
        </w:rPr>
        <w:t>25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3"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h233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5"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h235 \h </w:instrText>
      </w:r>
      <w:r>
        <w:rPr>
          <w:rFonts w:ascii="Times New Roman" w:hAnsi="Times New Roman" w:eastAsia="方正仿宋_GBK"/>
          <w:b/>
          <w:sz w:val="24"/>
        </w:rPr>
        <w:fldChar w:fldCharType="separate"/>
      </w:r>
      <w:r>
        <w:rPr>
          <w:rFonts w:ascii="Times New Roman" w:hAnsi="Times New Roman" w:eastAsia="方正仿宋_GBK"/>
          <w:b/>
          <w:sz w:val="24"/>
        </w:rPr>
        <w:t>28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6"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h236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6"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h246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4"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h264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6"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h286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4" w:history="1">
        <w:r>
          <w:rPr>
            <w:rFonts w:ascii="Times New Roman" w:hAnsi="Times New Roman" w:eastAsia="方正仿宋_GBK"/>
            <w:b w:val="0"/>
            <w:sz w:val="24"/>
          </w:rPr>
          <w:t>3.5 源荷与容量指标的关联分析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h314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35"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h335 \h </w:instrText>
      </w:r>
      <w:r>
        <w:rPr>
          <w:rFonts w:ascii="Times New Roman" w:hAnsi="Times New Roman" w:eastAsia="方正仿宋_GBK"/>
          <w:b w:val="0"/>
          <w:sz w:val="24"/>
        </w:rPr>
        <w:fldChar w:fldCharType="separate"/>
      </w:r>
      <w:r>
        <w:rPr>
          <w:rFonts w:ascii="Times New Roman" w:hAnsi="Times New Roman" w:eastAsia="方正仿宋_GBK"/>
          <w:b w:val="0"/>
          <w:sz w:val="24"/>
        </w:rPr>
        <w:t>40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43"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h343 \h </w:instrText>
      </w:r>
      <w:r>
        <w:rPr>
          <w:rFonts w:ascii="Times New Roman" w:hAnsi="Times New Roman" w:eastAsia="方正仿宋_GBK"/>
          <w:b w:val="0"/>
          <w:sz w:val="24"/>
        </w:rPr>
        <w:fldChar w:fldCharType="separate"/>
      </w:r>
      <w:r>
        <w:rPr>
          <w:rFonts w:ascii="Times New Roman" w:hAnsi="Times New Roman" w:eastAsia="方正仿宋_GBK"/>
          <w:b w:val="0"/>
          <w:sz w:val="24"/>
        </w:rPr>
        <w:t>40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0"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h360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382"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h382 \h </w:instrText>
      </w:r>
      <w:r>
        <w:rPr>
          <w:rFonts w:ascii="Times New Roman" w:hAnsi="Times New Roman" w:eastAsia="方正仿宋_GBK"/>
          <w:b/>
          <w:sz w:val="24"/>
        </w:rPr>
        <w:fldChar w:fldCharType="separate"/>
      </w:r>
      <w:r>
        <w:rPr>
          <w:rFonts w:ascii="Times New Roman" w:hAnsi="Times New Roman" w:eastAsia="方正仿宋_GBK"/>
          <w:b/>
          <w:sz w:val="24"/>
        </w:rPr>
        <w:t>46</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83"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h383 \h </w:instrText>
      </w:r>
      <w:r>
        <w:rPr>
          <w:rFonts w:ascii="Times New Roman" w:hAnsi="Times New Roman" w:eastAsia="方正仿宋_GBK"/>
          <w:b w:val="0"/>
          <w:sz w:val="24"/>
        </w:rPr>
        <w:fldChar w:fldCharType="separate"/>
      </w:r>
      <w:r>
        <w:rPr>
          <w:rFonts w:ascii="Times New Roman" w:hAnsi="Times New Roman" w:eastAsia="方正仿宋_GBK"/>
          <w:b w:val="0"/>
          <w:sz w:val="24"/>
        </w:rPr>
        <w:t>46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95"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h395 \h </w:instrText>
      </w:r>
      <w:r>
        <w:rPr>
          <w:rFonts w:ascii="Times New Roman" w:hAnsi="Times New Roman" w:eastAsia="方正仿宋_GBK"/>
          <w:b w:val="0"/>
          <w:sz w:val="24"/>
        </w:rPr>
        <w:fldChar w:fldCharType="separate"/>
      </w:r>
      <w:r>
        <w:rPr>
          <w:rFonts w:ascii="Times New Roman" w:hAnsi="Times New Roman" w:eastAsia="方正仿宋_GBK"/>
          <w:b w:val="0"/>
          <w:sz w:val="24"/>
        </w:rPr>
        <w:t>47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14"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h414 \h </w:instrText>
      </w:r>
      <w:r>
        <w:rPr>
          <w:rFonts w:ascii="Times New Roman" w:hAnsi="Times New Roman" w:eastAsia="方正仿宋_GBK"/>
          <w:b w:val="0"/>
          <w:sz w:val="24"/>
        </w:rPr>
        <w:fldChar w:fldCharType="separate"/>
      </w:r>
      <w:r>
        <w:rPr>
          <w:rFonts w:ascii="Times New Roman" w:hAnsi="Times New Roman" w:eastAsia="方正仿宋_GBK"/>
          <w:b w:val="0"/>
          <w:sz w:val="24"/>
        </w:rPr>
        <w:t>48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26"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h426 \h </w:instrText>
      </w:r>
      <w:r>
        <w:rPr>
          <w:rFonts w:ascii="Times New Roman" w:hAnsi="Times New Roman" w:eastAsia="方正仿宋_GBK"/>
          <w:b w:val="0"/>
          <w:sz w:val="24"/>
        </w:rPr>
        <w:fldChar w:fldCharType="separate"/>
      </w:r>
      <w:r>
        <w:rPr>
          <w:rFonts w:ascii="Times New Roman" w:hAnsi="Times New Roman" w:eastAsia="方正仿宋_GBK"/>
          <w:b w:val="0"/>
          <w:sz w:val="24"/>
        </w:rPr>
        <w:t>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2" w:history="1">
        <w:r>
          <w:rPr>
            <w:rFonts w:ascii="Times New Roman" w:hAnsi="Times New Roman" w:eastAsia="方正仿宋_GBK"/>
            <w:b w:val="0"/>
            <w:sz w:val="24"/>
          </w:rPr>
          <w:t>4.5 经济参数与敏感性分析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h442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5"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h455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81"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h481 \h </w:instrText>
      </w:r>
      <w:r>
        <w:rPr>
          <w:rFonts w:ascii="Times New Roman" w:hAnsi="Times New Roman" w:eastAsia="方正仿宋_GBK"/>
          <w:b/>
          <w:sz w:val="24"/>
        </w:rPr>
        <w:fldChar w:fldCharType="separate"/>
      </w:r>
      <w:r>
        <w:rPr>
          <w:rFonts w:ascii="Times New Roman" w:hAnsi="Times New Roman" w:eastAsia="方正仿宋_GBK"/>
          <w:b/>
          <w:sz w:val="24"/>
        </w:rPr>
        <w:t>55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83"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h483 \h </w:instrText>
      </w:r>
      <w:r>
        <w:rPr>
          <w:rFonts w:ascii="Times New Roman" w:hAnsi="Times New Roman" w:eastAsia="方正仿宋_GBK"/>
          <w:b w:val="0"/>
          <w:sz w:val="24"/>
        </w:rPr>
        <w:fldChar w:fldCharType="separate"/>
      </w:r>
      <w:r>
        <w:rPr>
          <w:rFonts w:ascii="Times New Roman" w:hAnsi="Times New Roman" w:eastAsia="方正仿宋_GBK"/>
          <w:b w:val="0"/>
          <w:sz w:val="24"/>
        </w:rPr>
        <w:t>55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6"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h506 \h </w:instrText>
      </w:r>
      <w:r>
        <w:rPr>
          <w:rFonts w:ascii="Times New Roman" w:hAnsi="Times New Roman" w:eastAsia="方正仿宋_GBK"/>
          <w:b w:val="0"/>
          <w:sz w:val="24"/>
        </w:rPr>
        <w:fldChar w:fldCharType="separate"/>
      </w:r>
      <w:r>
        <w:rPr>
          <w:rFonts w:ascii="Times New Roman" w:hAnsi="Times New Roman" w:eastAsia="方正仿宋_GBK"/>
          <w:b w:val="0"/>
          <w:sz w:val="24"/>
        </w:rPr>
        <w:t>58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28"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h528 \h </w:instrText>
      </w:r>
      <w:r>
        <w:rPr>
          <w:rFonts w:ascii="Times New Roman" w:hAnsi="Times New Roman" w:eastAsia="方正仿宋_GBK"/>
          <w:b w:val="0"/>
          <w:sz w:val="24"/>
        </w:rPr>
        <w:fldChar w:fldCharType="separate"/>
      </w:r>
      <w:r>
        <w:rPr>
          <w:rFonts w:ascii="Times New Roman" w:hAnsi="Times New Roman" w:eastAsia="方正仿宋_GBK"/>
          <w:b w:val="0"/>
          <w:sz w:val="24"/>
        </w:rPr>
        <w:t>60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0"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h540 \h </w:instrText>
      </w:r>
      <w:r>
        <w:rPr>
          <w:rFonts w:ascii="Times New Roman" w:hAnsi="Times New Roman" w:eastAsia="方正仿宋_GBK"/>
          <w:b w:val="0"/>
          <w:sz w:val="24"/>
        </w:rPr>
        <w:fldChar w:fldCharType="separate"/>
      </w:r>
      <w:r>
        <w:rPr>
          <w:rFonts w:ascii="Times New Roman" w:hAnsi="Times New Roman" w:eastAsia="方正仿宋_GBK"/>
          <w:b w:val="0"/>
          <w:sz w:val="24"/>
        </w:rPr>
        <w:t>61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58"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h858 \h </w:instrText>
      </w:r>
      <w:r>
        <w:rPr>
          <w:rFonts w:ascii="Times New Roman" w:hAnsi="Times New Roman" w:eastAsia="方正仿宋_GBK"/>
          <w:b w:val="0"/>
          <w:sz w:val="24"/>
        </w:rPr>
        <w:fldChar w:fldCharType="separate"/>
      </w:r>
      <w:r>
        <w:rPr>
          <w:rFonts w:ascii="Times New Roman" w:hAnsi="Times New Roman" w:eastAsia="方正仿宋_GBK"/>
          <w:b w:val="0"/>
          <w:sz w:val="24"/>
        </w:rPr>
        <w:t>97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08" w:history="1">
        <w:r>
          <w:rPr>
            <w:rFonts w:ascii="Times New Roman" w:hAnsi="Times New Roman" w:eastAsia="方正仿宋_GBK"/>
            <w:b w:val="0"/>
            <w:sz w:val="24"/>
          </w:rPr>
          <w:t>5.6 参数拓展与通用推荐矩阵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h908 \h </w:instrText>
      </w:r>
      <w:r>
        <w:rPr>
          <w:rFonts w:ascii="Times New Roman" w:hAnsi="Times New Roman" w:eastAsia="方正仿宋_GBK"/>
          <w:b w:val="0"/>
          <w:sz w:val="24"/>
        </w:rPr>
        <w:fldChar w:fldCharType="separate"/>
      </w:r>
      <w:r>
        <w:rPr>
          <w:rFonts w:ascii="Times New Roman" w:hAnsi="Times New Roman" w:eastAsia="方正仿宋_GBK"/>
          <w:b w:val="0"/>
          <w:sz w:val="24"/>
        </w:rPr>
        <w:t>105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94"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h994 \h </w:instrText>
      </w:r>
      <w:r>
        <w:rPr>
          <w:rFonts w:ascii="Times New Roman" w:hAnsi="Times New Roman" w:eastAsia="方正仿宋_GBK"/>
          <w:b w:val="0"/>
          <w:sz w:val="24"/>
        </w:rPr>
        <w:fldChar w:fldCharType="separate"/>
      </w:r>
      <w:r>
        <w:rPr>
          <w:rFonts w:ascii="Times New Roman" w:hAnsi="Times New Roman" w:eastAsia="方正仿宋_GBK"/>
          <w:b w:val="0"/>
          <w:sz w:val="24"/>
        </w:rPr>
        <w:t>129</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13"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h1013 \h </w:instrText>
      </w:r>
      <w:r>
        <w:rPr>
          <w:rFonts w:ascii="Times New Roman" w:hAnsi="Times New Roman" w:eastAsia="方正仿宋_GBK"/>
          <w:b/>
          <w:sz w:val="24"/>
        </w:rPr>
        <w:fldChar w:fldCharType="separate"/>
      </w:r>
      <w:r>
        <w:rPr>
          <w:rFonts w:ascii="Times New Roman" w:hAnsi="Times New Roman" w:eastAsia="方正仿宋_GBK"/>
          <w:b/>
          <w:sz w:val="24"/>
        </w:rPr>
        <w:t>132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5"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h1015 \h </w:instrText>
      </w:r>
      <w:r>
        <w:rPr>
          <w:rFonts w:ascii="Times New Roman" w:hAnsi="Times New Roman" w:eastAsia="方正仿宋_GBK"/>
          <w:b w:val="0"/>
          <w:sz w:val="24"/>
        </w:rPr>
        <w:fldChar w:fldCharType="separate"/>
      </w:r>
      <w:r>
        <w:rPr>
          <w:rFonts w:ascii="Times New Roman" w:hAnsi="Times New Roman" w:eastAsia="方正仿宋_GBK"/>
          <w:b w:val="0"/>
          <w:sz w:val="24"/>
        </w:rPr>
        <w:t>132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9"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h1029 \h </w:instrText>
      </w:r>
      <w:r>
        <w:rPr>
          <w:rFonts w:ascii="Times New Roman" w:hAnsi="Times New Roman" w:eastAsia="方正仿宋_GBK"/>
          <w:b w:val="0"/>
          <w:sz w:val="24"/>
        </w:rPr>
        <w:fldChar w:fldCharType="separate"/>
      </w:r>
      <w:r>
        <w:rPr>
          <w:rFonts w:ascii="Times New Roman" w:hAnsi="Times New Roman" w:eastAsia="方正仿宋_GBK"/>
          <w:b w:val="0"/>
          <w:sz w:val="24"/>
        </w:rPr>
        <w:t>133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41"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h1041 \h </w:instrText>
      </w:r>
      <w:r>
        <w:rPr>
          <w:rFonts w:ascii="Times New Roman" w:hAnsi="Times New Roman" w:eastAsia="方正仿宋_GBK"/>
          <w:b w:val="0"/>
          <w:sz w:val="24"/>
        </w:rPr>
        <w:fldChar w:fldCharType="separate"/>
      </w:r>
      <w:r>
        <w:rPr>
          <w:rFonts w:ascii="Times New Roman" w:hAnsi="Times New Roman" w:eastAsia="方正仿宋_GBK"/>
          <w:b w:val="0"/>
          <w:sz w:val="24"/>
        </w:rPr>
        <w:t>134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47"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h1047 \h </w:instrText>
      </w:r>
      <w:r>
        <w:rPr>
          <w:rFonts w:ascii="Times New Roman" w:hAnsi="Times New Roman" w:eastAsia="方正仿宋_GBK"/>
          <w:b/>
          <w:sz w:val="24"/>
        </w:rPr>
        <w:fldChar w:fldCharType="separate"/>
      </w:r>
      <w:r>
        <w:rPr>
          <w:rFonts w:ascii="Times New Roman" w:hAnsi="Times New Roman" w:eastAsia="方正仿宋_GBK"/>
          <w:b/>
          <w:sz w:val="24"/>
        </w:rPr>
        <w:t>135</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2025年4月《配电网规划设计技术导则》修订资料引入分布式电源装机渗透率（源荷比）和分布式电源电量渗透率，提出源荷比超过2.00，或分布式电源电量渗透率超过40%～50%时，以110～35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储能支撑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pPr>
        <w:pStyle w:val="4"/>
        <w:keepNext/>
        <w:numPr>
          <w:numId w:val="0"/>
        </w:numPr>
        <w:spacing w:line="480" w:lineRule="exact" w:before="160" w:after="120"/>
        <w:ind w:firstLine="0"/>
      </w:pPr>
      <w:bookmarkStart w:id="1018" w:name="h18"/>
      <w:bookmarkStart w:id="25" w:name="主要概念与规范依据"/>
      <w:r>
        <w:rPr>
          <w:rFonts w:ascii="Times New Roman" w:hAnsi="Times New Roman" w:eastAsia="方正仿宋_GBK"/>
          <w:b/>
          <w:sz w:val="32"/>
        </w:rPr>
        <w:t xml:space="preserve">1.2 主要概念与规范依据</w:t>
      </w:r>
      <w:bookmarkEnd w:id="25"/>
      <w:bookmarkEnd w:id="1018"/>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负荷下降导致的既有容量被动超限允许保留；弹性方案在容载比高于2.00的研究条件下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2" w:name="h32"/>
      <w:bookmarkStart w:id="30" w:name="研究范围与对象"/>
      <w:r>
        <w:rPr>
          <w:rFonts w:ascii="Times New Roman" w:hAnsi="Times New Roman" w:eastAsia="方正仿宋_GBK"/>
          <w:b/>
          <w:sz w:val="32"/>
        </w:rPr>
        <w:t xml:space="preserve">1.3 研究范围与对象</w:t>
      </w:r>
      <w:bookmarkEnd w:id="30"/>
      <w:bookmarkEnd w:id="1032"/>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MW/km²。本研究按市区A类较少、B类较多的分区特征设置转供率参考，设备候选按各站资料和研究假设分别确定。</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技术模型包括正向供电、反向功率、主变N-1及站间转供约束。储能按额定功率、可用电量和支撑持续时间折算有效能力，正向储能支撑持续时间为4 h，反向按各站支撑要求设置。联络按具体送受端路径计量，共享馈线余量。模型采用静态工况进行规划比选。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4"/>
        <w:keepNext/>
        <w:numPr>
          <w:numId w:val="0"/>
        </w:numPr>
        <w:spacing w:line="480" w:lineRule="exact" w:before="160" w:after="120"/>
        <w:ind w:firstLine="0"/>
      </w:pPr>
      <w:bookmarkStart w:id="1045" w:name="h45"/>
      <w:bookmarkStart w:id="34" w:name="研究目标与内容"/>
      <w:r>
        <w:rPr>
          <w:rFonts w:ascii="Times New Roman" w:hAnsi="Times New Roman" w:eastAsia="方正仿宋_GBK"/>
          <w:b/>
          <w:sz w:val="32"/>
        </w:rPr>
        <w:t xml:space="preserve">1.4 研究目标与内容</w:t>
      </w:r>
      <w:bookmarkEnd w:id="34"/>
      <w:bookmarkEnd w:id="1045"/>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最后，围绕六项核心参数构造推广矩阵，储能价格及辅助技术经济参数另作敏感性分析。矩阵按输入区间归纳容载比计算范围，设备措施与费用分别列示。</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线路成本系数反映单位长度综合造价，储能价格在固定支撑持续时间下单独分析；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MVA等候选规格并按站限制；扩建、联络投运状态及储能柜数为整数决策，站间转供功率为连续决策。以新增措施评价期费用现值最小为目标，在正常及主变N-1等约束下确定逐年设备与线路配置。</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设置分布式电源装机渗透率、年最大净负荷平均增长率、线路成本系数、初始转供率、储能支撑持续时间及负荷分散系数六项输入，开展12600组目标年静态比选。输入区间采用首尾开口形式，增长分界与DL/T 5729—2023表6.3.4一致；计算所得容载比仍按有限范围列示。</w:t>
      </w:r>
    </w:p>
    <w:p>
      <w:pPr>
        <w:pStyle w:val="4"/>
        <w:keepNext/>
        <w:numPr>
          <w:numId w:val="0"/>
        </w:numPr>
        <w:spacing w:line="480" w:lineRule="exact" w:before="160" w:after="120"/>
        <w:ind w:firstLine="0"/>
      </w:pPr>
      <w:bookmarkStart w:id="1057" w:name="h57"/>
      <w:bookmarkStart w:id="37" w:name="研究方法与技术路线"/>
      <w:r>
        <w:rPr>
          <w:rFonts w:ascii="Times New Roman" w:hAnsi="Times New Roman" w:eastAsia="方正仿宋_GBK"/>
          <w:b/>
          <w:sz w:val="32"/>
        </w:rPr>
        <w:t xml:space="preserve">1.5 研究方法与技术路线</w:t>
      </w:r>
      <w:bookmarkEnd w:id="37"/>
      <w:bookmarkEnd w:id="1057"/>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先核对指标的统计范围及计算关系，再根据其对容量需求、网络能力和费用的作用选取参数。第3.5节结合规范和论文说明参数选取依据，按两地区实际年度记录分析指标关联；第五章通过地区案例独立扰动及推广参数受控配对解释配置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储能支撑持续时间确定储能有效支撑功率，线路成本系数改变新增联络费用。储能价格与辅助技术参数单独分析，各区间均保留计算节点、配置结果及适用条件。</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3" w:name="h73"/>
      <w:bookmarkStart w:id="43" w:name="研究成果及应用"/>
      <w:r>
        <w:rPr>
          <w:rFonts w:ascii="Times New Roman" w:hAnsi="Times New Roman" w:eastAsia="方正仿宋_GBK"/>
          <w:b/>
          <w:sz w:val="32"/>
        </w:rPr>
        <w:t xml:space="preserve">1.6 研究成果及应用</w:t>
      </w:r>
      <w:bookmarkEnd w:id="43"/>
      <w:bookmarkEnd w:id="107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按负荷分散系数分组，列出其余五项参数条件及容载比推荐区间，逐点设备配置和计算记录保存在配套工作簿中。</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6" w:name="h76"/>
      <w:bookmarkStart w:id="44" w:name="第二章-国内外研究现状"/>
      <w:r>
        <w:rPr>
          <w:rFonts w:ascii="Times New Roman" w:hAnsi="Times New Roman" w:eastAsia="方正仿宋_GBK"/>
          <w:b/>
          <w:sz w:val="36"/>
        </w:rPr>
        <w:t xml:space="preserve">第二章 国内外研究现状</w:t>
      </w:r>
      <w:bookmarkEnd w:id="44"/>
      <w:bookmarkEnd w:id="1076"/>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79" w:name="h79"/>
      <w:bookmarkStart w:id="45" w:name="国外研究现状"/>
      <w:r>
        <w:rPr>
          <w:rFonts w:ascii="Times New Roman" w:hAnsi="Times New Roman" w:eastAsia="方正仿宋_GBK"/>
          <w:b/>
          <w:sz w:val="32"/>
        </w:rPr>
        <w:t xml:space="preserve">2.1 国外研究现状</w:t>
      </w:r>
      <w:bookmarkEnd w:id="45"/>
      <w:bookmarkEnd w:id="1079"/>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2%[23]；Ghorbansarvi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7%～55%[27]。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节点中压网得出，专用分布式电池储能（BESS）替代网架增容仅在年负荷增长率不超过千分之一点六时净现值为正，移动式储能仅在不超过千分之二点五时可行[28]；Holweger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17%，且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15%、电压不平衡全部降至 2% 以内[36]，SOP+储能联合规划使供电能力提升 31%[37]，源—网—储协同随机规划以仅增成本 2%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1" w:name="h101"/>
      <w:bookmarkStart w:id="50" w:name="国内研究现状"/>
      <w:r>
        <w:rPr>
          <w:rFonts w:ascii="Times New Roman" w:hAnsi="Times New Roman" w:eastAsia="方正仿宋_GBK"/>
          <w:b/>
          <w:sz w:val="32"/>
        </w:rPr>
        <w:t xml:space="preserve">2.2 国内研究现状</w:t>
      </w:r>
      <w:bookmarkEnd w:id="50"/>
      <w:bookmarkEnd w:id="1101"/>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8%，并给出按负荷密度（以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渗透率最高（57%）[65]；乐健等以 Frank-Copula 刻画源荷时空相关、蒙特卡洛生成并削减典型场景，比较基准与差异化源网储方案的全寿命费用（25 节点方案 4 综合成本较方案 2 降约 45%）[66]。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39" w:name="h139"/>
      <w:bookmarkStart w:id="61" w:name="国内外研究对比与述评"/>
      <w:r>
        <w:rPr>
          <w:rFonts w:ascii="Times New Roman" w:hAnsi="Times New Roman" w:eastAsia="方正仿宋_GBK"/>
          <w:b/>
          <w:sz w:val="32"/>
        </w:rPr>
        <w:t xml:space="preserve">2.3 国内外研究对比与述评</w:t>
      </w:r>
      <w:bookmarkEnd w:id="61"/>
      <w:bookmarkEnd w:id="1139"/>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先用邳州与市区案例分析实际源荷、设备和网络条件下的配置，再另建五站模板，独立改变源荷规模、负荷增长、转供条件、持续时间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3" w:name="h153"/>
      <w:bookmarkStart w:id="65" w:name="容载比与供电能力的理论联系"/>
      <w:r>
        <w:rPr>
          <w:rFonts w:ascii="Times New Roman" w:hAnsi="Times New Roman" w:eastAsia="方正仿宋_GBK"/>
          <w:b/>
          <w:sz w:val="32"/>
        </w:rPr>
        <w:t xml:space="preserve">2.4 容载比与供电能力的理论联系</w:t>
      </w:r>
      <w:bookmarkEnd w:id="65"/>
      <w:bookmarkEnd w:id="115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本研究保留两端约束，通过设备配置变化评价联络的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主变投运后持续在役，负荷则可能在不同年份上升或下降。年度规划路径因此需要处理资产持续在役和负荷波动的共同影响。模型逐年计取建设费用，并校核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按未舍入结果判断年最大净负荷平均增长率区间。已知历史年度用于案例时，直接采用对应年度实际负荷；面向其他片区的情景分析再按增长率推算目标年需求。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pPr>
        <w:pStyle w:val="4"/>
        <w:keepNext/>
        <w:numPr>
          <w:numId w:val="0"/>
        </w:numPr>
        <w:spacing w:line="480" w:lineRule="exact" w:before="160" w:after="120"/>
        <w:ind w:firstLine="0"/>
      </w:pPr>
      <w:bookmarkStart w:id="1167" w:name="h167"/>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7"/>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光伏增加可能降低部分日间净负荷，而年度设备最大负载率还可能由晚间高峰或局部反送决定。两项指标的相关方向受容量配置、负荷时段和统计边界共同影响[3][4][58]。</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pPr>
        <w:pStyle w:val="4"/>
        <w:keepNext/>
        <w:numPr>
          <w:numId w:val="0"/>
        </w:numPr>
        <w:spacing w:line="480" w:lineRule="exact" w:before="160" w:after="120"/>
        <w:ind w:firstLine="0"/>
      </w:pPr>
      <w:bookmarkStart w:id="1184" w:name="h184"/>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4"/>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新增联络线的可转负荷还取决于受端剩余容量。可转负荷受线路热限、负荷可分段条件和受端可用容量共同限制。公开线路单位造价能够提供价格参考，实际可转任务需要网络资料支撑[8]。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更新支出影响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本项目采用固定实价和固定运维比例。线路费用以相对架空基价的成本系数表达，储能价格以独立倍数作敏感性分析。未来价格情景用于比较相同技术条件下的措施费用。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线路成本系数、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8" w:name="h198"/>
      <w:bookmarkStart w:id="78" w:name="规划寻优方法与本项目选型"/>
      <w:r>
        <w:rPr>
          <w:rFonts w:ascii="Times New Roman" w:hAnsi="Times New Roman" w:eastAsia="方正仿宋_GBK"/>
          <w:b/>
          <w:sz w:val="32"/>
        </w:rPr>
        <w:t xml:space="preserve">2.7 规划寻优方法与本项目选型</w:t>
      </w:r>
      <w:bookmarkEnd w:id="78"/>
      <w:bookmarkEnd w:id="1198"/>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费用相近时可以出现多组可行配置。以费用目标求得的可行方案对应具体设备和联络项目。</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增加候选邻接关系作结构对照。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典型场景下的容量压力敏感性分析，分布式电源电量渗透率作为源荷条件标签。</w:t>
      </w:r>
    </w:p>
    <w:p>
      <w:pPr>
        <w:pStyle w:val="4"/>
        <w:keepNext/>
        <w:numPr>
          <w:numId w:val="0"/>
        </w:numPr>
        <w:spacing w:line="480" w:lineRule="exact" w:before="160" w:after="120"/>
        <w:ind w:firstLine="0"/>
      </w:pPr>
      <w:bookmarkStart w:id="1211" w:name="h211"/>
      <w:bookmarkStart w:id="82" w:name="本项目方法选择与工程衔接"/>
      <w:r>
        <w:rPr>
          <w:rFonts w:ascii="Times New Roman" w:hAnsi="Times New Roman" w:eastAsia="方正仿宋_GBK"/>
          <w:b/>
          <w:sz w:val="32"/>
        </w:rPr>
        <w:t xml:space="preserve">2.8 本项目方法选择与工程衔接</w:t>
      </w:r>
      <w:bookmarkEnd w:id="82"/>
      <w:bookmarkEnd w:id="1211"/>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矩阵计算12600组目标年静态方案，按六项输入参数归纳648个区间单元。储能价格、设备候选及网络结构等另作专项敏感性分析，不增加主矩阵查表维度。</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分布式电源装机渗透率、年最大净负荷平均增长率、线路成本系数、初始转供率、储能支撑持续时间及负荷分散系数作为主矩阵输入，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最大净负荷平均增长率区间依次为不大于2%、大于2%且不大于4%、大于4%且不大于7%、大于7%。本报告增长参数沿用这些分界，其他输入参数参照其首尾开口的分档形式。后者的具体分界由研究设置。输入分档覆盖参数定义域，有限计算节点覆盖的验证范围另行说明。</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各单元的容载比范围由已核验配置归纳，具体取值对应允许主变规格和台数形成的离散配置。规划应用先核对输入与模板条件，再将容量规模落实到设备、联络及储能方案[43][44]。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4"/>
        <w:keepNext/>
        <w:numPr>
          <w:numId w:val="0"/>
        </w:numPr>
        <w:spacing w:line="480" w:lineRule="exact" w:before="160" w:after="120"/>
        <w:ind w:firstLine="0"/>
      </w:pPr>
      <w:bookmarkStart w:id="1233" w:name="h233"/>
      <w:bookmarkStart w:id="89" w:name="本章小结"/>
      <w:r>
        <w:rPr>
          <w:rFonts w:ascii="Times New Roman" w:hAnsi="Times New Roman" w:eastAsia="方正仿宋_GBK"/>
          <w:b/>
          <w:sz w:val="32"/>
        </w:rPr>
        <w:t xml:space="preserve">2.9 本章小结</w:t>
      </w:r>
      <w:bookmarkEnd w:id="89"/>
      <w:bookmarkEnd w:id="1233"/>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235" w:name="h235"/>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5"/>
    </w:p>
    <w:p>
      <w:pPr>
        <w:pStyle w:val="4"/>
        <w:keepNext/>
        <w:numPr>
          <w:numId w:val="0"/>
        </w:numPr>
        <w:spacing w:line="480" w:lineRule="exact" w:before="160" w:after="120"/>
        <w:ind w:firstLine="0"/>
      </w:pPr>
      <w:bookmarkStart w:id="1236" w:name="h236"/>
      <w:bookmarkStart w:id="91" w:name="研究地区与原始资料"/>
      <w:r>
        <w:rPr>
          <w:rFonts w:ascii="Times New Roman" w:hAnsi="Times New Roman" w:eastAsia="方正仿宋_GBK"/>
          <w:b/>
          <w:sz w:val="32"/>
        </w:rPr>
        <w:t xml:space="preserve">3.1 研究地区与原始资料</w:t>
      </w:r>
      <w:bookmarkEnd w:id="91"/>
      <w:bookmarkEnd w:id="1236"/>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采用各地区共同的仿真初始设备和2021年实际负荷，基期容载比均约为2.00，后续容量由逐年优化确定。设备统计形成允许规格、供电区域类别及主变扩建位置；正常负荷调整使用相同仿真通道。资料来源与统计范围见配套数据说明。</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95%峰值持续时间描述补齐后区域曲线的连续近峰事件，年度电量估计用于源荷背景分析。地区案例使用区域正向峰值和最低净负荷两类静态工况，各站功率按同一工况组织；正向储能支撑统一取4 h作对照。</w:t>
      </w:r>
    </w:p>
    <w:p>
      <w:pPr>
        <w:pStyle w:val="4"/>
        <w:keepNext/>
        <w:numPr>
          <w:numId w:val="0"/>
        </w:numPr>
        <w:spacing w:line="480" w:lineRule="exact" w:before="160" w:after="120"/>
        <w:ind w:firstLine="0"/>
      </w:pPr>
      <w:bookmarkStart w:id="1246" w:name="h246"/>
      <w:bookmarkStart w:id="95" w:name="年度容量负荷与增长特征"/>
      <w:r>
        <w:rPr>
          <w:rFonts w:ascii="Times New Roman" w:hAnsi="Times New Roman" w:eastAsia="方正仿宋_GBK"/>
          <w:b/>
          <w:sz w:val="32"/>
        </w:rPr>
        <w:t xml:space="preserve">3.2 年度容量、负荷与增长特征</w:t>
      </w:r>
      <w:bookmarkEnd w:id="95"/>
      <w:bookmarkEnd w:id="1246"/>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年最大净负荷平均增长率[7]由同范围起止年度负荷按复合增长形式计算。2021—2025年包含四个年度间隔，增长分档采用DL/T 5729—2023表6.3.4[5]。</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acc>
                  <m:accPr>
                    <m:chr m:val="‾"/>
                  </m:accPr>
                  <m:e>
                    <m:r>
                      <m:t>g</m:t>
                    </m:r>
                  </m:e>
                </m:acc>
                <m:r>
                  <m:t>=</m:t>
                </m:r>
                <m:sSup>
                  <m:e>
                    <m:d>
                      <m:dPr>
                        <m:begChr m:val="("/>
                        <m:endChr m:val=")"/>
                        <m:grow/>
                      </m:dPr>
                      <m:e>
                        <m:f>
                          <m:fPr>
                            <m:type m:val="bar"/>
                          </m:fPr>
                          <m:num>
                            <m:sSub>
                              <m:e>
                                <m:r>
                                  <m:t>P</m:t>
                                </m:r>
                              </m:e>
                              <m:sub>
                                <m:r>
                                  <m:t>2025</m:t>
                                </m:r>
                              </m:sub>
                            </m:sSub>
                          </m:num>
                          <m:den>
                            <m:sSub>
                              <m:e>
                                <m:r>
                                  <m:t>P</m:t>
                                </m:r>
                              </m:e>
                              <m:sub>
                                <m:r>
                                  <m:t>2021</m:t>
                                </m:r>
                              </m:sub>
                            </m:sSub>
                          </m:den>
                        </m:f>
                      </m:e>
                    </m:d>
                  </m:e>
                  <m:sup>
                    <m:r>
                      <m:t>1</m:t>
                    </m:r>
                    <m:r>
                      <m:t>/</m:t>
                    </m:r>
                    <m:r>
                      <m:t>4</m:t>
                    </m:r>
                  </m:sup>
                </m:sSup>
                <m:r>
                  <m:t>−</m:t>
                </m:r>
                <m:r>
                  <m:t>1</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年网供最大负荷估计值，单位MW；</w:t>
      </w:r>
      <m:oMath>
        <m:acc>
          <m:accPr>
            <m:chr m:val="‾"/>
          </m:accPr>
          <m:e>
            <m: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t>(</m:t>
        </m:r>
        <m:r>
          <m:t>1</m:t>
        </m:r>
        <m:r>
          <m:t>+</m:t>
        </m:r>
        <m:acc>
          <m:accPr>
            <m:chr m:val="‾"/>
          </m:accPr>
          <m:e>
            <m:r>
              <m:t>g</m:t>
            </m:r>
          </m:e>
        </m:acc>
        <m:sSup>
          <m:e>
            <m:r>
              <m:t>)</m:t>
            </m:r>
          </m:e>
          <m:sup>
            <m: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4" w:name="h264"/>
      <w:bookmarkStart w:id="101" w:name="分布式光伏装机与电量"/>
      <w:r>
        <w:rPr>
          <w:rFonts w:ascii="Times New Roman" w:hAnsi="Times New Roman" w:eastAsia="方正仿宋_GBK"/>
          <w:b/>
          <w:sz w:val="32"/>
        </w:rPr>
        <w:t xml:space="preserve">3.3 分布式光伏装机与电量</w:t>
      </w:r>
      <w:bookmarkEnd w:id="101"/>
      <w:bookmarkEnd w:id="1264"/>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6" w:name="h286"/>
      <w:bookmarkStart w:id="107" w:name="主变负载率与双向净负荷"/>
      <w:r>
        <w:rPr>
          <w:rFonts w:ascii="Times New Roman" w:hAnsi="Times New Roman" w:eastAsia="方正仿宋_GBK"/>
          <w:b/>
          <w:sz w:val="32"/>
        </w:rPr>
        <w:t xml:space="preserve">3.4 主变负载率与双向净负荷</w:t>
      </w:r>
      <w:bookmarkEnd w:id="107"/>
      <w:bookmarkEnd w:id="1286"/>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p>
                        <m:e>
                          <m:r>
                            <m:t>P</m:t>
                          </m:r>
                        </m:e>
                        <m:sup>
                          <m:r>
                            <m:t>+</m:t>
                          </m:r>
                        </m:sup>
                      </m:sSup>
                    </m:e>
                    <m:e>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e>
                  </m:mr>
                  <m:mr>
                    <m:e>
                      <m:sSup>
                        <m:e>
                          <m:r>
                            <m:t>P</m:t>
                          </m:r>
                        </m:e>
                        <m:sup>
                          <m:r>
                            <m:rPr>
                              <m:sty m:val="p"/>
                            </m:rPr>
                            <m:t>a</m:t>
                          </m:r>
                          <m:r>
                            <m:rPr>
                              <m:sty m:val="p"/>
                            </m:rPr>
                            <m:t>b</m:t>
                          </m:r>
                          <m:r>
                            <m:rPr>
                              <m:sty m:val="p"/>
                            </m:rPr>
                            <m:t>s</m:t>
                          </m:r>
                        </m:sup>
                      </m:sSup>
                    </m:e>
                    <m:e>
                      <m:r>
                        <m:t>=</m:t>
                      </m:r>
                      <m:r>
                        <m:rPr>
                          <m:nor/>
                          <m:sty m:val="p"/>
                        </m:rPr>
                        <m:t>max</m:t>
                      </m:r>
                      <m:r>
                        <m:t>(</m:t>
                      </m:r>
                      <m:sSup>
                        <m:e>
                          <m:r>
                            <m:t>P</m:t>
                          </m:r>
                        </m:e>
                        <m:sup>
                          <m:r>
                            <m:t>+</m:t>
                          </m:r>
                        </m:sup>
                      </m:sSup>
                      <m:r>
                        <m:t>,</m:t>
                      </m:r>
                      <m:sSup>
                        <m:e>
                          <m:r>
                            <m:t>P</m:t>
                          </m:r>
                        </m:e>
                        <m:sup>
                          <m:r>
                            <m:t>−</m:t>
                          </m:r>
                        </m:sup>
                      </m:sSup>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为净负荷最大绝对值，单位均为MW。站级负载率按</w:t>
      </w:r>
      <m:oMath>
        <m:sSup>
          <m:e>
            <m:r>
              <m:t>P</m:t>
            </m:r>
          </m:e>
          <m:sup>
            <m:r>
              <m:rPr>
                <m:sty m:val="p"/>
              </m:rPr>
              <m:t>a</m:t>
            </m:r>
            <m:r>
              <m:rPr>
                <m:sty m:val="p"/>
              </m:rPr>
              <m:t>b</m:t>
            </m:r>
            <m:r>
              <m:rPr>
                <m:sty m:val="p"/>
              </m:rPr>
              <m:t>s</m:t>
            </m:r>
          </m:sup>
        </m:sSup>
        <m:r>
          <m:t>/</m:t>
        </m:r>
        <m:r>
          <m:t>(</m:t>
        </m:r>
        <m:r>
          <m:t>S</m:t>
        </m:r>
        <m:r>
          <m:rPr>
            <m:nor/>
            <m:sty m:val="p"/>
          </m:rPr>
          <m:t>cos</m:t>
        </m:r>
        <m:r>
          <m:t>φ</m:t>
        </m:r>
        <m:r>
          <m:t>)</m:t>
        </m:r>
      </m:oMath>
      <w:r>
        <w:rPr>
          <w:rFonts w:ascii="Times New Roman" w:hAnsi="Times New Roman" w:eastAsia="方正仿宋_GBK"/>
          <w:b w:val="0"/>
          <w:sz w:val="24"/>
        </w:rPr>
        <w:t xml:space="preserve">计算，</w:t>
      </w:r>
      <m:oMath>
        <m: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H</m:t>
                    </m:r>
                  </m:e>
                  <m:sub>
                    <m:r>
                      <m:t>95</m:t>
                    </m:r>
                  </m:sub>
                </m:sSub>
                <m:r>
                  <m:t>=</m:t>
                </m:r>
                <m:r>
                  <m:rPr>
                    <m:nor/>
                    <m:sty m:val="p"/>
                  </m:rPr>
                  <m:t>max</m:t>
                </m:r>
                <m:r>
                  <m:t>{</m:t>
                </m:r>
                <m:r>
                  <m:rPr>
                    <m:nor/>
                    <m:sty m:val="p"/>
                  </m:rPr>
                  <m:t>连续时段长度</m:t>
                </m:r>
                <m:r>
                  <m:t>:</m:t>
                </m:r>
                <m:r>
                  <m:t>|</m:t>
                </m:r>
                <m:sSub>
                  <m:e>
                    <m:r>
                      <m:t>P</m:t>
                    </m:r>
                  </m:e>
                  <m:sub>
                    <m:r>
                      <m:rPr>
                        <m:sty m:val="p"/>
                      </m:rPr>
                      <m:t>r</m:t>
                    </m:r>
                    <m:r>
                      <m:rPr>
                        <m:sty m:val="p"/>
                      </m:rPr>
                      <m:t>e</m:t>
                    </m:r>
                    <m:r>
                      <m:rPr>
                        <m:sty m:val="p"/>
                      </m:rPr>
                      <m:t>g</m:t>
                    </m:r>
                    <m:r>
                      <m:rPr>
                        <m:sty m:val="p"/>
                      </m:rPr>
                      <m:t>i</m:t>
                    </m:r>
                    <m:r>
                      <m:rPr>
                        <m:sty m:val="p"/>
                      </m:rPr>
                      <m:t>o</m:t>
                    </m:r>
                    <m:r>
                      <m:rPr>
                        <m:sty m:val="p"/>
                      </m:rPr>
                      <m:t>n</m:t>
                    </m:r>
                    <m:r>
                      <m:t>,</m:t>
                    </m:r>
                    <m:r>
                      <m:t>t</m:t>
                    </m:r>
                  </m:sub>
                </m:sSub>
                <m:r>
                  <m:t>|</m:t>
                </m:r>
                <m:r>
                  <m:t>≥</m:t>
                </m:r>
                <m:r>
                  <m:t>0.95</m:t>
                </m:r>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r>
                  <m: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H</m:t>
            </m:r>
          </m:e>
          <m:sub>
            <m:r>
              <m:t>95</m:t>
            </m:r>
          </m:sub>
        </m:sSub>
      </m:oMath>
      <w:r>
        <w:rPr>
          <w:rFonts w:ascii="Times New Roman" w:hAnsi="Times New Roman" w:eastAsia="方正仿宋_GBK"/>
          <w:b w:val="0"/>
          <w:sz w:val="24"/>
        </w:rPr>
        <w:t xml:space="preserve">为95%峰值持续时间，单位h；</w:t>
      </w:r>
      <m:oMath>
        <m:sSub>
          <m:e>
            <m:r>
              <m:t>P</m:t>
            </m:r>
          </m:e>
          <m:sub>
            <m:r>
              <m:rPr>
                <m:sty m:val="p"/>
              </m:rPr>
              <m:t>r</m:t>
            </m:r>
            <m:r>
              <m:rPr>
                <m:sty m:val="p"/>
              </m:rPr>
              <m:t>e</m:t>
            </m:r>
            <m:r>
              <m:rPr>
                <m:sty m:val="p"/>
              </m:rPr>
              <m:t>g</m:t>
            </m:r>
            <m:r>
              <m:rPr>
                <m:sty m:val="p"/>
              </m:rPr>
              <m:t>i</m:t>
            </m:r>
            <m:r>
              <m:rPr>
                <m:sty m:val="p"/>
              </m:rPr>
              <m:t>o</m:t>
            </m:r>
            <m:r>
              <m:rPr>
                <m:sty m:val="p"/>
              </m:rPr>
              <m:t>n</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的区域净负荷，</w:t>
      </w:r>
      <m:oMath>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峰值幅度和持续时间共同决定静态支撑需求。储能额定功率限制瞬时支撑幅度，可用能量限制连续支撑时长。模型使用铭牌功率与峰段可持续能量的较小值确定充放电功率。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95%近峰持续时间用于描述区域负荷特征。N-1后的容量缺口可能在负荷未达到峰值95%时已经出现，实际能量需求应按超过剩余供电能力的功率差积分确定。4 h用于统一技术经济对照，其适用性需结合地区110 kV网供峰值曲线及故障恢复条件判断。当前研究采用可用电量系数0.76作静态折算，未开展逐时荷电状态仿真[28][10]。</w:t>
      </w:r>
    </w:p>
    <w:p>
      <w:pPr>
        <w:pStyle w:val="4"/>
        <w:keepNext/>
        <w:numPr>
          <w:numId w:val="0"/>
        </w:numPr>
        <w:spacing w:line="480" w:lineRule="exact" w:before="160" w:after="120"/>
        <w:ind w:firstLine="0"/>
      </w:pPr>
      <w:bookmarkStart w:id="1314" w:name="h314"/>
      <w:bookmarkStart w:id="117" w:name="源荷与容量指标的关联分析"/>
      <w:r>
        <w:rPr>
          <w:rFonts w:ascii="Times New Roman" w:hAnsi="Times New Roman" w:eastAsia="方正仿宋_GBK"/>
          <w:b/>
          <w:sz w:val="32"/>
        </w:rPr>
        <w:t xml:space="preserve">3.5 源荷与容量指标的关联分析</w:t>
      </w:r>
      <w:bookmarkEnd w:id="117"/>
      <w:bookmarkEnd w:id="1314"/>
    </w:p>
    <w:p>
      <w:pPr>
        <w:pStyle w:val="5"/>
        <w:keepNext/>
        <w:numPr>
          <w:numId w:val="0"/>
        </w:numPr>
        <w:spacing w:line="390" w:lineRule="exact" w:before="160" w:after="120"/>
        <w:ind w:firstLine="0"/>
      </w:pPr>
      <w:bookmarkStart w:id="118" w:name="核心参数的选取依据"/>
      <w:r>
        <w:rPr>
          <w:rFonts w:ascii="Times New Roman" w:hAnsi="Times New Roman" w:eastAsia="方正仿宋_GBK"/>
          <w:b/>
          <w:sz w:val="26"/>
        </w:rPr>
        <w:t xml:space="preserve">3.5.1 核心参数的选取依据</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核心参数按容量需求、网络支援和措施费用三个环节选取。2025年4月《配电网规划设计技术导则》修订资料第6.2.2条将负荷增长、负荷分散系数和负荷转移能力列为容载比的影响因素，第7.4.2.2条要求结合新能源渗透水平校核反向容量，并开展增容与储能技术经济比选[7]。据此，结合联络和储能规划研究，选取以下六项参数。</w:t>
      </w:r>
    </w:p>
    <w:p>
      <w:pPr>
        <w:pStyle w:val="2"/>
        <w:keepNext/>
        <w:spacing w:line="280" w:lineRule="exact" w:before="120" w:after="80"/>
        <w:ind w:firstLine="0"/>
        <w:jc w:val="center"/>
      </w:pPr>
      <w:r>
        <w:rPr>
          <w:rFonts w:ascii="Times New Roman" w:hAnsi="Times New Roman" w:eastAsia="宋体"/>
          <w:b w:val="0"/>
          <w:sz w:val="21"/>
        </w:rPr>
        <w:t xml:space="preserve">表3-8 核心参数的选取依据及规划作用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核心参数</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出处及选取理由</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本文表达与取值依据</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修订资料第6.5.4条定义装机规模与最大用电负荷之比；第7.4.2.2条将渗透水平与反向容量校核联系[7]</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表达电源规模及反送需求；地区按装机资料计算，推广节点与分档见第5.6节</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修订资料第6.2.2.1条表2按该指标划分负荷发展阶段，确定容量储备范围[7]</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由起止年度负荷计算；采用2%、4%、7%的增长分界</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修订资料第6.2.2.1条提出加强联络、增加转供能力；肖峻等量化了馈线容量、联络位置和规模与容载比的关系[7][8]</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表达既有网络支援条件；地区采用具体馈线与邻站约束，推广以基期可转负荷比例设置</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修订资料第6.2.2条将其列为容量储备的影响因素[7]</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表达各站峰值与区域同时峰值的差异；样本时序测算值用于选择推广节点</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Xu等联合考虑储能功率、能量和充放电过程；Martínez等研究储能削峰替代网络增容的条件[10][28]</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以持续时间折算可用能量对应的支撑功率；2、4、6 h为结合地区峰段设置的比较条件</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Zhu等比较不同10 kV线路形式的全寿命费用，说明敷设方式影响工程经济性[12]</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单位长度综合造价与架空参考基价之比；按第4.3节工程价格和电缆长度占比计算</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用于描述供能水平，主变负载率用于识别设备压力，95%峰值持续时间用于描述近峰过程；储能价格及其他工程经济参数在对应专项中比较。六项核心参数分别进入源荷规模、站间能力、支撑功率及工程费用的计算。</w:t>
      </w:r>
    </w:p>
    <w:p>
      <w:pPr>
        <w:pStyle w:val="5"/>
        <w:keepNext/>
        <w:numPr>
          <w:numId w:val="0"/>
        </w:numPr>
        <w:spacing w:line="390" w:lineRule="exact" w:before="160" w:after="120"/>
        <w:ind w:firstLine="0"/>
      </w:pPr>
      <w:bookmarkStart w:id="119" w:name="实际年度样本与分析方法"/>
      <w:r>
        <w:rPr>
          <w:rFonts w:ascii="Times New Roman" w:hAnsi="Times New Roman" w:eastAsia="方正仿宋_GBK"/>
          <w:b/>
          <w:sz w:val="26"/>
        </w:rPr>
        <w:t xml:space="preserve">3.5.2 实际年度样本与分析方法</w:t>
      </w:r>
      <w:bookmarkEnd w:id="119"/>
    </w:p>
    <w:p>
      <w:pPr>
        <w:pStyle w:val="FirstParagraph"/>
        <w:widowControl/>
        <w:spacing w:line="348" w:lineRule="exact" w:before="0" w:after="0"/>
        <w:ind w:firstLine="480"/>
        <w:jc w:val="both"/>
      </w:pPr>
      <w:r>
        <w:rPr>
          <w:rFonts w:ascii="Times New Roman" w:hAnsi="Times New Roman" w:eastAsia="方正仿宋_GBK"/>
          <w:b w:val="0"/>
          <w:sz w:val="24"/>
        </w:rPr>
        <w:t xml:space="preserve">采用收资《近5年容载比》中的邳州、市区110 kV年度记录，分别计算公用主变总容量、年网供最大负荷、年度同比增长率及容载比之间的相关性。容量、负荷和容载比采用2021—2025年各5个样本，涉及同比增长率的配对采用2022—2025年各4个样本；基础数据见第3.2节。容载比由同年容量除以负荷计算，年度同比增长率用于观察年际变化，规划增长水平采用第3.2.3节的年最大净负荷平均增长率。</w:t>
      </w:r>
    </w:p>
    <w:p>
      <w:pPr>
        <w:pStyle w:val="2"/>
        <w:widowControl/>
        <w:spacing w:line="348" w:lineRule="exact" w:before="0" w:after="0"/>
        <w:ind w:firstLine="480"/>
        <w:jc w:val="both"/>
      </w:pPr>
      <w:r>
        <w:rPr>
          <w:rFonts w:ascii="Times New Roman" w:hAnsi="Times New Roman" w:eastAsia="方正仿宋_GBK"/>
          <w:b w:val="0"/>
          <w:sz w:val="24"/>
        </w:rPr>
        <w:t xml:space="preserve">Pearson系数描述线性关联，Spearman系数描述排序关系[87][88]。下表用于概括两地区短期年度变化，容量、负荷与容载比的计算关系同时参与解释。</w:t>
      </w:r>
    </w:p>
    <w:p>
      <w:pPr>
        <w:pStyle w:val="5"/>
        <w:keepNext/>
        <w:numPr>
          <w:numId w:val="0"/>
        </w:numPr>
        <w:spacing w:line="390" w:lineRule="exact" w:before="160" w:after="120"/>
        <w:ind w:firstLine="0"/>
      </w:pPr>
      <w:bookmarkStart w:id="120" w:name="指标之间及其与容载比的相关性"/>
      <w:r>
        <w:rPr>
          <w:rFonts w:ascii="Times New Roman" w:hAnsi="Times New Roman" w:eastAsia="方正仿宋_GBK"/>
          <w:b/>
          <w:sz w:val="26"/>
        </w:rPr>
        <w:t xml:space="preserve">3.5.3 指标之间及其与容载比的相关性</w:t>
      </w:r>
      <w:bookmarkEnd w:id="120"/>
    </w:p>
    <w:p>
      <w:pPr>
        <w:pStyle w:val="FirstParagraph"/>
        <w:keepNext/>
        <w:spacing w:line="280" w:lineRule="exact" w:before="120" w:after="80"/>
        <w:ind w:firstLine="0"/>
        <w:jc w:val="center"/>
      </w:pPr>
      <w:r>
        <w:rPr>
          <w:rFonts w:ascii="Times New Roman" w:hAnsi="Times New Roman" w:eastAsia="宋体"/>
          <w:b w:val="0"/>
          <w:sz w:val="21"/>
        </w:rPr>
        <w:t xml:space="preserve">表3-9 邳州实际年度指标的Pearson相关矩阵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指标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年度同比增长率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主变容量</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-0.22</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年网供最大负荷</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-0.96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年度同比增长率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容载比</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表3-10 市区实际年度指标的Pearson相关矩阵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指标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年度同比增长率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主变容量</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年网供最大负荷</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0.90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0.09</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年度同比增长率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0.90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容载比</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-0.68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w:t>
            </w:r>
          </w:p>
        </w:tc>
      </w:tr>
    </w:tbl>
    <w:p>
      <w:pPr>
        <w:pStyle w:val="2"/>
        <w:widowControl/>
        <w:spacing w:line="348" w:lineRule="exact" w:before="0" w:after="0"/>
        <w:ind w:firstLine="480"/>
        <w:jc w:val="both"/>
      </w:pPr>
      <w:r>
        <w:rPr>
          <w:rFonts w:ascii="Times New Roman" w:hAnsi="Times New Roman" w:eastAsia="方正仿宋_GBK"/>
          <w:b w:val="0"/>
          <w:sz w:val="24"/>
        </w:rPr>
        <w:t xml:space="preserve">两地区主变容量与年网供最大负荷均呈正相关，Pearson系数分别为0.49、0.56，反映样本期内建设规模与负荷总体共同增加。年度同比增长率与容量的相关性分别为－0.30、0.12，表明当年负荷波动与容量投放的时间关系存在地区差异。</w:t>
      </w:r>
    </w:p>
    <w:p>
      <w:pPr>
        <w:pStyle w:val="2"/>
        <w:keepNext/>
        <w:spacing w:line="280" w:lineRule="exact" w:before="120" w:after="80"/>
        <w:ind w:firstLine="0"/>
        <w:jc w:val="center"/>
      </w:pPr>
      <w:r>
        <w:rPr>
          <w:rFonts w:ascii="Times New Roman" w:hAnsi="Times New Roman" w:eastAsia="宋体"/>
          <w:b w:val="0"/>
          <w:sz w:val="21"/>
        </w:rPr>
        <w:t xml:space="preserve">表3-11 两地区实际指标与容载比的相关性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指标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样本数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Spearman</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主变容量</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年网供最大负荷</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-0.96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年度同比增长率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主变容量</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年网供最大负荷</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年度同比增长率</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-0.68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年网供最大负荷与容载比的Pearson系数为－0.96，Spearman系数为－0.80。样本期负荷增长快于容量增长，容载比总体下降；市区容量与容载比的两项系数分别为0.88、0.80，对应其容量持续增加、负荷年际波动的特征。两地区年度同比增长率与容载比均呈负向关联，具体取值受同期容量投放影响。</w:t>
      </w:r>
    </w:p>
    <w:p>
      <w:pPr>
        <w:pStyle w:val="5"/>
        <w:keepNext/>
        <w:numPr>
          <w:numId w:val="0"/>
        </w:numPr>
        <w:spacing w:line="390" w:lineRule="exact" w:before="160" w:after="120"/>
        <w:ind w:firstLine="0"/>
      </w:pPr>
      <w:bookmarkStart w:id="121" w:name="地区特征与规划参数的衔接"/>
      <w:r>
        <w:rPr>
          <w:rFonts w:ascii="Times New Roman" w:hAnsi="Times New Roman" w:eastAsia="方正仿宋_GBK"/>
          <w:b/>
          <w:sz w:val="26"/>
        </w:rPr>
        <w:t xml:space="preserve">3.5.4 地区特征与规划参数的衔接</w:t>
      </w:r>
      <w:bookmarkEnd w:id="121"/>
    </w:p>
    <w:p>
      <w:pPr>
        <w:pStyle w:val="FirstParagraph"/>
        <w:keepNext/>
        <w:spacing w:line="280" w:lineRule="exact" w:before="120" w:after="80"/>
        <w:ind w:firstLine="0"/>
        <w:jc w:val="center"/>
      </w:pPr>
      <w:r>
        <w:rPr>
          <w:rFonts w:ascii="Times New Roman" w:hAnsi="Times New Roman" w:eastAsia="宋体"/>
          <w:b w:val="0"/>
          <w:sz w:val="21"/>
        </w:rPr>
        <w:t xml:space="preserve">表3-12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主变年最大负载率中位数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典型场景及样本外推</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装机渗透率较高，规划需同时考虑正向供电与日间反送；市区负荷较集中，重点结合主变N-1和网络支援确定容量。年度相关分析反映容量与负荷的共同变化，源荷规模及网络条件进一步决定具体站点的配置需求。</w:t>
      </w:r>
    </w:p>
    <w:p>
      <w:pPr>
        <w:pStyle w:val="2"/>
        <w:widowControl/>
        <w:spacing w:line="348" w:lineRule="atLeast" w:before="0" w:after="0"/>
        <w:ind w:firstLine="480"/>
        <w:jc w:val="both"/>
      </w:pPr>
      <w:r>
        <w:rPr>
          <w:rFonts w:ascii="Times New Roman" w:hAnsi="Times New Roman" w:eastAsia="方正仿宋_GBK"/>
          <w:b w:val="0"/>
          <w:sz w:val="24"/>
        </w:rPr>
        <w:t xml:space="preserve">负荷分散系数记为</w:t>
      </w:r>
      <m:oMath>
        <m:sSub>
          <m:e>
            <m:r>
              <m:t>K</m:t>
            </m:r>
          </m:e>
          <m:sub>
            <m:r>
              <m:t>D</m:t>
            </m:r>
          </m:sub>
        </m:sSub>
      </m:oMath>
      <w:r>
        <w:rPr>
          <w:rFonts w:ascii="Times New Roman" w:hAnsi="Times New Roman" w:eastAsia="方正仿宋_GBK"/>
          <w:b w:val="0"/>
          <w:sz w:val="24"/>
        </w:rPr>
        <w:t xml:space="preserve">，按</w:t>
      </w:r>
      <m:oMath>
        <m:sSub>
          <m:e>
            <m:r>
              <m:t>K</m:t>
            </m:r>
          </m:e>
          <m:sub>
            <m:r>
              <m:t>D</m:t>
            </m:r>
          </m:sub>
        </m:sSub>
        <m:r>
          <m:t>=</m:t>
        </m:r>
        <m:nary>
          <m:naryPr>
            <m:chr m:val="∑"/>
            <m:limLoc m:val="undOvr"/>
            <m:subHide m:val="0"/>
            <m:supHide m:val="1"/>
          </m:naryPr>
          <m:sub>
            <m:r>
              <m:t>i</m:t>
            </m:r>
          </m:sub>
          <m:sup>
            <m:r>
              <m:t>​</m:t>
            </m:r>
          </m:sup>
          <m:e>
            <m:sSubSup>
              <m:e>
                <m:r>
                  <m:t>P</m:t>
                </m:r>
              </m:e>
              <m:sub>
                <m:r>
                  <m:t>i</m:t>
                </m:r>
                <m:r>
                  <m:t>,</m:t>
                </m:r>
                <m:r>
                  <m:rPr>
                    <m:nor/>
                    <m:sty m:val="p"/>
                  </m:rPr>
                  <m:t>max</m:t>
                </m:r>
              </m:sub>
              <m:sup>
                <m:r>
                  <m:t>+</m:t>
                </m:r>
              </m:sup>
            </m:sSubSup>
          </m:e>
        </m:nary>
        <m:r>
          <m:t>/</m:t>
        </m:r>
        <m:sSubSup>
          <m:e>
            <m:r>
              <m:t>P</m:t>
            </m:r>
          </m:e>
          <m:sub>
            <m:r>
              <m:rPr>
                <m:sty m:val="p"/>
              </m:rPr>
              <m:t>r</m:t>
            </m:r>
            <m:r>
              <m:rPr>
                <m:sty m:val="p"/>
              </m:rPr>
              <m:t>e</m:t>
            </m:r>
            <m:r>
              <m:rPr>
                <m:sty m:val="p"/>
              </m:rPr>
              <m:t>g</m:t>
            </m:r>
            <m:r>
              <m:rPr>
                <m:sty m:val="p"/>
              </m:rPr>
              <m:t>i</m:t>
            </m:r>
            <m:r>
              <m:rPr>
                <m:sty m:val="p"/>
              </m:rPr>
              <m:t>o</m:t>
            </m:r>
            <m:r>
              <m:rPr>
                <m:sty m:val="p"/>
              </m:rPr>
              <m:t>n</m:t>
            </m:r>
            <m:r>
              <m:t>,</m:t>
            </m:r>
            <m:r>
              <m:rPr>
                <m:nor/>
                <m:sty m:val="p"/>
              </m:rPr>
              <m:t>max</m:t>
            </m:r>
          </m:sub>
          <m:sup>
            <m:r>
              <m:t>+</m:t>
            </m:r>
          </m:sup>
        </m:sSubSup>
      </m:oMath>
      <w:r>
        <w:rPr>
          <w:rFonts w:ascii="Times New Roman" w:hAnsi="Times New Roman" w:eastAsia="方正仿宋_GBK"/>
          <w:b w:val="0"/>
          <w:sz w:val="24"/>
        </w:rPr>
        <w:t xml:space="preserve">计算；分子为各站最大正向净负荷之和，分母为同期地区汇总曲线的最大正向净负荷。各站及区域峰值均取补齐后的全年序列。</w:t>
      </w:r>
    </w:p>
    <w:p>
      <w:pPr>
        <w:pStyle w:val="2"/>
        <w:keepNext/>
        <w:spacing w:line="280" w:lineRule="exact" w:before="120" w:after="80"/>
        <w:ind w:firstLine="0"/>
        <w:jc w:val="center"/>
      </w:pPr>
      <w:r>
        <w:rPr>
          <w:rFonts w:ascii="Times New Roman" w:hAnsi="Times New Roman" w:eastAsia="宋体"/>
          <w:b w:val="0"/>
          <w:sz w:val="21"/>
        </w:rPr>
        <w:t xml:space="preserve">表3-13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样本各站独立峰值之和相对区域同期峰值的偏离更大，第5.6节采用1.00、1.10、1.15三个负荷分散系数节点，覆盖两地区样本值附近的条件。邳州局部馈线样本测算的可转比例约28%，市区40%为B类区域占主导条件下的研究参考，地区案例按具体路径、馈线热限及邻站容量确定可转功率。</w:t>
      </w:r>
    </w:p>
    <w:p>
      <w:pPr>
        <w:pStyle w:val="2"/>
        <w:widowControl/>
        <w:spacing w:line="348" w:lineRule="exact" w:before="0" w:after="0"/>
        <w:ind w:firstLine="480"/>
        <w:jc w:val="both"/>
      </w:pPr>
      <w:r>
        <w:rPr>
          <w:rFonts w:ascii="Times New Roman" w:hAnsi="Times New Roman" w:eastAsia="方正仿宋_GBK"/>
          <w:b w:val="0"/>
          <w:sz w:val="24"/>
        </w:rPr>
        <w:t xml:space="preserve">装机渗透率、负荷分散系数和转供条件采用现有地区资料，线路成本与储能支撑时间采用工程价格及运行需求设定。各项参数的取值及作用在第五章通过案例敏感性和受控配对分析展开。</w:t>
      </w:r>
    </w:p>
    <w:p>
      <w:pPr>
        <w:pStyle w:val="4"/>
        <w:keepNext/>
        <w:numPr>
          <w:numId w:val="0"/>
        </w:numPr>
        <w:spacing w:line="480" w:lineRule="exact" w:before="160" w:after="120"/>
        <w:ind w:firstLine="0"/>
      </w:pPr>
      <w:bookmarkStart w:id="1335" w:name="h335"/>
      <w:bookmarkStart w:id="122" w:name="kv负荷转接资料与仿真条件"/>
      <w:r>
        <w:rPr>
          <w:rFonts w:ascii="Times New Roman" w:hAnsi="Times New Roman" w:eastAsia="方正仿宋_GBK"/>
          <w:b/>
          <w:sz w:val="32"/>
        </w:rPr>
        <w:t xml:space="preserve">3.6 10 kV负荷转接资料与仿真条件</w:t>
      </w:r>
      <w:bookmarkEnd w:id="122"/>
      <w:bookmarkEnd w:id="1335"/>
    </w:p>
    <w:p>
      <w:pPr>
        <w:pStyle w:val="5"/>
        <w:keepNext/>
        <w:numPr>
          <w:numId w:val="0"/>
        </w:numPr>
        <w:spacing w:line="390" w:lineRule="exact" w:before="160" w:after="120"/>
        <w:ind w:firstLine="0"/>
      </w:pPr>
      <w:bookmarkStart w:id="123" w:name="现有馈线资料"/>
      <w:r>
        <w:rPr>
          <w:rFonts w:ascii="Times New Roman" w:hAnsi="Times New Roman" w:eastAsia="方正仿宋_GBK"/>
          <w:b/>
          <w:sz w:val="26"/>
        </w:rPr>
        <w:t xml:space="preserve">3.6.1 现有馈线资料</w:t>
      </w:r>
      <w:bookmarkEnd w:id="123"/>
    </w:p>
    <w:p>
      <w:pPr>
        <w:pStyle w:val="FirstParagraph"/>
        <w:widowControl/>
        <w:spacing w:line="348" w:lineRule="exact" w:before="0" w:after="0"/>
        <w:ind w:firstLine="480"/>
        <w:jc w:val="both"/>
      </w:pPr>
      <w:r>
        <w:rPr>
          <w:rFonts w:ascii="Times New Roman" w:hAnsi="Times New Roman" w:eastAsia="方正仿宋_GBK"/>
          <w:b w:val="0"/>
          <w:sz w:val="24"/>
        </w:rPr>
        <w:t xml:space="preserve">邳州局部六馈线样本的源端负荷为35.29 MW，可转移上界为9.98 MW，比值约28%。当前网络模型以已知联络和候选区段建立具体路径，新增单项目有效能力采用7.49 MW，并校核共享馈线及接收站余量。</w:t>
      </w:r>
    </w:p>
    <w:p>
      <w:pPr>
        <w:pStyle w:val="5"/>
        <w:keepNext/>
        <w:numPr>
          <w:numId w:val="0"/>
        </w:numPr>
        <w:spacing w:line="390" w:lineRule="exact" w:before="160" w:after="120"/>
        <w:ind w:firstLine="0"/>
      </w:pPr>
      <w:bookmarkStart w:id="124" w:name="供电分区与初始转供率"/>
      <w:r>
        <w:rPr>
          <w:rFonts w:ascii="Times New Roman" w:hAnsi="Times New Roman" w:eastAsia="方正仿宋_GBK"/>
          <w:b/>
          <w:sz w:val="26"/>
        </w:rPr>
        <w:t xml:space="preserve">3.6.2 供电分区与初始转供率</w:t>
      </w:r>
      <w:bookmarkEnd w:id="124"/>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第7.1.2条提出，A+、A类供电区域通过中压配电网转移负荷的比例宜为50%～70%，B、C类宜为30%～50%[5]。按市区A类较少、B类较多的研究背景，采用B类区间中值40%作为参数研究基准，比较30%～50%的变化。该取值是研究假设，现有资料尚不足以计算市区A/B分区的负荷加权实际转供率。</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已核验的具体网络，既有边按已知资料设置，缺少存量证明的候选按新增建设计费。推广模板以初始转供率设置基期转供预算，预算以MW固定；目标年负荷增加时，不自动同比扩大既有网络能力。实际可转负荷还受源端分段、馈线热限、联络路径和邻站主变容量限制。</w:t>
      </w:r>
    </w:p>
    <w:p>
      <w:pPr>
        <w:pStyle w:val="5"/>
        <w:keepNext/>
        <w:numPr>
          <w:numId w:val="0"/>
        </w:numPr>
        <w:spacing w:line="390" w:lineRule="exact" w:before="160" w:after="120"/>
        <w:ind w:firstLine="0"/>
      </w:pPr>
      <w:bookmarkStart w:id="125" w:name="电源归属及反向功率"/>
      <w:r>
        <w:rPr>
          <w:rFonts w:ascii="Times New Roman" w:hAnsi="Times New Roman" w:eastAsia="方正仿宋_GBK"/>
          <w:b/>
          <w:sz w:val="26"/>
        </w:rPr>
        <w:t xml:space="preserve">3.6.3 电源归属及反向功率</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正常转供改变用电负荷分配，电源仍保留原站归属。每个静态工况分别计算转出和转入功率，转出功率以本站原始可转负荷为上限。转供后净负荷同时校核正向供电和反向容量，区域内部转入、转出合计相等。</w:t>
      </w:r>
    </w:p>
    <w:p>
      <w:pPr>
        <w:pStyle w:val="4"/>
        <w:keepNext/>
        <w:numPr>
          <w:numId w:val="0"/>
        </w:numPr>
        <w:spacing w:line="480" w:lineRule="exact" w:before="160" w:after="120"/>
        <w:ind w:firstLine="0"/>
      </w:pPr>
      <w:bookmarkStart w:id="1343" w:name="h343"/>
      <w:bookmarkStart w:id="126" w:name="站级负载率与配置需求"/>
      <w:r>
        <w:rPr>
          <w:rFonts w:ascii="Times New Roman" w:hAnsi="Times New Roman" w:eastAsia="方正仿宋_GBK"/>
          <w:b/>
          <w:sz w:val="32"/>
        </w:rPr>
        <w:t xml:space="preserve">3.7 站级负载率与配置需求</w:t>
      </w:r>
      <w:bookmarkEnd w:id="126"/>
      <w:bookmarkEnd w:id="1343"/>
    </w:p>
    <w:p>
      <w:pPr>
        <w:pStyle w:val="5"/>
        <w:keepNext/>
        <w:numPr>
          <w:numId w:val="0"/>
        </w:numPr>
        <w:spacing w:line="390" w:lineRule="exact" w:before="160" w:after="120"/>
        <w:ind w:firstLine="0"/>
      </w:pPr>
      <w:bookmarkStart w:id="127" w:name="邳州站级相对负载"/>
      <w:r>
        <w:rPr>
          <w:rFonts w:ascii="Times New Roman" w:hAnsi="Times New Roman" w:eastAsia="方正仿宋_GBK"/>
          <w:b/>
          <w:sz w:val="26"/>
        </w:rPr>
        <w:t xml:space="preserve">3.7.1 邳州站级相对负载</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286422"/>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28"/>
                    <a:stretch>
                      <a:fillRect/>
                    </a:stretch>
                  </pic:blipFill>
                  <pic:spPr bwMode="auto">
                    <a:xfrm>
                      <a:off x="0" y="0"/>
                      <a:ext cx="5120640" cy="32864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邳州站级负载率</w:t>
      </w:r>
    </w:p>
    <w:p>
      <w:pPr>
        <w:pStyle w:val="5"/>
        <w:keepNext/>
        <w:numPr>
          <w:numId w:val="0"/>
        </w:numPr>
        <w:spacing w:line="390" w:lineRule="exact" w:before="160" w:after="120"/>
        <w:ind w:firstLine="0"/>
      </w:pPr>
      <w:bookmarkStart w:id="129" w:name="市区站级相对负载"/>
      <w:r>
        <w:rPr>
          <w:rFonts w:ascii="Times New Roman" w:hAnsi="Times New Roman" w:eastAsia="方正仿宋_GBK"/>
          <w:b/>
          <w:sz w:val="26"/>
        </w:rPr>
        <w:t xml:space="preserve">3.7.2 市区站级相对负载</w:t>
      </w:r>
      <w:bookmarkEnd w:id="129"/>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29273"/>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0"/>
                    <a:stretch>
                      <a:fillRect/>
                    </a:stretch>
                  </pic:blipFill>
                  <pic:spPr bwMode="auto">
                    <a:xfrm>
                      <a:off x="0" y="0"/>
                      <a:ext cx="5120640" cy="392927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1" w:name="负载率与规划措施的联系"/>
      <w:r>
        <w:rPr>
          <w:rFonts w:ascii="Times New Roman" w:hAnsi="Times New Roman" w:eastAsia="方正仿宋_GBK"/>
          <w:b/>
          <w:sz w:val="26"/>
        </w:rPr>
        <w:t xml:space="preserve">3.7.3 负载率与规划措施的联系</w:t>
      </w:r>
      <w:bookmarkEnd w:id="131"/>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2" w:name="较高负载率站的方向与配置条件"/>
      <w:r>
        <w:rPr>
          <w:rFonts w:ascii="Times New Roman" w:hAnsi="Times New Roman" w:eastAsia="方正仿宋_GBK"/>
          <w:b/>
          <w:sz w:val="26"/>
        </w:rPr>
        <w:t xml:space="preserve">3.7.4 较高负载率站的方向与配置条件</w:t>
      </w:r>
      <w:bookmarkEnd w:id="132"/>
    </w:p>
    <w:p>
      <w:pPr>
        <w:pStyle w:val="FirstParagraph"/>
        <w:keepNext/>
        <w:spacing w:line="280" w:lineRule="exact" w:before="120" w:after="80"/>
        <w:ind w:firstLine="0"/>
        <w:jc w:val="center"/>
      </w:pPr>
      <w:r>
        <w:rPr>
          <w:rFonts w:ascii="Times New Roman" w:hAnsi="Times New Roman" w:eastAsia="宋体"/>
          <w:b w:val="0"/>
          <w:sz w:val="21"/>
        </w:rPr>
        <w:t xml:space="preserve">表3-14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89.75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96.47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103.71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3" w:name="站级功率的主导方向"/>
      <w:r>
        <w:rPr>
          <w:rFonts w:ascii="Times New Roman" w:hAnsi="Times New Roman" w:eastAsia="方正仿宋_GBK"/>
          <w:b/>
          <w:sz w:val="26"/>
        </w:rPr>
        <w:t xml:space="preserve">3.7.5 站级功率的主导方向</w:t>
      </w:r>
      <w:bookmarkEnd w:id="133"/>
    </w:p>
    <w:p>
      <w:pPr>
        <w:pStyle w:val="FirstParagraph"/>
        <w:keepNext/>
        <w:spacing w:line="280" w:lineRule="exact" w:before="120" w:after="80"/>
        <w:ind w:firstLine="0"/>
        <w:jc w:val="center"/>
      </w:pPr>
      <w:r>
        <w:rPr>
          <w:rFonts w:ascii="Times New Roman" w:hAnsi="Times New Roman" w:eastAsia="宋体"/>
          <w:b w:val="0"/>
          <w:sz w:val="21"/>
        </w:rPr>
        <w:t xml:space="preserve">表3-15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建设方案以第五章逐工况网络校核为依据。</w:t>
      </w:r>
    </w:p>
    <w:p>
      <w:pPr>
        <w:pStyle w:val="4"/>
        <w:keepNext/>
        <w:numPr>
          <w:numId w:val="0"/>
        </w:numPr>
        <w:spacing w:line="480" w:lineRule="exact" w:before="160" w:after="120"/>
        <w:ind w:firstLine="0"/>
      </w:pPr>
      <w:bookmarkStart w:id="1360" w:name="h360"/>
      <w:bookmarkStart w:id="134" w:name="运行特征的综合分析"/>
      <w:r>
        <w:rPr>
          <w:rFonts w:ascii="Times New Roman" w:hAnsi="Times New Roman" w:eastAsia="方正仿宋_GBK"/>
          <w:b/>
          <w:sz w:val="32"/>
        </w:rPr>
        <w:t xml:space="preserve">3.8 运行特征的综合分析</w:t>
      </w:r>
      <w:bookmarkEnd w:id="134"/>
      <w:bookmarkEnd w:id="1360"/>
    </w:p>
    <w:p>
      <w:pPr>
        <w:pStyle w:val="5"/>
        <w:keepNext/>
        <w:numPr>
          <w:numId w:val="0"/>
        </w:numPr>
        <w:spacing w:line="390" w:lineRule="exact" w:before="160" w:after="120"/>
        <w:ind w:firstLine="0"/>
      </w:pPr>
      <w:bookmarkStart w:id="135" w:name="容量建设与负荷变化的不同作用"/>
      <w:r>
        <w:rPr>
          <w:rFonts w:ascii="Times New Roman" w:hAnsi="Times New Roman" w:eastAsia="方正仿宋_GBK"/>
          <w:b/>
          <w:sz w:val="26"/>
        </w:rPr>
        <w:t xml:space="preserve">3.8.1 容量建设与负荷变化的不同作用</w:t>
      </w:r>
      <w:bookmarkEnd w:id="135"/>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表3-16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第五章采用逐年方案，正是为了将这些变化落实到建设规模和投运时点。</w:t>
      </w:r>
    </w:p>
    <w:p>
      <w:pPr>
        <w:pStyle w:val="5"/>
        <w:keepNext/>
        <w:numPr>
          <w:numId w:val="0"/>
        </w:numPr>
        <w:spacing w:line="390" w:lineRule="exact" w:before="160" w:after="120"/>
        <w:ind w:firstLine="0"/>
      </w:pPr>
      <w:bookmarkStart w:id="136" w:name="光伏发电与用电高峰的季节关系"/>
      <w:r>
        <w:rPr>
          <w:rFonts w:ascii="Times New Roman" w:hAnsi="Times New Roman" w:eastAsia="方正仿宋_GBK"/>
          <w:b/>
          <w:sz w:val="26"/>
        </w:rPr>
        <w:t xml:space="preserve">3.8.2 光伏发电与用电高峰的季节关系</w:t>
      </w:r>
      <w:bookmarkEnd w:id="136"/>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光伏发电量与用户用电量共同决定分布式电源电量渗透率。邳州2025年月度估计中，5月分布式电源电量渗透率约60%，高于7月的38%；但7月光伏发电量约212845.47 MWh，高于5月的163851.67 MWh。其原因是7月用户用电量同步升高到562354.97 MWh，而5月为271920.09 MWh。</w:t>
      </w:r>
    </w:p>
    <w:p>
      <w:pPr>
        <w:pStyle w:val="2"/>
        <w:keepNext/>
        <w:spacing w:line="280" w:lineRule="exact" w:before="120" w:after="80"/>
        <w:ind w:firstLine="0"/>
        <w:jc w:val="center"/>
      </w:pPr>
      <w:r>
        <w:rPr>
          <w:rFonts w:ascii="Times New Roman" w:hAnsi="Times New Roman" w:eastAsia="宋体"/>
          <w:b w:val="0"/>
          <w:sz w:val="21"/>
        </w:rPr>
        <w:t xml:space="preserve">表3-17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7" w:name="区域容量储备与重载设备并存"/>
      <w:r>
        <w:rPr>
          <w:rFonts w:ascii="Times New Roman" w:hAnsi="Times New Roman" w:eastAsia="方正仿宋_GBK"/>
          <w:b/>
          <w:sz w:val="26"/>
        </w:rPr>
        <w:t xml:space="preserve">3.8.3 区域容量储备与重载设备并存</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N-1条件下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本报告将负荷分散系数纳入专项敏感性分析，并结合站级负荷分配讨论容量配置。</w:t>
      </w:r>
    </w:p>
    <w:p>
      <w:pPr>
        <w:pStyle w:val="5"/>
        <w:keepNext/>
        <w:numPr>
          <w:numId w:val="0"/>
        </w:numPr>
        <w:spacing w:line="390" w:lineRule="exact" w:before="160" w:after="120"/>
        <w:ind w:firstLine="0"/>
      </w:pPr>
      <w:bookmarkStart w:id="138" w:name="两地区的容量规划重点"/>
      <w:r>
        <w:rPr>
          <w:rFonts w:ascii="Times New Roman" w:hAnsi="Times New Roman" w:eastAsia="方正仿宋_GBK"/>
          <w:b/>
          <w:sz w:val="26"/>
        </w:rPr>
        <w:t xml:space="preserve">3.8.4 两地区的容量规划重点</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382" w:name="h382"/>
      <w:bookmarkStart w:id="139" w:name="第四章-基于实际工程的建设成本模型"/>
      <w:r>
        <w:rPr>
          <w:rFonts w:ascii="Times New Roman" w:hAnsi="Times New Roman" w:eastAsia="方正仿宋_GBK"/>
          <w:b/>
          <w:sz w:val="36"/>
        </w:rPr>
        <w:t xml:space="preserve">第四章 基于实际工程的建设成本模型</w:t>
      </w:r>
      <w:bookmarkEnd w:id="139"/>
      <w:bookmarkEnd w:id="1382"/>
    </w:p>
    <w:p>
      <w:pPr>
        <w:pStyle w:val="4"/>
        <w:keepNext/>
        <w:numPr>
          <w:numId w:val="0"/>
        </w:numPr>
        <w:spacing w:line="480" w:lineRule="exact" w:before="160" w:after="120"/>
        <w:ind w:firstLine="0"/>
      </w:pPr>
      <w:bookmarkStart w:id="1383" w:name="h383"/>
      <w:bookmarkStart w:id="140" w:name="成本模型的范围与建立原则"/>
      <w:r>
        <w:rPr>
          <w:rFonts w:ascii="Times New Roman" w:hAnsi="Times New Roman" w:eastAsia="方正仿宋_GBK"/>
          <w:b/>
          <w:sz w:val="32"/>
        </w:rPr>
        <w:t xml:space="preserve">4.1 成本模型的范围与建立原则</w:t>
      </w:r>
      <w:bookmarkEnd w:id="140"/>
      <w:bookmarkEnd w:id="1383"/>
    </w:p>
    <w:p>
      <w:pPr>
        <w:pStyle w:val="5"/>
        <w:keepNext/>
        <w:numPr>
          <w:numId w:val="0"/>
        </w:numPr>
        <w:spacing w:line="390" w:lineRule="exact" w:before="160" w:after="120"/>
        <w:ind w:firstLine="0"/>
      </w:pPr>
      <w:bookmarkStart w:id="141" w:name="建设改造措施与投资估算依据"/>
      <w:r>
        <w:rPr>
          <w:rFonts w:ascii="Times New Roman" w:hAnsi="Times New Roman" w:eastAsia="方正仿宋_GBK"/>
          <w:b/>
          <w:sz w:val="26"/>
        </w:rPr>
        <w:t xml:space="preserve">4.1.1 建设改造措施与投资估算依据</w:t>
      </w:r>
      <w:bookmarkEnd w:id="141"/>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线路成本系数、储能及主变价格倍数分别用于敏感性分析，工程范围差异在应用时另行核定[85][89][86]。</w:t>
      </w:r>
    </w:p>
    <w:p>
      <w:pPr>
        <w:pStyle w:val="5"/>
        <w:keepNext/>
        <w:numPr>
          <w:numId w:val="0"/>
        </w:numPr>
        <w:spacing w:line="390" w:lineRule="exact" w:before="160" w:after="120"/>
        <w:ind w:firstLine="0"/>
      </w:pPr>
      <w:bookmarkStart w:id="142" w:name="投资运维与更新"/>
      <w:r>
        <w:rPr>
          <w:rFonts w:ascii="Times New Roman" w:hAnsi="Times New Roman" w:eastAsia="方正仿宋_GBK"/>
          <w:b/>
          <w:sz w:val="26"/>
        </w:rPr>
        <w:t xml:space="preserve">4.1.2 投资、运维与更新</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和线路固定运维率显示约为初始投资的4%/年、2%/年，计算分别保留系数0.042、0.022。储能固定运维率取3%/年，折现率取6%。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3" w:name="增量比较的适用范围"/>
      <w:r>
        <w:rPr>
          <w:rFonts w:ascii="Times New Roman" w:hAnsi="Times New Roman" w:eastAsia="方正仿宋_GBK"/>
          <w:b/>
          <w:sz w:val="26"/>
        </w:rPr>
        <w:t xml:space="preserve">4.1.3 增量比较的适用范围</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395" w:name="h395"/>
      <w:bookmarkStart w:id="144" w:name="主变工程成本系数"/>
      <w:r>
        <w:rPr>
          <w:rFonts w:ascii="Times New Roman" w:hAnsi="Times New Roman" w:eastAsia="方正仿宋_GBK"/>
          <w:b/>
          <w:sz w:val="32"/>
        </w:rPr>
        <w:t xml:space="preserve">4.2 主变工程成本系数</w:t>
      </w:r>
      <w:bookmarkEnd w:id="144"/>
      <w:bookmarkEnd w:id="1395"/>
    </w:p>
    <w:p>
      <w:pPr>
        <w:pStyle w:val="5"/>
        <w:keepNext/>
        <w:numPr>
          <w:numId w:val="0"/>
        </w:numPr>
        <w:spacing w:line="390" w:lineRule="exact" w:before="160" w:after="120"/>
        <w:ind w:firstLine="0"/>
      </w:pPr>
      <w:bookmarkStart w:id="145" w:name="替换工程案例"/>
      <w:r>
        <w:rPr>
          <w:rFonts w:ascii="Times New Roman" w:hAnsi="Times New Roman" w:eastAsia="方正仿宋_GBK"/>
          <w:b/>
          <w:sz w:val="26"/>
        </w:rPr>
        <w:t xml:space="preserve">4.2.1 替换工程案例</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6" w:name="采购容量加权系数"/>
      <w:r>
        <w:rPr>
          <w:rFonts w:ascii="Times New Roman" w:hAnsi="Times New Roman" w:eastAsia="方正仿宋_GBK"/>
          <w:b/>
          <w:sz w:val="26"/>
        </w:rPr>
        <w:t xml:space="preserve">4.2.2 采购容量加权系数</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7" w:name="净增容量与工程费用"/>
      <w:r>
        <w:rPr>
          <w:rFonts w:ascii="Times New Roman" w:hAnsi="Times New Roman" w:eastAsia="方正仿宋_GBK"/>
          <w:b/>
          <w:sz w:val="26"/>
        </w:rPr>
        <w:t xml:space="preserve">4.2.3 净增容量与工程费用</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分别为更换后、更换前容量，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48" w:name="主变扩建"/>
      <w:r>
        <w:rPr>
          <w:rFonts w:ascii="Times New Roman" w:hAnsi="Times New Roman" w:eastAsia="方正仿宋_GBK"/>
          <w:b/>
          <w:sz w:val="26"/>
        </w:rPr>
        <w:t xml:space="preserve">4.2.4 主变扩建</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14" w:name="h414"/>
      <w:bookmarkStart w:id="149" w:name="kv联络工程费用"/>
      <w:r>
        <w:rPr>
          <w:rFonts w:ascii="Times New Roman" w:hAnsi="Times New Roman" w:eastAsia="方正仿宋_GBK"/>
          <w:b/>
          <w:sz w:val="32"/>
        </w:rPr>
        <w:t xml:space="preserve">4.3 10 kV联络工程费用</w:t>
      </w:r>
      <w:bookmarkEnd w:id="149"/>
      <w:bookmarkEnd w:id="1414"/>
    </w:p>
    <w:p>
      <w:pPr>
        <w:pStyle w:val="5"/>
        <w:keepNext/>
        <w:numPr>
          <w:numId w:val="0"/>
        </w:numPr>
        <w:spacing w:line="390" w:lineRule="exact" w:before="160" w:after="120"/>
        <w:ind w:firstLine="0"/>
      </w:pPr>
      <w:bookmarkStart w:id="150" w:name="参考工程及单位造价"/>
      <w:r>
        <w:rPr>
          <w:rFonts w:ascii="Times New Roman" w:hAnsi="Times New Roman" w:eastAsia="方正仿宋_GBK"/>
          <w:b/>
          <w:sz w:val="26"/>
        </w:rPr>
        <w:t xml:space="preserve">4.3.1 参考工程及单位造价</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[89]。电缆采用含电气和土建的综合参考价180万元/km，其中土建按差额60万元/km计入研究费用。电缆工程投资范围包含电气安装及配套土建，徐州10 kV线路迁改工程公开建设内容亦包括相应电缆及通道工程[90]。</w:t>
      </w:r>
    </w:p>
    <w:p>
      <w:pPr>
        <w:pStyle w:val="5"/>
        <w:keepNext/>
        <w:numPr>
          <w:numId w:val="0"/>
        </w:numPr>
        <w:spacing w:line="390" w:lineRule="exact" w:before="160" w:after="120"/>
        <w:ind w:firstLine="0"/>
      </w:pPr>
      <w:bookmarkStart w:id="151" w:name="线路成本系数"/>
      <w:r>
        <w:rPr>
          <w:rFonts w:ascii="Times New Roman" w:hAnsi="Times New Roman" w:eastAsia="方正仿宋_GBK"/>
          <w:b/>
          <w:sz w:val="26"/>
        </w:rPr>
        <w:t xml:space="preserve">4.3.2 线路成本系数</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t>k</m:t>
            </m:r>
          </m:e>
          <m:sub>
            <m:r>
              <m:t>L</m:t>
            </m:r>
          </m:sub>
        </m:sSub>
      </m:oMath>
      <w:r>
        <w:rPr>
          <w:rFonts w:ascii="Times New Roman" w:hAnsi="Times New Roman" w:eastAsia="方正仿宋_GBK"/>
          <w:b w:val="0"/>
          <w:sz w:val="24"/>
        </w:rPr>
        <w:t xml:space="preserve">。若电缆长度占比为</w:t>
      </w:r>
      <m:oMath>
        <m:r>
          <m:t>α</m:t>
        </m:r>
      </m:oMath>
      <w:r>
        <w:rPr>
          <w:rFonts w:ascii="Times New Roman" w:hAnsi="Times New Roman" w:eastAsia="方正仿宋_GBK"/>
          <w:b w:val="0"/>
          <w:sz w:val="24"/>
        </w:rPr>
        <w:t xml:space="preserve">，电缆综合参考价为180万元/km，则单位长度综合费用为</w:t>
      </w:r>
      <m:oMath>
        <m:r>
          <m:t>24</m:t>
        </m:r>
        <m:r>
          <m:t>(</m:t>
        </m:r>
        <m:r>
          <m:t>1</m:t>
        </m:r>
        <m:r>
          <m:t>−</m:t>
        </m:r>
        <m:r>
          <m:t>α</m:t>
        </m:r>
        <m:r>
          <m:t>)</m:t>
        </m:r>
        <m:r>
          <m:t>+</m:t>
        </m:r>
        <m:r>
          <m:t>180</m:t>
        </m:r>
        <m:r>
          <m:t>α</m:t>
        </m:r>
      </m:oMath>
      <w:r>
        <w:rPr>
          <w:rFonts w:ascii="Times New Roman" w:hAnsi="Times New Roman" w:eastAsia="方正仿宋_GBK"/>
          <w:b w:val="0"/>
          <w:sz w:val="24"/>
        </w:rPr>
        <w:t xml:space="preserve">，对应</w:t>
      </w:r>
      <m:oMath>
        <m:sSub>
          <m:e>
            <m:r>
              <m:t>k</m:t>
            </m:r>
          </m:e>
          <m:sub>
            <m:r>
              <m:t>L</m:t>
            </m:r>
          </m:sub>
        </m:sSub>
        <m:r>
          <m:t>=</m:t>
        </m:r>
        <m:r>
          <m:t>1</m:t>
        </m:r>
        <m:r>
          <m:t>+</m:t>
        </m:r>
        <m:r>
          <m:t>6.5</m:t>
        </m:r>
        <m:r>
          <m:t>α</m:t>
        </m:r>
      </m:oMath>
      <w:r>
        <w:rPr>
          <w:rFonts w:ascii="Times New Roman" w:hAnsi="Times New Roman" w:eastAsia="方正仿宋_GBK"/>
          <w:b w:val="0"/>
          <w:sz w:val="24"/>
        </w:rPr>
        <w:t xml:space="preserve">。系数也可按实际工程单位长度造价与基价之比确定。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L</m:t>
                    </m:r>
                  </m:sub>
                </m:sSub>
                <m:r>
                  <m:t>=</m:t>
                </m:r>
                <m:r>
                  <m:t>24</m:t>
                </m:r>
                <m:r>
                  <m:t>L</m:t>
                </m:r>
                <m:sSub>
                  <m:e>
                    <m:r>
                      <m:t>k</m:t>
                    </m:r>
                  </m:e>
                  <m:sub>
                    <m:r>
                      <m:t>L</m:t>
                    </m:r>
                  </m:sub>
                </m:sSub>
                <m:r>
                  <m:t>+</m:t>
                </m:r>
                <m:r>
                  <m:t>6</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为单项目建设投资，单位万元；</w:t>
      </w:r>
      <m:oMath>
        <m:r>
          <m:t>L</m:t>
        </m:r>
      </m:oMath>
      <w:r>
        <w:rPr>
          <w:rFonts w:ascii="Times New Roman" w:hAnsi="Times New Roman" w:eastAsia="方正仿宋_GBK"/>
          <w:b w:val="0"/>
          <w:sz w:val="24"/>
        </w:rPr>
        <w:t xml:space="preserve">为线路长度，基准取3 km；</w:t>
      </w:r>
      <m:oMath>
        <m:sSub>
          <m:e>
            <m:r>
              <m:t>k</m:t>
            </m:r>
          </m:e>
          <m:sub>
            <m: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t>k</m:t>
            </m:r>
          </m:e>
          <m:sub>
            <m: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邳州原案例项目投资124.80万元，对应</w:t>
      </w:r>
      <m:oMath>
        <m:sSub>
          <m:e>
            <m:r>
              <m:t>k</m:t>
            </m:r>
          </m:e>
          <m:sub>
            <m:r>
              <m:t>L</m:t>
            </m:r>
          </m:sub>
        </m:sSub>
        <m:r>
          <m:t>=</m:t>
        </m:r>
        <m:r>
          <m:t>1.65</m:t>
        </m:r>
      </m:oMath>
      <w:r>
        <w:rPr>
          <w:rFonts w:ascii="Times New Roman" w:hAnsi="Times New Roman" w:eastAsia="方正仿宋_GBK"/>
          <w:b w:val="0"/>
          <w:sz w:val="24"/>
        </w:rPr>
        <w:t xml:space="preserve">；市区499.20万元，对应</w:t>
      </w:r>
      <m:oMath>
        <m:sSub>
          <m:e>
            <m:r>
              <m:t>k</m:t>
            </m:r>
          </m:e>
          <m:sub>
            <m:r>
              <m:t>L</m:t>
            </m:r>
          </m:sub>
        </m:sSub>
        <m:r>
          <m:t>=</m:t>
        </m:r>
        <m:r>
          <m:t>6.85</m:t>
        </m:r>
      </m:oMath>
      <w:r>
        <w:rPr>
          <w:rFonts w:ascii="Times New Roman" w:hAnsi="Times New Roman" w:eastAsia="方正仿宋_GBK"/>
          <w:b w:val="0"/>
          <w:sz w:val="24"/>
        </w:rPr>
        <w:t xml:space="preserve">。两地区案例保留这两个工程参考费用，推广时直接改变线路成本系数。</w:t>
      </w:r>
    </w:p>
    <w:p>
      <w:pPr>
        <w:pStyle w:val="2"/>
        <w:keepNext/>
        <w:spacing w:line="280" w:lineRule="exact" w:before="120" w:after="80"/>
        <w:ind w:firstLine="0"/>
        <w:jc w:val="center"/>
      </w:pPr>
      <w:r>
        <w:rPr>
          <w:rFonts w:ascii="Times New Roman" w:hAnsi="Times New Roman" w:eastAsia="宋体"/>
          <w:b w:val="0"/>
          <w:sz w:val="21"/>
        </w:rPr>
        <w:t xml:space="preserve">表4-3 线路成本系数与项目费用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164.40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546.00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注：电缆与架空参考基价为180、24万元/km；系数统一表达单位长度综合费用。</w:t>
      </w:r>
    </w:p>
    <w:p>
      <w:pPr>
        <w:pStyle w:val="5"/>
        <w:keepNext/>
        <w:numPr>
          <w:numId w:val="0"/>
        </w:numPr>
        <w:spacing w:line="390" w:lineRule="exact" w:before="160" w:after="120"/>
        <w:ind w:firstLine="0"/>
      </w:pPr>
      <w:bookmarkStart w:id="152" w:name="联络能力与工程计费"/>
      <w:r>
        <w:rPr>
          <w:rFonts w:ascii="Times New Roman" w:hAnsi="Times New Roman" w:eastAsia="方正仿宋_GBK"/>
          <w:b/>
          <w:sz w:val="26"/>
        </w:rPr>
        <w:t xml:space="preserve">4.3.3 联络能力与工程计费</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426" w:name="h426"/>
      <w:bookmarkStart w:id="153" w:name="储能投资模型"/>
      <w:r>
        <w:rPr>
          <w:rFonts w:ascii="Times New Roman" w:hAnsi="Times New Roman" w:eastAsia="方正仿宋_GBK"/>
          <w:b/>
          <w:sz w:val="32"/>
        </w:rPr>
        <w:t xml:space="preserve">4.4 储能投资模型</w:t>
      </w:r>
      <w:bookmarkEnd w:id="153"/>
      <w:bookmarkEnd w:id="1426"/>
    </w:p>
    <w:p>
      <w:pPr>
        <w:pStyle w:val="5"/>
        <w:keepNext/>
        <w:numPr>
          <w:numId w:val="0"/>
        </w:numPr>
        <w:spacing w:line="390" w:lineRule="exact" w:before="160" w:after="120"/>
        <w:ind w:firstLine="0"/>
      </w:pPr>
      <w:bookmarkStart w:id="154" w:name="储能规格与采购价格依据"/>
      <w:r>
        <w:rPr>
          <w:rFonts w:ascii="Times New Roman" w:hAnsi="Times New Roman" w:eastAsia="方正仿宋_GBK"/>
          <w:b/>
          <w:sz w:val="26"/>
        </w:rPr>
        <w:t xml:space="preserve">4.4.1 储能规格与采购价格依据</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kWh柜规格。苏州采购公告的储能柜子项最高限价为27.20万元，作为单柜价格参考[91]。模型投资采用浏阳用户侧储能项目的成套中标价210.46万元，保证交付规模为1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储能采购价格依据[91][86]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5" w:name="成套柜单位价格"/>
      <w:r>
        <w:rPr>
          <w:rFonts w:ascii="Times New Roman" w:hAnsi="Times New Roman" w:eastAsia="方正仿宋_GBK"/>
          <w:b/>
          <w:sz w:val="26"/>
        </w:rPr>
        <w:t xml:space="preserve">4.4.2 成套柜单位价格</w:t>
      </w:r>
      <w:bookmarkEnd w:id="155"/>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（4-5）</w:t>
            </w:r>
          </w:p>
        </w:tc>
      </w:tr>
    </w:tbl>
    <w:p>
      <w:pPr>
        <w:pStyle w:val="FirstParagraph"/>
        <w:widowControl/>
        <w:spacing w:line="348" w:lineRule="atLeast" w:before="0" w:after="0"/>
        <w:ind w:left="0" w:right="0" w:firstLine="0" w:firstLineChars="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6" w:name="储能有效支撑功率与持续时间"/>
      <w:r>
        <w:rPr>
          <w:rFonts w:ascii="Times New Roman" w:hAnsi="Times New Roman" w:eastAsia="方正仿宋_GBK"/>
          <w:b/>
          <w:sz w:val="26"/>
        </w:rPr>
        <w:t xml:space="preserve">4.4.3 储能有效支撑功率与持续时间</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t>n</m:t>
        </m:r>
      </m:oMath>
      <w:r>
        <w:rPr>
          <w:rFonts w:ascii="Times New Roman" w:hAnsi="Times New Roman" w:eastAsia="方正仿宋_GBK"/>
          <w:b w:val="0"/>
          <w:sz w:val="24"/>
        </w:rPr>
        <w:t xml:space="preserve">为储能柜数，</w:t>
      </w:r>
      <m:oMath>
        <m:r>
          <m:t>H</m:t>
        </m:r>
      </m:oMath>
      <w:r>
        <w:rPr>
          <w:rFonts w:ascii="Times New Roman" w:hAnsi="Times New Roman" w:eastAsia="方正仿宋_GBK"/>
          <w:b w:val="0"/>
          <w:sz w:val="24"/>
        </w:rPr>
        <w:t xml:space="preserve">为支撑持续时间，可用电量系数取0.76，则有：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r>
                  <m:t>B</m:t>
                </m:r>
                <m:r>
                  <m:t>(</m:t>
                </m:r>
                <m:r>
                  <m:t>n</m:t>
                </m:r>
                <m:r>
                  <m:t>,</m:t>
                </m:r>
                <m:r>
                  <m:t>H</m:t>
                </m:r>
                <m:r>
                  <m:t>)</m:t>
                </m:r>
                <m:r>
                  <m:t>=</m:t>
                </m:r>
                <m:r>
                  <m:rPr>
                    <m:nor/>
                    <m:sty m:val="p"/>
                  </m:rPr>
                  <m:t>min</m:t>
                </m:r>
                <m:d>
                  <m:dPr>
                    <m:begChr m:val="{"/>
                    <m:endChr m:val="}"/>
                    <m:grow/>
                  </m:dPr>
                  <m:e>
                    <m:r>
                      <m:t>0.10</m:t>
                    </m:r>
                    <m:r>
                      <m:t>n</m:t>
                    </m:r>
                    <m:r>
                      <m:t>,</m:t>
                    </m:r>
                    <m:f>
                      <m:fPr>
                        <m:type m:val="bar"/>
                      </m:fPr>
                      <m:num>
                        <m:r>
                          <m:t>0.215</m:t>
                        </m:r>
                        <m:r>
                          <m:t>×</m:t>
                        </m:r>
                        <m:r>
                          <m:t>0.76</m:t>
                        </m:r>
                        <m:r>
                          <m:t>n</m:t>
                        </m:r>
                      </m:num>
                      <m:den>
                        <m:r>
                          <m:t>H</m:t>
                        </m:r>
                      </m:den>
                    </m:f>
                  </m:e>
                </m:d>
                <m:r>
                  <m:t>,</m:t>
                </m:r>
                <m:r>
                  <m:t>  </m:t>
                </m:r>
                <m:r>
                  <m:t>H</m:t>
                </m:r>
                <m:r>
                  <m:t>&gt;</m:t>
                </m:r>
                <m:r>
                  <m:t>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B</m:t>
        </m:r>
        <m:r>
          <m:t>(</m:t>
        </m:r>
        <m:r>
          <m:t>n</m:t>
        </m:r>
        <m:r>
          <m:t>,</m:t>
        </m:r>
        <m:r>
          <m:t>H</m:t>
        </m:r>
        <m:r>
          <m:t>)</m:t>
        </m:r>
      </m:oMath>
      <w:r>
        <w:rPr>
          <w:rFonts w:ascii="Times New Roman" w:hAnsi="Times New Roman" w:eastAsia="方正仿宋_GBK"/>
          <w:b w:val="0"/>
          <w:sz w:val="24"/>
        </w:rPr>
        <w:t xml:space="preserve">单位为MW，单柜额定能量为0.215 MWh，额定功率为0.10 MW，</w:t>
      </w:r>
      <m:oMath>
        <m: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7"/>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58" w:name="可用能力与工程适用性"/>
      <w:r>
        <w:rPr>
          <w:rFonts w:ascii="Times New Roman" w:hAnsi="Times New Roman" w:eastAsia="方正仿宋_GBK"/>
          <w:b/>
          <w:sz w:val="26"/>
        </w:rPr>
        <w:t xml:space="preserve">4.4.4 可用能力与工程适用性</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可用电量系数用于静态比选。正向支撑需要可放电电量，反向吸收需要可充电空间。模型适用范围见第3.4.5节；工程应用需结合保证可用电量、充放电效率、充电条件及恢复时间核定支撑能力。</w:t>
      </w:r>
    </w:p>
    <w:p>
      <w:pPr>
        <w:pStyle w:val="4"/>
        <w:keepNext/>
        <w:numPr>
          <w:numId w:val="0"/>
        </w:numPr>
        <w:spacing w:line="480" w:lineRule="exact" w:before="160" w:after="120"/>
        <w:ind w:firstLine="0"/>
      </w:pPr>
      <w:bookmarkStart w:id="1442" w:name="h442"/>
      <w:bookmarkStart w:id="159" w:name="经济参数与敏感性分析"/>
      <w:r>
        <w:rPr>
          <w:rFonts w:ascii="Times New Roman" w:hAnsi="Times New Roman" w:eastAsia="方正仿宋_GBK"/>
          <w:b/>
          <w:sz w:val="32"/>
        </w:rPr>
        <w:t xml:space="preserve">4.5 经济参数与敏感性分析</w:t>
      </w:r>
      <w:bookmarkEnd w:id="159"/>
      <w:bookmarkEnd w:id="1442"/>
    </w:p>
    <w:p>
      <w:pPr>
        <w:pStyle w:val="5"/>
        <w:keepNext/>
        <w:numPr>
          <w:numId w:val="0"/>
        </w:numPr>
        <w:spacing w:line="390" w:lineRule="exact" w:before="160" w:after="120"/>
        <w:ind w:firstLine="0"/>
      </w:pPr>
      <w:bookmarkStart w:id="160" w:name="线路成本系数的独立变化"/>
      <w:r>
        <w:rPr>
          <w:rFonts w:ascii="Times New Roman" w:hAnsi="Times New Roman" w:eastAsia="方正仿宋_GBK"/>
          <w:b/>
          <w:sz w:val="26"/>
        </w:rPr>
        <w:t xml:space="preserve">4.5.1 线路成本系数的独立变化</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推广矩阵以线路成本系数表示联络建设费用。基准长度3 km、固定接入费6万元和单边能力保持不变，仅改变单位长度费用。该设置使价格变化与新增转供能力变化可以分别分析。线路成本系数的主网格取1.00、1.65、4.25、6.85、7.50，首尾区间不以这些有限节点封闭。</w:t>
      </w:r>
    </w:p>
    <w:p>
      <w:pPr>
        <w:pStyle w:val="5"/>
        <w:keepNext/>
        <w:numPr>
          <w:numId w:val="0"/>
        </w:numPr>
        <w:spacing w:line="390" w:lineRule="exact" w:before="160" w:after="120"/>
        <w:ind w:firstLine="0"/>
      </w:pPr>
      <w:bookmarkStart w:id="161" w:name="储能价格与持续时间分别设置"/>
      <w:r>
        <w:rPr>
          <w:rFonts w:ascii="Times New Roman" w:hAnsi="Times New Roman" w:eastAsia="方正仿宋_GBK"/>
          <w:b/>
          <w:sz w:val="26"/>
        </w:rPr>
        <w:t xml:space="preserve">4.5.2 储能价格与持续时间分别设置</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储能支撑持续时间保留在主矩阵，以4 h为共同基准，比较2 h和6 h。储能价格采用相对单柜参考投资的倍数，另取0.50、0.75、1.00、1.25作专项分析。比较价格倍数时，固定功率、能量规格及持续时间，价格倍数作用于新增采购费用和由其计算的固定运维费用。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B</m:t>
                    </m:r>
                  </m:sub>
                </m:sSub>
                <m:r>
                  <m:t>=</m:t>
                </m:r>
                <m:sSub>
                  <m:e>
                    <m:r>
                      <m:t>m</m:t>
                    </m:r>
                  </m:e>
                  <m:sub>
                    <m:r>
                      <m:t>B</m:t>
                    </m:r>
                  </m:sub>
                </m:sSub>
                <m:sSub>
                  <m:e>
                    <m:r>
                      <m:t>c</m:t>
                    </m:r>
                  </m:e>
                  <m:sub>
                    <m:r>
                      <m:t>B</m:t>
                    </m:r>
                  </m:sub>
                </m:sSub>
                <m:r>
                  <m:t>Δ</m:t>
                </m:r>
                <m:r>
                  <m:t>n</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m</m:t>
            </m:r>
          </m:e>
          <m:sub>
            <m:r>
              <m:t>B</m:t>
            </m:r>
          </m:sub>
        </m:sSub>
      </m:oMath>
      <w:r>
        <w:rPr>
          <w:rFonts w:ascii="Times New Roman" w:hAnsi="Times New Roman" w:eastAsia="方正仿宋_GBK"/>
          <w:b w:val="0"/>
          <w:sz w:val="24"/>
        </w:rPr>
        <w:t xml:space="preserve">为储能价格倍数，</w:t>
      </w:r>
      <m:oMath>
        <m:sSub>
          <m:e>
            <m:r>
              <m:t>c</m:t>
            </m:r>
          </m:e>
          <m:sub>
            <m:r>
              <m:t>B</m:t>
            </m:r>
          </m:sub>
        </m:sSub>
      </m:oMath>
      <w:r>
        <w:rPr>
          <w:rFonts w:ascii="Times New Roman" w:hAnsi="Times New Roman" w:eastAsia="方正仿宋_GBK"/>
          <w:b w:val="0"/>
          <w:sz w:val="24"/>
        </w:rPr>
        <w:t xml:space="preserve">为单柜参考投资，</w:t>
      </w:r>
      <m:oMath>
        <m:r>
          <m:t>Δ</m:t>
        </m:r>
        <m:r>
          <m:t>n</m:t>
        </m:r>
      </m:oMath>
      <w:r>
        <w:rPr>
          <w:rFonts w:ascii="Times New Roman" w:hAnsi="Times New Roman" w:eastAsia="方正仿宋_GBK"/>
          <w:b w:val="0"/>
          <w:sz w:val="24"/>
        </w:rPr>
        <w:t xml:space="preserve">为新增柜数。持续时间改变有效支撑功率，价格倍数改变相同设备的费用，两者在交互分析中再联合比较。</w:t>
      </w:r>
    </w:p>
    <w:p>
      <w:pPr>
        <w:pStyle w:val="5"/>
        <w:keepNext/>
        <w:numPr>
          <w:numId w:val="0"/>
        </w:numPr>
        <w:spacing w:line="390" w:lineRule="exact" w:before="160" w:after="120"/>
        <w:ind w:firstLine="0"/>
      </w:pPr>
      <w:bookmarkStart w:id="162" w:name="主变价格与费用评价参数"/>
      <w:r>
        <w:rPr>
          <w:rFonts w:ascii="Times New Roman" w:hAnsi="Times New Roman" w:eastAsia="方正仿宋_GBK"/>
          <w:b/>
          <w:sz w:val="26"/>
        </w:rPr>
        <w:t xml:space="preserve">4.5.3 主变价格与费用评价参数</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主变更换系数和第三台50 MVA扩建费用共同采用0.75、1.00、1.25倍作对照。折现率、固定运维率和设备寿命分别按基准的0.80、1.00、1.20倍变化，其他参数固定。寿命变化只有在评价期内触发更新或改变其他已计费用时才影响结果。</w:t>
      </w:r>
    </w:p>
    <w:p>
      <w:pPr>
        <w:pStyle w:val="5"/>
        <w:keepNext/>
        <w:numPr>
          <w:numId w:val="0"/>
        </w:numPr>
        <w:spacing w:line="390" w:lineRule="exact" w:before="160" w:after="120"/>
        <w:ind w:firstLine="0"/>
      </w:pPr>
      <w:bookmarkStart w:id="163" w:name="经济比较与技术条件"/>
      <w:r>
        <w:rPr>
          <w:rFonts w:ascii="Times New Roman" w:hAnsi="Times New Roman" w:eastAsia="方正仿宋_GBK"/>
          <w:b/>
          <w:sz w:val="26"/>
        </w:rPr>
        <w:t xml:space="preserve">4.5.4 经济比较与技术条件</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价格参数不改变主变允许规格、扩建位置及网络可行性。负荷分散系数、馈线热限、线路长度、功率因数和可用电量系数分别作辅助分析。其中线路长度直接改变项目费用，热限改变接收余量，两项不同时变化。结果分别报告容载比、费用及措施规模。</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可作为工程费用的辅助比较，但不同措施的功率分母需要分别说明。主变投资对应新购整台容量，经功率因数折算后仍受N-1剩余容量约束；联络投资对应具体区段可转负荷，还受接收站余量限制；储能投资对应给定持续时间内的有效功率。三项费用相近时，其实际可替代的能力未必相同，最终经济性应由完整方案判断[30][28][10]。</w:t>
      </w:r>
    </w:p>
    <w:p>
      <w:pPr>
        <w:pStyle w:val="2"/>
        <w:widowControl/>
        <w:spacing w:line="348" w:lineRule="exact" w:before="0" w:after="0"/>
        <w:ind w:firstLine="480"/>
        <w:jc w:val="both"/>
      </w:pPr>
      <w:r>
        <w:rPr>
          <w:rFonts w:ascii="Times New Roman" w:hAnsi="Times New Roman" w:eastAsia="方正仿宋_GBK"/>
          <w:b w:val="0"/>
          <w:sz w:val="24"/>
        </w:rPr>
        <w:t xml:space="preserve">例如同一条3 km联络，系数1.65对应124.80万元，系数6.85对应499.20万元，两者所设可转负荷同为7.49 MW。新增联络的作用取决于邻站可用容量和可切换负荷；既有联络按原有能力使用，新增工程按相应造价计费。</w:t>
      </w:r>
    </w:p>
    <w:p>
      <w:pPr>
        <w:pStyle w:val="2"/>
        <w:widowControl/>
        <w:spacing w:line="348" w:lineRule="exact" w:before="0" w:after="0"/>
        <w:ind w:firstLine="480"/>
        <w:jc w:val="both"/>
      </w:pPr>
      <w:r>
        <w:rPr>
          <w:rFonts w:ascii="Times New Roman" w:hAnsi="Times New Roman" w:eastAsia="方正仿宋_GBK"/>
          <w:b w:val="0"/>
          <w:sz w:val="24"/>
        </w:rPr>
        <w:t xml:space="preserve">储能价格分析固定100 kW/215 kWh规格及可用电量系数。10柜设备在4 h下的有效支撑功率为0.4085 MW，价格降低改变相同能力所需支出，持续时间延长则改变同一组设备能够提供的能力。分别设置价格倍数与持续时间后，可以识别费用变化是由采购价格、设备规模还是两者共同引起。</w:t>
      </w:r>
    </w:p>
    <w:p>
      <w:pPr>
        <w:pStyle w:val="4"/>
        <w:keepNext/>
        <w:numPr>
          <w:numId w:val="0"/>
        </w:numPr>
        <w:spacing w:line="480" w:lineRule="exact" w:before="160" w:after="120"/>
        <w:ind w:firstLine="0"/>
      </w:pPr>
      <w:bookmarkStart w:id="1455" w:name="h455"/>
      <w:bookmarkStart w:id="164" w:name="现金流现值计算"/>
      <w:r>
        <w:rPr>
          <w:rFonts w:ascii="Times New Roman" w:hAnsi="Times New Roman" w:eastAsia="方正仿宋_GBK"/>
          <w:b/>
          <w:sz w:val="32"/>
        </w:rPr>
        <w:t xml:space="preserve">4.6 现金流现值计算</w:t>
      </w:r>
      <w:bookmarkEnd w:id="164"/>
      <w:bookmarkEnd w:id="1455"/>
    </w:p>
    <w:p>
      <w:pPr>
        <w:pStyle w:val="5"/>
        <w:keepNext/>
        <w:numPr>
          <w:numId w:val="0"/>
        </w:numPr>
        <w:spacing w:line="390" w:lineRule="exact" w:before="160" w:after="120"/>
        <w:ind w:firstLine="0"/>
      </w:pPr>
      <w:bookmarkStart w:id="165" w:name="单项工程现值因子"/>
      <w:r>
        <w:rPr>
          <w:rFonts w:ascii="Times New Roman" w:hAnsi="Times New Roman" w:eastAsia="方正仿宋_GBK"/>
          <w:b/>
          <w:sz w:val="26"/>
        </w:rPr>
        <w:t xml:space="preserve">4.6.1 单项工程现值因子</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e>
                  </m:mr>
                  <m:mr>
                    <m:e/>
                    <m:e>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6" w:name="年度投运对现值的影响"/>
      <w:r>
        <w:rPr>
          <w:rFonts w:ascii="Times New Roman" w:hAnsi="Times New Roman" w:eastAsia="方正仿宋_GBK"/>
          <w:b/>
          <w:sz w:val="26"/>
        </w:rPr>
        <w:t xml:space="preserve">4.6.2 年度投运对现值的影响</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7" w:name="费用构成与结果复算"/>
      <w:r>
        <w:rPr>
          <w:rFonts w:ascii="Times New Roman" w:hAnsi="Times New Roman" w:eastAsia="方正仿宋_GBK"/>
          <w:b/>
          <w:sz w:val="26"/>
        </w:rPr>
        <w:t xml:space="preserve">4.6.3 费用构成与结果复算</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为建设改造项目</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68" w:name="评价期边界与费用解释"/>
      <w:r>
        <w:rPr>
          <w:rFonts w:ascii="Times New Roman" w:hAnsi="Times New Roman" w:eastAsia="方正仿宋_GBK"/>
          <w:b/>
          <w:sz w:val="26"/>
        </w:rPr>
        <w:t xml:space="preserve">4.6.4 评价期边界与费用解释</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69" w:name="主变更换与扩建的投资差异"/>
      <w:r>
        <w:rPr>
          <w:rFonts w:ascii="Times New Roman" w:hAnsi="Times New Roman" w:eastAsia="方正仿宋_GBK"/>
          <w:b/>
          <w:sz w:val="26"/>
        </w:rPr>
        <w:t xml:space="preserve">4.6.5 主变更换与扩建的投资差异</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0" w:name="联络与储能的费用响应"/>
      <w:r>
        <w:rPr>
          <w:rFonts w:ascii="Times New Roman" w:hAnsi="Times New Roman" w:eastAsia="方正仿宋_GBK"/>
          <w:b/>
          <w:sz w:val="26"/>
        </w:rPr>
        <w:t xml:space="preserve">4.6.6 联络与储能的费用响应</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新增联络能够发挥作用，还需送端可转负荷、共享馈线余量及邻站容量满足要求。价格变化可能只改变既定项目的费用，也可能触发主变、储能与联络之间的配置调整；第五章按固定其他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比较按当年新购主变、储能柜数和新增联络项目计费，后续在役状态用于容量与供电安全校核。两地区方案费用差来自完整措施组合及投运时点。共同评价期截止于2041年，未触发设备更新的条件下，寿命参数变化可能不改变当前现金流。</w:t>
      </w:r>
    </w:p>
    <w:p>
      <w:pPr>
        <w:pStyle w:val="3"/>
        <w:keepNext/>
        <w:pageBreakBefore/>
        <w:numPr>
          <w:numId w:val="0"/>
        </w:numPr>
        <w:spacing w:line="540" w:lineRule="exact" w:before="0" w:after="120"/>
        <w:ind w:firstLine="0"/>
      </w:pPr>
      <w:bookmarkStart w:id="1481" w:name="h481"/>
      <w:bookmarkStart w:id="171"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1"/>
      <w:bookmarkEnd w:id="1481"/>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483" w:name="h483"/>
      <w:bookmarkStart w:id="172" w:name="寻优问题与共同起点"/>
      <w:r>
        <w:rPr>
          <w:rFonts w:ascii="Times New Roman" w:hAnsi="Times New Roman" w:eastAsia="方正仿宋_GBK"/>
          <w:b/>
          <w:sz w:val="32"/>
        </w:rPr>
        <w:t xml:space="preserve">5.1 寻优问题与共同起点</w:t>
      </w:r>
      <w:bookmarkEnd w:id="172"/>
      <w:bookmarkEnd w:id="1483"/>
    </w:p>
    <w:p>
      <w:pPr>
        <w:pStyle w:val="5"/>
        <w:keepNext/>
        <w:numPr>
          <w:numId w:val="0"/>
        </w:numPr>
        <w:spacing w:line="390" w:lineRule="exact" w:before="160" w:after="120"/>
        <w:ind w:firstLine="0"/>
      </w:pPr>
      <w:bookmarkStart w:id="173" w:name="年度负荷与共同仿真起点"/>
      <w:r>
        <w:rPr>
          <w:rFonts w:ascii="Times New Roman" w:hAnsi="Times New Roman" w:eastAsia="方正仿宋_GBK"/>
          <w:b/>
          <w:sz w:val="26"/>
        </w:rPr>
        <w:t xml:space="preserve">5.1.1 年度负荷与共同仿真起点</w:t>
      </w:r>
      <w:bookmarkEnd w:id="173"/>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P</m:t>
                    </m:r>
                  </m:e>
                  <m:sub>
                    <m:r>
                      <m:t>c</m:t>
                    </m:r>
                    <m:r>
                      <m:t>,</m:t>
                    </m:r>
                    <m:r>
                      <m:t>y</m:t>
                    </m:r>
                  </m:sub>
                </m:sSub>
                <m:r>
                  <m:t>=</m:t>
                </m:r>
                <m:sSubSup>
                  <m:e>
                    <m:r>
                      <m:t>P</m:t>
                    </m:r>
                  </m:e>
                  <m:sub>
                    <m:r>
                      <m:t>c</m:t>
                    </m:r>
                    <m:r>
                      <m:t>,</m:t>
                    </m:r>
                    <m:r>
                      <m:t>y</m:t>
                    </m:r>
                  </m:sub>
                  <m:sup>
                    <m:r>
                      <m:rPr>
                        <m:sty m:val="p"/>
                      </m:rPr>
                      <m:t>s</m:t>
                    </m:r>
                    <m:r>
                      <m:rPr>
                        <m:sty m:val="p"/>
                      </m:rPr>
                      <m:t>t</m:t>
                    </m:r>
                    <m:r>
                      <m:rPr>
                        <m:sty m:val="p"/>
                      </m:rPr>
                      <m:t>a</m:t>
                    </m:r>
                    <m:r>
                      <m:rPr>
                        <m:sty m:val="p"/>
                      </m:rPr>
                      <m:t>t</m:t>
                    </m:r>
                  </m:sup>
                </m:sSubSup>
                <m:r>
                  <m:t>,</m:t>
                </m:r>
                <m:r>
                  <m:t> </m:t>
                </m:r>
                <m:r>
                  <m:t>y</m:t>
                </m:r>
                <m:r>
                  <m:t>=</m:t>
                </m:r>
                <m:r>
                  <m:t>2021</m:t>
                </m:r>
                <m:r>
                  <m:t>,</m:t>
                </m:r>
                <m:r>
                  <m:t>…</m:t>
                </m:r>
                <m:r>
                  <m:t>,</m:t>
                </m:r>
                <m:r>
                  <m:t>2025</m:t>
                </m:r>
                <m:r>
                  <m:t>,</m:t>
                </m:r>
                <m:r>
                  <m:t>  </m:t>
                </m:r>
                <m:sSub>
                  <m:e>
                    <m:r>
                      <m:t>R</m:t>
                    </m:r>
                  </m:e>
                  <m:sub>
                    <m:r>
                      <m:t>c</m:t>
                    </m:r>
                    <m:r>
                      <m:t>,</m:t>
                    </m:r>
                    <m:r>
                      <m:t>0</m:t>
                    </m:r>
                  </m:sub>
                </m:sSub>
                <m:r>
                  <m:t>=</m:t>
                </m:r>
                <m:f>
                  <m:fPr>
                    <m:type m:val="bar"/>
                  </m:fPr>
                  <m:num>
                    <m:sSub>
                      <m:e>
                        <m:r>
                          <m:t>S</m:t>
                        </m:r>
                      </m:e>
                      <m:sub>
                        <m:r>
                          <m:t>c</m:t>
                        </m:r>
                        <m:r>
                          <m:t>,</m:t>
                        </m:r>
                        <m:r>
                          <m:t>0</m:t>
                        </m:r>
                      </m:sub>
                    </m:sSub>
                  </m:num>
                  <m:den>
                    <m:sSub>
                      <m:e>
                        <m:r>
                          <m:t>P</m:t>
                        </m:r>
                      </m:e>
                      <m:sub>
                        <m:r>
                          <m:t>c</m:t>
                        </m:r>
                        <m:r>
                          <m:t>,</m:t>
                        </m:r>
                        <m:r>
                          <m:t>2021</m:t>
                        </m:r>
                      </m:sub>
                    </m:sSub>
                  </m:den>
                </m:f>
                <m:r>
                  <m:t>≈</m:t>
                </m:r>
                <m:r>
                  <m:t>2.00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S</m:t>
            </m:r>
          </m:e>
          <m:sub>
            <m:r>
              <m:t>c</m:t>
            </m:r>
            <m:r>
              <m:t>,</m:t>
            </m:r>
            <m:r>
              <m:t>0</m:t>
            </m:r>
          </m:sub>
        </m:sSub>
      </m:oMath>
      <w:r>
        <w:rPr>
          <w:rFonts w:ascii="Times New Roman" w:hAnsi="Times New Roman" w:eastAsia="方正仿宋_GBK"/>
          <w:b w:val="0"/>
          <w:sz w:val="24"/>
        </w:rPr>
        <w:t xml:space="preserve">为地区</w:t>
      </w:r>
      <m:oMath>
        <m:r>
          <m:t>c</m:t>
        </m:r>
      </m:oMath>
      <w:r>
        <w:rPr>
          <w:rFonts w:ascii="Times New Roman" w:hAnsi="Times New Roman" w:eastAsia="方正仿宋_GBK"/>
          <w:b w:val="0"/>
          <w:sz w:val="24"/>
        </w:rPr>
        <w:t xml:space="preserve">的初始仿真主变总容量，单位MVA；</w:t>
      </w:r>
      <m:oMath>
        <m:sSub>
          <m:e>
            <m:r>
              <m:t>R</m:t>
            </m:r>
          </m:e>
          <m:sub>
            <m:r>
              <m:t>c</m:t>
            </m:r>
            <m:r>
              <m:t>,</m:t>
            </m:r>
            <m:r>
              <m:t>0</m:t>
            </m:r>
          </m:sub>
        </m:sSub>
      </m:oMath>
      <w:r>
        <w:rPr>
          <w:rFonts w:ascii="Times New Roman" w:hAnsi="Times New Roman" w:eastAsia="方正仿宋_GBK"/>
          <w:b w:val="0"/>
          <w:sz w:val="24"/>
        </w:rPr>
        <w:t xml:space="preserve">为基期容载比，</w:t>
      </w:r>
      <m:oMath>
        <m:sSubSup>
          <m:e>
            <m:r>
              <m:t>P</m:t>
            </m:r>
          </m:e>
          <m:sub>
            <m:r>
              <m:t>c</m:t>
            </m:r>
            <m:r>
              <m:t>,</m:t>
            </m:r>
            <m:r>
              <m:t>y</m:t>
            </m:r>
          </m:sub>
          <m:sup>
            <m:r>
              <m:rPr>
                <m:sty m:val="p"/>
              </m:rPr>
              <m:t>s</m:t>
            </m:r>
            <m:r>
              <m:rPr>
                <m:sty m:val="p"/>
              </m:rPr>
              <m:t>t</m:t>
            </m:r>
            <m:r>
              <m:rPr>
                <m:sty m:val="p"/>
              </m:rPr>
              <m:t>a</m:t>
            </m:r>
            <m:r>
              <m:rPr>
                <m:sty m:val="p"/>
              </m:rPr>
              <m:t>t</m:t>
            </m:r>
          </m:sup>
        </m:sSubSup>
      </m:oMath>
      <w:r>
        <w:rPr>
          <w:rFonts w:ascii="Times New Roman" w:hAnsi="Times New Roman" w:eastAsia="方正仿宋_GBK"/>
          <w:b w:val="0"/>
          <w:sz w:val="24"/>
        </w:rPr>
        <w:t xml:space="preserve">为同地区第</w:t>
      </w:r>
      <m:oMath>
        <m: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各站静态功率按已归档的区域正向峰值和最低净负荷工况分配，再按年度网供峰值标定。反向工况沿用同一源荷结构，属于按年度规模标定的研究情景。</w:t>
      </w:r>
    </w:p>
    <w:p>
      <w:pPr>
        <w:pStyle w:val="5"/>
        <w:keepNext/>
        <w:numPr>
          <w:numId w:val="0"/>
        </w:numPr>
        <w:spacing w:line="390" w:lineRule="exact" w:before="160" w:after="120"/>
        <w:ind w:firstLine="0"/>
      </w:pPr>
      <w:bookmarkStart w:id="174" w:name="刚性与弹性方案"/>
      <w:r>
        <w:rPr>
          <w:rFonts w:ascii="Times New Roman" w:hAnsi="Times New Roman" w:eastAsia="方正仿宋_GBK"/>
          <w:b/>
          <w:sz w:val="26"/>
        </w:rPr>
        <w:t xml:space="preserve">5.1.2 刚性与弹性方案</w:t>
      </w:r>
      <w:bookmarkEnd w:id="174"/>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刚性方案新增扩容受当年负荷两倍的容量限制；若负荷回落使既有容量被动超过该值，该年维持既有容量。弹性方案在突破2.00的研究条件下，按费用最小选择设备组合，其上界由站点允许规格及扩建位置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sSub>
                        <m:e>
                          <m:r>
                            <m:t>S</m:t>
                          </m:r>
                        </m:e>
                        <m:sub>
                          <m:r>
                            <m:t>c</m:t>
                          </m:r>
                          <m:r>
                            <m:t>,</m:t>
                          </m:r>
                          <m:r>
                            <m:t>s</m:t>
                          </m:r>
                          <m:r>
                            <m:t>,</m:t>
                          </m:r>
                          <m:r>
                            <m:t>y</m:t>
                          </m:r>
                        </m:sub>
                      </m:sSub>
                      <m:r>
                        <m:t>/</m:t>
                      </m:r>
                      <m:sSub>
                        <m:e>
                          <m:r>
                            <m:t>P</m:t>
                          </m:r>
                        </m:e>
                        <m:sub>
                          <m:r>
                            <m:t>c</m:t>
                          </m:r>
                          <m:r>
                            <m:t>,</m:t>
                          </m:r>
                          <m:r>
                            <m:t>y</m:t>
                          </m:r>
                        </m:sub>
                      </m:sSub>
                      <m:r>
                        <m:t>,</m:t>
                      </m:r>
                    </m:e>
                  </m:mr>
                  <m:mr>
                    <m:e>
                      <m:sSub>
                        <m:e>
                          <m:r>
                            <m:t>S</m:t>
                          </m:r>
                        </m:e>
                        <m:sub>
                          <m:r>
                            <m:t>c</m:t>
                          </m:r>
                          <m:r>
                            <m:t>,</m:t>
                          </m:r>
                          <m:r>
                            <m:rPr>
                              <m:sty m:val="p"/>
                            </m:rPr>
                            <m:t>r</m:t>
                          </m:r>
                          <m:r>
                            <m:rPr>
                              <m:sty m:val="p"/>
                            </m:rPr>
                            <m:t>i</m:t>
                          </m:r>
                          <m:r>
                            <m:rPr>
                              <m:sty m:val="p"/>
                            </m:rPr>
                            <m:t>g</m:t>
                          </m:r>
                          <m:r>
                            <m:rPr>
                              <m:sty m:val="p"/>
                            </m:rPr>
                            <m:t>i</m:t>
                          </m:r>
                          <m:r>
                            <m:rPr>
                              <m:sty m:val="p"/>
                            </m:rPr>
                            <m:t>d</m:t>
                          </m:r>
                          <m:r>
                            <m:t>,</m:t>
                          </m:r>
                          <m:r>
                            <m:t>y</m:t>
                          </m:r>
                          <m:r>
                            <m:t>−</m:t>
                          </m:r>
                          <m:r>
                            <m:t>1</m:t>
                          </m:r>
                        </m:sub>
                      </m:sSub>
                    </m:e>
                    <m:e>
                      <m:r>
                        <m:t>≤</m:t>
                      </m:r>
                      <m:sSub>
                        <m:e>
                          <m:r>
                            <m:t>S</m:t>
                          </m:r>
                        </m:e>
                        <m:sub>
                          <m:r>
                            <m:t>c</m:t>
                          </m:r>
                          <m:r>
                            <m:t>,</m:t>
                          </m:r>
                          <m:r>
                            <m:rPr>
                              <m:sty m:val="p"/>
                            </m:rPr>
                            <m:t>r</m:t>
                          </m:r>
                          <m:r>
                            <m:rPr>
                              <m:sty m:val="p"/>
                            </m:rPr>
                            <m:t>i</m:t>
                          </m:r>
                          <m:r>
                            <m:rPr>
                              <m:sty m:val="p"/>
                            </m:rPr>
                            <m:t>g</m:t>
                          </m:r>
                          <m:r>
                            <m:rPr>
                              <m:sty m:val="p"/>
                            </m:rPr>
                            <m:t>i</m:t>
                          </m:r>
                          <m:r>
                            <m:rPr>
                              <m:sty m:val="p"/>
                            </m:rPr>
                            <m:t>d</m:t>
                          </m:r>
                          <m:r>
                            <m:t>,</m:t>
                          </m:r>
                          <m:r>
                            <m:t>y</m:t>
                          </m:r>
                        </m:sub>
                      </m:sSub>
                      <m:r>
                        <m:t>≤</m:t>
                      </m:r>
                      <m:r>
                        <m:rPr>
                          <m:nor/>
                          <m:sty m:val="p"/>
                        </m:rPr>
                        <m:t>max</m:t>
                      </m:r>
                      <m:r>
                        <m:t>{</m:t>
                      </m:r>
                      <m:sSub>
                        <m:e>
                          <m:r>
                            <m:t>S</m:t>
                          </m:r>
                        </m:e>
                        <m:sub>
                          <m:r>
                            <m:t>c</m:t>
                          </m:r>
                          <m:r>
                            <m:t>,</m:t>
                          </m:r>
                          <m:r>
                            <m:rPr>
                              <m:sty m:val="p"/>
                            </m:rPr>
                            <m:t>r</m:t>
                          </m:r>
                          <m:r>
                            <m:rPr>
                              <m:sty m:val="p"/>
                            </m:rPr>
                            <m:t>i</m:t>
                          </m:r>
                          <m:r>
                            <m:rPr>
                              <m:sty m:val="p"/>
                            </m:rPr>
                            <m:t>g</m:t>
                          </m:r>
                          <m:r>
                            <m:rPr>
                              <m:sty m:val="p"/>
                            </m:rPr>
                            <m:t>i</m:t>
                          </m:r>
                          <m:r>
                            <m:rPr>
                              <m:sty m:val="p"/>
                            </m:rPr>
                            <m:t>d</m:t>
                          </m:r>
                          <m:r>
                            <m:t>,</m:t>
                          </m:r>
                          <m:r>
                            <m:t>y</m:t>
                          </m:r>
                          <m:r>
                            <m:t>−</m:t>
                          </m:r>
                          <m:r>
                            <m:t>1</m:t>
                          </m:r>
                        </m:sub>
                      </m:sSub>
                      <m:r>
                        <m:t>,</m:t>
                      </m:r>
                      <m:r>
                        <m:t>2</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r>
                        <m:rPr>
                          <m:nor/>
                          <m:sty m:val="p"/>
                        </m:rPr>
                        <m:t>max</m:t>
                      </m:r>
                      <m:r>
                        <m:t>{</m:t>
                      </m:r>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r>
                            <m:t>−</m:t>
                          </m:r>
                          <m:r>
                            <m:t>1</m:t>
                          </m:r>
                        </m:sub>
                      </m:sSub>
                      <m:r>
                        <m:t>,</m:t>
                      </m:r>
                      <m:r>
                        <m:t>2.001</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nary>
                        <m:naryPr>
                          <m:chr m:val="∑"/>
                          <m:limLoc m:val="undOvr"/>
                          <m:subHide m:val="0"/>
                          <m:supHide m:val="1"/>
                        </m:naryPr>
                        <m:sub>
                          <m:r>
                            <m:t>i</m:t>
                          </m:r>
                        </m:sub>
                        <m:sup>
                          <m:r>
                            <m:t>​</m:t>
                          </m:r>
                        </m:sup>
                        <m:e>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s</m:t>
        </m:r>
      </m:oMath>
      <w:r>
        <w:rPr>
          <w:rFonts w:ascii="Times New Roman" w:hAnsi="Times New Roman" w:eastAsia="方正仿宋_GBK"/>
          <w:b w:val="0"/>
          <w:sz w:val="24"/>
        </w:rPr>
        <w:t xml:space="preserve">表示刚性或弹性方案，</w:t>
      </w:r>
      <m:oMath>
        <m:sSub>
          <m:e>
            <m:r>
              <m:t>S</m:t>
            </m:r>
          </m:e>
          <m:sub>
            <m:r>
              <m:t>c</m:t>
            </m:r>
            <m:r>
              <m:t>,</m:t>
            </m:r>
            <m:r>
              <m:t>s</m:t>
            </m:r>
            <m:r>
              <m:t>,</m:t>
            </m:r>
            <m:r>
              <m:t>y</m:t>
            </m:r>
          </m:sub>
        </m:sSub>
      </m:oMath>
      <w:r>
        <w:rPr>
          <w:rFonts w:ascii="Times New Roman" w:hAnsi="Times New Roman" w:eastAsia="方正仿宋_GBK"/>
          <w:b w:val="0"/>
          <w:sz w:val="24"/>
        </w:rPr>
        <w:t xml:space="preserve">为方案主变总容量；</w:t>
      </w:r>
      <m:oMath>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在候选设备及场地条件下允许的最大容量。2.001用于表达本次弹性比选突破2.00的条件。容载比由主变总容量和同年网供峰值计算。</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t>P</m:t>
            </m:r>
          </m:e>
          <m:sub>
            <m:r>
              <m:rPr>
                <m:sty m:val="p"/>
              </m:rPr>
              <m:t>r</m:t>
            </m:r>
            <m:r>
              <m:rPr>
                <m:sty m:val="p"/>
              </m:rPr>
              <m:t>o</m:t>
            </m:r>
            <m:r>
              <m:rPr>
                <m:sty m:val="p"/>
              </m:rPr>
              <m:t>o</m:t>
            </m:r>
            <m:r>
              <m:rPr>
                <m:sty m:val="p"/>
              </m:rPr>
              <m:t>f</m:t>
            </m:r>
          </m:sub>
        </m:sSub>
        <m:r>
          <m:t>=</m:t>
        </m:r>
        <m:r>
          <m:t>A</m:t>
        </m:r>
        <m:r>
          <m:t>f</m:t>
        </m:r>
        <m:r>
          <m:t>d</m:t>
        </m:r>
        <m:r>
          <m:t>/</m:t>
        </m:r>
        <m:r>
          <m:t>1000</m:t>
        </m:r>
      </m:oMath>
      <w:r>
        <w:rPr>
          <w:rFonts w:ascii="Times New Roman" w:hAnsi="Times New Roman" w:eastAsia="方正仿宋_GBK"/>
          <w:b w:val="0"/>
          <w:sz w:val="24"/>
        </w:rPr>
        <w:t xml:space="preserve">估算。其中，</w:t>
      </w:r>
      <m:oMath>
        <m:r>
          <m:t>A</m:t>
        </m:r>
      </m:oMath>
      <w:r>
        <w:rPr>
          <w:rFonts w:ascii="Times New Roman" w:hAnsi="Times New Roman" w:eastAsia="方正仿宋_GBK"/>
          <w:b w:val="0"/>
          <w:sz w:val="24"/>
        </w:rPr>
        <w:t xml:space="preserve">为调查屋顶面积，单位m²；</w:t>
      </w:r>
      <m:oMath>
        <m:r>
          <m:t>f</m:t>
        </m:r>
      </m:oMath>
      <w:r>
        <w:rPr>
          <w:rFonts w:ascii="Times New Roman" w:hAnsi="Times New Roman" w:eastAsia="方正仿宋_GBK"/>
          <w:b w:val="0"/>
          <w:sz w:val="24"/>
        </w:rPr>
        <w:t xml:space="preserve">为屋顶可利用比例；</w:t>
      </w:r>
      <m:oMath>
        <m:r>
          <m:t>d</m:t>
        </m:r>
      </m:oMath>
      <w:r>
        <w:rPr>
          <w:rFonts w:ascii="Times New Roman" w:hAnsi="Times New Roman" w:eastAsia="方正仿宋_GBK"/>
          <w:b w:val="0"/>
          <w:sz w:val="24"/>
        </w:rPr>
        <w:t xml:space="preserve">为单位可用面积装机密度，单位kWp/m²；</w:t>
      </w:r>
      <m:oMath>
        <m:sSub>
          <m:e>
            <m:r>
              <m:t>P</m:t>
            </m:r>
          </m:e>
          <m:sub>
            <m:r>
              <m:rPr>
                <m:sty m:val="p"/>
              </m:rPr>
              <m:t>r</m:t>
            </m:r>
            <m:r>
              <m:rPr>
                <m:sty m:val="p"/>
              </m:rPr>
              <m:t>o</m:t>
            </m:r>
            <m:r>
              <m:rPr>
                <m:sty m:val="p"/>
              </m:rPr>
              <m:t>o</m:t>
            </m:r>
            <m:r>
              <m:rPr>
                <m:sty m:val="p"/>
              </m: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[92]，本研究以此为历史参照，并列出40%、60%两种开发程度下的估算值。徐州地铁分布式光伏项目公开资料列出可用建筑面积94900 m²、规划装机9.49 MWp，据此取装机密度0.10 kWp/m²[93]。</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《江苏省分布式光伏发展实施方案（2026—2030年）》提出，2030年全省分布式光伏累计装机较2025年翻一番，达到1.20亿千瓦[94]。以装机翻倍作为地区发展情景，邳州和市区装机规模分别约为3119.28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75" w:name="工程候选与参数设置"/>
      <w:r>
        <w:rPr>
          <w:rFonts w:ascii="Times New Roman" w:hAnsi="Times New Roman" w:eastAsia="方正仿宋_GBK"/>
          <w:b/>
          <w:sz w:val="26"/>
        </w:rPr>
        <w:t xml:space="preserve">5.1.3 工程候选与参数设置</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MVA，并受原设备容量、预留位置及允许扩建条件限制。增加第三台主变仅在具有预留条件的站点设置，当前候选容量为50.00 MVA。80.00 MVA方案仍需在工程阶段核实配套间隔、短路电流及站址条件。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kWh成套柜，可用电量系数为0.76。地区案例正向支撑统一取4 h，反向持续时间沿用各站原静态参数；2 h和6 h用于分析持续时间变化。采用相同储能规格和工程价格，比较容量约束变化后是否仍需配置储能。</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性质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2022—2025年逐年实际统计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原始收资</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共同对照条件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按各站反向容量校核要求设置</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静态支撑参数</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 kW/215 kWh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新增主变规格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联络项目费用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邳州124.80、市区499.20万元/条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保持原案例费用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供电安全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正常及最大单台主变N-1</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分故障工况校核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核心参数的定义、选取依据及地区资料见第3.5节。地区案例保留实际年度负荷和具体网络，推广模板按第5.6节的六项参数构造源荷、网络及工程费用条件。</w:t>
      </w:r>
    </w:p>
    <w:p>
      <w:pPr>
        <w:pStyle w:val="4"/>
        <w:keepNext/>
        <w:numPr>
          <w:numId w:val="0"/>
        </w:numPr>
        <w:spacing w:line="480" w:lineRule="exact" w:before="160" w:after="120"/>
        <w:ind w:firstLine="0"/>
      </w:pPr>
      <w:bookmarkStart w:id="1506" w:name="h506"/>
      <w:bookmarkStart w:id="176" w:name="三类措施的选取与寻优方法"/>
      <w:r>
        <w:rPr>
          <w:rFonts w:ascii="Times New Roman" w:hAnsi="Times New Roman" w:eastAsia="方正仿宋_GBK"/>
          <w:b/>
          <w:sz w:val="32"/>
        </w:rPr>
        <w:t xml:space="preserve">5.2 三类措施的选取与寻优方法</w:t>
      </w:r>
      <w:bookmarkEnd w:id="176"/>
      <w:bookmarkEnd w:id="1506"/>
    </w:p>
    <w:p>
      <w:pPr>
        <w:pStyle w:val="5"/>
        <w:keepNext/>
        <w:numPr>
          <w:numId w:val="0"/>
        </w:numPr>
        <w:spacing w:line="390" w:lineRule="exact" w:before="160" w:after="120"/>
        <w:ind w:firstLine="0"/>
      </w:pPr>
      <w:bookmarkStart w:id="177" w:name="主变增容及扩建方案"/>
      <w:r>
        <w:rPr>
          <w:rFonts w:ascii="Times New Roman" w:hAnsi="Times New Roman" w:eastAsia="方正仿宋_GBK"/>
          <w:b/>
          <w:sz w:val="26"/>
        </w:rPr>
        <w:t xml:space="preserve">5.2.1 主变增容及扩建方案</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在后续年份维持或升档。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S</m:t>
                          </m:r>
                        </m:e>
                        <m:sub>
                          <m:r>
                            <m:t>i</m:t>
                          </m:r>
                          <m:r>
                            <m:t>,</m:t>
                          </m:r>
                          <m:r>
                            <m:t>y</m:t>
                          </m:r>
                        </m:sub>
                      </m:sSub>
                    </m:e>
                    <m:e>
                      <m:r>
                        <m:t>=</m:t>
                      </m:r>
                      <m:nary>
                        <m:naryPr>
                          <m:chr m:val="∑"/>
                          <m:limLoc m:val="undOvr"/>
                          <m:subHide m:val="0"/>
                          <m:supHide m:val="1"/>
                        </m:naryPr>
                        <m:sub>
                          <m:r>
                            <m:t>j</m:t>
                          </m:r>
                          <m:r>
                            <m:t>,</m:t>
                          </m:r>
                          <m:r>
                            <m:t>r</m:t>
                          </m:r>
                        </m:sub>
                        <m:sup>
                          <m:r>
                            <m:t>​</m:t>
                          </m:r>
                        </m:sup>
                        <m:e>
                          <m:r>
                            <m:t>r</m:t>
                          </m:r>
                        </m:e>
                      </m:nary>
                      <m:sSub>
                        <m:e>
                          <m:r>
                            <m:t>x</m:t>
                          </m:r>
                        </m:e>
                        <m:sub>
                          <m:r>
                            <m:t>i</m:t>
                          </m:r>
                          <m:r>
                            <m:t>,</m:t>
                          </m:r>
                          <m:r>
                            <m:t>j</m:t>
                          </m:r>
                          <m:r>
                            <m:t>,</m:t>
                          </m:r>
                          <m:r>
                            <m:t>r</m:t>
                          </m:r>
                          <m:r>
                            <m:t>,</m:t>
                          </m:r>
                          <m:r>
                            <m:t>y</m:t>
                          </m:r>
                        </m:sub>
                      </m:sSub>
                      <m:r>
                        <m:t>+</m:t>
                      </m:r>
                      <m:r>
                        <m:t>50</m:t>
                      </m:r>
                      <m:sSub>
                        <m:e>
                          <m:r>
                            <m:t>z</m:t>
                          </m:r>
                        </m:e>
                        <m:sub>
                          <m:r>
                            <m:t>i</m:t>
                          </m:r>
                          <m:r>
                            <m:t>,</m:t>
                          </m:r>
                          <m:r>
                            <m:t>y</m:t>
                          </m:r>
                        </m:sub>
                      </m:sSub>
                      <m:r>
                        <m:t>,</m:t>
                      </m:r>
                    </m:e>
                  </m:mr>
                  <m:mr>
                    <m:e>
                      <m:nary>
                        <m:naryPr>
                          <m:chr m:val="∑"/>
                          <m:limLoc m:val="undOvr"/>
                          <m:subHide m:val="0"/>
                          <m:supHide m:val="1"/>
                        </m:naryPr>
                        <m:sub>
                          <m:r>
                            <m:t>r</m:t>
                          </m:r>
                        </m:sub>
                        <m:sup>
                          <m:r>
                            <m:t>​</m:t>
                          </m:r>
                        </m:sup>
                        <m:e>
                          <m:sSub>
                            <m:e>
                              <m:r>
                                <m:t>x</m:t>
                              </m:r>
                            </m:e>
                            <m:sub>
                              <m:r>
                                <m:t>i</m:t>
                              </m:r>
                              <m:r>
                                <m:t>,</m:t>
                              </m:r>
                              <m:r>
                                <m:t>j</m:t>
                              </m:r>
                              <m:r>
                                <m:t>,</m:t>
                              </m:r>
                              <m:r>
                                <m:t>r</m:t>
                              </m:r>
                              <m:r>
                                <m:t>,</m:t>
                              </m:r>
                              <m:r>
                                <m:t>y</m:t>
                              </m:r>
                            </m:sub>
                          </m:sSub>
                        </m:e>
                      </m:nary>
                    </m:e>
                    <m:e>
                      <m:r>
                        <m:t>=</m:t>
                      </m:r>
                      <m:r>
                        <m:t>1</m:t>
                      </m:r>
                      <m:r>
                        <m:t>,</m:t>
                      </m:r>
                    </m:e>
                  </m:mr>
                  <m:mr>
                    <m:e>
                      <m:sSub>
                        <m:e>
                          <m:r>
                            <m:t>n</m:t>
                          </m:r>
                        </m:e>
                        <m:sub>
                          <m:r>
                            <m:t>i</m:t>
                          </m:r>
                          <m:r>
                            <m:t>,</m:t>
                          </m:r>
                          <m:r>
                            <m:t>y</m:t>
                          </m:r>
                        </m:sub>
                      </m:sSub>
                    </m:e>
                    <m:e>
                      <m:r>
                        <m:t>≥</m:t>
                      </m:r>
                      <m:sSub>
                        <m:e>
                          <m:r>
                            <m:t>n</m:t>
                          </m:r>
                        </m:e>
                        <m:sub>
                          <m:r>
                            <m:t>i</m:t>
                          </m:r>
                          <m:r>
                            <m:t>,</m:t>
                          </m:r>
                          <m:r>
                            <m:t>y</m:t>
                          </m:r>
                          <m:r>
                            <m:t>−</m:t>
                          </m:r>
                          <m:r>
                            <m:t>1</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x</m:t>
            </m:r>
          </m:e>
          <m:sub>
            <m:r>
              <m:t>i</m:t>
            </m:r>
            <m:r>
              <m:t>,</m:t>
            </m:r>
            <m:r>
              <m:t>j</m:t>
            </m:r>
            <m:r>
              <m:t>,</m:t>
            </m:r>
            <m:r>
              <m:t>r</m:t>
            </m:r>
            <m:r>
              <m:t>,</m:t>
            </m:r>
            <m:r>
              <m:t>y</m:t>
            </m:r>
          </m:sub>
        </m:sSub>
      </m:oMath>
      <w:r>
        <w:rPr>
          <w:rFonts w:ascii="Times New Roman" w:hAnsi="Times New Roman" w:eastAsia="方正仿宋_GBK"/>
          <w:b w:val="0"/>
          <w:sz w:val="24"/>
        </w:rPr>
        <w:t xml:space="preserve">表示站点</w:t>
      </w:r>
      <m:oMath>
        <m:r>
          <m:t>i</m:t>
        </m:r>
      </m:oMath>
      <w:r>
        <w:rPr>
          <w:rFonts w:ascii="Times New Roman" w:hAnsi="Times New Roman" w:eastAsia="方正仿宋_GBK"/>
          <w:b w:val="0"/>
          <w:sz w:val="24"/>
        </w:rPr>
        <w:t xml:space="preserve">第</w:t>
      </w:r>
      <m:oMath>
        <m:r>
          <m:t>j</m:t>
        </m:r>
      </m:oMath>
      <w:r>
        <w:rPr>
          <w:rFonts w:ascii="Times New Roman" w:hAnsi="Times New Roman" w:eastAsia="方正仿宋_GBK"/>
          <w:b w:val="0"/>
          <w:sz w:val="24"/>
        </w:rPr>
        <w:t xml:space="preserve">个原主变位置在第</w:t>
      </w:r>
      <m:oMath>
        <m:r>
          <m:t>y</m:t>
        </m:r>
      </m:oMath>
      <w:r>
        <w:rPr>
          <w:rFonts w:ascii="Times New Roman" w:hAnsi="Times New Roman" w:eastAsia="方正仿宋_GBK"/>
          <w:b w:val="0"/>
          <w:sz w:val="24"/>
        </w:rPr>
        <w:t xml:space="preserve">年是否采用容量</w:t>
      </w:r>
      <m:oMath>
        <m:r>
          <m:t>r</m:t>
        </m:r>
      </m:oMath>
      <w:r>
        <w:rPr>
          <w:rFonts w:ascii="Times New Roman" w:hAnsi="Times New Roman" w:eastAsia="方正仿宋_GBK"/>
          <w:b w:val="0"/>
          <w:sz w:val="24"/>
        </w:rPr>
        <w:t xml:space="preserve">，</w:t>
      </w:r>
      <m:oMath>
        <m:sSub>
          <m:e>
            <m:r>
              <m:t>z</m:t>
            </m:r>
          </m:e>
          <m:sub>
            <m:r>
              <m:t>i</m:t>
            </m:r>
            <m:r>
              <m:t>,</m:t>
            </m:r>
            <m:r>
              <m:t>y</m:t>
            </m:r>
          </m:sub>
        </m:sSub>
      </m:oMath>
      <w:r>
        <w:rPr>
          <w:rFonts w:ascii="Times New Roman" w:hAnsi="Times New Roman" w:eastAsia="方正仿宋_GBK"/>
          <w:b w:val="0"/>
          <w:sz w:val="24"/>
        </w:rPr>
        <w:t xml:space="preserve">表示第三台50 MVA主变是否在役，</w:t>
      </w:r>
      <m:oMath>
        <m:sSub>
          <m:e>
            <m:r>
              <m:t>n</m:t>
            </m:r>
          </m:e>
          <m:sub>
            <m:r>
              <m:t>i</m:t>
            </m:r>
            <m:r>
              <m:t>,</m:t>
            </m:r>
            <m: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78" w:name="利用既有10-kv联络能力"/>
      <w:r>
        <w:rPr>
          <w:rFonts w:ascii="Times New Roman" w:hAnsi="Times New Roman" w:eastAsia="方正仿宋_GBK"/>
          <w:b/>
          <w:sz w:val="26"/>
        </w:rPr>
        <w:t xml:space="preserve">5.2.2 利用既有10 kV联络能力</w:t>
      </w:r>
      <w:bookmarkEnd w:id="178"/>
    </w:p>
    <w:p>
      <w:pPr>
        <w:pStyle w:val="FirstParagraph"/>
        <w:widowControl/>
        <w:spacing w:line="348" w:lineRule="exact" w:before="0" w:after="0"/>
        <w:ind w:firstLine="480"/>
        <w:jc w:val="both"/>
      </w:pPr>
      <w:r>
        <w:rPr>
          <w:rFonts w:ascii="Times New Roman" w:hAnsi="Times New Roman" w:eastAsia="方正仿宋_GBK"/>
          <w:b w:val="0"/>
          <w:sz w:val="24"/>
        </w:rPr>
        <w:t xml:space="preserve">初始转供率用于概括基期可转负荷条件。邳州局部六馈线资料可用于说明比例的计算过程：以最大电流估计本地负荷，以允许电流与已用电流之差估计接收余量，再考虑联络路径及共享馈线预算。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48" w:lineRule="exact" w:before="0" w:after="0"/>
        <w:ind w:firstLine="480"/>
        <w:jc w:val="both"/>
      </w:pPr>
      <w:r>
        <w:rPr>
          <w:rFonts w:ascii="Times New Roman" w:hAnsi="Times New Roman" w:eastAsia="方正仿宋_GBK"/>
          <w:b w:val="0"/>
          <w:sz w:val="24"/>
        </w:rPr>
        <w:t xml:space="preserve">对同一馈线接入的多条联络，其转出和接收任务共用同一负荷及热限预算。局部筛查的最大可转负荷为9.98 MW，样本负荷合计35.29 MW，比例约28%。地区案例按具体已知联络与候选区段建模。</w:t>
      </w:r>
    </w:p>
    <w:p>
      <w:pPr>
        <w:pStyle w:val="2"/>
        <w:widowControl/>
        <w:spacing w:line="348" w:lineRule="exact" w:before="0" w:after="0"/>
        <w:ind w:firstLine="480"/>
        <w:jc w:val="both"/>
      </w:pPr>
      <w:r>
        <w:rPr>
          <w:rFonts w:ascii="Times New Roman" w:hAnsi="Times New Roman" w:eastAsia="方正仿宋_GBK"/>
          <w:b w:val="0"/>
          <w:sz w:val="24"/>
        </w:rPr>
        <w:t xml:space="preserve">市区按A类较少、B类较多的研究背景，参数研究采用B类区间中值40%，并比较30%～50%。导则对A+、A类及B、C类的转供比例建议分别为50%～70%和30%～50%[5]。在分区负荷及存量网络核实前，40%仅作为研究参考；地区案例中缺少已核实存量边的部分仍按新增付费候选处理。</w:t>
      </w:r>
    </w:p>
    <w:p>
      <w:pPr>
        <w:pStyle w:val="5"/>
        <w:keepNext/>
        <w:numPr>
          <w:numId w:val="0"/>
        </w:numPr>
        <w:spacing w:line="390" w:lineRule="exact" w:before="160" w:after="120"/>
        <w:ind w:firstLine="0"/>
      </w:pPr>
      <w:bookmarkStart w:id="179" w:name="新建10-kv联络提升转供能力"/>
      <w:r>
        <w:rPr>
          <w:rFonts w:ascii="Times New Roman" w:hAnsi="Times New Roman" w:eastAsia="方正仿宋_GBK"/>
          <w:b/>
          <w:sz w:val="26"/>
        </w:rPr>
        <w:t xml:space="preserve">5.2.3 新建10 kV联络提升转供能力</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Sup>
                        <m:e>
                          <m:r>
                            <m:t>q</m:t>
                          </m:r>
                        </m:e>
                        <m:sub>
                          <m:r>
                            <m:t>e</m:t>
                          </m:r>
                          <m:r>
                            <m:t>,</m:t>
                          </m:r>
                          <m:r>
                            <m:t>ω</m:t>
                          </m:r>
                        </m:sub>
                        <m:sup>
                          <m:r>
                            <m:t>a</m:t>
                          </m:r>
                          <m:r>
                            <m:t>→</m:t>
                          </m:r>
                          <m:r>
                            <m:t>b</m:t>
                          </m:r>
                        </m:sup>
                      </m:sSubSup>
                      <m:r>
                        <m:t>+</m:t>
                      </m:r>
                      <m:sSubSup>
                        <m:e>
                          <m:r>
                            <m:t>q</m:t>
                          </m:r>
                        </m:e>
                        <m:sub>
                          <m:r>
                            <m:t>e</m:t>
                          </m:r>
                          <m:r>
                            <m:t>,</m:t>
                          </m:r>
                          <m:r>
                            <m:t>ω</m:t>
                          </m:r>
                        </m:sub>
                        <m:sup>
                          <m:r>
                            <m:t>b</m:t>
                          </m:r>
                          <m:r>
                            <m:t>→</m:t>
                          </m:r>
                          <m:r>
                            <m:t>a</m:t>
                          </m:r>
                        </m:sup>
                      </m:sSubSup>
                    </m:e>
                    <m:e>
                      <m:r>
                        <m:t>≤</m:t>
                      </m:r>
                      <m:sSub>
                        <m:e>
                          <m:r>
                            <m:t>F</m:t>
                          </m:r>
                        </m:e>
                        <m:sub>
                          <m:r>
                            <m:t>e</m:t>
                          </m:r>
                        </m:sub>
                      </m:sSub>
                      <m:sSub>
                        <m:e>
                          <m:r>
                            <m:t>x</m:t>
                          </m:r>
                        </m:e>
                        <m:sub>
                          <m:r>
                            <m:t>e</m:t>
                          </m:r>
                          <m:r>
                            <m:t>,</m:t>
                          </m:r>
                          <m:r>
                            <m:t>y</m:t>
                          </m:r>
                        </m:sub>
                      </m:sSub>
                      <m:r>
                        <m:t>,</m:t>
                      </m:r>
                    </m:e>
                  </m:mr>
                  <m:mr>
                    <m:e>
                      <m:nary>
                        <m:naryPr>
                          <m:chr m:val="∑"/>
                          <m:limLoc m:val="undOvr"/>
                          <m:subHide m:val="0"/>
                          <m:supHide m:val="1"/>
                        </m:naryPr>
                        <m:sub>
                          <m:r>
                            <m:t>e</m:t>
                          </m:r>
                          <m:r>
                            <m:t>∈</m:t>
                          </m:r>
                          <m:sSubSup>
                            <m:e>
                              <m:r>
                                <m:rPr>
                                  <m:sty m:val="p"/>
                                  <m:scr m:val="script"/>
                                </m:rPr>
                                <m:t>E</m:t>
                              </m:r>
                            </m:e>
                            <m:sub>
                              <m:r>
                                <m:t>f</m:t>
                              </m:r>
                            </m:sub>
                            <m:sup>
                              <m:r>
                                <m:rPr>
                                  <m:sty m:val="p"/>
                                </m:rPr>
                                <m:t>o</m:t>
                              </m:r>
                              <m:r>
                                <m:rPr>
                                  <m:sty m:val="p"/>
                                </m:rPr>
                                <m:t>u</m:t>
                              </m:r>
                              <m:r>
                                <m:rPr>
                                  <m:sty m:val="p"/>
                                </m:rPr>
                                <m:t>t</m:t>
                              </m:r>
                            </m:sup>
                          </m:sSubSup>
                        </m:sub>
                        <m:sup>
                          <m:r>
                            <m:t>​</m:t>
                          </m:r>
                        </m:sup>
                        <m:e>
                          <m:sSub>
                            <m:e>
                              <m:r>
                                <m:t>q</m:t>
                              </m:r>
                            </m:e>
                            <m:sub>
                              <m:r>
                                <m:t>e</m:t>
                              </m:r>
                              <m:r>
                                <m:t>,</m:t>
                              </m:r>
                              <m:r>
                                <m:t>ω</m:t>
                              </m:r>
                            </m:sub>
                          </m:sSub>
                        </m:e>
                      </m:nary>
                    </m:e>
                    <m:e>
                      <m:r>
                        <m:t>≤</m:t>
                      </m:r>
                      <m:sSubSup>
                        <m:e>
                          <m:r>
                            <m:t>P</m:t>
                          </m:r>
                        </m:e>
                        <m:sub>
                          <m:r>
                            <m:t>f</m:t>
                          </m:r>
                          <m:r>
                            <m:t>,</m:t>
                          </m:r>
                          <m:r>
                            <m:t>ω</m:t>
                          </m:r>
                        </m:sub>
                        <m:sup>
                          <m:r>
                            <m:rPr>
                              <m:sty m:val="p"/>
                            </m:rPr>
                            <m:t>o</m:t>
                          </m:r>
                          <m:r>
                            <m:rPr>
                              <m:sty m:val="p"/>
                            </m:rPr>
                            <m:t>w</m:t>
                          </m:r>
                          <m:r>
                            <m:rPr>
                              <m:sty m:val="p"/>
                            </m:rPr>
                            <m:t>n</m:t>
                          </m:r>
                        </m:sup>
                      </m:sSubSup>
                      <m:r>
                        <m:t>,</m:t>
                      </m:r>
                    </m:e>
                  </m:mr>
                  <m:mr>
                    <m:e>
                      <m:nary>
                        <m:naryPr>
                          <m:chr m:val="∑"/>
                          <m:limLoc m:val="undOvr"/>
                          <m:subHide m:val="0"/>
                          <m:supHide m:val="1"/>
                        </m:naryPr>
                        <m:sub>
                          <m:r>
                            <m:t>e</m:t>
                          </m:r>
                          <m:r>
                            <m:t>∈</m:t>
                          </m:r>
                          <m:sSubSup>
                            <m:e>
                              <m:r>
                                <m:rPr>
                                  <m:sty m:val="p"/>
                                  <m:scr m:val="script"/>
                                </m:rPr>
                                <m:t>E</m:t>
                              </m:r>
                            </m:e>
                            <m:sub>
                              <m:r>
                                <m:t>f</m:t>
                              </m:r>
                            </m:sub>
                            <m:sup>
                              <m:r>
                                <m:rPr>
                                  <m:sty m:val="p"/>
                                </m:rPr>
                                <m:t>i</m:t>
                              </m:r>
                              <m:r>
                                <m:rPr>
                                  <m:sty m:val="p"/>
                                </m:rPr>
                                <m:t>n</m:t>
                              </m:r>
                            </m:sup>
                          </m:sSubSup>
                        </m:sub>
                        <m:sup>
                          <m:r>
                            <m:t>​</m:t>
                          </m:r>
                        </m:sup>
                        <m:e>
                          <m:sSub>
                            <m:e>
                              <m:r>
                                <m:t>q</m:t>
                              </m:r>
                            </m:e>
                            <m:sub>
                              <m:r>
                                <m:t>e</m:t>
                              </m:r>
                              <m:r>
                                <m:t>,</m:t>
                              </m:r>
                              <m:r>
                                <m:t>ω</m:t>
                              </m:r>
                            </m:sub>
                          </m:sSub>
                        </m:e>
                      </m:nary>
                    </m:e>
                    <m:e>
                      <m:r>
                        <m:t>≤</m:t>
                      </m:r>
                      <m:sSub>
                        <m:e>
                          <m:r>
                            <m:t>F</m:t>
                          </m:r>
                        </m:e>
                        <m:sub>
                          <m:r>
                            <m:t>f</m:t>
                          </m:r>
                        </m:sub>
                      </m:sSub>
                      <m:r>
                        <m:t>−</m:t>
                      </m:r>
                      <m:sSubSup>
                        <m:e>
                          <m:r>
                            <m:t>P</m:t>
                          </m:r>
                        </m:e>
                        <m:sub>
                          <m:r>
                            <m:t>f</m:t>
                          </m:r>
                          <m:r>
                            <m:t>,</m:t>
                          </m:r>
                          <m:r>
                            <m:t>y</m:t>
                          </m:r>
                        </m:sub>
                        <m:sup>
                          <m:r>
                            <m:rPr>
                              <m:sty m:val="p"/>
                            </m:rPr>
                            <m:t>r</m:t>
                          </m:r>
                          <m:r>
                            <m:rPr>
                              <m:sty m:val="p"/>
                            </m:rPr>
                            <m:t>e</m:t>
                          </m:r>
                          <m:r>
                            <m:rPr>
                              <m:sty m:val="p"/>
                            </m:rPr>
                            <m:t>f</m:t>
                          </m:r>
                        </m:sup>
                      </m:sSubSup>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q</m:t>
            </m:r>
          </m:e>
          <m:sub>
            <m:r>
              <m:t>e</m:t>
            </m:r>
            <m:r>
              <m:t>,</m:t>
            </m:r>
            <m:r>
              <m:t>ω</m:t>
            </m:r>
          </m:sub>
        </m:sSub>
      </m:oMath>
      <w:r>
        <w:rPr>
          <w:rFonts w:ascii="Times New Roman" w:hAnsi="Times New Roman" w:eastAsia="方正仿宋_GBK"/>
          <w:b w:val="0"/>
          <w:sz w:val="24"/>
        </w:rPr>
        <w:t xml:space="preserve">为工况</w:t>
      </w:r>
      <m:oMath>
        <m:r>
          <m:t>ω</m:t>
        </m:r>
      </m:oMath>
      <w:r>
        <w:rPr>
          <w:rFonts w:ascii="Times New Roman" w:hAnsi="Times New Roman" w:eastAsia="方正仿宋_GBK"/>
          <w:b w:val="0"/>
          <w:sz w:val="24"/>
        </w:rPr>
        <w:t xml:space="preserve">下线路</w:t>
      </w:r>
      <m:oMath>
        <m:r>
          <m:t>e</m:t>
        </m:r>
      </m:oMath>
      <w:r>
        <w:rPr>
          <w:rFonts w:ascii="Times New Roman" w:hAnsi="Times New Roman" w:eastAsia="方正仿宋_GBK"/>
          <w:b w:val="0"/>
          <w:sz w:val="24"/>
        </w:rPr>
        <w:t xml:space="preserve">的转供功率，</w:t>
      </w:r>
      <m:oMath>
        <m:sSub>
          <m:e>
            <m:r>
              <m:t>F</m:t>
            </m:r>
          </m:e>
          <m:sub>
            <m:r>
              <m:t>e</m:t>
            </m:r>
          </m:sub>
        </m:sSub>
      </m:oMath>
      <w:r>
        <w:rPr>
          <w:rFonts w:ascii="Times New Roman" w:hAnsi="Times New Roman" w:eastAsia="方正仿宋_GBK"/>
          <w:b w:val="0"/>
          <w:sz w:val="24"/>
        </w:rPr>
        <w:t xml:space="preserve">为线路有效容量，</w:t>
      </w:r>
      <m:oMath>
        <m:sSub>
          <m:e>
            <m:r>
              <m:t>x</m:t>
            </m:r>
          </m:e>
          <m:sub>
            <m:r>
              <m:t>e</m:t>
            </m:r>
            <m:r>
              <m:t>,</m:t>
            </m:r>
            <m:r>
              <m:t>y</m:t>
            </m:r>
          </m:sub>
        </m:sSub>
      </m:oMath>
      <w:r>
        <w:rPr>
          <w:rFonts w:ascii="Times New Roman" w:hAnsi="Times New Roman" w:eastAsia="方正仿宋_GBK"/>
          <w:b w:val="0"/>
          <w:sz w:val="24"/>
        </w:rPr>
        <w:t xml:space="preserve">为投运状态，既有边取1。</w:t>
      </w:r>
      <m:oMath>
        <m:sSubSup>
          <m:e>
            <m:r>
              <m:t>P</m:t>
            </m:r>
          </m:e>
          <m:sub>
            <m:r>
              <m:t>f</m:t>
            </m:r>
            <m:r>
              <m:t>,</m:t>
            </m:r>
            <m:r>
              <m:t>ω</m:t>
            </m:r>
          </m:sub>
          <m:sup>
            <m:r>
              <m:rPr>
                <m:sty m:val="p"/>
              </m:rPr>
              <m:t>o</m:t>
            </m:r>
            <m:r>
              <m:rPr>
                <m:sty m:val="p"/>
              </m:rPr>
              <m:t>w</m:t>
            </m:r>
            <m:r>
              <m:rPr>
                <m:sty m:val="p"/>
              </m:rPr>
              <m:t>n</m:t>
            </m:r>
          </m:sup>
        </m:sSubSup>
      </m:oMath>
      <w:r>
        <w:rPr>
          <w:rFonts w:ascii="Times New Roman" w:hAnsi="Times New Roman" w:eastAsia="方正仿宋_GBK"/>
          <w:b w:val="0"/>
          <w:sz w:val="24"/>
        </w:rPr>
        <w:t xml:space="preserve">为馈线</w:t>
      </w:r>
      <m:oMath>
        <m:r>
          <m:t>f</m:t>
        </m:r>
      </m:oMath>
      <w:r>
        <w:rPr>
          <w:rFonts w:ascii="Times New Roman" w:hAnsi="Times New Roman" w:eastAsia="方正仿宋_GBK"/>
          <w:b w:val="0"/>
          <w:sz w:val="24"/>
        </w:rPr>
        <w:t xml:space="preserve">自身可转负荷，</w:t>
      </w:r>
      <m:oMath>
        <m:sSub>
          <m:e>
            <m:r>
              <m:t>F</m:t>
            </m:r>
          </m:e>
          <m:sub>
            <m:r>
              <m:t>f</m:t>
            </m:r>
          </m:sub>
        </m:sSub>
      </m:oMath>
      <w:r>
        <w:rPr>
          <w:rFonts w:ascii="Times New Roman" w:hAnsi="Times New Roman" w:eastAsia="方正仿宋_GBK"/>
          <w:b w:val="0"/>
          <w:sz w:val="24"/>
        </w:rPr>
        <w:t xml:space="preserve">为热限，</w:t>
      </w:r>
      <m:oMath>
        <m:sSubSup>
          <m:e>
            <m:r>
              <m:t>P</m:t>
            </m:r>
          </m:e>
          <m:sub>
            <m:r>
              <m:t>f</m:t>
            </m:r>
            <m:r>
              <m:t>,</m:t>
            </m:r>
            <m:r>
              <m:t>y</m:t>
            </m:r>
          </m:sub>
          <m:sup>
            <m:r>
              <m:rPr>
                <m:sty m:val="p"/>
              </m:rPr>
              <m:t>r</m:t>
            </m:r>
            <m:r>
              <m:rPr>
                <m:sty m:val="p"/>
              </m:rPr>
              <m:t>e</m:t>
            </m:r>
            <m:r>
              <m:rPr>
                <m:sty m:val="p"/>
              </m: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邳州保留已知存量联络及原付费候选。市区按共同上级电源及间隔资料筛选候选，馈线分配和热限含研究假设。市区没有已核实存量边的部分按新增建设计费，其费用应结合后续存量网络核查解释。</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80" w:name="负荷转接与容量衔接"/>
      <w:r>
        <w:rPr>
          <w:rFonts w:ascii="Times New Roman" w:hAnsi="Times New Roman" w:eastAsia="方正仿宋_GBK"/>
          <w:b/>
          <w:sz w:val="26"/>
        </w:rPr>
        <w:t xml:space="preserve">5.2.4 负荷转接与容量衔接</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i</m:t>
                          </m:r>
                          <m:r>
                            <m:t>,</m:t>
                          </m:r>
                          <m:r>
                            <m:t>ω</m:t>
                          </m:r>
                        </m:sub>
                      </m:sSub>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r>
                        <m:t>,</m:t>
                      </m:r>
                    </m:e>
                  </m:mr>
                  <m:mr>
                    <m:e>
                      <m:nary>
                        <m:naryPr>
                          <m:chr m:val="∑"/>
                          <m:limLoc m:val="undOvr"/>
                          <m:subHide m:val="0"/>
                          <m:supHide m:val="1"/>
                        </m:naryPr>
                        <m:sub>
                          <m:r>
                            <m:t>i</m:t>
                          </m:r>
                        </m:sub>
                        <m:sup>
                          <m:r>
                            <m:t>​</m:t>
                          </m:r>
                        </m:sup>
                        <m:e>
                          <m:sSubSup>
                            <m:e>
                              <m:r>
                                <m:t>Q</m:t>
                              </m:r>
                            </m:e>
                            <m:sub>
                              <m:r>
                                <m:t>i</m:t>
                              </m:r>
                              <m:r>
                                <m:t>,</m:t>
                              </m:r>
                              <m:r>
                                <m:t>ω</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ω</m:t>
                              </m:r>
                            </m:sub>
                            <m:sup>
                              <m:r>
                                <m:rPr>
                                  <m:sty m:val="p"/>
                                </m:rPr>
                                <m:t>i</m:t>
                              </m:r>
                              <m:r>
                                <m:rPr>
                                  <m:sty m:val="p"/>
                                </m:rPr>
                                <m:t>n</m:t>
                              </m:r>
                            </m:sup>
                          </m:sSubSup>
                        </m:e>
                      </m:nary>
                      <m:r>
                        <m:t>,</m:t>
                      </m:r>
                    </m:e>
                  </m:mr>
                  <m:mr>
                    <m:e>
                      <m:nary>
                        <m:naryPr>
                          <m:chr m:val="∑"/>
                          <m:limLoc m:val="undOvr"/>
                          <m:subHide m:val="0"/>
                          <m:supHide m:val="1"/>
                        </m:naryPr>
                        <m:sub>
                          <m:r>
                            <m:t>i</m:t>
                          </m:r>
                        </m:sub>
                        <m:sup>
                          <m:r>
                            <m:t>​</m:t>
                          </m:r>
                        </m:sup>
                        <m:e>
                          <m:r>
                            <m:t>P</m:t>
                          </m:r>
                        </m:e>
                      </m:nary>
                      <m:sSub>
                        <m:e>
                          <m:r>
                            <m:t>′</m:t>
                          </m:r>
                        </m:e>
                        <m:sub>
                          <m:r>
                            <m:t>i</m:t>
                          </m:r>
                          <m:r>
                            <m:t>,</m:t>
                          </m:r>
                          <m:r>
                            <m:t>ω</m:t>
                          </m:r>
                        </m:sub>
                      </m:sSub>
                    </m:e>
                    <m:e>
                      <m:r>
                        <m:t>=</m:t>
                      </m:r>
                      <m:nary>
                        <m:naryPr>
                          <m:chr m:val="∑"/>
                          <m:limLoc m:val="undOvr"/>
                          <m:subHide m:val="0"/>
                          <m:supHide m:val="1"/>
                        </m:naryPr>
                        <m:sub>
                          <m:r>
                            <m:t>i</m:t>
                          </m:r>
                        </m:sub>
                        <m:sup>
                          <m:r>
                            <m:t>​</m:t>
                          </m:r>
                        </m:sup>
                        <m:e>
                          <m:sSub>
                            <m:e>
                              <m:r>
                                <m:t>P</m:t>
                              </m:r>
                            </m:e>
                            <m:sub>
                              <m:r>
                                <m:t>i</m:t>
                              </m:r>
                              <m:r>
                                <m:t>,</m:t>
                              </m:r>
                              <m:r>
                                <m:t>ω</m:t>
                              </m:r>
                            </m:sub>
                          </m:sSub>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和</w:t>
      </w:r>
      <m:oMath>
        <m:r>
          <m:t>P</m:t>
        </m:r>
        <m:sSub>
          <m:e>
            <m:r>
              <m:t>′</m:t>
            </m:r>
          </m:e>
          <m:sub>
            <m:r>
              <m:t>i</m:t>
            </m:r>
            <m:r>
              <m:t>,</m:t>
            </m:r>
            <m:r>
              <m:t>ω</m:t>
            </m:r>
          </m:sub>
        </m:sSub>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在工况</w:t>
      </w:r>
      <m:oMath>
        <m:r>
          <m:t>ω</m:t>
        </m:r>
      </m:oMath>
      <w:r>
        <w:rPr>
          <w:rFonts w:ascii="Times New Roman" w:hAnsi="Times New Roman" w:eastAsia="方正仿宋_GBK"/>
          <w:b w:val="0"/>
          <w:sz w:val="24"/>
        </w:rPr>
        <w:t xml:space="preserve">下转接前后的净负荷，</w:t>
      </w:r>
      <m:oMath>
        <m:sSubSup>
          <m:e>
            <m:r>
              <m:t>Q</m:t>
            </m:r>
          </m:e>
          <m:sub>
            <m:r>
              <m:t>i</m:t>
            </m:r>
            <m:r>
              <m:t>,</m:t>
            </m:r>
            <m:r>
              <m:t>ω</m:t>
            </m:r>
          </m:sub>
          <m:sup>
            <m:r>
              <m:rPr>
                <m:sty m:val="p"/>
              </m:rPr>
              <m:t>o</m:t>
            </m:r>
            <m:r>
              <m:rPr>
                <m:sty m:val="p"/>
              </m:rPr>
              <m:t>u</m:t>
            </m:r>
            <m:r>
              <m:rPr>
                <m:sty m:val="p"/>
              </m:rPr>
              <m:t>t</m:t>
            </m:r>
          </m:sup>
        </m:sSubSup>
      </m:oMath>
      <w:r>
        <w:rPr>
          <w:rFonts w:ascii="Times New Roman" w:hAnsi="Times New Roman" w:eastAsia="方正仿宋_GBK"/>
          <w:b w:val="0"/>
          <w:sz w:val="24"/>
        </w:rPr>
        <w:t xml:space="preserve">和</w:t>
      </w:r>
      <m:oMath>
        <m:sSubSup>
          <m:e>
            <m:r>
              <m:t>Q</m:t>
            </m:r>
          </m:e>
          <m:sub>
            <m:r>
              <m:t>i</m:t>
            </m:r>
            <m:r>
              <m:t>,</m:t>
            </m:r>
            <m:r>
              <m:t>ω</m:t>
            </m:r>
          </m:sub>
          <m:sup>
            <m:r>
              <m:rPr>
                <m:sty m:val="p"/>
              </m:rPr>
              <m:t>i</m:t>
            </m:r>
            <m:r>
              <m:rPr>
                <m:sty m:val="p"/>
              </m: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81" w:name="储能有效支撑功率"/>
      <w:r>
        <w:rPr>
          <w:rFonts w:ascii="Times New Roman" w:hAnsi="Times New Roman" w:eastAsia="方正仿宋_GBK"/>
          <w:b/>
          <w:sz w:val="26"/>
        </w:rPr>
        <w:t xml:space="preserve">5.2.5 储能有效支撑功率</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Sup>
                  <m:e>
                    <m:r>
                      <m:t>B</m:t>
                    </m:r>
                  </m:e>
                  <m:sub>
                    <m:r>
                      <m:t>i</m:t>
                    </m:r>
                  </m:sub>
                  <m:sup>
                    <m:r>
                      <m:t>±</m:t>
                    </m:r>
                  </m:sup>
                </m:sSubSup>
                <m:r>
                  <m:t>=</m:t>
                </m:r>
                <m:r>
                  <m:rPr>
                    <m:nor/>
                    <m:sty m:val="p"/>
                  </m:rPr>
                  <m:t>min</m:t>
                </m:r>
                <m:d>
                  <m:dPr>
                    <m:begChr m:val="{"/>
                    <m:endChr m:val="}"/>
                    <m:grow/>
                  </m:dPr>
                  <m:e>
                    <m:r>
                      <m:t>0.10</m:t>
                    </m:r>
                    <m:sSub>
                      <m:e>
                        <m:r>
                          <m:t>n</m:t>
                        </m:r>
                      </m:e>
                      <m:sub>
                        <m:r>
                          <m:t>i</m:t>
                        </m:r>
                      </m:sub>
                    </m:sSub>
                    <m:r>
                      <m:t>,</m:t>
                    </m:r>
                    <m:f>
                      <m:fPr>
                        <m:type m:val="bar"/>
                      </m:fPr>
                      <m:num>
                        <m:r>
                          <m:t>0.215</m:t>
                        </m:r>
                        <m:r>
                          <m:t>×</m:t>
                        </m:r>
                        <m:r>
                          <m:t>0.76</m:t>
                        </m:r>
                        <m:sSub>
                          <m:e>
                            <m:r>
                              <m:t>n</m:t>
                            </m:r>
                          </m:e>
                          <m:sub>
                            <m:r>
                              <m:t>i</m:t>
                            </m:r>
                          </m:sub>
                        </m:sSub>
                      </m:num>
                      <m:den>
                        <m:sSubSup>
                          <m:e>
                            <m:r>
                              <m:t>H</m:t>
                            </m:r>
                          </m:e>
                          <m:sub>
                            <m:r>
                              <m:t>i</m:t>
                            </m:r>
                          </m:sub>
                          <m:sup>
                            <m:r>
                              <m:t>±</m:t>
                            </m:r>
                          </m:sup>
                        </m:sSubSup>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Sup>
          <m:e>
            <m:r>
              <m:t>H</m:t>
            </m:r>
          </m:e>
          <m:sub>
            <m:r>
              <m:t>i</m:t>
            </m:r>
          </m:sub>
          <m:sup>
            <m:r>
              <m:t>±</m:t>
            </m:r>
          </m:sup>
        </m:sSubSup>
      </m:oMath>
      <w:r>
        <w:rPr>
          <w:rFonts w:ascii="Times New Roman" w:hAnsi="Times New Roman" w:eastAsia="方正仿宋_GBK"/>
          <w:b w:val="0"/>
          <w:sz w:val="24"/>
        </w:rPr>
        <w:t xml:space="preserve">为正向支撑或反向吸收持续时间，单位h；</w:t>
      </w:r>
      <m:oMath>
        <m:sSubSup>
          <m:e>
            <m:r>
              <m:t>B</m:t>
            </m:r>
          </m:e>
          <m:sub>
            <m:r>
              <m:t>i</m:t>
            </m:r>
          </m:sub>
          <m:sup>
            <m:r>
              <m:t>±</m:t>
            </m:r>
          </m:sup>
        </m:sSubSup>
      </m:oMath>
      <w:r>
        <w:rPr>
          <w:rFonts w:ascii="Times New Roman" w:hAnsi="Times New Roman" w:eastAsia="方正仿宋_GBK"/>
          <w:b w:val="0"/>
          <w:sz w:val="24"/>
        </w:rPr>
        <w:t xml:space="preserve">为相应有效功率，单位MW。4 h条件下每柜可提供0.04085 MW的静态支撑。工程应用条件见第4.4.4节。</w:t>
      </w:r>
    </w:p>
    <w:p>
      <w:pPr>
        <w:pStyle w:val="4"/>
        <w:keepNext/>
        <w:numPr>
          <w:numId w:val="0"/>
        </w:numPr>
        <w:spacing w:line="480" w:lineRule="exact" w:before="160" w:after="120"/>
        <w:ind w:firstLine="0"/>
      </w:pPr>
      <w:bookmarkStart w:id="1528" w:name="h528"/>
      <w:bookmarkStart w:id="182" w:name="约束条件与求解流程"/>
      <w:r>
        <w:rPr>
          <w:rFonts w:ascii="Times New Roman" w:hAnsi="Times New Roman" w:eastAsia="方正仿宋_GBK"/>
          <w:b/>
          <w:sz w:val="32"/>
        </w:rPr>
        <w:t xml:space="preserve">5.3 约束条件与求解流程</w:t>
      </w:r>
      <w:bookmarkEnd w:id="182"/>
      <w:bookmarkEnd w:id="1528"/>
    </w:p>
    <w:p>
      <w:pPr>
        <w:pStyle w:val="5"/>
        <w:keepNext/>
        <w:numPr>
          <w:numId w:val="0"/>
        </w:numPr>
        <w:spacing w:line="390" w:lineRule="exact" w:before="160" w:after="120"/>
        <w:ind w:firstLine="0"/>
      </w:pPr>
      <w:bookmarkStart w:id="183" w:name="正常运行与主变n-1"/>
      <w:r>
        <w:rPr>
          <w:rFonts w:ascii="Times New Roman" w:hAnsi="Times New Roman" w:eastAsia="方正仿宋_GBK"/>
          <w:b/>
          <w:sz w:val="26"/>
        </w:rPr>
        <w:t xml:space="preserve">5.3.1 正常运行与主变N-1</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每个静态工况分别校核正常运行及各站主变N-1。故障站按剩余主变容量计算，健康邻站保留全部主变，允许通过已投运线路重新安排负荷。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e>
                  </m:mr>
                  <m:mr>
                    <m:e/>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r>
                        <m:t>,</m:t>
                      </m:r>
                    </m:e>
                  </m:mr>
                  <m:mr>
                    <m:e>
                      <m:sSubSup>
                        <m:e>
                          <m:r>
                            <m:t>S</m:t>
                          </m:r>
                        </m:e>
                        <m:sub>
                          <m:r>
                            <m:t>i</m:t>
                          </m:r>
                          <m:r>
                            <m:t>,</m:t>
                          </m:r>
                          <m:r>
                            <m:t>ω</m:t>
                          </m:r>
                        </m:sub>
                        <m:sup>
                          <m:r>
                            <m:rPr>
                              <m:sty m:val="p"/>
                            </m:rPr>
                            <m:t>a</m:t>
                          </m:r>
                          <m:r>
                            <m:rPr>
                              <m:sty m:val="p"/>
                            </m:rPr>
                            <m:t>v</m:t>
                          </m:r>
                        </m:sup>
                      </m:sSubSup>
                    </m:e>
                    <m:e>
                      <m:r>
                        <m:t>=</m:t>
                      </m:r>
                      <m:sSub>
                        <m:e>
                          <m:r>
                            <m:t>S</m:t>
                          </m:r>
                        </m:e>
                        <m:sub>
                          <m:r>
                            <m:t>i</m:t>
                          </m:r>
                        </m:sub>
                      </m:sSub>
                      <m:r>
                        <m:t>−</m:t>
                      </m:r>
                      <m:sSub>
                        <m:e>
                          <m:r>
                            <m:rPr>
                              <m:sty m:val="b"/>
                            </m:rPr>
                            <m:t>1</m:t>
                          </m:r>
                        </m:e>
                        <m:sub>
                          <m:r>
                            <m:t>i</m:t>
                          </m:r>
                          <m:r>
                            <m:rPr>
                              <m:nor/>
                              <m:sty m:val="p"/>
                            </m:rPr>
                            <m:t>为故障站</m:t>
                          </m:r>
                        </m:sub>
                      </m:sSub>
                      <m:limLow>
                        <m:e>
                          <m:r>
                            <m:rPr>
                              <m:nor/>
                              <m:sty m:val="p"/>
                            </m:rPr>
                            <m:t>max</m:t>
                          </m:r>
                        </m:e>
                        <m:lim>
                          <m:r>
                            <m:t>j</m:t>
                          </m:r>
                        </m:lim>
                      </m:limLow>
                      <m:sSub>
                        <m:e>
                          <m:r>
                            <m:t>S</m:t>
                          </m:r>
                        </m:e>
                        <m:sub>
                          <m:r>
                            <m:t>i</m:t>
                          </m:r>
                          <m:r>
                            <m:t>,</m:t>
                          </m:r>
                          <m:r>
                            <m:t>j</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为带符号的站级净负荷，受入为正、反送为负；</w:t>
      </w:r>
      <m:oMath>
        <m:sSubSup>
          <m:e>
            <m:r>
              <m:t>S</m:t>
            </m:r>
          </m:e>
          <m:sub>
            <m:r>
              <m:t>i</m:t>
            </m:r>
            <m:r>
              <m:t>,</m:t>
            </m:r>
            <m:r>
              <m:t>ω</m:t>
            </m:r>
          </m:sub>
          <m:sup>
            <m:r>
              <m:rPr>
                <m:sty m:val="p"/>
              </m:rPr>
              <m:t>a</m:t>
            </m:r>
            <m:r>
              <m:rPr>
                <m:sty m:val="p"/>
              </m:rPr>
              <m:t>v</m:t>
            </m:r>
          </m:sup>
        </m:sSubSup>
      </m:oMath>
      <w:r>
        <w:rPr>
          <w:rFonts w:ascii="Times New Roman" w:hAnsi="Times New Roman" w:eastAsia="方正仿宋_GBK"/>
          <w:b w:val="0"/>
          <w:sz w:val="24"/>
        </w:rPr>
        <w:t xml:space="preserve">为工况下可用主变容量。正常及N-1场景共用同一建设方案，分别校核馈线和接收站能力。区县内部转出、转入功率合计相等，区域网供峰值的统计定义保持不变。</w:t>
      </w:r>
    </w:p>
    <w:p>
      <w:pPr>
        <w:pStyle w:val="5"/>
        <w:keepNext/>
        <w:numPr>
          <w:numId w:val="0"/>
        </w:numPr>
        <w:spacing w:line="390" w:lineRule="exact" w:before="160" w:after="120"/>
        <w:ind w:firstLine="0"/>
      </w:pPr>
      <w:bookmarkStart w:id="184" w:name="评价期费用目标"/>
      <w:r>
        <w:rPr>
          <w:rFonts w:ascii="Times New Roman" w:hAnsi="Times New Roman" w:eastAsia="方正仿宋_GBK"/>
          <w:b/>
          <w:sz w:val="26"/>
        </w:rPr>
        <w:t xml:space="preserve">5.3.2 评价期费用目标</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目标为共同评价期内新增措施费用现值最小。工程投运当年计建设投资，次年起计固定运维，评价期内达到设定寿命的设备按统一规则更新。价格、寿命、维护费率和折现率采用第四章参数。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rPr>
                          <m:nor/>
                          <m:sty m:val="p"/>
                        </m:rPr>
                        <m:t>min</m:t>
                      </m:r>
                      <m:sSub>
                        <m:e>
                          <m:r>
                            <m:t>C</m:t>
                          </m:r>
                        </m:e>
                        <m:sub>
                          <m:r>
                            <m:rPr>
                              <m:sty m:val="p"/>
                            </m:rPr>
                            <m:t>p</m:t>
                          </m:r>
                          <m:r>
                            <m:rPr>
                              <m:sty m:val="p"/>
                            </m:rPr>
                            <m:t>l</m:t>
                          </m:r>
                          <m:r>
                            <m:rPr>
                              <m:sty m:val="p"/>
                            </m:rPr>
                            <m:t>a</m:t>
                          </m:r>
                          <m:r>
                            <m:rPr>
                              <m:sty m:val="p"/>
                            </m:rPr>
                            <m:t>n</m:t>
                          </m:r>
                        </m:sub>
                      </m:sSub>
                      <m:r>
                        <m:t>=</m:t>
                      </m:r>
                      <m:nary>
                        <m:naryPr>
                          <m:chr m:val="∑"/>
                          <m:limLoc m:val="undOvr"/>
                          <m:subHide m:val="0"/>
                          <m:supHide m:val="1"/>
                        </m:naryPr>
                        <m:sub>
                          <m:r>
                            <m:t>y</m:t>
                          </m:r>
                        </m:sub>
                        <m:sup>
                          <m:r>
                            <m:t>​</m:t>
                          </m:r>
                        </m:sup>
                        <m:e>
                          <m:r>
                            <m:t>[</m:t>
                          </m:r>
                        </m:e>
                      </m:nary>
                    </m:e>
                    <m:e>
                      <m:sSub>
                        <m:e>
                          <m:r>
                            <m:t>I</m:t>
                          </m:r>
                        </m:e>
                        <m:sub>
                          <m:r>
                            <m:t>T</m:t>
                          </m:r>
                          <m:r>
                            <m:t>,</m:t>
                          </m:r>
                          <m:r>
                            <m:t>y</m:t>
                          </m:r>
                        </m:sub>
                      </m:sSub>
                      <m:sSub>
                        <m:e>
                          <m:r>
                            <m:t>A</m:t>
                          </m:r>
                        </m:e>
                        <m:sub>
                          <m:r>
                            <m:t>T</m:t>
                          </m:r>
                        </m:sub>
                      </m:sSub>
                      <m:r>
                        <m:t>(</m:t>
                      </m:r>
                      <m:r>
                        <m:t>y</m:t>
                      </m:r>
                      <m:r>
                        <m:t>)</m:t>
                      </m:r>
                      <m:r>
                        <m:t>+</m:t>
                      </m:r>
                      <m:sSub>
                        <m:e>
                          <m:r>
                            <m:t>I</m:t>
                          </m:r>
                        </m:e>
                        <m:sub>
                          <m:r>
                            <m:t>B</m:t>
                          </m:r>
                          <m:r>
                            <m:t>,</m:t>
                          </m:r>
                          <m:r>
                            <m:t>y</m:t>
                          </m:r>
                        </m:sub>
                      </m:sSub>
                      <m:sSub>
                        <m:e>
                          <m:r>
                            <m:t>A</m:t>
                          </m:r>
                        </m:e>
                        <m:sub>
                          <m:r>
                            <m:t>B</m:t>
                          </m:r>
                        </m:sub>
                      </m:sSub>
                      <m:r>
                        <m:t>(</m:t>
                      </m:r>
                      <m:r>
                        <m:t>y</m:t>
                      </m:r>
                      <m:r>
                        <m:t>)</m:t>
                      </m:r>
                    </m:e>
                  </m:mr>
                  <m:mr>
                    <m:e/>
                    <m:e>
                      <m:r>
                        <m:t>+</m:t>
                      </m:r>
                      <m:sSub>
                        <m:e>
                          <m:r>
                            <m:t>I</m:t>
                          </m:r>
                        </m:e>
                        <m:sub>
                          <m:r>
                            <m:t>L</m:t>
                          </m:r>
                          <m:r>
                            <m:t>,</m:t>
                          </m:r>
                          <m:r>
                            <m:t>y</m:t>
                          </m:r>
                        </m:sub>
                      </m:sSub>
                      <m:sSub>
                        <m:e>
                          <m:r>
                            <m:t>A</m:t>
                          </m:r>
                        </m:e>
                        <m:sub>
                          <m:r>
                            <m:t>L</m:t>
                          </m:r>
                        </m:sub>
                      </m:sSub>
                      <m:r>
                        <m:t>(</m:t>
                      </m:r>
                      <m:r>
                        <m:t>y</m:t>
                      </m:r>
                      <m:r>
                        <m:t>)</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t>y</m:t>
            </m:r>
          </m:sub>
        </m:sSub>
      </m:oMath>
      <w:r>
        <w:rPr>
          <w:rFonts w:ascii="Times New Roman" w:hAnsi="Times New Roman" w:eastAsia="方正仿宋_GBK"/>
          <w:b w:val="0"/>
          <w:sz w:val="24"/>
        </w:rPr>
        <w:t xml:space="preserve">、</w:t>
      </w:r>
      <m:oMath>
        <m:sSub>
          <m:e>
            <m:r>
              <m:t>I</m:t>
            </m:r>
          </m:e>
          <m:sub>
            <m:r>
              <m:t>B</m:t>
            </m:r>
            <m:r>
              <m:t>,</m:t>
            </m:r>
            <m:r>
              <m:t>y</m:t>
            </m:r>
          </m:sub>
        </m:sSub>
      </m:oMath>
      <w:r>
        <w:rPr>
          <w:rFonts w:ascii="Times New Roman" w:hAnsi="Times New Roman" w:eastAsia="方正仿宋_GBK"/>
          <w:b w:val="0"/>
          <w:sz w:val="24"/>
        </w:rPr>
        <w:t xml:space="preserve">、</w:t>
      </w:r>
      <m:oMath>
        <m:sSub>
          <m:e>
            <m:r>
              <m:t>I</m:t>
            </m:r>
          </m:e>
          <m:sub>
            <m:r>
              <m:t>L</m:t>
            </m:r>
            <m:r>
              <m:t>,</m:t>
            </m:r>
            <m:r>
              <m:t>y</m:t>
            </m:r>
          </m:sub>
        </m:sSub>
      </m:oMath>
      <w:r>
        <w:rPr>
          <w:rFonts w:ascii="Times New Roman" w:hAnsi="Times New Roman" w:eastAsia="方正仿宋_GBK"/>
          <w:b w:val="0"/>
          <w:sz w:val="24"/>
        </w:rPr>
        <w:t xml:space="preserve">分别为当年新增主变、储能及联络建设投资，</w:t>
      </w:r>
      <m:oMath>
        <m:sSub>
          <m:e>
            <m:r>
              <m:t>A</m:t>
            </m:r>
          </m:e>
          <m:sub>
            <m:r>
              <m:t>T</m:t>
            </m:r>
          </m:sub>
        </m:sSub>
      </m:oMath>
      <w:r>
        <w:rPr>
          <w:rFonts w:ascii="Times New Roman" w:hAnsi="Times New Roman" w:eastAsia="方正仿宋_GBK"/>
          <w:b w:val="0"/>
          <w:sz w:val="24"/>
        </w:rPr>
        <w:t xml:space="preserve">、</w:t>
      </w:r>
      <m:oMath>
        <m:sSub>
          <m:e>
            <m:r>
              <m:t>A</m:t>
            </m:r>
          </m:e>
          <m:sub>
            <m:r>
              <m:t>B</m:t>
            </m:r>
          </m:sub>
        </m:sSub>
      </m:oMath>
      <w:r>
        <w:rPr>
          <w:rFonts w:ascii="Times New Roman" w:hAnsi="Times New Roman" w:eastAsia="方正仿宋_GBK"/>
          <w:b w:val="0"/>
          <w:sz w:val="24"/>
        </w:rPr>
        <w:t xml:space="preserve">、</w:t>
      </w:r>
      <m:oMath>
        <m:sSub>
          <m:e>
            <m:r>
              <m:t>A</m:t>
            </m:r>
          </m:e>
          <m:sub>
            <m: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85" w:name="三类措施的约束寻优流程"/>
      <w:r>
        <w:rPr>
          <w:rFonts w:ascii="Times New Roman" w:hAnsi="Times New Roman" w:eastAsia="方正仿宋_GBK"/>
          <w:b/>
          <w:sz w:val="26"/>
        </w:rPr>
        <w:t xml:space="preserve">5.3.3 三类措施的约束寻优流程</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正文比较通过设备与网络约束校核的可行方案，费用对应所列建设配置。求解精度及经济比较核验记录见配套资料。</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最小是唯一经济目标；容量储备通过规划约束体现。取得候选后，将年度容量、采购容量、储能和线路工程分别汇总，再按第四章现金流复算费用，检查所列工程与经济结论是否对应。</w:t>
      </w:r>
    </w:p>
    <w:p>
      <w:pPr>
        <w:pStyle w:val="4"/>
        <w:keepNext/>
        <w:numPr>
          <w:numId w:val="0"/>
        </w:numPr>
        <w:spacing w:line="480" w:lineRule="exact" w:before="160" w:after="120"/>
        <w:ind w:firstLine="0"/>
      </w:pPr>
      <w:bookmarkStart w:id="1540" w:name="h540"/>
      <w:bookmarkStart w:id="186" w:name="寻优结果"/>
      <w:r>
        <w:rPr>
          <w:rFonts w:ascii="Times New Roman" w:hAnsi="Times New Roman" w:eastAsia="方正仿宋_GBK"/>
          <w:b/>
          <w:sz w:val="32"/>
        </w:rPr>
        <w:t xml:space="preserve">5.4 寻优结果</w:t>
      </w:r>
      <w:bookmarkEnd w:id="186"/>
      <w:bookmarkEnd w:id="1540"/>
    </w:p>
    <w:p>
      <w:pPr>
        <w:pStyle w:val="5"/>
        <w:keepNext/>
        <w:numPr>
          <w:numId w:val="0"/>
        </w:numPr>
        <w:spacing w:line="390" w:lineRule="exact" w:before="160" w:after="120"/>
        <w:ind w:firstLine="0"/>
      </w:pPr>
      <w:bookmarkStart w:id="187" w:name="邳州逐年方案"/>
      <w:r>
        <w:rPr>
          <w:rFonts w:ascii="Times New Roman" w:hAnsi="Times New Roman" w:eastAsia="方正仿宋_GBK"/>
          <w:b/>
          <w:sz w:val="26"/>
        </w:rPr>
        <w:t xml:space="preserve">5.4.1 邳州逐年方案</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邳州弹性方案2025年主变总容量为1955.50 MVA，容载比为2.04，累计建设联络30条，储能额定功率为0.00 MW。刚性方案同期容载比为1.86。逐年变化同时受实际负荷起伏与离散设备投运影响。</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459.50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22822.84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3847.56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469.00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23805.05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257.87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1903.06</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的年度表同时列出在役容量与当年新增工程。净增容量说明容量储备增加多少，新购容量说明更换和扩建所需采购多少设备。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88" w:name="市区逐年方案"/>
      <w:r>
        <w:rPr>
          <w:rFonts w:ascii="Times New Roman" w:hAnsi="Times New Roman" w:eastAsia="方正仿宋_GBK"/>
          <w:b/>
          <w:sz w:val="26"/>
        </w:rPr>
        <w:t xml:space="preserve">5.4.2 市区逐年方案</w:t>
      </w:r>
      <w:bookmarkEnd w:id="188"/>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市区弹性方案2025年主变总容量为3324.00 MVA，容载比为2.17，累计建设联络64条，储能额定功率为0.50 MW。刚性方案同期容载比为1.92。逐年变化同时受实际负荷起伏与离散设备投运影响。2022年、2024年刚性容载比超过2.00，均属于负荷回落时既有容量形成的被动超限；当年未据此新增主变容量。</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7584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89"/>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76936.96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8813.51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52170.71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6175.38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市区实际年度负荷在2022年、2024年回落。刚性方案的被动超限由保留既有设备形成。年度建设表同时列出实际负荷、在役容量和当年新增规模，用于解释容载比变化。</w:t>
      </w:r>
    </w:p>
    <w:p>
      <w:pPr>
        <w:pStyle w:val="5"/>
        <w:keepNext/>
        <w:numPr>
          <w:numId w:val="0"/>
        </w:numPr>
        <w:spacing w:line="390" w:lineRule="exact" w:before="160" w:after="120"/>
        <w:ind w:firstLine="0"/>
      </w:pPr>
      <w:bookmarkStart w:id="190" w:name="建设规模与费用比较"/>
      <w:r>
        <w:rPr>
          <w:rFonts w:ascii="Times New Roman" w:hAnsi="Times New Roman" w:eastAsia="方正仿宋_GBK"/>
          <w:b/>
          <w:sz w:val="26"/>
        </w:rPr>
        <w:t xml:space="preserve">5.4.3 建设规模与费用比较</w:t>
      </w:r>
      <w:bookmarkEnd w:id="190"/>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两地区刚性方案评价期费用现值合计120219.30万元，弹性方案为84449.61万元，减少35769.70万元，降幅约30%。</w:t>
      </w:r>
    </w:p>
    <w:p>
      <w:pPr>
        <w:pStyle w:val="2"/>
        <w:keepNext/>
        <w:spacing w:line="280" w:lineRule="exact" w:before="120" w:after="80"/>
        <w:ind w:firstLine="0"/>
        <w:jc w:val="center"/>
      </w:pPr>
      <w:r>
        <w:rPr>
          <w:rFonts w:ascii="Times New Roman" w:hAnsi="Times New Roman" w:eastAsia="宋体"/>
          <w:b w:val="0"/>
          <w:sz w:val="21"/>
        </w:rPr>
        <w:t xml:space="preserve">表5-8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keepNext/>
        <w:spacing w:line="280" w:lineRule="exact" w:before="120" w:after="80"/>
        <w:ind w:firstLine="0"/>
        <w:jc w:val="center"/>
      </w:pPr>
      <w:r>
        <w:rPr>
          <w:rFonts w:ascii="Times New Roman" w:hAnsi="Times New Roman" w:eastAsia="宋体"/>
          <w:b w:val="0"/>
          <w:sz w:val="21"/>
        </w:rPr>
        <w:t xml:space="preserve">表5-9 目标年措施规模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918.00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1"/>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7584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2"/>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方案费用限于所设仿真起点、静态工况和工程价格。市区存量网络缺少已核实边的部分采用新增付费候选，其建设费用随存量网络核定结果更新。地区间容载比关系可能随年度负荷和设备投运改变，应结合各站配置解释。</w:t>
      </w:r>
    </w:p>
    <w:p>
      <w:pPr>
        <w:pStyle w:val="2"/>
        <w:keepNext/>
        <w:spacing w:line="280" w:lineRule="exact" w:before="120" w:after="80"/>
        <w:ind w:firstLine="0"/>
        <w:jc w:val="center"/>
      </w:pPr>
      <w:r>
        <w:rPr>
          <w:rFonts w:ascii="Times New Roman" w:hAnsi="Times New Roman" w:eastAsia="宋体"/>
          <w:b w:val="0"/>
          <w:sz w:val="21"/>
        </w:rPr>
        <w:t xml:space="preserve">表5-10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17674.27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8161.84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8632.72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21903.74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4199.78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3862.44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1272.02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80616.00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21083.57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124.07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37138.45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邳州弹性方案的主变费用现值为21903.74万元，储能为0.00万元，联络为4199.78万元；对应刚性方案分别为17674.27、8161.84、8632.72万元。三项费用共同决定方案排序。</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市区弹性方案的主变费用现值为21083.57万元，储能为124.07万元，联络为37138.45万元；对应刚性方案分别为3862.44、1272.02、80616.00万元。三项费用共同决定方案排序。</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（5-10）</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为相邻两年公用主变总容量，单位MVA；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表5-11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bl>
    <w:p>
      <w:pPr>
        <w:pStyle w:val="5"/>
        <w:keepNext/>
        <w:numPr>
          <w:numId w:val="0"/>
        </w:numPr>
        <w:spacing w:line="390" w:lineRule="exact" w:before="160" w:after="120"/>
        <w:ind w:firstLine="0"/>
      </w:pPr>
      <w:bookmarkStart w:id="193" w:name="邳州逐站规划方案"/>
      <w:r>
        <w:rPr>
          <w:rFonts w:ascii="Times New Roman" w:hAnsi="Times New Roman" w:eastAsia="方正仿宋_GBK"/>
          <w:b/>
          <w:sz w:val="26"/>
        </w:rPr>
        <w:t xml:space="preserve">5.4.4 邳州逐站规划方案</w:t>
      </w:r>
      <w:bookmarkEnd w:id="193"/>
    </w:p>
    <w:p>
      <w:pPr>
        <w:pStyle w:val="FirstParagraph"/>
        <w:widowControl/>
        <w:spacing w:line="348" w:lineRule="exact" w:before="0" w:after="0"/>
        <w:ind w:firstLine="480"/>
        <w:jc w:val="both"/>
      </w:pPr>
      <w:r>
        <w:rPr>
          <w:rFonts w:ascii="Times New Roman" w:hAnsi="Times New Roman" w:eastAsia="方正仿宋_GBK"/>
          <w:b w:val="0"/>
          <w:sz w:val="24"/>
        </w:rPr>
        <w:t xml:space="preserve">逐站分析采用区域正向峰值和最低净负荷两个同步工况，所列功率与转接量分别对应这两个同步时刻。主变N-1按本站最大单台容量扣除，健康邻站保留正常可用容量，转供使用已投运线路。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邳州20座站分别列示两类方案的四年设备状态及区域正向峰值正常转接，随后说明目标年两工况和本站主变N-1校核。表中储能均为在役额定功率，支撑能力另按4 h及可用电量折算。</w:t>
      </w:r>
    </w:p>
    <w:p>
      <w:pPr>
        <w:pStyle w:val="7"/>
        <w:keepNext/>
        <w:numPr>
          <w:numId w:val="0"/>
        </w:numPr>
        <w:spacing w:line="360" w:lineRule="exact" w:before="160" w:after="120"/>
        <w:ind w:firstLine="0"/>
      </w:pPr>
      <w:bookmarkStart w:id="194" w:name="千伏八义集变规划分析"/>
      <w:r>
        <w:rPr>
          <w:rFonts w:ascii="Times New Roman" w:hAnsi="Times New Roman" w:eastAsia="方正仿宋_GBK"/>
          <w:b/>
          <w:sz w:val="24"/>
        </w:rPr>
        <w:t xml:space="preserve">110千伏八义集变规划分析</w:t>
      </w:r>
      <w:bookmarkEnd w:id="19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MVA。2025年区域正向峰值工况下，本站转接前净负荷为30.29 MW；区域最低净负荷工况下为-6.39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MVA、储能额定功率0.80 MW；弹性方案分别为81.50 MVA和0.00 MW。两类方案本站主变总容量相同，储能配置差异需结合主变组合和邻站转接安排分析。弹性方案2022—2025年主变总容量依次为81.50、81.50、81.50、81.50 MVA。目标年站级负载率为39%。</w:t>
      </w:r>
    </w:p>
    <w:p>
      <w:pPr>
        <w:pStyle w:val="2"/>
        <w:keepNext/>
        <w:spacing w:line="280" w:lineRule="exact" w:before="120" w:after="80"/>
        <w:ind w:firstLine="0"/>
        <w:jc w:val="center"/>
      </w:pPr>
      <w:r>
        <w:rPr>
          <w:rFonts w:ascii="Times New Roman" w:hAnsi="Times New Roman" w:eastAsia="宋体"/>
          <w:b w:val="0"/>
          <w:sz w:val="21"/>
        </w:rPr>
        <w:t xml:space="preserve">表5-12 110千伏八义集变年度配置与正向峰值正常转接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MW，转接后净负荷为30.29 MW；区域最低净负荷工况下，转接后净负荷为-6.39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MVA。重新安排转供后，两工况本站净负荷分别为29.16 MW和-6.39 MW；两方向容量约束的最小余量为0.76 MW，正向储能有效支撑功率为0.00 MW。</w:t>
      </w:r>
    </w:p>
    <w:p>
      <w:pPr>
        <w:pStyle w:val="7"/>
        <w:keepNext/>
        <w:numPr>
          <w:numId w:val="0"/>
        </w:numPr>
        <w:spacing w:line="360" w:lineRule="exact" w:before="160" w:after="120"/>
        <w:ind w:firstLine="0"/>
      </w:pPr>
      <w:bookmarkStart w:id="195" w:name="大宋变规划分析"/>
      <w:r>
        <w:rPr>
          <w:rFonts w:ascii="Times New Roman" w:hAnsi="Times New Roman" w:eastAsia="方正仿宋_GBK"/>
          <w:b/>
          <w:sz w:val="24"/>
        </w:rPr>
        <w:t xml:space="preserve">大宋变规划分析</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MVA。2025年区域正向峰值工况下，本站转接前净负荷为69.44 MW；区域最低净负荷工况下为-31.77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MW。弹性方案2022—2025年主变总容量依次为126.00、126.00、126.00、126.00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表5-13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66.94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MW、承接4.78 MW，转接后净负荷为74.22 MW；区域最低净负荷工况下，转接后净负荷为-31.77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MVA。重新安排转供后，两工况本站净负荷分别为59.85 MW和-31.77 MW；两方向容量约束的最小余量为0.00 MW，正向储能有效支撑功率为0.00 MW。</w:t>
      </w:r>
    </w:p>
    <w:p>
      <w:pPr>
        <w:pStyle w:val="7"/>
        <w:keepNext/>
        <w:numPr>
          <w:numId w:val="0"/>
        </w:numPr>
        <w:spacing w:line="360" w:lineRule="exact" w:before="160" w:after="120"/>
        <w:ind w:firstLine="0"/>
      </w:pPr>
      <w:bookmarkStart w:id="196" w:name="戴圩变规划分析"/>
      <w:r>
        <w:rPr>
          <w:rFonts w:ascii="Times New Roman" w:hAnsi="Times New Roman" w:eastAsia="方正仿宋_GBK"/>
          <w:b/>
          <w:sz w:val="24"/>
        </w:rPr>
        <w:t xml:space="preserve">戴圩变规划分析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MVA。2025年区域正向峰值工况下，本站转接前净负荷为27.34 MW；区域最低净负荷工况下为-24.10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MVA、储能额定功率0.20 MW；弹性方案分别为81.50 MVA和0.00 MW。弹性方案本站增加11.50 MVA容量，为本地需求及站间支援提供条件。弹性方案2022—2025年主变总容量依次为81.50、81.50、81.50、81.50 MVA。目标年站级负载率为35%。</w:t>
      </w:r>
    </w:p>
    <w:p>
      <w:pPr>
        <w:pStyle w:val="2"/>
        <w:keepNext/>
        <w:spacing w:line="280" w:lineRule="exact" w:before="120" w:after="80"/>
        <w:ind w:firstLine="0"/>
        <w:jc w:val="center"/>
      </w:pPr>
      <w:r>
        <w:rPr>
          <w:rFonts w:ascii="Times New Roman" w:hAnsi="Times New Roman" w:eastAsia="宋体"/>
          <w:b w:val="0"/>
          <w:sz w:val="21"/>
        </w:rPr>
        <w:t xml:space="preserve">表5-14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MW，转接后净负荷为27.34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MVA。重新安排转供后，两工况本站净负荷分别为27.34 MW和-24.10 MW；两方向容量约束的最小余量为2.59 MW，正向储能有效支撑功率为0.00 MW。</w:t>
      </w:r>
    </w:p>
    <w:p>
      <w:pPr>
        <w:pStyle w:val="7"/>
        <w:keepNext/>
        <w:numPr>
          <w:numId w:val="0"/>
        </w:numPr>
        <w:spacing w:line="360" w:lineRule="exact" w:before="160" w:after="120"/>
        <w:ind w:firstLine="0"/>
      </w:pPr>
      <w:bookmarkStart w:id="197" w:name="戴庄变规划分析"/>
      <w:r>
        <w:rPr>
          <w:rFonts w:ascii="Times New Roman" w:hAnsi="Times New Roman" w:eastAsia="方正仿宋_GBK"/>
          <w:b/>
          <w:sz w:val="24"/>
        </w:rPr>
        <w:t xml:space="preserve">戴庄变规划分析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MVA。2025年区域正向峰值工况下，本站转接前净负荷为30.59 MW；区域最低净负荷工况下为-46.10 MW，受入为正、反送为负。2022年更换既有主变，新购100.00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MVA、储能额定功率16.20 MW；弹性方案分别为100.00 MVA和0.00 MW。弹性方案本站增加37.00 MVA容量，为本地需求及站间支援提供条件。弹性方案2022—2025年主变总容量依次为100.00、100.00、100.00、100.00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表5-15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MW；区域最低净负荷工况下，转接后净负荷为-46.10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MVA。重新安排转供后，两工况本站净负荷分别为30.59 MW和-46.10 MW；两方向容量约束的最小余量为1.40 MW，正向储能有效支撑功率为0.00 MW。</w:t>
      </w:r>
    </w:p>
    <w:p>
      <w:pPr>
        <w:pStyle w:val="7"/>
        <w:keepNext/>
        <w:numPr>
          <w:numId w:val="0"/>
        </w:numPr>
        <w:spacing w:line="360" w:lineRule="exact" w:before="160" w:after="120"/>
        <w:ind w:firstLine="0"/>
      </w:pPr>
      <w:bookmarkStart w:id="198" w:name="杜村变规划分析"/>
      <w:r>
        <w:rPr>
          <w:rFonts w:ascii="Times New Roman" w:hAnsi="Times New Roman" w:eastAsia="方正仿宋_GBK"/>
          <w:b/>
          <w:sz w:val="24"/>
        </w:rPr>
        <w:t xml:space="preserve">杜村变规划分析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MVA。2025年区域正向峰值工况下，本站转接前净负荷为83.65 MW；区域最低净负荷工况下为1.66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表5-16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109.92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MW、承接26.27 MW，转接后净负荷为109.92 MW；区域最低净负荷工况下，转接后净负荷为1.66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MVA。重新安排转供后，两工况本站净负荷分别为63.77 MW和1.66 MW；两方向容量约束的最小余量为12.23 MW，正向储能有效支撑功率为0.00 MW。</w:t>
      </w:r>
    </w:p>
    <w:p>
      <w:pPr>
        <w:pStyle w:val="7"/>
        <w:keepNext/>
        <w:numPr>
          <w:numId w:val="0"/>
        </w:numPr>
        <w:spacing w:line="360" w:lineRule="exact" w:before="160" w:after="120"/>
        <w:ind w:firstLine="0"/>
      </w:pPr>
      <w:bookmarkStart w:id="199" w:name="墩集变规划分析"/>
      <w:r>
        <w:rPr>
          <w:rFonts w:ascii="Times New Roman" w:hAnsi="Times New Roman" w:eastAsia="方正仿宋_GBK"/>
          <w:b/>
          <w:sz w:val="24"/>
        </w:rPr>
        <w:t xml:space="preserve">墩集变规划分析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MVA。2025年区域正向峰值工况下，本站转接前净负荷为55.05 MW；区域最低净负荷工况下为-35.45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MVA、储能额定功率0.00 MW；弹性方案分别为100.00 MVA和0.00 MW。弹性方案2022—2025年主变总容量依次为100.00、100.00、100.00、100.00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表5-17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MW、承接1.61 MW，转接后净负荷为56.66 MW；区域最低净负荷工况下，转接后净负荷为-35.45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MW和-35.45 MW；两方向容量约束的最小余量为0.00 MW，正向储能有效支撑功率为0.00 MW。</w:t>
      </w:r>
    </w:p>
    <w:p>
      <w:pPr>
        <w:pStyle w:val="7"/>
        <w:keepNext/>
        <w:numPr>
          <w:numId w:val="0"/>
        </w:numPr>
        <w:spacing w:line="360" w:lineRule="exact" w:before="160" w:after="120"/>
        <w:ind w:firstLine="0"/>
      </w:pPr>
      <w:bookmarkStart w:id="200" w:name="二庙变规划分析"/>
      <w:r>
        <w:rPr>
          <w:rFonts w:ascii="Times New Roman" w:hAnsi="Times New Roman" w:eastAsia="方正仿宋_GBK"/>
          <w:b/>
          <w:sz w:val="24"/>
        </w:rPr>
        <w:t xml:space="preserve">二庙变规划分析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MVA。2025年区域正向峰值工况下，本站转接前净负荷为89.75 MW；区域最低净负荷工况下为31.86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目标年刚性方案主变容量为111.50 MVA、储能额定功率0.00 MW；弹性方案分别为160.00 MVA和0.00 MW。弹性方案本站增加48.50 MVA容量，为本地需求及站间支援提供条件。弹性方案2022—2025年主变总容量依次为160.00、160.00、160.00、160.00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表5-18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MW、承接14.78 MW，转接后净负荷为104.53 MW；区域最低净负荷工况下，转接后净负荷为31.86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MW和31.86 MW；两方向容量约束的最小余量为0.00 MW，正向储能有效支撑功率为0.00 MW。</w:t>
      </w:r>
    </w:p>
    <w:p>
      <w:pPr>
        <w:pStyle w:val="7"/>
        <w:keepNext/>
        <w:numPr>
          <w:numId w:val="0"/>
        </w:numPr>
        <w:spacing w:line="360" w:lineRule="exact" w:before="160" w:after="120"/>
        <w:ind w:firstLine="0"/>
      </w:pPr>
      <w:bookmarkStart w:id="201" w:name="坊上变规划分析"/>
      <w:r>
        <w:rPr>
          <w:rFonts w:ascii="Times New Roman" w:hAnsi="Times New Roman" w:eastAsia="方正仿宋_GBK"/>
          <w:b/>
          <w:sz w:val="24"/>
        </w:rPr>
        <w:t xml:space="preserve">坊上变规划分析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MVA。2025年区域正向峰值工况下，本站转接前净负荷为37.87 MW；区域最低净负荷工况下为-29.68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MW。弹性方案2022—2025年主变总容量依次为71.50、71.50、71.50、71.50 MVA。目标年站级负载率为56%。</w:t>
      </w:r>
    </w:p>
    <w:p>
      <w:pPr>
        <w:pStyle w:val="2"/>
        <w:keepNext/>
        <w:spacing w:line="280" w:lineRule="exact" w:before="120" w:after="80"/>
        <w:ind w:firstLine="0"/>
        <w:jc w:val="center"/>
      </w:pPr>
      <w:r>
        <w:rPr>
          <w:rFonts w:ascii="Times New Roman" w:hAnsi="Times New Roman" w:eastAsia="宋体"/>
          <w:b w:val="0"/>
          <w:sz w:val="21"/>
        </w:rPr>
        <w:t xml:space="preserve">表5-19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MW，转接后净负荷为37.87 MW；区域最低净负荷工况下，转接后净负荷为-29.68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MW和-29.68 MW；两方向容量约束的最小余量为0.00 MW，正向储能有效支撑功率为0.00 MW。</w:t>
      </w:r>
    </w:p>
    <w:p>
      <w:pPr>
        <w:pStyle w:val="7"/>
        <w:keepNext/>
        <w:numPr>
          <w:numId w:val="0"/>
        </w:numPr>
        <w:spacing w:line="360" w:lineRule="exact" w:before="160" w:after="120"/>
        <w:ind w:firstLine="0"/>
      </w:pPr>
      <w:bookmarkStart w:id="202" w:name="富山变规划分析"/>
      <w:r>
        <w:rPr>
          <w:rFonts w:ascii="Times New Roman" w:hAnsi="Times New Roman" w:eastAsia="方正仿宋_GBK"/>
          <w:b/>
          <w:sz w:val="24"/>
        </w:rPr>
        <w:t xml:space="preserve">富山变规划分析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MVA。2025年区域正向峰值工况下，本站转接前净负荷为26.59 MW；区域最低净负荷工况下为-19.32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MVA、储能额定功率0.60 MW；弹性方案分别为81.50 MVA和0.00 MW。弹性方案本站增加11.50 MVA容量，为本地需求及站间支援提供条件。弹性方案2022—2025年主变总容量依次为70.00、70.00、70.00、81.50 MVA。目标年站级负载率为34%。</w:t>
      </w:r>
    </w:p>
    <w:p>
      <w:pPr>
        <w:pStyle w:val="2"/>
        <w:keepNext/>
        <w:spacing w:line="280" w:lineRule="exact" w:before="120" w:after="80"/>
        <w:ind w:firstLine="0"/>
        <w:jc w:val="center"/>
      </w:pPr>
      <w:r>
        <w:rPr>
          <w:rFonts w:ascii="Times New Roman" w:hAnsi="Times New Roman" w:eastAsia="宋体"/>
          <w:b w:val="0"/>
          <w:sz w:val="21"/>
        </w:rPr>
        <w:t xml:space="preserve">表5-20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37.63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MW、承接11.04 MW，转接后净负荷为37.63 MW；区域最低净负荷工况下，转接后净负荷为-19.32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MVA。重新安排转供后，两工况本站净负荷分别为26.59 MW和-19.32 MW；两方向容量约束的最小余量为3.33 MW，正向储能有效支撑功率为0.00 MW。</w:t>
      </w:r>
    </w:p>
    <w:p>
      <w:pPr>
        <w:pStyle w:val="7"/>
        <w:keepNext/>
        <w:numPr>
          <w:numId w:val="0"/>
        </w:numPr>
        <w:spacing w:line="360" w:lineRule="exact" w:before="160" w:after="120"/>
        <w:ind w:firstLine="0"/>
      </w:pPr>
      <w:bookmarkStart w:id="203" w:name="河湾变规划分析"/>
      <w:r>
        <w:rPr>
          <w:rFonts w:ascii="Times New Roman" w:hAnsi="Times New Roman" w:eastAsia="方正仿宋_GBK"/>
          <w:b/>
          <w:sz w:val="24"/>
        </w:rPr>
        <w:t xml:space="preserve">河湾变规划分析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该站基期主变组合为20+80 MVA。2025年区域正向峰值工况下，本站转接前净负荷为71.29 MW；区域最低净负荷工况下为-3.50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MW；弹性方案分别为100.00 MVA和0.00 MW。弹性方案本站容量比刚性方案少60.00 MVA。弹性方案2022—2025年主变总容量依次为100.00、100.00、100.00、100.00 MVA。目标年站级负载率为75%。</w:t>
      </w:r>
    </w:p>
    <w:p>
      <w:pPr>
        <w:pStyle w:val="2"/>
        <w:keepNext/>
        <w:spacing w:line="280" w:lineRule="exact" w:before="120" w:after="80"/>
        <w:ind w:firstLine="0"/>
        <w:jc w:val="center"/>
      </w:pPr>
      <w:r>
        <w:rPr>
          <w:rFonts w:ascii="Times New Roman" w:hAnsi="Times New Roman" w:eastAsia="宋体"/>
          <w:b w:val="0"/>
          <w:sz w:val="21"/>
        </w:rPr>
        <w:t xml:space="preserve">表5-21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29.42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目标年正常方式下，区域正向峰值工况转出41.87 MW、承接0.00 MW，转接后净负荷为29.42 MW；区域最低净负荷工况下，转接后净负荷为-3.50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MW和-3.50 MW；两方向容量约束的最小余量为0.00 MW，正向储能有效支撑功率为0.00 MW。</w:t>
      </w:r>
    </w:p>
    <w:p>
      <w:pPr>
        <w:pStyle w:val="7"/>
        <w:keepNext/>
        <w:numPr>
          <w:numId w:val="0"/>
        </w:numPr>
        <w:spacing w:line="360" w:lineRule="exact" w:before="160" w:after="120"/>
        <w:ind w:firstLine="0"/>
      </w:pPr>
      <w:bookmarkStart w:id="204" w:name="邳城变规划分析"/>
      <w:r>
        <w:rPr>
          <w:rFonts w:ascii="Times New Roman" w:hAnsi="Times New Roman" w:eastAsia="方正仿宋_GBK"/>
          <w:b/>
          <w:sz w:val="24"/>
        </w:rPr>
        <w:t xml:space="preserve">邳城变规划分析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MVA。2025年区域正向峰值工况下，本站转接前净负荷为22.90 MW；区域最低净负荷工况下为-28.74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MVA、储能额定功率0.00 MW；弹性方案分别为81.50 MVA和0.00 MW。弹性方案2022—2025年主变总容量依次为81.50、81.50、81.50、81.50 MVA。目标年站级负载率为37%。</w:t>
      </w:r>
    </w:p>
    <w:p>
      <w:pPr>
        <w:pStyle w:val="2"/>
        <w:keepNext/>
        <w:spacing w:line="280" w:lineRule="exact" w:before="120" w:after="80"/>
        <w:ind w:firstLine="0"/>
        <w:jc w:val="center"/>
      </w:pPr>
      <w:r>
        <w:rPr>
          <w:rFonts w:ascii="Times New Roman" w:hAnsi="Times New Roman" w:eastAsia="宋体"/>
          <w:b w:val="0"/>
          <w:sz w:val="21"/>
        </w:rPr>
        <w:t xml:space="preserve">表5-22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MW，转接后净负荷为22.90 MW；区域最低净负荷工况下，转接后净负荷为-28.74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MVA。重新安排转供后，两工况本站净负荷分别为22.90 MW和-28.74 MW；两方向容量约束的最小余量为1.18 MW，正向储能有效支撑功率为0.00 MW。</w:t>
      </w:r>
    </w:p>
    <w:p>
      <w:pPr>
        <w:pStyle w:val="7"/>
        <w:keepNext/>
        <w:numPr>
          <w:numId w:val="0"/>
        </w:numPr>
        <w:spacing w:line="360" w:lineRule="exact" w:before="160" w:after="120"/>
        <w:ind w:firstLine="0"/>
      </w:pPr>
      <w:bookmarkStart w:id="205" w:name="邳州变规划分析"/>
      <w:r>
        <w:rPr>
          <w:rFonts w:ascii="Times New Roman" w:hAnsi="Times New Roman" w:eastAsia="方正仿宋_GBK"/>
          <w:b/>
          <w:sz w:val="24"/>
        </w:rPr>
        <w:t xml:space="preserve">邳州变规划分析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MVA。2025年区域正向峰值工况下，本站转接前净负荷为67.97 MW；区域最低净负荷工况下为11.99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MW；弹性方案分别为143.00 MVA和0.00 MW。弹性方案本站增加13.00 MVA容量，为本地需求及站间支援提供条件。弹性方案2022—2025年主变总容量依次为143.00、143.00、143.00、143.00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表5-23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MW、承接13.40 MW，转接后净负荷为81.37 MW；区域最低净负荷工况下，转接后净负荷为11.99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MVA。重新安排转供后，两工况本站净负荷分别为59.09 MW和11.99 MW；两方向容量约束的最小余量为0.76 MW，正向储能有效支撑功率为0.00 MW。</w:t>
      </w:r>
    </w:p>
    <w:p>
      <w:pPr>
        <w:pStyle w:val="7"/>
        <w:keepNext/>
        <w:numPr>
          <w:numId w:val="0"/>
        </w:numPr>
        <w:spacing w:line="360" w:lineRule="exact" w:before="160" w:after="120"/>
        <w:ind w:firstLine="0"/>
      </w:pPr>
      <w:bookmarkStart w:id="206" w:name="宿羊山变规划分析"/>
      <w:r>
        <w:rPr>
          <w:rFonts w:ascii="Times New Roman" w:hAnsi="Times New Roman" w:eastAsia="方正仿宋_GBK"/>
          <w:b/>
          <w:sz w:val="24"/>
        </w:rPr>
        <w:t xml:space="preserve">宿羊山变规划分析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MVA。2025年区域正向峰值工况下，本站转接前净负荷为61.43 MW；区域最低净负荷工况下为-22.13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MW。弹性方案2022—2025年主变总容量依次为71.50、71.50、71.50、71.50 MVA。目标年站级负载率为90%。</w:t>
      </w:r>
    </w:p>
    <w:p>
      <w:pPr>
        <w:pStyle w:val="2"/>
        <w:keepNext/>
        <w:spacing w:line="280" w:lineRule="exact" w:before="120" w:after="80"/>
        <w:ind w:firstLine="0"/>
        <w:jc w:val="center"/>
      </w:pPr>
      <w:r>
        <w:rPr>
          <w:rFonts w:ascii="Times New Roman" w:hAnsi="Times New Roman" w:eastAsia="宋体"/>
          <w:b w:val="0"/>
          <w:sz w:val="21"/>
        </w:rPr>
        <w:t xml:space="preserve">表5-24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40.17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目标年正常方式下，区域正向峰值工况转出15.82 MW、承接0.00 MW，转接后净负荷为45.61 MW；区域最低净负荷工况下，转接后净负荷为-22.13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MW和-22.13 MW；两方向容量约束的最小余量为0.00 MW，正向储能有效支撑功率为0.00 MW。</w:t>
      </w:r>
    </w:p>
    <w:p>
      <w:pPr>
        <w:pStyle w:val="7"/>
        <w:keepNext/>
        <w:numPr>
          <w:numId w:val="0"/>
        </w:numPr>
        <w:spacing w:line="360" w:lineRule="exact" w:before="160" w:after="120"/>
        <w:ind w:firstLine="0"/>
      </w:pPr>
      <w:bookmarkStart w:id="207" w:name="千伏铁富变规划分析"/>
      <w:r>
        <w:rPr>
          <w:rFonts w:ascii="Times New Roman" w:hAnsi="Times New Roman" w:eastAsia="方正仿宋_GBK"/>
          <w:b/>
          <w:sz w:val="24"/>
        </w:rPr>
        <w:t xml:space="preserve">110千伏铁富变规划分析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MVA。2025年区域正向峰值工况下，本站转接前净负荷为82.17 MW；区域最低净负荷工况下为-52.21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MW。弹性方案2022—2025年主变总容量依次为160.00、160.00、160.00、160.00 MVA。目标年站级负载率为54%。</w:t>
      </w:r>
    </w:p>
    <w:p>
      <w:pPr>
        <w:pStyle w:val="2"/>
        <w:keepNext/>
        <w:spacing w:line="280" w:lineRule="exact" w:before="120" w:after="80"/>
        <w:ind w:firstLine="0"/>
        <w:jc w:val="center"/>
      </w:pPr>
      <w:r>
        <w:rPr>
          <w:rFonts w:ascii="Times New Roman" w:hAnsi="Times New Roman" w:eastAsia="宋体"/>
          <w:b w:val="0"/>
          <w:sz w:val="21"/>
        </w:rPr>
        <w:t xml:space="preserve">表5-25 110千伏铁富变年度配置与正向峰值正常转接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MW，转接后净负荷为82.17 MW；区域最低净负荷工况下，转接后净负荷为-52.21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MW和-52.21 MW；两方向容量约束的最小余量为0.00 MW，正向储能有效支撑功率为0.00 MW。</w:t>
      </w:r>
    </w:p>
    <w:p>
      <w:pPr>
        <w:pStyle w:val="7"/>
        <w:keepNext/>
        <w:numPr>
          <w:numId w:val="0"/>
        </w:numPr>
        <w:spacing w:line="360" w:lineRule="exact" w:before="160" w:after="120"/>
        <w:ind w:firstLine="0"/>
      </w:pPr>
      <w:bookmarkStart w:id="208" w:name="土山变规划分析"/>
      <w:r>
        <w:rPr>
          <w:rFonts w:ascii="Times New Roman" w:hAnsi="Times New Roman" w:eastAsia="方正仿宋_GBK"/>
          <w:b/>
          <w:sz w:val="24"/>
        </w:rPr>
        <w:t xml:space="preserve">土山变规划分析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MVA。2025年区域正向峰值工况下，本站转接前净负荷为39.87 MW；区域最低净负荷工况下为-36.41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MVA、储能额定功率1.90 MW；弹性方案分别为100.00 MVA和0.00 MW。两类方案本站主变总容量相同，储能配置差异需结合主变组合和邻站转接安排分析。弹性方案2022—2025年主变总容量依次为100.00、100.00、100.00、100.00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表5-26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MW，转接后净负荷为39.87 MW；区域最低净负荷工况下，转接后净负荷为-36.41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MVA。重新安排转供后，两工况本站净负荷分别为39.87 MW和-36.41 MW；两方向容量约束的最小余量为7.63 MW，正向储能有效支撑功率为0.00 MW。</w:t>
      </w:r>
    </w:p>
    <w:p>
      <w:pPr>
        <w:pStyle w:val="7"/>
        <w:keepNext/>
        <w:numPr>
          <w:numId w:val="0"/>
        </w:numPr>
        <w:spacing w:line="360" w:lineRule="exact" w:before="160" w:after="120"/>
        <w:ind w:firstLine="0"/>
      </w:pPr>
      <w:bookmarkStart w:id="209" w:name="汶河变规划分析"/>
      <w:r>
        <w:rPr>
          <w:rFonts w:ascii="Times New Roman" w:hAnsi="Times New Roman" w:eastAsia="方正仿宋_GBK"/>
          <w:b/>
          <w:sz w:val="24"/>
        </w:rPr>
        <w:t xml:space="preserve">汶河变规划分析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MVA。2025年区域正向峰值工况下，本站转接前净负荷为22.81 MW；区域最低净负荷工况下为-27.24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MW。弹性方案2022—2025年主变总容量依次为63.00、63.00、63.00、63.00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表5-27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MW，转接后净负荷为22.81 MW；区域最低净负荷工况下，转接后净负荷为-27.24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MVA。重新安排转供后，两工况本站净负荷分别为22.81 MW和-27.24 MW；两方向容量约束的最小余量为2.69 MW，正向储能有效支撑功率为0.00 MW。</w:t>
      </w:r>
    </w:p>
    <w:p>
      <w:pPr>
        <w:pStyle w:val="7"/>
        <w:keepNext/>
        <w:numPr>
          <w:numId w:val="0"/>
        </w:numPr>
        <w:spacing w:line="360" w:lineRule="exact" w:before="160" w:after="120"/>
        <w:ind w:firstLine="0"/>
      </w:pPr>
      <w:bookmarkStart w:id="210" w:name="吴闸变规划分析"/>
      <w:r>
        <w:rPr>
          <w:rFonts w:ascii="Times New Roman" w:hAnsi="Times New Roman" w:eastAsia="方正仿宋_GBK"/>
          <w:b/>
          <w:sz w:val="24"/>
        </w:rPr>
        <w:t xml:space="preserve">吴闸变规划分析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MVA。2025年区域正向峰值工况下，本站转接前净负荷为48.18 MW；区域最低净负荷工况下为2.19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MVA、储能额定功率0.00 MW；弹性方案分别为70.00 MVA和0.00 MW。弹性方案2022—2025年主变总容量依次为70.00、70.00、70.00、70.00 MVA。目标年站级负载率为72%。</w:t>
      </w:r>
    </w:p>
    <w:p>
      <w:pPr>
        <w:pStyle w:val="2"/>
        <w:keepNext/>
        <w:spacing w:line="280" w:lineRule="exact" w:before="120" w:after="80"/>
        <w:ind w:firstLine="0"/>
        <w:jc w:val="center"/>
      </w:pPr>
      <w:r>
        <w:rPr>
          <w:rFonts w:ascii="Times New Roman" w:hAnsi="Times New Roman" w:eastAsia="宋体"/>
          <w:b w:val="0"/>
          <w:sz w:val="21"/>
        </w:rPr>
        <w:t xml:space="preserve">表5-28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26.57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目标年正常方式下，区域正向峰值工况转出21.61 MW、承接0.00 MW，转接后净负荷为26.57 MW；区域最低净负荷工况下，转接后净负荷为2.19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MW和2.19 MW；两方向容量约束的最小余量为0.00 MW，正向储能有效支撑功率为0.00 MW。</w:t>
      </w:r>
    </w:p>
    <w:p>
      <w:pPr>
        <w:pStyle w:val="7"/>
        <w:keepNext/>
        <w:numPr>
          <w:numId w:val="0"/>
        </w:numPr>
        <w:spacing w:line="360" w:lineRule="exact" w:before="160" w:after="120"/>
        <w:ind w:firstLine="0"/>
      </w:pPr>
      <w:bookmarkStart w:id="211" w:name="邢楼变规划分析"/>
      <w:r>
        <w:rPr>
          <w:rFonts w:ascii="Times New Roman" w:hAnsi="Times New Roman" w:eastAsia="方正仿宋_GBK"/>
          <w:b/>
          <w:sz w:val="24"/>
        </w:rPr>
        <w:t xml:space="preserve">邢楼变规划分析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MVA。2025年区域正向峰值工况下，本站转接前净负荷为15.68 MW；区域最低净负荷工况下为-29.65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MW。弹性方案2022—2025年主变总容量依次为63.00、63.00、63.00、63.00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表5-29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MW，转接后净负荷为15.68 MW；区域最低净负荷工况下，转接后净负荷为-29.65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MVA。重新安排转供后，两工况本站净负荷分别为15.68 MW和-29.65 MW；两方向容量约束的最小余量为0.28 MW，正向储能有效支撑功率为0.00 MW。</w:t>
      </w:r>
    </w:p>
    <w:p>
      <w:pPr>
        <w:pStyle w:val="7"/>
        <w:keepNext/>
        <w:numPr>
          <w:numId w:val="0"/>
        </w:numPr>
        <w:spacing w:line="360" w:lineRule="exact" w:before="160" w:after="120"/>
        <w:ind w:firstLine="0"/>
      </w:pPr>
      <w:bookmarkStart w:id="212" w:name="兴塘变规划分析"/>
      <w:r>
        <w:rPr>
          <w:rFonts w:ascii="Times New Roman" w:hAnsi="Times New Roman" w:eastAsia="方正仿宋_GBK"/>
          <w:b/>
          <w:sz w:val="24"/>
        </w:rPr>
        <w:t xml:space="preserve">兴塘变规划分析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MVA。2025年区域正向峰值工况下，本站转接前净负荷为39.15 MW；区域最低净负荷工况下为-30.66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目标年刚性方案主变容量为40.00 MVA、储能额定功率11.70 MW；弹性方案分别为90.00 MVA和0.00 MW。弹性方案本站增加50.00 MVA容量，为本地需求及站间支援提供条件。弹性方案2022—2025年主变总容量依次为90.00、90.00、90.00、90.00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表5-30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MW，转接后净负荷为39.15 MW；区域最低净负荷工况下，转接后净负荷为-30.66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MW和-30.66 MW；两方向容量约束的最小余量为0.00 MW，正向储能有效支撑功率为0.00 MW。</w:t>
      </w:r>
    </w:p>
    <w:p>
      <w:pPr>
        <w:pStyle w:val="7"/>
        <w:keepNext/>
        <w:numPr>
          <w:numId w:val="0"/>
        </w:numPr>
        <w:spacing w:line="360" w:lineRule="exact" w:before="160" w:after="120"/>
        <w:ind w:firstLine="0"/>
      </w:pPr>
      <w:bookmarkStart w:id="213" w:name="议堂变规划分析"/>
      <w:r>
        <w:rPr>
          <w:rFonts w:ascii="Times New Roman" w:hAnsi="Times New Roman" w:eastAsia="方正仿宋_GBK"/>
          <w:b/>
          <w:sz w:val="24"/>
        </w:rPr>
        <w:t xml:space="preserve">议堂变规划分析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MVA。2025年区域正向峰值工况下，本站转接前净负荷为34.43 MW；区域最低净负荷工况下为-21.58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MVA、储能额定功率1.50 MW；弹性方案分别为81.50 MVA和0.00 MW。弹性方案本站增加11.50 MVA容量，为本地需求及站间支援提供条件。弹性方案2022—2025年主变总容量依次为70.00、70.00、70.00、81.50 MVA。目标年站级负载率为44%。</w:t>
      </w:r>
    </w:p>
    <w:p>
      <w:pPr>
        <w:pStyle w:val="2"/>
        <w:keepNext/>
        <w:spacing w:line="280" w:lineRule="exact" w:before="120" w:after="80"/>
        <w:ind w:firstLine="0"/>
        <w:jc w:val="center"/>
      </w:pPr>
      <w:r>
        <w:rPr>
          <w:rFonts w:ascii="Times New Roman" w:hAnsi="Times New Roman" w:eastAsia="宋体"/>
          <w:b w:val="0"/>
          <w:sz w:val="21"/>
        </w:rPr>
        <w:t xml:space="preserve">表5-31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MW、承接7.42 MW，转接后净负荷为41.85 MW；区域最低净负荷工况下，转接后净负荷为-21.58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MVA。重新安排转供后，两工况本站净负荷分别为19.48 MW和-21.58 MW；两方向容量约束的最小余量为8.35 MW，正向储能有效支撑功率为0.00 MW。</w:t>
      </w:r>
    </w:p>
    <w:p>
      <w:pPr>
        <w:pStyle w:val="5"/>
        <w:keepNext/>
        <w:numPr>
          <w:numId w:val="0"/>
        </w:numPr>
        <w:spacing w:line="390" w:lineRule="exact" w:before="160" w:after="120"/>
        <w:ind w:firstLine="0"/>
      </w:pPr>
      <w:bookmarkStart w:id="214" w:name="市区逐站规划方案"/>
      <w:r>
        <w:rPr>
          <w:rFonts w:ascii="Times New Roman" w:hAnsi="Times New Roman" w:eastAsia="方正仿宋_GBK"/>
          <w:b/>
          <w:sz w:val="26"/>
        </w:rPr>
        <w:t xml:space="preserve">5.4.5 市区逐站规划方案</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5" w:name="大黄山变规划分析"/>
      <w:r>
        <w:rPr>
          <w:rFonts w:ascii="Times New Roman" w:hAnsi="Times New Roman" w:eastAsia="方正仿宋_GBK"/>
          <w:b/>
          <w:sz w:val="24"/>
        </w:rPr>
        <w:t xml:space="preserve">大黄山变规划分析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MVA。2025年区域正向峰值工况下，本站转接前净负荷为30.59 MW；区域最低净负荷工况下为-32.17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MW；弹性方案分别为103.00 MVA和0.00 MW。弹性方案2022—2025年主变总容量依次为103.00、103.00、103.00、103.00 MVA。目标年站级负载率为33%。</w:t>
      </w:r>
    </w:p>
    <w:p>
      <w:pPr>
        <w:pStyle w:val="2"/>
        <w:keepNext/>
        <w:spacing w:line="280" w:lineRule="exact" w:before="120" w:after="80"/>
        <w:ind w:firstLine="0"/>
        <w:jc w:val="center"/>
      </w:pPr>
      <w:r>
        <w:rPr>
          <w:rFonts w:ascii="Times New Roman" w:hAnsi="Times New Roman" w:eastAsia="宋体"/>
          <w:b w:val="0"/>
          <w:sz w:val="21"/>
        </w:rPr>
        <w:t xml:space="preserve">表5-32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MW；区域最低净负荷工况下，转接后净负荷为-32.17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MVA。重新安排转供后，两工况本站净负荷分别为30.59 MW和-32.17 MW；两方向容量约束的最小余量为5.83 MW，正向储能有效支撑功率为0.00 MW。</w:t>
      </w:r>
    </w:p>
    <w:p>
      <w:pPr>
        <w:pStyle w:val="7"/>
        <w:keepNext/>
        <w:numPr>
          <w:numId w:val="0"/>
        </w:numPr>
        <w:spacing w:line="360" w:lineRule="exact" w:before="160" w:after="120"/>
        <w:ind w:firstLine="0"/>
      </w:pPr>
      <w:bookmarkStart w:id="216" w:name="大庙变规划分析"/>
      <w:r>
        <w:rPr>
          <w:rFonts w:ascii="Times New Roman" w:hAnsi="Times New Roman" w:eastAsia="方正仿宋_GBK"/>
          <w:b/>
          <w:sz w:val="24"/>
        </w:rPr>
        <w:t xml:space="preserve">大庙变规划分析</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MVA。2025年区域正向峰值工况下，本站转接前净负荷为69.73 MW；区域最低净负荷工况下为1.68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MW；弹性方案分别为140.00 MVA和0.00 MW。弹性方案本站增加50.00 MVA容量，为本地需求及站间支援提供条件。弹性方案2022—2025年主变总容量依次为140.00、140.00、140.00、140.00 MVA。目标年站级负载率为52%。</w:t>
      </w:r>
    </w:p>
    <w:p>
      <w:pPr>
        <w:pStyle w:val="2"/>
        <w:keepNext/>
        <w:spacing w:line="280" w:lineRule="exact" w:before="120" w:after="80"/>
        <w:ind w:firstLine="0"/>
        <w:jc w:val="center"/>
      </w:pPr>
      <w:r>
        <w:rPr>
          <w:rFonts w:ascii="Times New Roman" w:hAnsi="Times New Roman" w:eastAsia="宋体"/>
          <w:b w:val="0"/>
          <w:sz w:val="21"/>
        </w:rPr>
        <w:t xml:space="preserve">表5-33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MW，转接后净负荷为69.73 MW；区域最低净负荷工况下，转接后净负荷为1.68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MVA。重新安排转供后，两工况本站净负荷分别为69.73 MW和1.68 MW；两方向容量约束的最小余量为15.77 MW，正向储能有效支撑功率为0.00 MW。</w:t>
      </w:r>
    </w:p>
    <w:p>
      <w:pPr>
        <w:pStyle w:val="7"/>
        <w:keepNext/>
        <w:numPr>
          <w:numId w:val="0"/>
        </w:numPr>
        <w:spacing w:line="360" w:lineRule="exact" w:before="160" w:after="120"/>
        <w:ind w:firstLine="0"/>
      </w:pPr>
      <w:bookmarkStart w:id="217" w:name="堤北变规划分析"/>
      <w:r>
        <w:rPr>
          <w:rFonts w:ascii="Times New Roman" w:hAnsi="Times New Roman" w:eastAsia="方正仿宋_GBK"/>
          <w:b/>
          <w:sz w:val="24"/>
        </w:rPr>
        <w:t xml:space="preserve">堤北变规划分析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MVA。2025年区域正向峰值工况下，本站转接前净负荷为100.47 MW；区域最低净负荷工况下为32.89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MW。弹性方案2022—2025年主变总容量依次为126.00、126.00、126.00、126.00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表5-34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86.62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目标年正常方式下，区域正向峰值工况转出13.86 MW、承接0.00 MW，转接后净负荷为86.62 MW；区域最低净负荷工况下，转接后净负荷为32.89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MVA。重新安排转供后，两工况本站净负荷分别为58.90 MW和32.89 MW；两方向容量约束的最小余量为0.95 MW，正向储能有效支撑功率为0.00 MW。</w:t>
      </w:r>
    </w:p>
    <w:p>
      <w:pPr>
        <w:pStyle w:val="7"/>
        <w:keepNext/>
        <w:numPr>
          <w:numId w:val="0"/>
        </w:numPr>
        <w:spacing w:line="360" w:lineRule="exact" w:before="160" w:after="120"/>
        <w:ind w:firstLine="0"/>
      </w:pPr>
      <w:bookmarkStart w:id="218" w:name="翟山变规划分析"/>
      <w:r>
        <w:rPr>
          <w:rFonts w:ascii="Times New Roman" w:hAnsi="Times New Roman" w:eastAsia="方正仿宋_GBK"/>
          <w:b/>
          <w:sz w:val="24"/>
        </w:rPr>
        <w:t xml:space="preserve">翟山变规划分析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该站基期主变组合为40+80 MVA。2025年区域正向峰值工况下，本站转接前净负荷为87.01 MW；区域最低净负荷工况下为26.76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目标年刚性方案主变容量为120.00 MVA、储能额定功率0.00 MW；弹性方案分别为160.00 MVA和0.00 MW。弹性方案本站增加40.00 MVA容量，为本地需求及站间支援提供条件。弹性方案2022—2025年主变总容量依次为160.00、160.00、160.00、160.00 MVA。目标年站级负载率为57%。</w:t>
      </w:r>
    </w:p>
    <w:p>
      <w:pPr>
        <w:pStyle w:val="2"/>
        <w:keepNext/>
        <w:spacing w:line="280" w:lineRule="exact" w:before="120" w:after="80"/>
        <w:ind w:firstLine="0"/>
        <w:jc w:val="center"/>
      </w:pPr>
      <w:r>
        <w:rPr>
          <w:rFonts w:ascii="Times New Roman" w:hAnsi="Times New Roman" w:eastAsia="宋体"/>
          <w:b w:val="0"/>
          <w:sz w:val="21"/>
        </w:rPr>
        <w:t xml:space="preserve">表5-35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MW，转接后净负荷为87.01 MW；区域最低净负荷工况下，转接后净负荷为26.76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MVA。重新安排转供后，两工况本站净负荷分别为72.98 MW和26.76 MW；两方向容量约束的最小余量为3.02 MW，正向储能有效支撑功率为0.00 MW。</w:t>
      </w:r>
    </w:p>
    <w:p>
      <w:pPr>
        <w:pStyle w:val="7"/>
        <w:keepNext/>
        <w:numPr>
          <w:numId w:val="0"/>
        </w:numPr>
        <w:spacing w:line="360" w:lineRule="exact" w:before="160" w:after="120"/>
        <w:ind w:firstLine="0"/>
      </w:pPr>
      <w:bookmarkStart w:id="219" w:name="古彭变规划分析"/>
      <w:r>
        <w:rPr>
          <w:rFonts w:ascii="Times New Roman" w:hAnsi="Times New Roman" w:eastAsia="方正仿宋_GBK"/>
          <w:b/>
          <w:sz w:val="24"/>
        </w:rPr>
        <w:t xml:space="preserve">古彭变规划分析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MVA。2025年区域正向峰值工况下，本站转接前净负荷为60.03 MW；区域最低净负荷工况下为24.10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MW。弹性方案2022—2025年主变总容量依次为130.00、130.00、130.00、130.00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表5-36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MW，转接后净负荷为60.03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MVA。重新安排转供后，两工况本站净负荷分别为45.90 MW和24.10 MW；两方向容量约束的最小余量为1.60 MW，正向储能有效支撑功率为0.00 MW。</w:t>
      </w:r>
    </w:p>
    <w:p>
      <w:pPr>
        <w:pStyle w:val="7"/>
        <w:keepNext/>
        <w:numPr>
          <w:numId w:val="0"/>
        </w:numPr>
        <w:spacing w:line="360" w:lineRule="exact" w:before="160" w:after="120"/>
        <w:ind w:firstLine="0"/>
      </w:pPr>
      <w:bookmarkStart w:id="220" w:name="花园变规划分析"/>
      <w:r>
        <w:rPr>
          <w:rFonts w:ascii="Times New Roman" w:hAnsi="Times New Roman" w:eastAsia="方正仿宋_GBK"/>
          <w:b/>
          <w:sz w:val="24"/>
        </w:rPr>
        <w:t xml:space="preserve">花园变规划分析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MVA。2025年区域正向峰值工况下，本站转接前净负荷为49.60 MW；区域最低净负荷工况下为19.62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MVA。目标年站级负载率为65%。</w:t>
      </w:r>
    </w:p>
    <w:p>
      <w:pPr>
        <w:pStyle w:val="2"/>
        <w:keepNext/>
        <w:spacing w:line="280" w:lineRule="exact" w:before="120" w:after="80"/>
        <w:ind w:firstLine="0"/>
        <w:jc w:val="center"/>
      </w:pPr>
      <w:r>
        <w:rPr>
          <w:rFonts w:ascii="Times New Roman" w:hAnsi="Times New Roman" w:eastAsia="宋体"/>
          <w:b w:val="0"/>
          <w:sz w:val="21"/>
        </w:rPr>
        <w:t xml:space="preserve">表5-37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MW，转接后净负荷为49.60 MW；区域最低净负荷工况下，转接后净负荷为19.62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MVA。重新安排转供后，两工况本站净负荷分别为36.66 MW和19.62 MW；两方向容量约束的最小余量为1.34 MW，正向储能有效支撑功率为0.00 MW。</w:t>
      </w:r>
    </w:p>
    <w:p>
      <w:pPr>
        <w:pStyle w:val="7"/>
        <w:keepNext/>
        <w:numPr>
          <w:numId w:val="0"/>
        </w:numPr>
        <w:spacing w:line="360" w:lineRule="exact" w:before="160" w:after="120"/>
        <w:ind w:firstLine="0"/>
      </w:pPr>
      <w:bookmarkStart w:id="221" w:name="惠民变规划分析"/>
      <w:r>
        <w:rPr>
          <w:rFonts w:ascii="Times New Roman" w:hAnsi="Times New Roman" w:eastAsia="方正仿宋_GBK"/>
          <w:b/>
          <w:sz w:val="24"/>
        </w:rPr>
        <w:t xml:space="preserve">惠民变规划分析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MVA。2025年区域正向峰值工况下，本站转接前净负荷为74.38 MW；区域最低净负荷工况下为24.04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目标年刚性方案主变容量为113.00 MVA、储能额定功率1.80 MW；弹性方案分别为153.00 MVA和0.00 MW。弹性方案本站增加40.00 MVA容量，为本地需求及站间支援提供条件。弹性方案2022—2025年主变总容量依次为153.00、153.00、153.00、153.00 MVA。目标年站级负载率为51%。</w:t>
      </w:r>
    </w:p>
    <w:p>
      <w:pPr>
        <w:pStyle w:val="2"/>
        <w:keepNext/>
        <w:spacing w:line="280" w:lineRule="exact" w:before="120" w:after="80"/>
        <w:ind w:firstLine="0"/>
        <w:jc w:val="center"/>
      </w:pPr>
      <w:r>
        <w:rPr>
          <w:rFonts w:ascii="Times New Roman" w:hAnsi="Times New Roman" w:eastAsia="宋体"/>
          <w:b w:val="0"/>
          <w:sz w:val="21"/>
        </w:rPr>
        <w:t xml:space="preserve">表5-38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MW，转接后净负荷为74.38 MW；区域最低净负荷工况下，转接后净负荷为24.04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MVA。重新安排转供后，两工况本站净负荷分别为74.38 MW和24.04 MW；两方向容量约束的最小余量为11.12 MW，正向储能有效支撑功率为0.00 MW。</w:t>
      </w:r>
    </w:p>
    <w:p>
      <w:pPr>
        <w:pStyle w:val="7"/>
        <w:keepNext/>
        <w:numPr>
          <w:numId w:val="0"/>
        </w:numPr>
        <w:spacing w:line="360" w:lineRule="exact" w:before="160" w:after="120"/>
        <w:ind w:firstLine="0"/>
      </w:pPr>
      <w:bookmarkStart w:id="222" w:name="夹河变规划分析"/>
      <w:r>
        <w:rPr>
          <w:rFonts w:ascii="Times New Roman" w:hAnsi="Times New Roman" w:eastAsia="方正仿宋_GBK"/>
          <w:b/>
          <w:sz w:val="24"/>
        </w:rPr>
        <w:t xml:space="preserve">夹河变规划分析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MVA。2025年区域正向峰值工况下，本站转接前净负荷为46.06 MW；区域最低净负荷工况下为-6.81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MVA。目标年站级负载率为61%。</w:t>
      </w:r>
    </w:p>
    <w:p>
      <w:pPr>
        <w:pStyle w:val="2"/>
        <w:keepNext/>
        <w:spacing w:line="280" w:lineRule="exact" w:before="120" w:after="80"/>
        <w:ind w:firstLine="0"/>
        <w:jc w:val="center"/>
      </w:pPr>
      <w:r>
        <w:rPr>
          <w:rFonts w:ascii="Times New Roman" w:hAnsi="Times New Roman" w:eastAsia="宋体"/>
          <w:b w:val="0"/>
          <w:sz w:val="21"/>
        </w:rPr>
        <w:t xml:space="preserve">表5-39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MW，转接后净负荷为46.06 MW；区域最低净负荷工况下，转接后净负荷为-6.81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MVA。重新安排转供后，两工况本站净负荷分别为35.43 MW和-6.81 MW；两方向容量约束的最小余量为2.57 MW，正向储能有效支撑功率为0.00 MW。</w:t>
      </w:r>
    </w:p>
    <w:p>
      <w:pPr>
        <w:pStyle w:val="7"/>
        <w:keepNext/>
        <w:numPr>
          <w:numId w:val="0"/>
        </w:numPr>
        <w:spacing w:line="360" w:lineRule="exact" w:before="160" w:after="120"/>
        <w:ind w:firstLine="0"/>
      </w:pPr>
      <w:bookmarkStart w:id="223" w:name="开元变规划分析"/>
      <w:r>
        <w:rPr>
          <w:rFonts w:ascii="Times New Roman" w:hAnsi="Times New Roman" w:eastAsia="方正仿宋_GBK"/>
          <w:b/>
          <w:sz w:val="24"/>
        </w:rPr>
        <w:t xml:space="preserve">开元变规划分析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MVA。2025年区域正向峰值工况下，本站转接前净负荷为56.24 MW；区域最低净负荷工况下为13.51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MW；弹性方案分别为126.00 MVA和0.00 MW。弹性方案本站增加23.00 MVA容量，为本地需求及站间支援提供条件。弹性方案2022—2025年主变总容量依次为126.00、126.00、126.00、126.00 MVA。目标年站级负载率为47%。</w:t>
      </w:r>
    </w:p>
    <w:p>
      <w:pPr>
        <w:pStyle w:val="2"/>
        <w:keepNext/>
        <w:spacing w:line="280" w:lineRule="exact" w:before="120" w:after="80"/>
        <w:ind w:firstLine="0"/>
        <w:jc w:val="center"/>
      </w:pPr>
      <w:r>
        <w:rPr>
          <w:rFonts w:ascii="Times New Roman" w:hAnsi="Times New Roman" w:eastAsia="宋体"/>
          <w:b w:val="0"/>
          <w:sz w:val="21"/>
        </w:rPr>
        <w:t xml:space="preserve">表5-40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MW，转接后净负荷为56.24 MW；区域最低净负荷工况下，转接后净负荷为13.51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MVA。重新安排转供后，两工况本站净负荷分别为48.21 MW和13.51 MW；两方向容量约束的最小余量为11.64 MW，正向储能有效支撑功率为0.00 MW。</w:t>
      </w:r>
    </w:p>
    <w:p>
      <w:pPr>
        <w:pStyle w:val="7"/>
        <w:keepNext/>
        <w:numPr>
          <w:numId w:val="0"/>
        </w:numPr>
        <w:spacing w:line="360" w:lineRule="exact" w:before="160" w:after="120"/>
        <w:ind w:firstLine="0"/>
      </w:pPr>
      <w:bookmarkStart w:id="224" w:name="奎山变规划分析"/>
      <w:r>
        <w:rPr>
          <w:rFonts w:ascii="Times New Roman" w:hAnsi="Times New Roman" w:eastAsia="方正仿宋_GBK"/>
          <w:b/>
          <w:sz w:val="24"/>
        </w:rPr>
        <w:t xml:space="preserve">奎山变规划分析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MVA。2025年区域正向峰值工况下，本站转接前净负荷为71.44 MW；区域最低净负荷工况下为22.48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MW。弹性方案2022—2025年主变总容量依次为130.00、130.00、130.00、130.00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表5-41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14.27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71.44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MW，转接后净负荷为71.44 MW；区域最低净负荷工况下，转接后净负荷为22.48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MW和22.48 MW；两方向容量约束的最小余量为0.00 MW，正向储能有效支撑功率为0.00 MW。</w:t>
      </w:r>
    </w:p>
    <w:p>
      <w:pPr>
        <w:pStyle w:val="7"/>
        <w:keepNext/>
        <w:numPr>
          <w:numId w:val="0"/>
        </w:numPr>
        <w:spacing w:line="360" w:lineRule="exact" w:before="160" w:after="120"/>
        <w:ind w:firstLine="0"/>
      </w:pPr>
      <w:bookmarkStart w:id="225" w:name="刘湾变规划分析"/>
      <w:r>
        <w:rPr>
          <w:rFonts w:ascii="Times New Roman" w:hAnsi="Times New Roman" w:eastAsia="方正仿宋_GBK"/>
          <w:b/>
          <w:sz w:val="24"/>
        </w:rPr>
        <w:t xml:space="preserve">刘湾变规划分析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MVA。2025年区域正向峰值工况下，本站转接前净负荷为60.43 MW；区域最低净负荷工况下为2.04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MW。弹性方案2022—2025年主变总容量依次为90.00、90.00、90.00、90.00 MVA。目标年站级负载率为71%。</w:t>
      </w:r>
    </w:p>
    <w:p>
      <w:pPr>
        <w:pStyle w:val="2"/>
        <w:keepNext/>
        <w:spacing w:line="280" w:lineRule="exact" w:before="120" w:after="80"/>
        <w:ind w:firstLine="0"/>
        <w:jc w:val="center"/>
      </w:pPr>
      <w:r>
        <w:rPr>
          <w:rFonts w:ascii="Times New Roman" w:hAnsi="Times New Roman" w:eastAsia="宋体"/>
          <w:b w:val="0"/>
          <w:sz w:val="21"/>
        </w:rPr>
        <w:t xml:space="preserve">表5-42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目标年正常方式下，区域正向峰值工况转出7.25 MW、承接6.93 MW，转接后净负荷为60.11 MW；区域最低净负荷工况下，转接后净负荷为2.04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MVA。重新安排转供后，两工况本站净负荷分别为36.26 MW和2.04 MW；两方向容量约束的最小余量为1.74 MW，正向储能有效支撑功率为0.00 MW。</w:t>
      </w:r>
    </w:p>
    <w:p>
      <w:pPr>
        <w:pStyle w:val="7"/>
        <w:keepNext/>
        <w:numPr>
          <w:numId w:val="0"/>
        </w:numPr>
        <w:spacing w:line="360" w:lineRule="exact" w:before="160" w:after="120"/>
        <w:ind w:firstLine="0"/>
      </w:pPr>
      <w:bookmarkStart w:id="226" w:name="龙湖变规划分析"/>
      <w:r>
        <w:rPr>
          <w:rFonts w:ascii="Times New Roman" w:hAnsi="Times New Roman" w:eastAsia="方正仿宋_GBK"/>
          <w:b/>
          <w:sz w:val="24"/>
        </w:rPr>
        <w:t xml:space="preserve">龙湖变规划分析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MVA。2025年区域正向峰值工况下，本站转接前净负荷为28.53 MW；区域最低净负荷工况下为9.38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表5-43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MW，转接后净负荷为28.53 MW；区域最低净负荷工况下，转接后净负荷为9.38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MVA。重新安排转供后，两工况本站净负荷分别为28.53 MW和9.38 MW；两方向容量约束的最小余量为9.47 MW，正向储能有效支撑功率为0.00 MW。</w:t>
      </w:r>
    </w:p>
    <w:p>
      <w:pPr>
        <w:pStyle w:val="7"/>
        <w:keepNext/>
        <w:numPr>
          <w:numId w:val="0"/>
        </w:numPr>
        <w:spacing w:line="360" w:lineRule="exact" w:before="160" w:after="120"/>
        <w:ind w:firstLine="0"/>
      </w:pPr>
      <w:bookmarkStart w:id="227" w:name="千伏庞庄变规划分析"/>
      <w:r>
        <w:rPr>
          <w:rFonts w:ascii="Times New Roman" w:hAnsi="Times New Roman" w:eastAsia="方正仿宋_GBK"/>
          <w:b/>
          <w:sz w:val="24"/>
        </w:rPr>
        <w:t xml:space="preserve">110千伏庞庄变规划分析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MVA。2025年区域正向峰值工况下，本站转接前净负荷为9.50 MW；区域最低净负荷工况下为-6.87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MVA。目标年站级负载率为13%。</w:t>
      </w:r>
    </w:p>
    <w:p>
      <w:pPr>
        <w:pStyle w:val="2"/>
        <w:keepNext/>
        <w:spacing w:line="280" w:lineRule="exact" w:before="120" w:after="80"/>
        <w:ind w:firstLine="0"/>
        <w:jc w:val="center"/>
      </w:pPr>
      <w:r>
        <w:rPr>
          <w:rFonts w:ascii="Times New Roman" w:hAnsi="Times New Roman" w:eastAsia="宋体"/>
          <w:b w:val="0"/>
          <w:sz w:val="21"/>
        </w:rPr>
        <w:t xml:space="preserve">表5-44 110千伏庞庄变年度配置与正向峰值正常转接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MW，转接后净负荷为9.50 MW；区域最低净负荷工况下，转接后净负荷为-6.87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MVA。重新安排转供后，两工况本站净负荷分别为9.50 MW和-6.87 MW；两方向容量约束的最小余量为28.50 MW，正向储能有效支撑功率为0.00 MW。</w:t>
      </w:r>
    </w:p>
    <w:p>
      <w:pPr>
        <w:pStyle w:val="7"/>
        <w:keepNext/>
        <w:numPr>
          <w:numId w:val="0"/>
        </w:numPr>
        <w:spacing w:line="360" w:lineRule="exact" w:before="160" w:after="120"/>
        <w:ind w:firstLine="0"/>
      </w:pPr>
      <w:bookmarkStart w:id="228" w:name="彭场变规划分析"/>
      <w:r>
        <w:rPr>
          <w:rFonts w:ascii="Times New Roman" w:hAnsi="Times New Roman" w:eastAsia="方正仿宋_GBK"/>
          <w:b/>
          <w:sz w:val="24"/>
        </w:rPr>
        <w:t xml:space="preserve">彭场变规划分析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MVA。2025年区域正向峰值工况下，本站转接前净负荷为55.66 MW；区域最低净负荷工况下为7.76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MVA、储能额定功率0.40 MW；弹性方案分别为140.00 MVA和0.00 MW。弹性方案本站增加40.00 MVA容量，为本地需求及站间支援提供条件。弹性方案2022—2025年主变总容量依次为140.00、140.00、140.00、140.00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表5-45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MW，转接后净负荷为55.66 MW；区域最低净负荷工况下，转接后净负荷为7.76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MVA。重新安排转供后，两工况本站净负荷分别为55.66 MW和7.76 MW；两方向容量约束的最小余量为29.84 MW，正向储能有效支撑功率为0.00 MW。</w:t>
      </w:r>
    </w:p>
    <w:p>
      <w:pPr>
        <w:pStyle w:val="7"/>
        <w:keepNext/>
        <w:numPr>
          <w:numId w:val="0"/>
        </w:numPr>
        <w:spacing w:line="360" w:lineRule="exact" w:before="160" w:after="120"/>
        <w:ind w:firstLine="0"/>
      </w:pPr>
      <w:bookmarkStart w:id="229" w:name="庆云桥变规划分析"/>
      <w:r>
        <w:rPr>
          <w:rFonts w:ascii="Times New Roman" w:hAnsi="Times New Roman" w:eastAsia="方正仿宋_GBK"/>
          <w:b/>
          <w:sz w:val="24"/>
        </w:rPr>
        <w:t xml:space="preserve">庆云桥变规划分析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MVA。2025年区域正向峰值工况下，本站转接前净负荷为58.45 MW；区域最低净负荷工况下为17.85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MVA。目标年站级负载率为77%。</w:t>
      </w:r>
    </w:p>
    <w:p>
      <w:pPr>
        <w:pStyle w:val="2"/>
        <w:keepNext/>
        <w:spacing w:line="280" w:lineRule="exact" w:before="120" w:after="80"/>
        <w:ind w:firstLine="0"/>
        <w:jc w:val="center"/>
      </w:pPr>
      <w:r>
        <w:rPr>
          <w:rFonts w:ascii="Times New Roman" w:hAnsi="Times New Roman" w:eastAsia="宋体"/>
          <w:b w:val="0"/>
          <w:sz w:val="21"/>
        </w:rPr>
        <w:t xml:space="preserve">表5-46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61.25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47.85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62.72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目标年正常方式下，区域正向峰值工况转出2.66 MW、承接6.93 MW，转接后净负荷为62.72 MW；区域最低净负荷工况下，转接后净负荷为17.85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MVA。重新安排转供后，两工况本站净负荷分别为37.19 MW和17.85 MW；两方向容量约束的最小余量为0.81 MW，正向储能有效支撑功率为0.00 MW。</w:t>
      </w:r>
    </w:p>
    <w:p>
      <w:pPr>
        <w:pStyle w:val="7"/>
        <w:keepNext/>
        <w:numPr>
          <w:numId w:val="0"/>
        </w:numPr>
        <w:spacing w:line="360" w:lineRule="exact" w:before="160" w:after="120"/>
        <w:ind w:firstLine="0"/>
      </w:pPr>
      <w:bookmarkStart w:id="230" w:name="山南变规划分析"/>
      <w:r>
        <w:rPr>
          <w:rFonts w:ascii="Times New Roman" w:hAnsi="Times New Roman" w:eastAsia="方正仿宋_GBK"/>
          <w:b/>
          <w:sz w:val="24"/>
        </w:rPr>
        <w:t xml:space="preserve">山南变规划分析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MVA。2025年区域正向峰值工况下，本站转接前净负荷为5.80 MW；区域最低净负荷工况下为0.64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MVA。目标年站级负载率为8%。</w:t>
      </w:r>
    </w:p>
    <w:p>
      <w:pPr>
        <w:pStyle w:val="2"/>
        <w:keepNext/>
        <w:spacing w:line="280" w:lineRule="exact" w:before="120" w:after="80"/>
        <w:ind w:firstLine="0"/>
        <w:jc w:val="center"/>
      </w:pPr>
      <w:r>
        <w:rPr>
          <w:rFonts w:ascii="Times New Roman" w:hAnsi="Times New Roman" w:eastAsia="宋体"/>
          <w:b w:val="0"/>
          <w:sz w:val="21"/>
        </w:rPr>
        <w:t xml:space="preserve">表5-47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MW，转接后净负荷为5.80 MW；区域最低净负荷工况下，转接后净负荷为0.64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MVA。重新安排转供后，两工况本站净负荷分别为5.80 MW和0.64 MW；两方向容量约束的最小余量为32.20 MW，正向储能有效支撑功率为0.00 MW。</w:t>
      </w:r>
    </w:p>
    <w:p>
      <w:pPr>
        <w:pStyle w:val="7"/>
        <w:keepNext/>
        <w:numPr>
          <w:numId w:val="0"/>
        </w:numPr>
        <w:spacing w:line="360" w:lineRule="exact" w:before="160" w:after="120"/>
        <w:ind w:firstLine="0"/>
      </w:pPr>
      <w:bookmarkStart w:id="231" w:name="升辉变规划分析"/>
      <w:r>
        <w:rPr>
          <w:rFonts w:ascii="Times New Roman" w:hAnsi="Times New Roman" w:eastAsia="方正仿宋_GBK"/>
          <w:b/>
          <w:sz w:val="24"/>
        </w:rPr>
        <w:t xml:space="preserve">升辉变规划分析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该站基期主变组合为80+80 MVA。2025年区域正向峰值工况下，本站转接前净负荷为28.55 MW；区域最低净负荷工况下为11.59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MW。弹性方案2022—2025年主变总容量依次为160.00、160.00、160.00、160.00 MVA。目标年站级负载率为19%。</w:t>
      </w:r>
    </w:p>
    <w:p>
      <w:pPr>
        <w:pStyle w:val="2"/>
        <w:keepNext/>
        <w:spacing w:line="280" w:lineRule="exact" w:before="120" w:after="80"/>
        <w:ind w:firstLine="0"/>
        <w:jc w:val="center"/>
      </w:pPr>
      <w:r>
        <w:rPr>
          <w:rFonts w:ascii="Times New Roman" w:hAnsi="Times New Roman" w:eastAsia="宋体"/>
          <w:b w:val="0"/>
          <w:sz w:val="21"/>
        </w:rPr>
        <w:t xml:space="preserve">表5-48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MW，转接后净负荷为28.55 MW；区域最低净负荷工况下，转接后净负荷为11.59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MVA。重新安排转供后，两工况本站净负荷分别为28.55 MW和11.59 MW；两方向容量约束的最小余量为47.45 MW，正向储能有效支撑功率为0.00 MW。</w:t>
      </w:r>
    </w:p>
    <w:p>
      <w:pPr>
        <w:pStyle w:val="7"/>
        <w:keepNext/>
        <w:numPr>
          <w:numId w:val="0"/>
        </w:numPr>
        <w:spacing w:line="360" w:lineRule="exact" w:before="160" w:after="120"/>
        <w:ind w:firstLine="0"/>
      </w:pPr>
      <w:bookmarkStart w:id="232" w:name="石桥变规划分析"/>
      <w:r>
        <w:rPr>
          <w:rFonts w:ascii="Times New Roman" w:hAnsi="Times New Roman" w:eastAsia="方正仿宋_GBK"/>
          <w:b/>
          <w:sz w:val="24"/>
        </w:rPr>
        <w:t xml:space="preserve">石桥变规划分析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该站基期主变组合为63+80 MVA。2025年区域正向峰值工况下，本站转接前净负荷为103.71 MW；区域最低净负荷工况下为2.91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MVA、储能额定功率0.80 MW；弹性方案分别为160.00 MVA和0.00 MW。两类方案本站主变总容量相同，储能配置差异需结合主变组合和邻站转接安排分析。弹性方案2022—2025年主变总容量依次为160.00、160.00、160.00、160.00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表5-49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116.87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MW、承接13.15 MW，转接后净负荷为116.87 MW；区域最低净负荷工况下，转接后净负荷为2.91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MVA。重新安排转供后，两工况本站净负荷分别为74.08 MW和2.91 MW；两方向容量约束的最小余量为1.92 MW，正向储能有效支撑功率为0.00 MW。</w:t>
      </w:r>
    </w:p>
    <w:p>
      <w:pPr>
        <w:pStyle w:val="7"/>
        <w:keepNext/>
        <w:numPr>
          <w:numId w:val="0"/>
        </w:numPr>
        <w:spacing w:line="360" w:lineRule="exact" w:before="160" w:after="120"/>
        <w:ind w:firstLine="0"/>
      </w:pPr>
      <w:bookmarkStart w:id="233" w:name="拾屯变规划分析"/>
      <w:r>
        <w:rPr>
          <w:rFonts w:ascii="Times New Roman" w:hAnsi="Times New Roman" w:eastAsia="方正仿宋_GBK"/>
          <w:b/>
          <w:sz w:val="24"/>
        </w:rPr>
        <w:t xml:space="preserve">拾屯变规划分析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MVA。2025年区域正向峰值工况下，本站转接前净负荷为72.26 MW；区域最低净负荷工况下为4.74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表5-50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MW，转接后净负荷为72.26 MW；区域最低净负荷工况下，转接后净负荷为4.74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MVA。重新安排转供后，两工况本站净负荷分别为68.13 MW和4.74 MW；两方向容量约束的最小余量为7.87 MW，正向储能有效支撑功率为0.00 MW。</w:t>
      </w:r>
    </w:p>
    <w:p>
      <w:pPr>
        <w:pStyle w:val="7"/>
        <w:keepNext/>
        <w:numPr>
          <w:numId w:val="0"/>
        </w:numPr>
        <w:spacing w:line="360" w:lineRule="exact" w:before="160" w:after="120"/>
        <w:ind w:firstLine="0"/>
      </w:pPr>
      <w:bookmarkStart w:id="234" w:name="统一变规划分析"/>
      <w:r>
        <w:rPr>
          <w:rFonts w:ascii="Times New Roman" w:hAnsi="Times New Roman" w:eastAsia="方正仿宋_GBK"/>
          <w:b/>
          <w:sz w:val="24"/>
        </w:rPr>
        <w:t xml:space="preserve">统一变规划分析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MVA。2025年区域正向峰值工况下，本站转接前净负荷为91.55 MW；区域最低净负荷工况下为14.84 MW，受入为正、反送为负。2022年更换既有主变，新购160.00 MVA；2023年新增储能0.50 MW/1.07 MWh。</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MW；弹性方案分别为160.00 MVA和0.50 MW。弹性方案本站增加80.00 MVA容量，为本地需求及站间支援提供条件。弹性方案2022—2025年主变总容量依次为160.00、160.00、160.00、160.00 MVA。目标年站级负载率为60%。</w:t>
      </w:r>
    </w:p>
    <w:p>
      <w:pPr>
        <w:pStyle w:val="2"/>
        <w:keepNext/>
        <w:spacing w:line="280" w:lineRule="exact" w:before="120" w:after="80"/>
        <w:ind w:firstLine="0"/>
        <w:jc w:val="center"/>
      </w:pPr>
      <w:r>
        <w:rPr>
          <w:rFonts w:ascii="Times New Roman" w:hAnsi="Times New Roman" w:eastAsia="宋体"/>
          <w:b w:val="0"/>
          <w:sz w:val="21"/>
        </w:rPr>
        <w:t xml:space="preserve">表5-51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MW，转接后净负荷为91.55 MW；区域最低净负荷工况下，转接后净负荷为14.84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MVA。重新安排转供后，两工况本站净负荷分别为75.53 MW和14.84 MW；两方向容量约束的最小余量为0.67 MW，正向储能有效支撑功率为0.20 MW。</w:t>
      </w:r>
    </w:p>
    <w:p>
      <w:pPr>
        <w:pStyle w:val="7"/>
        <w:keepNext/>
        <w:numPr>
          <w:numId w:val="0"/>
        </w:numPr>
        <w:spacing w:line="360" w:lineRule="exact" w:before="160" w:after="120"/>
        <w:ind w:firstLine="0"/>
      </w:pPr>
      <w:bookmarkStart w:id="235" w:name="吴庄变规划分析"/>
      <w:r>
        <w:rPr>
          <w:rFonts w:ascii="Times New Roman" w:hAnsi="Times New Roman" w:eastAsia="方正仿宋_GBK"/>
          <w:b/>
          <w:sz w:val="24"/>
        </w:rPr>
        <w:t xml:space="preserve">吴庄变规划分析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MVA。2025年区域正向峰值工况下，本站转接前净负荷为96.47 MW；区域最低净负荷工况下为31.10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MW；弹性方案分别为160.00 MVA和0.00 MW。弹性方案本站增加30.00 MVA容量，为本地需求及站间支援提供条件。弹性方案2022—2025年主变总容量依次为160.00、160.00、160.00、160.00 MVA。目标年站级负载率为63%。</w:t>
      </w:r>
    </w:p>
    <w:p>
      <w:pPr>
        <w:pStyle w:val="2"/>
        <w:keepNext/>
        <w:spacing w:line="280" w:lineRule="exact" w:before="120" w:after="80"/>
        <w:ind w:firstLine="0"/>
        <w:jc w:val="center"/>
      </w:pPr>
      <w:r>
        <w:rPr>
          <w:rFonts w:ascii="Times New Roman" w:hAnsi="Times New Roman" w:eastAsia="宋体"/>
          <w:b w:val="0"/>
          <w:sz w:val="21"/>
        </w:rPr>
        <w:t xml:space="preserve">表5-52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98.48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MW、承接7.40 MW，转接后净负荷为103.87 MW；区域最低净负荷工况下，转接后净负荷为31.10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MVA。重新安排转供后，两工况本站净负荷分别为74.77 MW和31.10 MW；两方向容量约束的最小余量为1.23 MW，正向储能有效支撑功率为0.00 MW。</w:t>
      </w:r>
    </w:p>
    <w:p>
      <w:pPr>
        <w:pStyle w:val="7"/>
        <w:keepNext/>
        <w:numPr>
          <w:numId w:val="0"/>
        </w:numPr>
        <w:spacing w:line="360" w:lineRule="exact" w:before="160" w:after="120"/>
        <w:ind w:firstLine="0"/>
      </w:pPr>
      <w:bookmarkStart w:id="236" w:name="西郊变规划分析"/>
      <w:r>
        <w:rPr>
          <w:rFonts w:ascii="Times New Roman" w:hAnsi="Times New Roman" w:eastAsia="方正仿宋_GBK"/>
          <w:b/>
          <w:sz w:val="24"/>
        </w:rPr>
        <w:t xml:space="preserve">西郊变规划分析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MVA。2025年区域正向峰值工况下，本站转接前净负荷为128.27 MW；区域最低净负荷工况下为32.04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MW；弹性方案分别为160.00 MVA和0.00 MW。弹性方案本站增加34.00 MVA容量，为本地需求及站间支援提供条件。弹性方案2022—2025年主变总容量依次为160.00、160.00、160.00、160.00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表5-53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34.67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132.26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122.15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123.53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目标年正常方式下，区域正向峰值工况转出7.40 MW、承接2.66 MW，转接后净负荷为123.53 MW；区域最低净负荷工况下，转接后净负荷为32.04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MVA。重新安排转供后，两工况本站净负荷分别为74.00 MW和32.04 MW；两方向容量约束的最小余量为2.00 MW，正向储能有效支撑功率为0.00 MW。</w:t>
      </w:r>
    </w:p>
    <w:p>
      <w:pPr>
        <w:pStyle w:val="7"/>
        <w:keepNext/>
        <w:numPr>
          <w:numId w:val="0"/>
        </w:numPr>
        <w:spacing w:line="360" w:lineRule="exact" w:before="160" w:after="120"/>
        <w:ind w:firstLine="0"/>
      </w:pPr>
      <w:bookmarkStart w:id="237" w:name="祥和变规划分析"/>
      <w:r>
        <w:rPr>
          <w:rFonts w:ascii="Times New Roman" w:hAnsi="Times New Roman" w:eastAsia="方正仿宋_GBK"/>
          <w:b/>
          <w:sz w:val="24"/>
        </w:rPr>
        <w:t xml:space="preserve">祥和变规划分析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MVA。2025年区域正向峰值工况下，本站转接前净负荷为19.35 MW；区域最低净负荷工况下为5.17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MW。弹性方案2022—2025年主变总容量依次为90.00、90.00、90.00、90.00 MVA。目标年站级负载率为23%。</w:t>
      </w:r>
    </w:p>
    <w:p>
      <w:pPr>
        <w:pStyle w:val="2"/>
        <w:keepNext/>
        <w:spacing w:line="280" w:lineRule="exact" w:before="120" w:after="80"/>
        <w:ind w:firstLine="0"/>
        <w:jc w:val="center"/>
      </w:pPr>
      <w:r>
        <w:rPr>
          <w:rFonts w:ascii="Times New Roman" w:hAnsi="Times New Roman" w:eastAsia="宋体"/>
          <w:b w:val="0"/>
          <w:sz w:val="21"/>
        </w:rPr>
        <w:t xml:space="preserve">表5-54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MW，转接后净负荷为19.35 MW；区域最低净负荷工况下，转接后净负荷为5.17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MVA。重新安排转供后，两工况本站净负荷分别为19.35 MW和5.17 MW；两方向容量约束的最小余量为18.65 MW，正向储能有效支撑功率为0.00 MW。</w:t>
      </w:r>
    </w:p>
    <w:p>
      <w:pPr>
        <w:pStyle w:val="7"/>
        <w:keepNext/>
        <w:numPr>
          <w:numId w:val="0"/>
        </w:numPr>
        <w:spacing w:line="360" w:lineRule="exact" w:before="160" w:after="120"/>
        <w:ind w:firstLine="0"/>
      </w:pPr>
      <w:bookmarkStart w:id="238" w:name="响山变规划分析"/>
      <w:r>
        <w:rPr>
          <w:rFonts w:ascii="Times New Roman" w:hAnsi="Times New Roman" w:eastAsia="方正仿宋_GBK"/>
          <w:b/>
          <w:sz w:val="24"/>
        </w:rPr>
        <w:t xml:space="preserve">响山变规划分析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MVA。2025年区域正向峰值工况下，本站转接前净负荷为53.11 MW；区域最低净负荷工况下为11.38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MVA、储能额定功率1.80 MW；弹性方案分别为80.00 MVA和0.00 MW。两类方案本站主变总容量相同，储能配置差异需结合主变组合和邻站转接安排分析。弹性方案2022—2025年主变总容量依次为80.00、80.00、80.00、80.00 MVA。目标年站级负载率为70%。</w:t>
      </w:r>
    </w:p>
    <w:p>
      <w:pPr>
        <w:pStyle w:val="2"/>
        <w:keepNext/>
        <w:spacing w:line="280" w:lineRule="exact" w:before="120" w:after="80"/>
        <w:ind w:firstLine="0"/>
        <w:jc w:val="center"/>
      </w:pPr>
      <w:r>
        <w:rPr>
          <w:rFonts w:ascii="Times New Roman" w:hAnsi="Times New Roman" w:eastAsia="宋体"/>
          <w:b w:val="0"/>
          <w:sz w:val="21"/>
        </w:rPr>
        <w:t xml:space="preserve">表5-55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目标年正常方式下，区域正向峰值工况转出5.90 MW、承接0.00 MW，转接后净负荷为47.21 MW；区域最低净负荷工况下，转接后净负荷为11.38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MW和11.38 MW；两方向容量约束的最小余量为0.00 MW，正向储能有效支撑功率为0.00 MW。</w:t>
      </w:r>
    </w:p>
    <w:p>
      <w:pPr>
        <w:pStyle w:val="7"/>
        <w:keepNext/>
        <w:numPr>
          <w:numId w:val="0"/>
        </w:numPr>
        <w:spacing w:line="360" w:lineRule="exact" w:before="160" w:after="120"/>
        <w:ind w:firstLine="0"/>
      </w:pPr>
      <w:bookmarkStart w:id="239" w:name="玉潭变规划分析"/>
      <w:r>
        <w:rPr>
          <w:rFonts w:ascii="Times New Roman" w:hAnsi="Times New Roman" w:eastAsia="方正仿宋_GBK"/>
          <w:b/>
          <w:sz w:val="24"/>
        </w:rPr>
        <w:t xml:space="preserve">玉潭变规划分析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MVA。2025年区域正向峰值工况下，本站转接前净负荷为45.03 MW；区域最低净负荷工况下为9.12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MW。弹性方案2022—2025年主变总容量依次为126.00、126.00、126.00、126.00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表5-56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MW，转接后净负荷为45.03 MW；区域最低净负荷工况下，转接后净负荷为9.12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MVA。重新安排转供后，两工况本站净负荷分别为45.03 MW和9.12 MW；两方向容量约束的最小余量为14.82 MW，正向储能有效支撑功率为0.00 MW。</w:t>
      </w:r>
    </w:p>
    <w:p>
      <w:pPr>
        <w:pStyle w:val="7"/>
        <w:keepNext/>
        <w:numPr>
          <w:numId w:val="0"/>
        </w:numPr>
        <w:spacing w:line="360" w:lineRule="exact" w:before="160" w:after="120"/>
        <w:ind w:firstLine="0"/>
      </w:pPr>
      <w:bookmarkStart w:id="240" w:name="茱萸变规划分析"/>
      <w:r>
        <w:rPr>
          <w:rFonts w:ascii="Times New Roman" w:hAnsi="Times New Roman" w:eastAsia="方正仿宋_GBK"/>
          <w:b/>
          <w:sz w:val="24"/>
        </w:rPr>
        <w:t xml:space="preserve">茱萸变规划分析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MVA。2025年区域正向峰值工况下，本站转接前净负荷为11.51 MW；区域最低净负荷工况下为-4.81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MVA。目标年站级负载率为15%。</w:t>
      </w:r>
    </w:p>
    <w:p>
      <w:pPr>
        <w:pStyle w:val="2"/>
        <w:keepNext/>
        <w:spacing w:line="280" w:lineRule="exact" w:before="120" w:after="80"/>
        <w:ind w:firstLine="0"/>
        <w:jc w:val="center"/>
      </w:pPr>
      <w:r>
        <w:rPr>
          <w:rFonts w:ascii="Times New Roman" w:hAnsi="Times New Roman" w:eastAsia="宋体"/>
          <w:b w:val="0"/>
          <w:sz w:val="21"/>
        </w:rPr>
        <w:t xml:space="preserve">表5-57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MW，转接后净负荷为11.51 MW；区域最低净负荷工况下，转接后净负荷为-4.81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MVA。重新安排转供后，两工况本站净负荷分别为11.51 MW和-4.81 MW；两方向容量约束的最小余量为26.49 MW，正向储能有效支撑功率为0.00 MW。</w:t>
      </w:r>
    </w:p>
    <w:p>
      <w:pPr>
        <w:pStyle w:val="5"/>
        <w:keepNext/>
        <w:numPr>
          <w:numId w:val="0"/>
        </w:numPr>
        <w:spacing w:line="390" w:lineRule="exact" w:before="160" w:after="120"/>
        <w:ind w:firstLine="0"/>
      </w:pPr>
      <w:bookmarkStart w:id="241" w:name="目标年设备配置的站间差异"/>
      <w:r>
        <w:rPr>
          <w:rFonts w:ascii="Times New Roman" w:hAnsi="Times New Roman" w:eastAsia="方正仿宋_GBK"/>
          <w:b/>
          <w:sz w:val="26"/>
        </w:rPr>
        <w:t xml:space="preserve">5.4.6 目标年设备配置的站间差异</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表5-58 站级展示范围内目标年主变台数与配储站数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邳州刚性方案的站级展示范围内，共20座站，其中0座配置三台主变、20座配置两台主变；配储站7座，储能额定功率合计32.90 MW。</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邳州弹性方案的站级展示范围内，共20座站，其中2座配置三台主变、18座配置两台主变；配储站0座，储能额定功率合计0.00 MW。</w:t>
      </w:r>
    </w:p>
    <w:p>
      <w:pPr>
        <w:pStyle w:val="2"/>
        <w:widowControl/>
        <w:spacing w:line="348" w:lineRule="exact" w:before="0" w:after="0"/>
        <w:ind w:firstLine="480"/>
        <w:jc w:val="both"/>
      </w:pPr>
      <w:r>
        <w:rPr>
          <w:rFonts w:ascii="Times New Roman" w:hAnsi="Times New Roman" w:eastAsia="方正仿宋_GBK"/>
          <w:b w:val="0"/>
          <w:sz w:val="24"/>
        </w:rPr>
        <w:t xml:space="preserve">市区刚性方案的站级展示范围内，共26座站，其中0座配置三台主变、26座配置两台主变；配储站4座，储能额定功率合计4.80 MW。</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市区弹性方案的站级展示范围内，共26座站，其中4座配置三台主变、22座配置两台主变；配储站1座，储能额定功率合计0.50 MW。</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pPr>
        <w:pStyle w:val="4"/>
        <w:keepNext/>
        <w:numPr>
          <w:numId w:val="0"/>
        </w:numPr>
        <w:spacing w:line="480" w:lineRule="exact" w:before="160" w:after="120"/>
        <w:ind w:firstLine="0"/>
      </w:pPr>
      <w:bookmarkStart w:id="1858" w:name="h858"/>
      <w:bookmarkStart w:id="242" w:name="措施作用与工程衔接"/>
      <w:r>
        <w:rPr>
          <w:rFonts w:ascii="Times New Roman" w:hAnsi="Times New Roman" w:eastAsia="方正仿宋_GBK"/>
          <w:b/>
          <w:sz w:val="32"/>
        </w:rPr>
        <w:t xml:space="preserve">5.5 措施作用与工程衔接</w:t>
      </w:r>
      <w:bookmarkEnd w:id="242"/>
      <w:bookmarkEnd w:id="1858"/>
    </w:p>
    <w:p>
      <w:pPr>
        <w:pStyle w:val="5"/>
        <w:keepNext/>
        <w:numPr>
          <w:numId w:val="0"/>
        </w:numPr>
        <w:spacing w:line="390" w:lineRule="exact" w:before="160" w:after="120"/>
        <w:ind w:firstLine="0"/>
      </w:pPr>
      <w:bookmarkStart w:id="243" w:name="逐年负荷转接与站间任务"/>
      <w:r>
        <w:rPr>
          <w:rFonts w:ascii="Times New Roman" w:hAnsi="Times New Roman" w:eastAsia="方正仿宋_GBK"/>
          <w:b/>
          <w:sz w:val="26"/>
        </w:rPr>
        <w:t xml:space="preserve">5.5.1 逐年负荷转接与站间任务</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联络建设数量、线路允许转供能力和实际转接功率是不同量。新增线路按建设数量计投资，可转能力受线路及两端设备限制，实际转接功率则按具体运行工况确定。下面分别列示区域正向峰值与最低净负荷两种正常工况。</w:t>
      </w:r>
    </w:p>
    <w:p>
      <w:pPr>
        <w:pStyle w:val="2"/>
        <w:keepNext/>
        <w:spacing w:line="280" w:lineRule="exact" w:before="120" w:after="80"/>
        <w:ind w:firstLine="0"/>
        <w:jc w:val="center"/>
      </w:pPr>
      <w:r>
        <w:rPr>
          <w:rFonts w:ascii="Times New Roman" w:hAnsi="Times New Roman" w:eastAsia="宋体"/>
          <w:b w:val="0"/>
          <w:sz w:val="21"/>
        </w:rPr>
        <w:t xml:space="preserve">表5-59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18.63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19.48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邳州弹性方案在区域正向峰值、正常运行条件下，2022年转接合计0.00 MW，2025年为79.30 MW；目标年承担转出和承接任务的站数分别为3座、7座，单站最大转出、承接量分别为41.87 MW、26.27 MW。转接量同时受年度负荷和设备投运影响。目标年正常转接中，经既有边和新增边的功率分别为0.00 MW、79.30 MW；N-1条件另按故障站逐一安排。</w:t>
      </w:r>
    </w:p>
    <w:p>
      <w:pPr>
        <w:pStyle w:val="2"/>
        <w:keepNext/>
        <w:spacing w:line="280" w:lineRule="exact" w:before="120" w:after="80"/>
        <w:ind w:firstLine="0"/>
        <w:jc w:val="center"/>
      </w:pPr>
      <w:r>
        <w:rPr>
          <w:rFonts w:ascii="Times New Roman" w:hAnsi="Times New Roman" w:eastAsia="宋体"/>
          <w:b w:val="0"/>
          <w:sz w:val="21"/>
        </w:rPr>
        <w:t xml:space="preserve">表5-60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36.46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23.26</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49.33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17.84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13.98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19.71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市区弹性方案在区域正向峰值、正常运行条件下，2022年转接合计24.87 MW，2025年为37.07 MW；目标年承担转出和承接任务的站数分别为5座、5座，单站最大转出、承接量分别为13.86 MW、13.15 MW。转接量同时受年度负荷和设备投运影响。目标年正常转接中，经既有边和新增边的功率分别为0.00 MW、37.07 MW；N-1条件另按故障站逐一安排。</w:t>
      </w:r>
    </w:p>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44" w:name="主变储能与联络的共同作用"/>
      <w:r>
        <w:rPr>
          <w:rFonts w:ascii="Times New Roman" w:hAnsi="Times New Roman" w:eastAsia="方正仿宋_GBK"/>
          <w:b/>
          <w:sz w:val="26"/>
        </w:rPr>
        <w:t xml:space="preserve">5.5.2 主变、储能与联络的共同作用</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5"/>
        <w:keepNext/>
        <w:numPr>
          <w:numId w:val="0"/>
        </w:numPr>
        <w:spacing w:line="390" w:lineRule="exact" w:before="160" w:after="120"/>
        <w:ind w:firstLine="0"/>
      </w:pPr>
      <w:bookmarkStart w:id="245" w:name="储能支撑持续时间与地区方案"/>
      <w:r>
        <w:rPr>
          <w:rFonts w:ascii="Times New Roman" w:hAnsi="Times New Roman" w:eastAsia="方正仿宋_GBK"/>
          <w:b/>
          <w:sz w:val="26"/>
        </w:rPr>
        <w:t xml:space="preserve">5.5.3 储能支撑持续时间与地区方案</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两地区规划方案采用4 h正向储能支撑持续时间，储能有效功率按额定功率及可用电量共同限制。邳州弹性方案未配置储能，其给定设备组合的可行性不直接受储能持续时间影响；市区弹性方案配置0.50 MW/1.075 MWh储能，4 h条件下对应正向有效支撑功率0.20425 MW。所需有效功率与铭牌功率分别统计。</w:t>
      </w:r>
    </w:p>
    <w:p>
      <w:pPr>
        <w:pStyle w:val="2"/>
        <w:widowControl/>
        <w:spacing w:line="348" w:lineRule="exact" w:before="0" w:after="0"/>
        <w:ind w:firstLine="480"/>
        <w:jc w:val="both"/>
      </w:pPr>
      <w:r>
        <w:rPr>
          <w:rFonts w:ascii="Times New Roman" w:hAnsi="Times New Roman" w:eastAsia="方正仿宋_GBK"/>
          <w:b w:val="0"/>
          <w:sz w:val="24"/>
        </w:rPr>
        <w:t xml:space="preserve">两地区2、4、6 h独立扰动结果见第5.5.8节。持续时间延长是否引起主变或联络方案调整，取决于本地缺口、邻站余量以及储能与其他措施的费用关系。区域95%峰值持续时间用于描述运行特征，正向与反向储能支撑条件分别核定。</w:t>
      </w:r>
    </w:p>
    <w:p>
      <w:pPr>
        <w:pStyle w:val="5"/>
        <w:keepNext/>
        <w:numPr>
          <w:numId w:val="0"/>
        </w:numPr>
        <w:spacing w:line="390" w:lineRule="exact" w:before="160" w:after="120"/>
        <w:ind w:firstLine="0"/>
      </w:pPr>
      <w:bookmarkStart w:id="246" w:name="刚性条件下无储能方案的可行性"/>
      <w:r>
        <w:rPr>
          <w:rFonts w:ascii="Times New Roman" w:hAnsi="Times New Roman" w:eastAsia="方正仿宋_GBK"/>
          <w:b/>
          <w:sz w:val="26"/>
        </w:rPr>
        <w:t xml:space="preserve">5.5.4 刚性条件下无储能方案的可行性</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无储能对照保留主变扩容与10 kV联络建设，并比较固定初始主变、固定刚性含储能候选主变布局等边界。两地区完整四年刚性无储能模型均未取得可行方案，已有独立必要容量下界用于解释限制来源。储能变量固定为零后，2/4/6 h的折算系数不影响这一无储能边界。</w:t>
      </w:r>
    </w:p>
    <w:p>
      <w:pPr>
        <w:pStyle w:val="2"/>
        <w:keepNext/>
        <w:spacing w:line="280" w:lineRule="exact" w:before="120" w:after="80"/>
        <w:ind w:firstLine="0"/>
        <w:jc w:val="center"/>
      </w:pPr>
      <w:r>
        <w:rPr>
          <w:rFonts w:ascii="Times New Roman" w:hAnsi="Times New Roman" w:eastAsia="宋体"/>
          <w:b w:val="0"/>
          <w:sz w:val="21"/>
        </w:rPr>
        <w:t xml:space="preserve">表5-61 无储能容量必要条件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刚性宽松容量上界/MVA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无储能必要容量下界/MVA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超出上界/MVA</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2927.00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1730.00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79.99</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下界在全部候选可用、放松接收站容量和部分实施限制的条件下计算，属于偏宽松的必要条件。必要容量仍超过刚性允许范围，说明当前候选集合内单靠联络无法弥补相关缺口。弹性方案通过允许的主变增容和付费联络满足同一静态约束。</w:t>
      </w:r>
    </w:p>
    <w:p>
      <w:pPr>
        <w:pStyle w:val="5"/>
        <w:keepNext/>
        <w:numPr>
          <w:numId w:val="0"/>
        </w:numPr>
        <w:spacing w:line="390" w:lineRule="exact" w:before="160" w:after="120"/>
        <w:ind w:firstLine="0"/>
      </w:pPr>
      <w:bookmarkStart w:id="247" w:name="地区案例敏感性的共同条件"/>
      <w:r>
        <w:rPr>
          <w:rFonts w:ascii="Times New Roman" w:hAnsi="Times New Roman" w:eastAsia="方正仿宋_GBK"/>
          <w:b/>
          <w:sz w:val="26"/>
        </w:rPr>
        <w:t xml:space="preserve">5.5.5 地区案例敏感性的共同条件</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以邳州和市区实际年度负荷、站级同步功率分布及具体候选网络为基础，采用弹性方案，每次改变一项参数，重新确定逐年主变、储能及联络配置。各地区初始设备、可扩建位置、主变规格及正常运行、主变N-1约束保持一致。独立扰动包括年最大净负荷平均增长率、线路成本系数和储能支撑持续时间，储能价格专项分析见第5.6.8节。</w:t>
      </w:r>
    </w:p>
    <w:p>
      <w:pPr>
        <w:pStyle w:val="2"/>
        <w:keepNext/>
        <w:spacing w:line="280" w:lineRule="exact" w:before="120" w:after="80"/>
        <w:ind w:firstLine="0"/>
        <w:jc w:val="center"/>
      </w:pPr>
      <w:r>
        <w:rPr>
          <w:rFonts w:ascii="Times New Roman" w:hAnsi="Times New Roman" w:eastAsia="宋体"/>
          <w:b w:val="0"/>
          <w:sz w:val="21"/>
        </w:rPr>
        <w:t xml:space="preserve">表5-62 地区案例核心参数及分析方式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基准</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扰动或对照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保持条件</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各地区2021—2025年复合计算值</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基准±2个百分点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年度波动形态、初始设备及候选网络</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邳州1.65；市区6.85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基准的75%、100%、125%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线路长度、固定接入费用及技术能力</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正向4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正向2、4、6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反向支撑要求、储能价格及额定规格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同一统计范围的站峰与区域同期峰关系</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站级与地区负荷对照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不由两类工况估计全年系数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邳州局部样本约28%；市区研究参考40%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分别说明资料范围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地区案例按具体路径校核</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邳州1.63；市区0.32（估计值）</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两地区源荷背景对照</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不按装机比例直接缩放净负荷</w:t>
            </w:r>
          </w:p>
        </w:tc>
      </w:tr>
    </w:tbl>
    <w:p>
      <w:pPr>
        <w:pStyle w:val="5"/>
        <w:keepNext/>
        <w:numPr>
          <w:numId w:val="0"/>
        </w:numPr>
        <w:spacing w:line="390" w:lineRule="exact" w:before="160" w:after="120"/>
        <w:ind w:firstLine="0"/>
      </w:pPr>
      <w:bookmarkStart w:id="248" w:name="年最大净负荷平均增长率的影响"/>
      <w:r>
        <w:rPr>
          <w:rFonts w:ascii="Times New Roman" w:hAnsi="Times New Roman" w:eastAsia="方正仿宋_GBK"/>
          <w:b/>
          <w:sz w:val="26"/>
        </w:rPr>
        <w:t xml:space="preserve">5.5.6 年最大净负荷平均增长率的影响</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以各地区2021—2025年实际负荷计算的年最大净负荷平均增长率为基准，分别增加和减少2个百分点。历史基准序列保留年度波动，扰动序列在每个年份乘以相应发展倍率。第</w:t>
      </w:r>
      <m:oMath>
        <m:r>
          <m:t>y</m:t>
        </m:r>
      </m:oMath>
      <w:r>
        <w:rPr>
          <w:rFonts w:ascii="Times New Roman" w:hAnsi="Times New Roman" w:eastAsia="方正仿宋_GBK"/>
          <w:b w:val="0"/>
          <w:sz w:val="24"/>
        </w:rPr>
        <w:t xml:space="preserve">年的扰动负荷按式（5-11）构造。</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y</m:t>
                          </m:r>
                        </m:sub>
                      </m:sSub>
                    </m:e>
                    <m:e>
                      <m:r>
                        <m:t>=</m:t>
                      </m:r>
                      <m:sSub>
                        <m:e>
                          <m:r>
                            <m:t>P</m:t>
                          </m:r>
                        </m:e>
                        <m:sub>
                          <m:r>
                            <m:t>y</m:t>
                          </m:r>
                        </m:sub>
                      </m:sSub>
                      <m:sSup>
                        <m:e>
                          <m:d>
                            <m:dPr>
                              <m:begChr m:val="("/>
                              <m:endChr m:val=")"/>
                              <m:grow/>
                            </m:dPr>
                            <m:e>
                              <m:f>
                                <m:fPr>
                                  <m:type m:val="bar"/>
                                </m:fPr>
                                <m:num>
                                  <m:r>
                                    <m:t>1</m:t>
                                  </m:r>
                                  <m:r>
                                    <m:t>+</m:t>
                                  </m:r>
                                  <m:acc>
                                    <m:accPr>
                                      <m:chr m:val="‾"/>
                                    </m:accPr>
                                    <m:e>
                                      <m:r>
                                        <m:t>g</m:t>
                                      </m:r>
                                    </m:e>
                                  </m:acc>
                                  <m:r>
                                    <m:t>+</m:t>
                                  </m:r>
                                  <m:r>
                                    <m:t>Δ</m:t>
                                  </m:r>
                                  <m:r>
                                    <m:t>g</m:t>
                                  </m:r>
                                </m:num>
                                <m:den>
                                  <m:r>
                                    <m:t>1</m:t>
                                  </m:r>
                                  <m:r>
                                    <m:t>+</m:t>
                                  </m:r>
                                  <m:acc>
                                    <m:accPr>
                                      <m:chr m:val="‾"/>
                                    </m:accPr>
                                    <m:e>
                                      <m:r>
                                        <m:t>g</m:t>
                                      </m:r>
                                    </m:e>
                                  </m:acc>
                                </m:den>
                              </m:f>
                            </m:e>
                          </m:d>
                        </m:e>
                        <m:sup>
                          <m:r>
                            <m:t>y</m:t>
                          </m:r>
                          <m:r>
                            <m:t>−</m:t>
                          </m:r>
                          <m:r>
                            <m:t>2021</m:t>
                          </m:r>
                        </m:sup>
                      </m:sSup>
                      <m:r>
                        <m:t>,</m:t>
                      </m:r>
                    </m:e>
                  </m:mr>
                  <m:mr>
                    <m:e>
                      <m:r>
                        <m:t>Δ</m:t>
                      </m:r>
                      <m:r>
                        <m:t>g</m:t>
                      </m:r>
                    </m:e>
                    <m:e>
                      <m:r>
                        <m:t>∈</m:t>
                      </m:r>
                      <m:r>
                        <m:t>{</m:t>
                      </m:r>
                      <m:r>
                        <m:t>−</m:t>
                      </m:r>
                      <m:r>
                        <m:t>0.02</m:t>
                      </m:r>
                      <m:r>
                        <m:t>,</m:t>
                      </m:r>
                      <m:r>
                        <m:t>0</m:t>
                      </m:r>
                      <m:r>
                        <m:t>,</m:t>
                      </m:r>
                      <m:r>
                        <m:t>0.02</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为基准年度年网供最大负荷，</w:t>
      </w:r>
      <m:oMath>
        <m:r>
          <m:t>P</m:t>
        </m:r>
        <m:sSub>
          <m:e>
            <m:r>
              <m:t>′</m:t>
            </m:r>
          </m:e>
          <m:sub>
            <m:r>
              <m:t>y</m:t>
            </m:r>
          </m:sub>
        </m:sSub>
      </m:oMath>
      <w:r>
        <w:rPr>
          <w:rFonts w:ascii="Times New Roman" w:hAnsi="Times New Roman" w:eastAsia="方正仿宋_GBK"/>
          <w:b w:val="0"/>
          <w:sz w:val="24"/>
        </w:rPr>
        <w:t xml:space="preserve">为敏感性情景负荷，单位MW；</w:t>
      </w:r>
      <m:oMath>
        <m:acc>
          <m:accPr>
            <m:chr m:val="‾"/>
          </m:accPr>
          <m:e>
            <m:r>
              <m:t>g</m:t>
            </m:r>
          </m:e>
        </m:acc>
      </m:oMath>
      <w:r>
        <w:rPr>
          <w:rFonts w:ascii="Times New Roman" w:hAnsi="Times New Roman" w:eastAsia="方正仿宋_GBK"/>
          <w:b w:val="0"/>
          <w:sz w:val="24"/>
        </w:rPr>
        <w:t xml:space="preserve">为基准年最大净负荷平均增长率，</w:t>
      </w:r>
      <m:oMath>
        <m:r>
          <m:t>Δ</m:t>
        </m:r>
        <m:r>
          <m:t>g</m:t>
        </m:r>
      </m:oMath>
      <w:r>
        <w:rPr>
          <w:rFonts w:ascii="Times New Roman" w:hAnsi="Times New Roman" w:eastAsia="方正仿宋_GBK"/>
          <w:b w:val="0"/>
          <w:sz w:val="24"/>
        </w:rPr>
        <w:t xml:space="preserve">为扰动幅度。相同年度倍率作用于各站同步功率，保留原有工况内的站间分布与负荷守恒。基期设备、候选线路热限及初始馈线能力保持不变。</w:t>
      </w:r>
    </w:p>
    <w:p>
      <w:pPr>
        <w:pStyle w:val="2"/>
        <w:keepNext/>
        <w:spacing w:line="280" w:lineRule="exact" w:before="120" w:after="80"/>
        <w:ind w:firstLine="0"/>
        <w:jc w:val="center"/>
      </w:pPr>
      <w:r>
        <w:rPr>
          <w:rFonts w:ascii="Times New Roman" w:hAnsi="Times New Roman" w:eastAsia="宋体"/>
          <w:b w:val="0"/>
          <w:sz w:val="21"/>
        </w:rPr>
        <w:t xml:space="preserve">表5-63 两地区年最大净负荷平均增长率敏感性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1795.50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22016.50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2078.50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29087.82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54243.20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1653.13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64732.35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邳州增长率提高时，主变容量从1795.50 MVA增至2078.50 MVA，目标年负荷从886.87 MW增至1030.04 MW。两端容载比均为2.02，基准为2.04，反映负荷增长与整台设备投运的幅度差异。</w:t>
      </w:r>
    </w:p>
    <w:p>
      <w:pPr>
        <w:pStyle w:val="2"/>
        <w:widowControl/>
        <w:spacing w:line="348" w:lineRule="exact" w:before="0" w:after="0"/>
        <w:ind w:firstLine="480"/>
        <w:jc w:val="both"/>
      </w:pPr>
      <w:r>
        <w:rPr>
          <w:rFonts w:ascii="Times New Roman" w:hAnsi="Times New Roman" w:eastAsia="方正仿宋_GBK"/>
          <w:b w:val="0"/>
          <w:sz w:val="24"/>
        </w:rPr>
        <w:t xml:space="preserve">市区较低与基准增长情景均采用3311.00 MVA主变，较高情景增至3324.00 MVA。目标年负荷由1411.65 MW增至1653.13 MW，增长幅度超过容量增幅，容载比由2.35降至2.01。</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改变后，容载比分母和设备容量需求同时变化。主变按整台规格投运，容量调整呈离散变化，故容载比与负荷发展未必同向。判断容量储备是否增加，应同时比较目标年公用主变总容量、年网供最大负荷及建设费用。</w:t>
      </w:r>
    </w:p>
    <w:p>
      <w:pPr>
        <w:pStyle w:val="5"/>
        <w:keepNext/>
        <w:numPr>
          <w:numId w:val="0"/>
        </w:numPr>
        <w:spacing w:line="390" w:lineRule="exact" w:before="160" w:after="120"/>
        <w:ind w:firstLine="0"/>
      </w:pPr>
      <w:bookmarkStart w:id="249" w:name="线路成本系数的影响"/>
      <w:r>
        <w:rPr>
          <w:rFonts w:ascii="Times New Roman" w:hAnsi="Times New Roman" w:eastAsia="方正仿宋_GBK"/>
          <w:b/>
          <w:sz w:val="26"/>
        </w:rPr>
        <w:t xml:space="preserve">5.5.7 线路成本系数的影响</w:t>
      </w:r>
      <w:bookmarkEnd w:id="249"/>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按各地区基准值的75%、100%、125%分别设置。线路长度、固定接入费用、单项目能力及候选路径保持不变，只有单位长度造价项随线路成本系数变化。邳州和市区基准线路成本系数分别为1.65、6.85，对应3 km参考工程投资124.80万元、499.20万元。</w:t>
      </w:r>
    </w:p>
    <w:p>
      <w:pPr>
        <w:pStyle w:val="2"/>
        <w:keepNext/>
        <w:spacing w:line="280" w:lineRule="exact" w:before="120" w:after="80"/>
        <w:ind w:firstLine="0"/>
        <w:jc w:val="center"/>
      </w:pPr>
      <w:r>
        <w:rPr>
          <w:rFonts w:ascii="Times New Roman" w:hAnsi="Times New Roman" w:eastAsia="宋体"/>
          <w:b w:val="0"/>
          <w:sz w:val="21"/>
        </w:rPr>
        <w:t xml:space="preserve">表5-64 两地区线路成本系数敏感性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24212.57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27102.99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48469.18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67519.11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邳州线路成本系数由基准的75%增至125%时，所取得可行方案的新增联络项目数由34项变为30项，主变容量由1921.00 MVA变为1955.50 MVA，储能额定功率由2.70 MW变为0.00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市区线路成本系数由基准的75%增至125%时，所取得可行方案的新增联络项目数由74项变为64项，主变容量由3267.00 MVA变为3324.00 MVA，储能额定功率保持0.50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提高时，同一线路组合的费用直接增加；重新优化后还可能出现主变增容、储能及联络项目之间的替换。若容载比未变，仍需观察新增联络项目数、储能额定功率及费用现值；若容载比发生变化，则应结合主变总容量识别离散设备选择。</w:t>
      </w:r>
    </w:p>
    <w:p>
      <w:pPr>
        <w:pStyle w:val="5"/>
        <w:keepNext/>
        <w:numPr>
          <w:numId w:val="0"/>
        </w:numPr>
        <w:spacing w:line="390" w:lineRule="exact" w:before="160" w:after="120"/>
        <w:ind w:firstLine="0"/>
      </w:pPr>
      <w:bookmarkStart w:id="250" w:name="储能支撑持续时间的影响"/>
      <w:r>
        <w:rPr>
          <w:rFonts w:ascii="Times New Roman" w:hAnsi="Times New Roman" w:eastAsia="方正仿宋_GBK"/>
          <w:b/>
          <w:sz w:val="26"/>
        </w:rPr>
        <w:t xml:space="preserve">5.5.8 储能支撑持续时间的影响</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正向储能支撑持续时间分别取2、4、6 h。各站反向支撑要求、储能单柜额定功率与额定能量、可用电量系数及采购价格保持不变。单柜额定功率0.10 MW、额定能量215 kWh，可用电量系数0.76；三种正向持续时间下，单柜有效支撑功率分别为0.08170、0.04085、约0.02723 MW。</w:t>
      </w:r>
    </w:p>
    <w:p>
      <w:pPr>
        <w:pStyle w:val="2"/>
        <w:keepNext/>
        <w:spacing w:line="280" w:lineRule="exact" w:before="120" w:after="80"/>
        <w:ind w:firstLine="0"/>
        <w:jc w:val="center"/>
      </w:pPr>
      <w:r>
        <w:rPr>
          <w:rFonts w:ascii="Times New Roman" w:hAnsi="Times New Roman" w:eastAsia="宋体"/>
          <w:b w:val="0"/>
          <w:sz w:val="21"/>
        </w:rPr>
        <w:t xml:space="preserve">表5-65 两地区储能支撑持续时间敏感性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57835.89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58767.94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邳州三个持续时间方案均未配置储能，主变容量为1955.50 MVA、容载比为2.04，持续时间变化未改变容量配置。</w:t>
      </w:r>
    </w:p>
    <w:p>
      <w:pPr>
        <w:pStyle w:val="2"/>
        <w:widowControl/>
        <w:spacing w:line="348" w:lineRule="exact" w:before="0" w:after="0"/>
        <w:ind w:firstLine="480"/>
        <w:jc w:val="both"/>
      </w:pPr>
      <w:r>
        <w:rPr>
          <w:rFonts w:ascii="Times New Roman" w:hAnsi="Times New Roman" w:eastAsia="方正仿宋_GBK"/>
          <w:b w:val="0"/>
          <w:sz w:val="24"/>
        </w:rPr>
        <w:t xml:space="preserve">市区在2、4、6 h正向支撑要求下，目标年主变容量分别为3324.00、3311.00、3324.00 MVA，储能额定功率分别为5.30、1.60、2.20 MW，容载比为2.17、2.17、2.17。储能有效支撑功率随持续时间折算，额定功率变化需要连同主变与联络配置判断。</w:t>
      </w:r>
    </w:p>
    <w:p>
      <w:pPr>
        <w:pStyle w:val="2"/>
        <w:widowControl/>
        <w:spacing w:line="348" w:lineRule="exact" w:before="0" w:after="0"/>
        <w:ind w:firstLine="480"/>
        <w:jc w:val="both"/>
      </w:pPr>
      <w:r>
        <w:rPr>
          <w:rFonts w:ascii="Times New Roman" w:hAnsi="Times New Roman" w:eastAsia="方正仿宋_GBK"/>
          <w:b w:val="0"/>
          <w:sz w:val="24"/>
        </w:rPr>
        <w:t xml:space="preserve">邳州区域95%峰值持续时间为2 h，市区为6 h。持续时间分析因此分别覆盖短时与较长近峰条件，并以4 h作为共同技术经济基准。近峰持续时间描述区域负荷曲线，工程所需储能能量还取决于主变N-1后的缺口幅值、持续过程及故障恢复时间。</w:t>
      </w:r>
    </w:p>
    <w:p>
      <w:pPr>
        <w:pStyle w:val="5"/>
        <w:keepNext/>
        <w:numPr>
          <w:numId w:val="0"/>
        </w:numPr>
        <w:spacing w:line="390" w:lineRule="exact" w:before="160" w:after="120"/>
        <w:ind w:firstLine="0"/>
      </w:pPr>
      <w:bookmarkStart w:id="251" w:name="三项参数的响应比较"/>
      <w:r>
        <w:rPr>
          <w:rFonts w:ascii="Times New Roman" w:hAnsi="Times New Roman" w:eastAsia="方正仿宋_GBK"/>
          <w:b/>
          <w:sz w:val="26"/>
        </w:rPr>
        <w:t xml:space="preserve">5.5.9 三项参数的响应比较</w:t>
      </w:r>
      <w:bookmarkEnd w:id="251"/>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5125459"/>
            <wp:effectExtent b="0" l="0" r="0" t="0"/>
            <wp:docPr descr="" title="" id="1" name="Picture"/>
            <a:graphic>
              <a:graphicData uri="http://schemas.openxmlformats.org/drawingml/2006/picture">
                <pic:pic>
                  <pic:nvPicPr>
                    <pic:cNvPr descr="研究报告/02图表/当前版/case_sensitivity.png" id="0" name="Picture"/>
                    <pic:cNvPicPr>
                      <a:picLocks noChangeArrowheads="1" noChangeAspect="1"/>
                    </pic:cNvPicPr>
                  </pic:nvPicPr>
                  <pic:blipFill>
                    <a:blip r:embed="rId252"/>
                    <a:stretch>
                      <a:fillRect/>
                    </a:stretch>
                  </pic:blipFill>
                  <pic:spPr bwMode="auto">
                    <a:xfrm>
                      <a:off x="0" y="0"/>
                      <a:ext cx="5120640" cy="512545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两地区核心参数扰动下的容载比与费用响应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年最大净负荷平均增长率的扰动同时作用于各年功率规模及容载比分母；线路成本系数直接改变联络投资，设备组合可随经济条件调整；储能支撑持续时间改变单位储能可提供的持续功率。</w:t>
      </w:r>
    </w:p>
    <w:p>
      <w:pPr>
        <w:pStyle w:val="2"/>
        <w:widowControl/>
        <w:spacing w:line="348" w:lineRule="exact" w:before="0" w:after="0"/>
        <w:ind w:firstLine="480"/>
        <w:jc w:val="both"/>
      </w:pPr>
      <w:r>
        <w:rPr>
          <w:rFonts w:ascii="Times New Roman" w:hAnsi="Times New Roman" w:eastAsia="方正仿宋_GBK"/>
          <w:b w:val="0"/>
          <w:sz w:val="24"/>
        </w:rPr>
        <w:t xml:space="preserve">市区敏感性分析以零扰动方案为基准，其主变容量为3311.00 MVA、容载比为2.17、费用为58332.34万元。第五章规划方案采用3324.00 MVA，费用为58346.09万元。两种配置的费用接近。</w:t>
      </w:r>
    </w:p>
    <w:p>
      <w:pPr>
        <w:pStyle w:val="2"/>
        <w:widowControl/>
        <w:spacing w:line="348" w:lineRule="exact" w:before="0" w:after="0"/>
        <w:ind w:firstLine="480"/>
        <w:jc w:val="both"/>
      </w:pPr>
      <w:r>
        <w:rPr>
          <w:rFonts w:ascii="Times New Roman" w:hAnsi="Times New Roman" w:eastAsia="方正仿宋_GBK"/>
          <w:b w:val="0"/>
          <w:sz w:val="24"/>
        </w:rPr>
        <w:t xml:space="preserve">图中比较各情景方案的容载比与评价期费用现值。</w:t>
      </w:r>
    </w:p>
    <w:p>
      <w:pPr>
        <w:pStyle w:val="2"/>
        <w:widowControl/>
        <w:spacing w:line="348" w:lineRule="exact" w:before="0" w:after="0"/>
        <w:ind w:firstLine="480"/>
        <w:jc w:val="both"/>
      </w:pPr>
      <w:r>
        <w:rPr>
          <w:rFonts w:ascii="Times New Roman" w:hAnsi="Times New Roman" w:eastAsia="方正仿宋_GBK"/>
          <w:b w:val="0"/>
          <w:sz w:val="24"/>
        </w:rPr>
        <w:t xml:space="preserve">案例敏感性用于识别现有设备和网络条件下的响应，推广分析用于比较不同参数组合。两者共用指标定义与工程费用方法，保留各自的负荷、设备和网络基础。由案例发现的局部响应，可在推广矩阵中进一步检查适用条件。</w:t>
      </w:r>
    </w:p>
    <w:p>
      <w:pPr>
        <w:pStyle w:val="4"/>
        <w:keepNext/>
        <w:numPr>
          <w:numId w:val="0"/>
        </w:numPr>
        <w:spacing w:line="480" w:lineRule="exact" w:before="160" w:after="120"/>
        <w:ind w:firstLine="0"/>
      </w:pPr>
      <w:bookmarkStart w:id="1908" w:name="h908"/>
      <w:bookmarkStart w:id="253" w:name="参数拓展与通用推荐矩阵"/>
      <w:r>
        <w:rPr>
          <w:rFonts w:ascii="Times New Roman" w:hAnsi="Times New Roman" w:eastAsia="方正仿宋_GBK"/>
          <w:b/>
          <w:sz w:val="32"/>
        </w:rPr>
        <w:t xml:space="preserve">5.6 参数拓展与通用推荐矩阵</w:t>
      </w:r>
      <w:bookmarkEnd w:id="253"/>
      <w:bookmarkEnd w:id="1908"/>
    </w:p>
    <w:p>
      <w:pPr>
        <w:pStyle w:val="5"/>
        <w:keepNext/>
        <w:numPr>
          <w:numId w:val="0"/>
        </w:numPr>
        <w:spacing w:line="390" w:lineRule="exact" w:before="160" w:after="120"/>
        <w:ind w:firstLine="0"/>
      </w:pPr>
      <w:bookmarkStart w:id="254" w:name="核心参数及区间设置"/>
      <w:r>
        <w:rPr>
          <w:rFonts w:ascii="Times New Roman" w:hAnsi="Times New Roman" w:eastAsia="方正仿宋_GBK"/>
          <w:b/>
          <w:sz w:val="26"/>
        </w:rPr>
        <w:t xml:space="preserve">5.6.1 核心参数及区间设置</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和负荷分散系数六项参数。储能价格单独分析。供电区域类别用于核对规划技术要求，线路造价差异由线路成本系数表示；具体设备及网络条件按片区资料确定。</w:t>
      </w:r>
    </w:p>
    <w:p>
      <w:pPr>
        <w:pStyle w:val="2"/>
        <w:keepNext/>
        <w:spacing w:line="280" w:lineRule="exact" w:before="120" w:after="80"/>
        <w:ind w:firstLine="0"/>
        <w:jc w:val="center"/>
      </w:pPr>
      <w:r>
        <w:rPr>
          <w:rFonts w:ascii="Times New Roman" w:hAnsi="Times New Roman" w:eastAsia="宋体"/>
          <w:b w:val="0"/>
          <w:sz w:val="21"/>
        </w:rPr>
        <w:t xml:space="preserve">表5-66 推广矩阵参数区间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取值依据</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≤1.00；(1.00, 2.00]；&gt;2.00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 4%]；(4%, 7%]；&gt;7%</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DL/T 5729—2023表6.3.4</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≤1.65；(1.65, 6.85]；&gt;6.85</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≤30%；(30%, 50%]；&gt;50%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h；(2 h, 4 h]；&gt;4 h</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≤1.10；&gt;1.10</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bl>
    <w:p>
      <w:pPr>
        <w:pStyle w:val="2"/>
        <w:widowControl/>
        <w:spacing w:line="348" w:lineRule="exact" w:before="0" w:after="0"/>
        <w:ind w:firstLine="480"/>
        <w:jc w:val="both"/>
      </w:pPr>
      <w:r>
        <w:rPr>
          <w:rFonts w:ascii="Times New Roman" w:hAnsi="Times New Roman" w:eastAsia="方正仿宋_GBK"/>
          <w:b w:val="0"/>
          <w:sz w:val="24"/>
        </w:rPr>
        <w:t xml:space="preserve">注：负荷分散系数按定义不小于1；分布式电源装机渗透率和线路成本系数非负；初始转供率在0～100%内；储能支撑持续时间为正。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增长率分档直接采用DL/T 5729—2023表6.3.4，其他参数采用同样的首尾开口形式，分界值为本研究设置。参数分类不以有限采样点的最小、最大值截断；负增长属于首档，超过10%的增长率仍属于末档。参数固有定义仍有效，如转供比例不超过100%、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各参数组合先按共同约束和费用目标确定可行方案，再将同一分类单元内这些方案的容载比最小值与最大值归纳为推荐区间。</w:t>
      </w:r>
    </w:p>
    <w:p>
      <w:pPr>
        <w:pStyle w:val="5"/>
        <w:keepNext/>
        <w:numPr>
          <w:numId w:val="0"/>
        </w:numPr>
        <w:spacing w:line="390" w:lineRule="exact" w:before="160" w:after="120"/>
        <w:ind w:firstLine="0"/>
      </w:pPr>
      <w:bookmarkStart w:id="255" w:name="五站模板及源荷构造"/>
      <w:r>
        <w:rPr>
          <w:rFonts w:ascii="Times New Roman" w:hAnsi="Times New Roman" w:eastAsia="方正仿宋_GBK"/>
          <w:b/>
          <w:sz w:val="26"/>
        </w:rPr>
        <w:t xml:space="preserve">5.6.2 五站模板及源荷构造</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模板含5座站，每站初始两台50 MVA主变，区域基期网供峰值250 MW。正常晚峰假设光伏不出力，用户最大负荷与正向网供峰值相等；日间负荷取峰值的30%，光伏出力系数取0.75，装机按独立空间权重分配。</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y</m:t>
                          </m:r>
                        </m:sub>
                      </m:sSub>
                    </m:e>
                    <m:e>
                      <m:r>
                        <m:t>=</m:t>
                      </m:r>
                      <m:r>
                        <m:t>250</m:t>
                      </m:r>
                      <m:r>
                        <m:t>(</m:t>
                      </m:r>
                      <m:r>
                        <m:t>1</m:t>
                      </m:r>
                      <m:r>
                        <m:t>+</m:t>
                      </m:r>
                      <m:r>
                        <m:t>g</m:t>
                      </m:r>
                      <m:sSup>
                        <m:e>
                          <m:r>
                            <m:t>)</m:t>
                          </m:r>
                        </m:e>
                        <m:sup>
                          <m:r>
                            <m:t>4</m:t>
                          </m:r>
                        </m:sup>
                      </m:sSup>
                      <m:r>
                        <m:t>,</m:t>
                      </m:r>
                    </m:e>
                  </m:mr>
                  <m:mr>
                    <m:e>
                      <m:sSub>
                        <m:e>
                          <m:r>
                            <m:t>P</m:t>
                          </m:r>
                        </m:e>
                        <m:sub>
                          <m:r>
                            <m:t>i</m:t>
                          </m:r>
                          <m:r>
                            <m:t>,</m:t>
                          </m:r>
                          <m:r>
                            <m:rPr>
                              <m:sty m:val="p"/>
                            </m:rPr>
                            <m:t>e</m:t>
                          </m:r>
                          <m:r>
                            <m:rPr>
                              <m:sty m:val="p"/>
                            </m:rPr>
                            <m:t>v</m:t>
                          </m:r>
                          <m:r>
                            <m:rPr>
                              <m:sty m:val="p"/>
                            </m:rPr>
                            <m:t>e</m:t>
                          </m:r>
                          <m:r>
                            <m:rPr>
                              <m:sty m:val="p"/>
                            </m:rPr>
                            <m:t>n</m:t>
                          </m:r>
                          <m:r>
                            <m:rPr>
                              <m:sty m:val="p"/>
                            </m:rPr>
                            <m:t>i</m:t>
                          </m:r>
                          <m:r>
                            <m:rPr>
                              <m:sty m:val="p"/>
                            </m:rPr>
                            <m:t>n</m:t>
                          </m:r>
                          <m:r>
                            <m:rPr>
                              <m:sty m:val="p"/>
                            </m:rPr>
                            <m:t>g</m:t>
                          </m:r>
                        </m:sub>
                      </m:sSub>
                    </m:e>
                    <m:e>
                      <m:r>
                        <m:t>=</m:t>
                      </m:r>
                      <m:sSubSup>
                        <m:e>
                          <m:r>
                            <m:t>w</m:t>
                          </m:r>
                        </m:e>
                        <m:sub>
                          <m:r>
                            <m:t>i</m:t>
                          </m:r>
                        </m:sub>
                        <m:sup>
                          <m:r>
                            <m:t>L</m:t>
                          </m:r>
                        </m:sup>
                      </m:sSubSup>
                      <m:sSub>
                        <m:e>
                          <m:r>
                            <m:t>P</m:t>
                          </m:r>
                        </m:e>
                        <m:sub>
                          <m:r>
                            <m:t>y</m:t>
                          </m:r>
                        </m:sub>
                      </m:sSub>
                      <m:r>
                        <m:t>,</m:t>
                      </m:r>
                    </m:e>
                  </m:mr>
                  <m:mr>
                    <m:e>
                      <m:sSub>
                        <m:e>
                          <m:r>
                            <m:t>P</m:t>
                          </m:r>
                        </m:e>
                        <m:sub>
                          <m:r>
                            <m:t>i</m:t>
                          </m:r>
                          <m:r>
                            <m:t>,</m:t>
                          </m:r>
                          <m:r>
                            <m:rPr>
                              <m:sty m:val="p"/>
                            </m:rPr>
                            <m:t>d</m:t>
                          </m:r>
                          <m:r>
                            <m:rPr>
                              <m:sty m:val="p"/>
                            </m:rPr>
                            <m:t>a</m:t>
                          </m:r>
                          <m:r>
                            <m:rPr>
                              <m:sty m:val="p"/>
                            </m:rPr>
                            <m:t>y</m:t>
                          </m:r>
                        </m:sub>
                      </m:sSub>
                    </m:e>
                    <m:e>
                      <m:r>
                        <m:t>=</m:t>
                      </m:r>
                      <m:r>
                        <m:t>0.30</m:t>
                      </m:r>
                      <m:sSubSup>
                        <m:e>
                          <m:r>
                            <m:t>w</m:t>
                          </m:r>
                        </m:e>
                        <m:sub>
                          <m:r>
                            <m:t>i</m:t>
                          </m:r>
                        </m:sub>
                        <m:sup>
                          <m:r>
                            <m:t>L</m:t>
                          </m:r>
                        </m:sup>
                      </m:sSubSup>
                      <m:sSub>
                        <m:e>
                          <m:r>
                            <m:t>P</m:t>
                          </m:r>
                        </m:e>
                        <m:sub>
                          <m:r>
                            <m:t>y</m:t>
                          </m:r>
                        </m:sub>
                      </m:sSub>
                      <m:r>
                        <m:t>−</m:t>
                      </m:r>
                      <m:r>
                        <m:t>0.75</m:t>
                      </m:r>
                      <m:r>
                        <m:t>η</m:t>
                      </m:r>
                      <m:sSubSup>
                        <m:e>
                          <m:r>
                            <m:t>w</m:t>
                          </m:r>
                        </m:e>
                        <m:sub>
                          <m:r>
                            <m:t>i</m:t>
                          </m:r>
                        </m:sub>
                        <m:sup>
                          <m:r>
                            <m:t>G</m:t>
                          </m:r>
                        </m:sup>
                      </m:sSubSup>
                      <m:sSub>
                        <m:e>
                          <m:r>
                            <m:t>P</m:t>
                          </m:r>
                        </m:e>
                        <m:sub>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η</m:t>
        </m:r>
      </m:oMath>
      <w:r>
        <w:rPr>
          <w:rFonts w:ascii="Times New Roman" w:hAnsi="Times New Roman" w:eastAsia="方正仿宋_GBK"/>
          <w:b w:val="0"/>
          <w:sz w:val="24"/>
        </w:rPr>
        <w:t xml:space="preserve">为分布式电源装机渗透率，</w:t>
      </w:r>
      <m:oMath>
        <m:sSubSup>
          <m:e>
            <m:r>
              <m:t>w</m:t>
            </m:r>
          </m:e>
          <m:sub>
            <m:r>
              <m:t>i</m:t>
            </m:r>
          </m:sub>
          <m:sup>
            <m:r>
              <m:t>L</m:t>
            </m:r>
          </m:sup>
        </m:sSubSup>
      </m:oMath>
      <w:r>
        <w:rPr>
          <w:rFonts w:ascii="Times New Roman" w:hAnsi="Times New Roman" w:eastAsia="方正仿宋_GBK"/>
          <w:b w:val="0"/>
          <w:sz w:val="24"/>
        </w:rPr>
        <w:t xml:space="preserve">和</w:t>
      </w:r>
      <m:oMath>
        <m:sSubSup>
          <m:e>
            <m:r>
              <m:t>w</m:t>
            </m:r>
          </m:e>
          <m:sub>
            <m:r>
              <m:t>i</m:t>
            </m:r>
          </m:sub>
          <m:sup>
            <m:r>
              <m:t>G</m:t>
            </m:r>
          </m:sup>
        </m:sSubSup>
      </m:oMath>
      <w:r>
        <w:rPr>
          <w:rFonts w:ascii="Times New Roman" w:hAnsi="Times New Roman" w:eastAsia="方正仿宋_GBK"/>
          <w:b w:val="0"/>
          <w:sz w:val="24"/>
        </w:rPr>
        <w:t xml:space="preserve">分别为负荷及光伏分配权重，两组权重各自合计为1。负荷分散系数取1.00、1.10、1.15，单参数详细切片采用1.10作为基准，各站非同时峰值通过额外静态场景表达，场景内区域负荷合计仍为</w:t>
      </w:r>
      <m:oMath>
        <m:sSub>
          <m:e>
            <m:r>
              <m:t>P</m:t>
            </m:r>
          </m:e>
          <m:sub>
            <m:r>
              <m:t>y</m:t>
            </m:r>
          </m:sub>
        </m:sSub>
      </m:oMath>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既有联络以相邻站网络表示，新增候选按具体馈线端点配置。初始转供预算按基期MW固定，线路热限保持不变。初始转供率是网络设置参数，实际转供量由馈线、邻站容量和运行工况共同确定。另以增加邻接关系的模板检查结构影响。</w:t>
      </w:r>
    </w:p>
    <w:p>
      <w:pPr>
        <w:pStyle w:val="2"/>
        <w:keepNext/>
        <w:spacing w:line="280" w:lineRule="exact" w:before="120" w:after="80"/>
        <w:ind w:firstLine="0"/>
        <w:jc w:val="center"/>
      </w:pPr>
      <w:r>
        <w:rPr>
          <w:rFonts w:ascii="Times New Roman" w:hAnsi="Times New Roman" w:eastAsia="宋体"/>
          <w:b w:val="0"/>
          <w:sz w:val="21"/>
        </w:rPr>
        <w:t xml:space="preserve">表5-67 五站模板与有限采样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初始设备</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5站，每站2×50 MVA；允许第三台50 MVA</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基期网供峰值</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目标时点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1.00、1.10、1.15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0、0.50、1.00、1.50、2.00、2.50、3.00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年最大净负荷平均增长率计算节点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0～10%；含导则分界及区间内节点</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1.00、1.65、4.25、6.85、7.50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30%、40%、50%、60%、70%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2、4、6 h</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线路长度/新增单边能力</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 km/7.49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候选结构</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相邻站联络为基准，增加邻接关系作对照</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线路成本按</w:t>
      </w:r>
      <m:oMath>
        <m:sSub>
          <m:e>
            <m:r>
              <m:t>I</m:t>
            </m:r>
          </m:e>
          <m:sub>
            <m:r>
              <m:t>L</m:t>
            </m:r>
          </m:sub>
        </m:sSub>
        <m:r>
          <m:t>=</m:t>
        </m:r>
        <m:r>
          <m:t>24</m:t>
        </m:r>
        <m:r>
          <m:t>L</m:t>
        </m:r>
        <m:sSub>
          <m:e>
            <m:r>
              <m:t>k</m:t>
            </m:r>
          </m:e>
          <m:sub>
            <m:r>
              <m:t>L</m:t>
            </m:r>
          </m:sub>
        </m:sSub>
        <m:r>
          <m:t>+</m:t>
        </m:r>
        <m:r>
          <m:t>6</m:t>
        </m:r>
      </m:oMath>
      <w:r>
        <w:rPr>
          <w:rFonts w:ascii="Times New Roman" w:hAnsi="Times New Roman" w:eastAsia="方正仿宋_GBK"/>
          <w:b w:val="0"/>
          <w:sz w:val="24"/>
        </w:rPr>
        <w:t xml:space="preserve">计算，单位万元。</w:t>
      </w:r>
      <m:oMath>
        <m:r>
          <m:t>L</m:t>
        </m:r>
      </m:oMath>
      <w:r>
        <w:rPr>
          <w:rFonts w:ascii="Times New Roman" w:hAnsi="Times New Roman" w:eastAsia="方正仿宋_GBK"/>
          <w:b w:val="0"/>
          <w:sz w:val="24"/>
        </w:rPr>
        <w:t xml:space="preserve">为线路长度，基准为3 km；</w:t>
      </w:r>
      <m:oMath>
        <m:sSub>
          <m:e>
            <m:r>
              <m:t>k</m:t>
            </m:r>
          </m:e>
          <m:sub>
            <m:r>
              <m:t>L</m:t>
            </m:r>
          </m:sub>
        </m:sSub>
      </m:oMath>
      <w:r>
        <w:rPr>
          <w:rFonts w:ascii="Times New Roman" w:hAnsi="Times New Roman" w:eastAsia="方正仿宋_GBK"/>
          <w:b w:val="0"/>
          <w:sz w:val="24"/>
        </w:rPr>
        <w:t xml:space="preserve">为相对架空基价的单位长度造价系数。固定接入费用6万元独立计取。系数1.65、6.85分别对应所用参考基价下10%、90%的电缆长度构成，作为线路成本系数的取值依据。</w:t>
      </w:r>
    </w:p>
    <w:p>
      <w:pPr>
        <w:pStyle w:val="5"/>
        <w:keepNext/>
        <w:numPr>
          <w:numId w:val="0"/>
        </w:numPr>
        <w:spacing w:line="390" w:lineRule="exact" w:before="160" w:after="120"/>
        <w:ind w:firstLine="0"/>
      </w:pPr>
      <w:bookmarkStart w:id="256" w:name="推荐矩阵及查表方法"/>
      <w:r>
        <w:rPr>
          <w:rFonts w:ascii="Times New Roman" w:hAnsi="Times New Roman" w:eastAsia="方正仿宋_GBK"/>
          <w:b/>
          <w:sz w:val="26"/>
        </w:rPr>
        <w:t xml:space="preserve">5.6.3 推荐矩阵及查表方法</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推广计算覆盖12600组参数组合，按负荷分散系数分为两组，共形成648个参数区间单元。负荷分散系数不大于1.10组包括1.00、1.10两个计算节点，大于1.10组采用1.15节点；储能支撑持续时间采用2、4、6 h节点。全部结果通过设备及网络约束核验。容载比计算值总体为2.01～3.28，区间形式覆盖参数定义域，数值结论限于已计算节点及所设模板。</w:t>
      </w:r>
    </w:p>
    <w:p>
      <w:pPr>
        <w:pStyle w:val="2"/>
        <w:keepNext/>
        <w:spacing w:line="280" w:lineRule="exact" w:before="120" w:after="80"/>
        <w:ind w:firstLine="0"/>
        <w:jc w:val="center"/>
      </w:pPr>
      <w:r>
        <w:rPr>
          <w:rFonts w:ascii="Times New Roman" w:hAnsi="Times New Roman" w:eastAsia="宋体"/>
          <w:b w:val="0"/>
          <w:sz w:val="21"/>
        </w:rPr>
        <w:t xml:space="preserve">表5-68 负荷分散系数≤1.10、分布式电源装机渗透率≤1.00、储能支撑持续时间≤2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表5-69 负荷分散系数≤1.10、分布式电源装机渗透率(1.00,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表5-70 负荷分散系数≤1.10、分布式电源装机渗透率&gt;2.00、储能支撑持续时间≤2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表5-71 负荷分散系数≤1.10、分布式电源装机渗透率≤1.00、储能支撑持续时间(2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表5-72 负荷分散系数≤1.10、分布式电源装机渗透率(1.00,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表5-73 负荷分散系数≤1.10、分布式电源装机渗透率&gt;2.00、储能支撑持续时间(2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表5-74 负荷分散系数≤1.10、分布式电源装机渗透率≤1.00、储能支撑持续时间&gt;4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表5-75 负荷分散系数≤1.10、分布式电源装机渗透率(1.00,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表5-76 负荷分散系数≤1.10、分布式电源装机渗透率&gt;2.00、储能支撑持续时间&gt;4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表5-77 负荷分散系数&gt;1.10、分布式电源装机渗透率≤1.00、储能支撑持续时间≤2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表5-78 负荷分散系数&gt;1.10、分布式电源装机渗透率(1.00,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表5-79 负荷分散系数&gt;1.10、分布式电源装机渗透率&gt;2.00、储能支撑持续时间≤2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表5-80 负荷分散系数&gt;1.10、分布式电源装机渗透率≤1.00、储能支撑持续时间(2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表5-81 负荷分散系数&gt;1.10、分布式电源装机渗透率(1.00,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表5-82 负荷分散系数&gt;1.10、分布式电源装机渗透率&gt;2.00、储能支撑持续时间(2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表5-83 负荷分散系数&gt;1.10、分布式电源装机渗透率≤1.00、储能支撑持续时间&gt;4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2.03～2.15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2.05～2.15</w:t>
            </w:r>
          </w:p>
        </w:tc>
      </w:tr>
    </w:tbl>
    <w:p>
      <w:pPr>
        <w:pStyle w:val="2"/>
        <w:keepNext/>
        <w:spacing w:line="280" w:lineRule="exact" w:before="120" w:after="80"/>
        <w:ind w:firstLine="0"/>
        <w:jc w:val="center"/>
      </w:pPr>
      <w:r>
        <w:rPr>
          <w:rFonts w:ascii="Times New Roman" w:hAnsi="Times New Roman" w:eastAsia="宋体"/>
          <w:b w:val="0"/>
          <w:sz w:val="21"/>
        </w:rPr>
        <w:t xml:space="preserve">表5-84 负荷分散系数&gt;1.10、分布式电源装机渗透率(1.00,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表5-85 负荷分散系数&gt;1.10、分布式电源装机渗透率&gt;2.00、储能支撑持续时间&gt;4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widowControl/>
        <w:spacing w:line="348" w:lineRule="exact" w:before="0" w:after="0"/>
        <w:ind w:firstLine="480"/>
        <w:jc w:val="both"/>
      </w:pPr>
      <w:r>
        <w:rPr>
          <w:rFonts w:ascii="Times New Roman" w:hAnsi="Times New Roman" w:eastAsia="方正仿宋_GBK"/>
          <w:b w:val="0"/>
          <w:sz w:val="24"/>
        </w:rPr>
        <w:t xml:space="preserve">查表先按负荷分散系数确定分组，再确定其余五项输入所在区间，再核对该单元的已计算参数和模板条件。表中范围用于给定条件下的初步方案比选，最终容量须按实际主变规格、站间网络和储能条件重新落实。首尾档的新增计算点仍归原区间；超出已验证条件时补充计算，不改变区间端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8036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7"/>
                    <a:stretch>
                      <a:fillRect/>
                    </a:stretch>
                  </pic:blipFill>
                  <pic:spPr bwMode="auto">
                    <a:xfrm>
                      <a:off x="0" y="0"/>
                      <a:ext cx="5120640" cy="288036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图5-5 分布式电源装机渗透率与年最大净负荷平均增长率变化下的容载比（负荷分散系数1.10）</w:t>
      </w:r>
    </w:p>
    <w:p>
      <w:pPr>
        <w:pStyle w:val="2"/>
        <w:widowControl/>
        <w:spacing w:line="348" w:lineRule="exact" w:before="0" w:after="0"/>
        <w:ind w:firstLine="480"/>
        <w:jc w:val="both"/>
      </w:pPr>
      <w:r>
        <w:rPr>
          <w:rFonts w:ascii="Times New Roman" w:hAnsi="Times New Roman" w:eastAsia="方正仿宋_GBK"/>
          <w:b w:val="0"/>
          <w:sz w:val="24"/>
        </w:rPr>
        <w:t xml:space="preserve">图示固定线路成本系数4.25、初始转供率40%、储能支撑持续时间4 h和负荷分散系数1.10。颜色表示相应计算节点的容载比，完整分类结果以上述六参数矩阵为准。</w:t>
      </w:r>
    </w:p>
    <w:p>
      <w:pPr>
        <w:pStyle w:val="5"/>
        <w:keepNext/>
        <w:numPr>
          <w:numId w:val="0"/>
        </w:numPr>
        <w:spacing w:line="390" w:lineRule="exact" w:before="160" w:after="120"/>
        <w:ind w:firstLine="0"/>
      </w:pPr>
      <w:bookmarkStart w:id="258" w:name="主参数的受控变化"/>
      <w:r>
        <w:rPr>
          <w:rFonts w:ascii="Times New Roman" w:hAnsi="Times New Roman" w:eastAsia="方正仿宋_GBK"/>
          <w:b/>
          <w:sz w:val="26"/>
        </w:rPr>
        <w:t xml:space="preserve">5.6.4 主参数的受控变化</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六项参数分别采用固定其余输入的配对比较，分析容载比、设备配置与评价期费用的响应。</w:t>
      </w:r>
    </w:p>
    <w:p>
      <w:pPr>
        <w:pStyle w:val="2"/>
        <w:keepNext/>
        <w:spacing w:line="280" w:lineRule="exact" w:before="120" w:after="80"/>
        <w:ind w:firstLine="0"/>
        <w:jc w:val="center"/>
      </w:pPr>
      <w:r>
        <w:rPr>
          <w:rFonts w:ascii="Times New Roman" w:hAnsi="Times New Roman" w:eastAsia="宋体"/>
          <w:b w:val="0"/>
          <w:sz w:val="21"/>
        </w:rPr>
        <w:t xml:space="preserve">表5-86 核心参数最低与最高计算节点的配对变化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平均容载比差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最大绝对差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容载比变化占比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平均费用差/万元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70331.67</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26395.44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-893.18</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13945.02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587.64</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提高后，日间反向功率需求增加；年最大净负荷平均增长率同时改变容量需求和容载比分母。负荷分散系数在区域同时最大负荷不变的条件下改变各站独立峰值，从而影响局部主变N-1及站间支援要求。线路成本系数、初始转供率和储能支撑持续时间分别作用于工程费用、存量转供预算和储能有效支撑功率，需结合设备组合解释响应。</w:t>
      </w:r>
    </w:p>
    <w:p>
      <w:pPr>
        <w:pStyle w:val="2"/>
        <w:widowControl/>
        <w:spacing w:line="348" w:lineRule="exact" w:before="0" w:after="0"/>
        <w:ind w:firstLine="480"/>
        <w:jc w:val="both"/>
      </w:pPr>
      <w:r>
        <w:rPr>
          <w:rFonts w:ascii="Times New Roman" w:hAnsi="Times New Roman" w:eastAsia="方正仿宋_GBK"/>
          <w:b w:val="0"/>
          <w:sz w:val="24"/>
        </w:rPr>
        <w:t xml:space="preserve">比较按固定其余输入后的参数配对进行。平均变化反映总体方向，最大变化和发生变化的配对比例用于识别离散设备切换。增长率同时改变目标年容量需求及容载比分母，需结合主变容量分析其响应。费用接近而设备组合不唯一时，小幅容载比变化仅作为候选配置差异分析。</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负荷分散系数用于反映各站独立峰值与区域同时峰值的差异。以下固定年最大净负荷平均增长率4%、线路成本系数4.25、初始转供率40%和储能支撑持续时间4 h，分别考察负荷分散系数1.00、1.10、1.15。各站非同时峰值通过额外工况计入，区域同时最大负荷保持一致。</w:t>
      </w:r>
    </w:p>
    <w:p>
      <w:pPr>
        <w:pStyle w:val="2"/>
        <w:keepNext/>
        <w:spacing w:line="280" w:lineRule="exact" w:before="120" w:after="80"/>
        <w:ind w:firstLine="0"/>
        <w:jc w:val="center"/>
      </w:pPr>
      <w:r>
        <w:rPr>
          <w:rFonts w:ascii="Times New Roman" w:hAnsi="Times New Roman" w:eastAsia="宋体"/>
          <w:b w:val="0"/>
          <w:sz w:val="21"/>
        </w:rPr>
        <w:t xml:space="preserve">表5-87 不同负荷分散系数下的设备组合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3363.97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33901.05</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分布式电源装机渗透率为0.50时，三种负荷分散系数下的公用主变总容量均为600.00 MVA、容载比均为2.05，新增联络项目数分别为0、1、2。负荷分散系数在这些节点主要影响联络建设。分布式电源装机渗透率为2.50时，三组均采用820.00 MVA主变容量及103.10 MW储能额定功率，反向容量要求在这些节点中起主要作用，负荷分散系数变化未触发设备切换。</w:t>
      </w:r>
    </w:p>
    <w:p>
      <w:pPr>
        <w:pStyle w:val="2"/>
        <w:widowControl/>
        <w:spacing w:line="348" w:lineRule="exact" w:before="0" w:after="0"/>
        <w:ind w:firstLine="480"/>
        <w:jc w:val="both"/>
      </w:pPr>
      <w:r>
        <w:rPr>
          <w:rFonts w:ascii="Times New Roman" w:hAnsi="Times New Roman" w:eastAsia="方正仿宋_GBK"/>
          <w:b w:val="0"/>
          <w:sz w:val="24"/>
        </w:rPr>
        <w:t xml:space="preserve">以下在分布式电源装机渗透率0.50下分别比较线路成本系数和初始转供率。除变化参数外，增长率取4%、储能支撑持续时间取4 h；线路成本变化时初始转供率为40%，转供率变化时线路成本系数为4.25。</w:t>
      </w:r>
    </w:p>
    <w:p>
      <w:pPr>
        <w:pStyle w:val="2"/>
        <w:keepNext/>
        <w:spacing w:line="280" w:lineRule="exact" w:before="120" w:after="80"/>
        <w:ind w:firstLine="0"/>
        <w:jc w:val="center"/>
      </w:pPr>
      <w:r>
        <w:rPr>
          <w:rFonts w:ascii="Times New Roman" w:hAnsi="Times New Roman" w:eastAsia="宋体"/>
          <w:b w:val="0"/>
          <w:sz w:val="21"/>
        </w:rPr>
        <w:t xml:space="preserve">表5-88 线路成本系数变化（分布式电源装机渗透率0.50）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2880.64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3243.14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3288.45</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线路成本系数从1.00提高至7.50，方案始终采用600.00 MVA主变和1条新增联络，未配置储能。费用增加453.12万元，来自同一联络项目的造价上涨；在这组条件下，改用其他措施尚不具备费用优势。</w:t>
      </w:r>
    </w:p>
    <w:p>
      <w:pPr>
        <w:pStyle w:val="2"/>
        <w:widowControl/>
        <w:spacing w:line="348" w:lineRule="exact" w:before="0" w:after="0"/>
        <w:ind w:firstLine="480"/>
        <w:jc w:val="both"/>
      </w:pPr>
      <w:r>
        <w:rPr>
          <w:rFonts w:ascii="Times New Roman" w:hAnsi="Times New Roman" w:eastAsia="方正仿宋_GBK"/>
          <w:b w:val="0"/>
          <w:sz w:val="24"/>
        </w:rPr>
        <w:t xml:space="preserve">主网格的端点配对还包含设备替换情形，其发生比例与容量变化见核心参数配对表。</w:t>
      </w:r>
    </w:p>
    <w:p>
      <w:pPr>
        <w:pStyle w:val="2"/>
        <w:keepNext/>
        <w:spacing w:line="280" w:lineRule="exact" w:before="120" w:after="80"/>
        <w:ind w:firstLine="0"/>
        <w:jc w:val="center"/>
      </w:pPr>
      <w:r>
        <w:rPr>
          <w:rFonts w:ascii="Times New Roman" w:hAnsi="Times New Roman" w:eastAsia="宋体"/>
          <w:b w:val="0"/>
          <w:sz w:val="21"/>
        </w:rPr>
        <w:t xml:space="preserve">表5-89 初始转供率变化（分布式电源装机渗透率0.50）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初始转供率由30%提高至40%时，既有网络支援增强，主变容量从650.00 MVA降至600.00 MVA，并新增1条联络。提高至60%后，既有联络已能满足转接需求，新增联络取消，费用降至2759.81万元。主变容量与线路建设分别在不同取值处发生调整。</w:t>
      </w:r>
    </w:p>
    <w:p>
      <w:pPr>
        <w:pStyle w:val="2"/>
        <w:widowControl/>
        <w:spacing w:line="348" w:lineRule="exact" w:before="0" w:after="0"/>
        <w:ind w:firstLine="480"/>
        <w:jc w:val="both"/>
      </w:pPr>
      <w:r>
        <w:rPr>
          <w:rFonts w:ascii="Times New Roman" w:hAnsi="Times New Roman" w:eastAsia="方正仿宋_GBK"/>
          <w:b w:val="0"/>
          <w:sz w:val="24"/>
        </w:rPr>
        <w:t xml:space="preserve">既有转供能力可替代部分新增容量或联络工程，替代程度取决于邻站余量、馈线共享条件和网络结构。</w:t>
      </w:r>
    </w:p>
    <w:p>
      <w:pPr>
        <w:pStyle w:val="5"/>
        <w:keepNext/>
        <w:numPr>
          <w:numId w:val="0"/>
        </w:numPr>
        <w:spacing w:line="390" w:lineRule="exact" w:before="160" w:after="120"/>
        <w:ind w:firstLine="0"/>
      </w:pPr>
      <w:bookmarkStart w:id="259" w:name="分布式电源装机规模与双向容量需求"/>
      <w:r>
        <w:rPr>
          <w:rFonts w:ascii="Times New Roman" w:hAnsi="Times New Roman" w:eastAsia="方正仿宋_GBK"/>
          <w:b/>
          <w:sz w:val="26"/>
        </w:rPr>
        <w:t xml:space="preserve">5.6.5 分布式电源装机规模与双向容量需求</w:t>
      </w:r>
      <w:bookmarkEnd w:id="259"/>
    </w:p>
    <w:p>
      <w:pPr>
        <w:pStyle w:val="FirstParagraph"/>
        <w:widowControl/>
        <w:spacing w:line="348" w:lineRule="exact" w:before="0" w:after="0"/>
        <w:ind w:firstLine="480"/>
        <w:jc w:val="both"/>
      </w:pPr>
      <w:r>
        <w:rPr>
          <w:rFonts w:ascii="Times New Roman" w:hAnsi="Times New Roman" w:eastAsia="方正仿宋_GBK"/>
          <w:b w:val="0"/>
          <w:sz w:val="24"/>
        </w:rPr>
        <w:t xml:space="preserve">分别观察初始转供率30%和70%的条件。其余参数固定为增长率4%、线路成本系数4.25、储能支撑持续时间4 h，负荷分散系数为1.10。</w:t>
      </w:r>
    </w:p>
    <w:p>
      <w:pPr>
        <w:pStyle w:val="7"/>
        <w:keepNext/>
        <w:numPr>
          <w:numId w:val="0"/>
        </w:numPr>
        <w:spacing w:line="360" w:lineRule="exact" w:before="160" w:after="120"/>
        <w:ind w:firstLine="0"/>
      </w:pPr>
      <w:bookmarkStart w:id="260" w:name="初始转供率30"/>
      <w:r>
        <w:rPr>
          <w:rFonts w:ascii="Times New Roman" w:hAnsi="Times New Roman" w:eastAsia="方正仿宋_GBK"/>
          <w:b/>
          <w:sz w:val="24"/>
        </w:rPr>
        <w:t xml:space="preserve">初始转供率30%</w:t>
      </w:r>
      <w:bookmarkEnd w:id="260"/>
    </w:p>
    <w:p>
      <w:pPr>
        <w:pStyle w:val="FirstParagraph"/>
        <w:keepNext/>
        <w:spacing w:line="280" w:lineRule="exact" w:before="120" w:after="80"/>
        <w:ind w:firstLine="0"/>
        <w:jc w:val="center"/>
      </w:pPr>
      <w:r>
        <w:rPr>
          <w:rFonts w:ascii="Times New Roman" w:hAnsi="Times New Roman" w:eastAsia="宋体"/>
          <w:b w:val="0"/>
          <w:sz w:val="21"/>
        </w:rPr>
        <w:t xml:space="preserve">表5-90 分布式电源装机渗透率变化（初始转供率30%）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装机渗透率不超过1.50的计算点采用650.00 MVA主变，未配置储能。提高至2.00后，日间反向输送需求推动主变和储能同时增加；达到3.00时，主变容量为846.00 MVA，储能额定功率为243.80 MW，费用升至66823.01万元。</w:t>
      </w:r>
    </w:p>
    <w:p>
      <w:pPr>
        <w:pStyle w:val="7"/>
        <w:keepNext/>
        <w:numPr>
          <w:numId w:val="0"/>
        </w:numPr>
        <w:spacing w:line="360" w:lineRule="exact" w:before="160" w:after="120"/>
        <w:ind w:firstLine="0"/>
      </w:pPr>
      <w:bookmarkStart w:id="261" w:name="初始转供率70"/>
      <w:r>
        <w:rPr>
          <w:rFonts w:ascii="Times New Roman" w:hAnsi="Times New Roman" w:eastAsia="方正仿宋_GBK"/>
          <w:b/>
          <w:sz w:val="24"/>
        </w:rPr>
        <w:t xml:space="preserve">初始转供率70%</w:t>
      </w:r>
      <w:bookmarkEnd w:id="261"/>
    </w:p>
    <w:p>
      <w:pPr>
        <w:pStyle w:val="FirstParagraph"/>
        <w:keepNext/>
        <w:spacing w:line="280" w:lineRule="exact" w:before="120" w:after="80"/>
        <w:ind w:firstLine="0"/>
        <w:jc w:val="center"/>
      </w:pPr>
      <w:r>
        <w:rPr>
          <w:rFonts w:ascii="Times New Roman" w:hAnsi="Times New Roman" w:eastAsia="宋体"/>
          <w:b w:val="0"/>
          <w:sz w:val="21"/>
        </w:rPr>
        <w:t xml:space="preserve">表5-91 分布式电源装机渗透率变化（初始转供率70%）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较强的既有转供能力使装机渗透率不超过1.50时的主变容量降至600.00 MVA。装机渗透率达到2.00及以上后，两组转供条件对应的配置相同，反向容量需求成为这些计算点的主要约束。</w:t>
      </w:r>
    </w:p>
    <w:p>
      <w:pPr>
        <w:pStyle w:val="2"/>
        <w:widowControl/>
        <w:spacing w:line="348" w:lineRule="exact" w:before="0" w:after="0"/>
        <w:ind w:firstLine="480"/>
        <w:jc w:val="both"/>
      </w:pPr>
      <w:r>
        <w:rPr>
          <w:rFonts w:ascii="Times New Roman" w:hAnsi="Times New Roman" w:eastAsia="方正仿宋_GBK"/>
          <w:b w:val="0"/>
          <w:sz w:val="24"/>
        </w:rPr>
        <w:t xml:space="preserve">装机规模增加时，日间光伏出力可能超过本地用电需求，主变和储能需要吸收或输送相应反向功率。站间转接只调整用电负荷归属，电源保留在原站，因此正向供电所需的负荷转出与日间反向容量不一定具有相同改善方向。模型分别校核正向与反向容量。</w:t>
      </w:r>
    </w:p>
    <w:p>
      <w:pPr>
        <w:pStyle w:val="2"/>
        <w:widowControl/>
        <w:spacing w:line="348" w:lineRule="exact" w:before="0" w:after="0"/>
        <w:ind w:firstLine="480"/>
        <w:jc w:val="both"/>
      </w:pPr>
      <w:r>
        <w:rPr>
          <w:rFonts w:ascii="Times New Roman" w:hAnsi="Times New Roman" w:eastAsia="方正仿宋_GBK"/>
          <w:b w:val="0"/>
          <w:sz w:val="24"/>
        </w:rPr>
        <w:t xml:space="preserve">两组转供条件下的逐点结果同时列出主变、储能和线路规模。主变候选受设备规格及扩建位置限制，当容量接近候选上限时，继续增加装机规模可能更多体现为储能需求和费用增加。更高装机规模下的配置需按相应源荷与设备条件补充计算。</w:t>
      </w:r>
    </w:p>
    <w:p>
      <w:pPr>
        <w:pStyle w:val="5"/>
        <w:keepNext/>
        <w:numPr>
          <w:numId w:val="0"/>
        </w:numPr>
        <w:spacing w:line="390" w:lineRule="exact" w:before="160" w:after="120"/>
        <w:ind w:firstLine="0"/>
      </w:pPr>
      <w:bookmarkStart w:id="262" w:name="负荷增长与主变建设时序"/>
      <w:r>
        <w:rPr>
          <w:rFonts w:ascii="Times New Roman" w:hAnsi="Times New Roman" w:eastAsia="方正仿宋_GBK"/>
          <w:b/>
          <w:sz w:val="26"/>
        </w:rPr>
        <w:t xml:space="preserve">5.6.6 负荷增长与主变建设时序</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增长率按导则区间取代表节点，保留2%、4%、7%分界，并列示区间内及末档计算点。以下在分布式电源装机渗透率0.50、2.50下分别改变增长率，线路成本系数4.25、初始转供率40%、支撑持续时间4 h保持不变。</w:t>
      </w:r>
    </w:p>
    <w:p>
      <w:pPr>
        <w:pStyle w:val="7"/>
        <w:keepNext/>
        <w:numPr>
          <w:numId w:val="0"/>
        </w:numPr>
        <w:spacing w:line="360" w:lineRule="exact" w:before="160" w:after="120"/>
        <w:ind w:firstLine="0"/>
      </w:pPr>
      <w:bookmarkStart w:id="263" w:name="分布式电源装机渗透率0.50"/>
      <w:r>
        <w:rPr>
          <w:rFonts w:ascii="Times New Roman" w:hAnsi="Times New Roman" w:eastAsia="方正仿宋_GBK"/>
          <w:b/>
          <w:sz w:val="24"/>
        </w:rPr>
        <w:t xml:space="preserve">分布式电源装机渗透率0.50</w:t>
      </w:r>
      <w:bookmarkEnd w:id="263"/>
    </w:p>
    <w:p>
      <w:pPr>
        <w:pStyle w:val="FirstParagraph"/>
        <w:keepNext/>
        <w:spacing w:line="280" w:lineRule="exact" w:before="120" w:after="80"/>
        <w:ind w:firstLine="0"/>
        <w:jc w:val="center"/>
      </w:pPr>
      <w:r>
        <w:rPr>
          <w:rFonts w:ascii="Times New Roman" w:hAnsi="Times New Roman" w:eastAsia="宋体"/>
          <w:b w:val="0"/>
          <w:sz w:val="21"/>
        </w:rPr>
        <w:t xml:space="preserve">表5-92 负荷增长率变化（分布式电源装机渗透率0.50）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1379.91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1747.16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4441.80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7875.78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8511.56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10867.72</w:t>
            </w:r>
          </w:p>
        </w:tc>
      </w:tr>
    </w:tbl>
    <w:p>
      <w:pPr>
        <w:pStyle w:val="2"/>
        <w:widowControl/>
        <w:spacing w:line="348" w:lineRule="exact" w:before="0" w:after="0"/>
        <w:ind w:firstLine="480"/>
        <w:jc w:val="both"/>
      </w:pPr>
      <w:r>
        <w:rPr>
          <w:rFonts w:ascii="Times New Roman" w:hAnsi="Times New Roman" w:eastAsia="方正仿宋_GBK"/>
          <w:b w:val="0"/>
          <w:sz w:val="24"/>
        </w:rPr>
        <w:t xml:space="preserve">增长率提高后，主变容量随目标年负荷分档增加。0%与10%两个节点的容量分别为550.00 MVA、786.00 MVA，而容载比分别为2.20、2.15；负荷与容量不同步增长，使中间节点的容载比呈阶梯式波动。</w:t>
      </w:r>
    </w:p>
    <w:p>
      <w:pPr>
        <w:pStyle w:val="7"/>
        <w:keepNext/>
        <w:numPr>
          <w:numId w:val="0"/>
        </w:numPr>
        <w:spacing w:line="360" w:lineRule="exact" w:before="160" w:after="120"/>
        <w:ind w:firstLine="0"/>
      </w:pPr>
      <w:bookmarkStart w:id="264" w:name="分布式电源装机渗透率2.50"/>
      <w:r>
        <w:rPr>
          <w:rFonts w:ascii="Times New Roman" w:hAnsi="Times New Roman" w:eastAsia="方正仿宋_GBK"/>
          <w:b/>
          <w:sz w:val="24"/>
        </w:rPr>
        <w:t xml:space="preserve">分布式电源装机渗透率2.50</w:t>
      </w:r>
      <w:bookmarkEnd w:id="264"/>
    </w:p>
    <w:p>
      <w:pPr>
        <w:pStyle w:val="FirstParagraph"/>
        <w:keepNext/>
        <w:spacing w:line="280" w:lineRule="exact" w:before="120" w:after="80"/>
        <w:ind w:firstLine="0"/>
        <w:jc w:val="center"/>
      </w:pPr>
      <w:r>
        <w:rPr>
          <w:rFonts w:ascii="Times New Roman" w:hAnsi="Times New Roman" w:eastAsia="宋体"/>
          <w:b w:val="0"/>
          <w:sz w:val="21"/>
        </w:rPr>
        <w:t xml:space="preserve">表5-93 负荷增长率变化（分布式电源装机渗透率2.50）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19981.89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26682.86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188.77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30577.26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39093.11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356.04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47478.61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53822.05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255.60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549.54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69386.45</w:t>
            </w:r>
          </w:p>
        </w:tc>
      </w:tr>
    </w:tbl>
    <w:p>
      <w:pPr>
        <w:pStyle w:val="2"/>
        <w:widowControl/>
        <w:spacing w:line="348" w:lineRule="exact" w:before="0" w:after="0"/>
        <w:ind w:firstLine="480"/>
        <w:jc w:val="both"/>
      </w:pPr>
      <w:r>
        <w:rPr>
          <w:rFonts w:ascii="Times New Roman" w:hAnsi="Times New Roman" w:eastAsia="方正仿宋_GBK"/>
          <w:b w:val="0"/>
          <w:sz w:val="24"/>
        </w:rPr>
        <w:t xml:space="preserve">较高装机渗透率下，增长率提高同时放大正向与反向容量需求。主变容量由760.00 MVA增至846.00 MVA，储能额定功率由52.80 MW增至255.60 MW；费用随两类设备规模增加，容载比则因目标年负荷增长更快而降至2.31。</w:t>
      </w:r>
    </w:p>
    <w:p>
      <w:pPr>
        <w:pStyle w:val="2"/>
        <w:widowControl/>
        <w:spacing w:line="348" w:lineRule="exact" w:before="0" w:after="0"/>
        <w:ind w:firstLine="480"/>
        <w:jc w:val="both"/>
      </w:pPr>
      <w:r>
        <w:rPr>
          <w:rFonts w:ascii="Times New Roman" w:hAnsi="Times New Roman" w:eastAsia="方正仿宋_GBK"/>
          <w:b w:val="0"/>
          <w:sz w:val="24"/>
        </w:rPr>
        <w:t xml:space="preserve">容载比同时取决于分子容量和分母负荷。增长率提高后，目标年负荷增加，主变容量按离散规格投运，其增幅未必与负荷一致。比较应同时读取目标年MW、主变MVA和相应建设措施。</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推广采用目标年配置，两者从不同角度反映负荷变化影响。前者判断何时建设，后者比较给定目标时点的容量规模。实际规划将推荐区间落实到项目时，还需结合近期已投产主变和中间年份供电需求。</w:t>
      </w:r>
    </w:p>
    <w:p>
      <w:pPr>
        <w:pStyle w:val="5"/>
        <w:keepNext/>
        <w:numPr>
          <w:numId w:val="0"/>
        </w:numPr>
        <w:spacing w:line="390" w:lineRule="exact" w:before="160" w:after="120"/>
        <w:ind w:firstLine="0"/>
      </w:pPr>
      <w:bookmarkStart w:id="265" w:name="储能支撑持续时间与配置变化"/>
      <w:r>
        <w:rPr>
          <w:rFonts w:ascii="Times New Roman" w:hAnsi="Times New Roman" w:eastAsia="方正仿宋_GBK"/>
          <w:b/>
          <w:sz w:val="26"/>
        </w:rPr>
        <w:t xml:space="preserve">5.6.7 储能支撑持续时间与配置变化</w:t>
      </w:r>
      <w:bookmarkEnd w:id="265"/>
    </w:p>
    <w:p>
      <w:pPr>
        <w:pStyle w:val="FirstParagraph"/>
        <w:widowControl/>
        <w:spacing w:line="348" w:lineRule="exact" w:before="0" w:after="0"/>
        <w:ind w:firstLine="480"/>
        <w:jc w:val="both"/>
      </w:pPr>
      <w:r>
        <w:rPr>
          <w:rFonts w:ascii="Times New Roman" w:hAnsi="Times New Roman" w:eastAsia="方正仿宋_GBK"/>
          <w:b w:val="0"/>
          <w:sz w:val="24"/>
        </w:rPr>
        <w:t xml:space="preserve">储能同时受到额定功率和可用电量限制。单柜可用电量为0.215×0.76 MWh，在4 h支撑要求下折算0.04085 MW。持续时间延长改变的是设备有效功率；若本地功率缺口保持不变，所需柜数及费用可能增加，也可能促使方案改用主变增容或联络支援。</w:t>
      </w:r>
    </w:p>
    <w:p>
      <w:pPr>
        <w:pStyle w:val="2"/>
        <w:widowControl/>
        <w:spacing w:line="348" w:lineRule="exact" w:before="0" w:after="0"/>
        <w:ind w:firstLine="480"/>
        <w:jc w:val="both"/>
      </w:pPr>
      <w:r>
        <w:rPr>
          <w:rFonts w:ascii="Times New Roman" w:hAnsi="Times New Roman" w:eastAsia="方正仿宋_GBK"/>
          <w:b w:val="0"/>
          <w:sz w:val="24"/>
        </w:rPr>
        <w:t xml:space="preserve">以下固定增长率4%、线路成本系数4.25和初始转供率40%，在分布式电源装机渗透率2.50下比较2、4、6 h。持续时间为规划支撑条件，与运行曲线提取的95%近峰事件时长分别使用。</w:t>
      </w:r>
    </w:p>
    <w:p>
      <w:pPr>
        <w:pStyle w:val="2"/>
        <w:keepNext/>
        <w:spacing w:line="280" w:lineRule="exact" w:before="120" w:after="80"/>
        <w:ind w:firstLine="0"/>
        <w:jc w:val="center"/>
      </w:pPr>
      <w:r>
        <w:rPr>
          <w:rFonts w:ascii="Times New Roman" w:hAnsi="Times New Roman" w:eastAsia="宋体"/>
          <w:b w:val="0"/>
          <w:sz w:val="21"/>
        </w:rPr>
        <w:t xml:space="preserve">表5-94 储能支撑持续时间变化（分布式电源装机渗透率2.50）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支撑持续时间/h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45110.68</w:t>
            </w:r>
          </w:p>
        </w:tc>
      </w:tr>
    </w:tbl>
    <w:p>
      <w:pPr>
        <w:pStyle w:val="2"/>
        <w:widowControl/>
        <w:spacing w:line="348" w:lineRule="exact" w:before="0" w:after="0"/>
        <w:ind w:firstLine="480"/>
        <w:jc w:val="both"/>
      </w:pPr>
      <w:r>
        <w:rPr>
          <w:rFonts w:ascii="Times New Roman" w:hAnsi="Times New Roman" w:eastAsia="方正仿宋_GBK"/>
          <w:b w:val="0"/>
          <w:sz w:val="24"/>
        </w:rPr>
        <w:t xml:space="preserve">支撑持续时间从2 h延长至6 h，主变容量保持820.00 MVA，储能额定功率从51.60 MW增至154.70 MW，额定能量相应增加。费用由22713.14万元增至45110.68万元，增加主要来自满足持续支撑要求所需的储能规模。</w:t>
      </w:r>
    </w:p>
    <w:p>
      <w:pPr>
        <w:pStyle w:val="2"/>
        <w:widowControl/>
        <w:spacing w:line="348" w:lineRule="exact" w:before="0" w:after="0"/>
        <w:ind w:firstLine="480"/>
        <w:jc w:val="both"/>
      </w:pPr>
      <w:r>
        <w:rPr>
          <w:rFonts w:ascii="Times New Roman" w:hAnsi="Times New Roman" w:eastAsia="方正仿宋_GBK"/>
          <w:b w:val="0"/>
          <w:sz w:val="24"/>
        </w:rPr>
        <w:t xml:space="preserve">主网格的其他参数组合还出现主变配置切换，发生比例与容量变化见核心参数配对表。</w:t>
      </w:r>
    </w:p>
    <w:p>
      <w:pPr>
        <w:pStyle w:val="5"/>
        <w:keepNext/>
        <w:numPr>
          <w:numId w:val="0"/>
        </w:numPr>
        <w:spacing w:line="390" w:lineRule="exact" w:before="160" w:after="120"/>
        <w:ind w:firstLine="0"/>
      </w:pPr>
      <w:bookmarkStart w:id="266" w:name="储能价格的专项比较"/>
      <w:r>
        <w:rPr>
          <w:rFonts w:ascii="Times New Roman" w:hAnsi="Times New Roman" w:eastAsia="方正仿宋_GBK"/>
          <w:b/>
          <w:sz w:val="26"/>
        </w:rPr>
        <w:t xml:space="preserve">5.6.8 储能价格的专项比较</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储能价格在给定储能支撑持续时间下独立变化。以下取分布式电源装机渗透率2.50，比较2、4、6 h支撑要求下的配置与费用变化，设备功率、能量与可用电量系数保持一致。其余参数为增长率4%、线路成本系数4.25和初始转供率40%。</w:t>
      </w:r>
    </w:p>
    <w:p>
      <w:pPr>
        <w:pStyle w:val="7"/>
        <w:keepNext/>
        <w:numPr>
          <w:numId w:val="0"/>
        </w:numPr>
        <w:spacing w:line="360" w:lineRule="exact" w:before="160" w:after="120"/>
        <w:ind w:firstLine="0"/>
      </w:pPr>
      <w:bookmarkStart w:id="267" w:name="h支撑条件下的设备替换"/>
      <w:r>
        <w:rPr>
          <w:rFonts w:ascii="Times New Roman" w:hAnsi="Times New Roman" w:eastAsia="方正仿宋_GBK"/>
          <w:b/>
          <w:sz w:val="24"/>
        </w:rPr>
        <w:t xml:space="preserve">2 h支撑条件下的设备替换</w:t>
      </w:r>
      <w:bookmarkEnd w:id="267"/>
    </w:p>
    <w:p>
      <w:pPr>
        <w:pStyle w:val="FirstParagraph"/>
        <w:keepNext/>
        <w:spacing w:line="280" w:lineRule="exact" w:before="120" w:after="80"/>
        <w:ind w:firstLine="0"/>
        <w:jc w:val="center"/>
      </w:pPr>
      <w:r>
        <w:rPr>
          <w:rFonts w:ascii="Times New Roman" w:hAnsi="Times New Roman" w:eastAsia="宋体"/>
          <w:b w:val="0"/>
          <w:sz w:val="21"/>
        </w:rPr>
        <w:t xml:space="preserve">表5-95 储能价格变化（分布式电源装机渗透率2.50、持续时间2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76.30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16799.31</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19910.73</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25515.55</w:t>
            </w:r>
          </w:p>
        </w:tc>
      </w:tr>
    </w:tbl>
    <w:p>
      <w:pPr>
        <w:pStyle w:val="2"/>
        <w:widowControl/>
        <w:spacing w:line="348" w:lineRule="exact" w:before="0" w:after="0"/>
        <w:ind w:firstLine="480"/>
        <w:jc w:val="both"/>
      </w:pPr>
      <w:r>
        <w:rPr>
          <w:rFonts w:ascii="Times New Roman" w:hAnsi="Times New Roman" w:eastAsia="方正仿宋_GBK"/>
          <w:b w:val="0"/>
          <w:sz w:val="24"/>
        </w:rPr>
        <w:t xml:space="preserve">价格为参考值的0.50倍时，方案采用760.00 MVA主变和76.30 MW储能。价格提高至0.75倍后，主变增至820.00 MVA，储能减少24.70 MW，容载比相应提高至2.80。此后价格继续上涨至1.25倍，设备组合保持不变，费用随储能单价增加。</w:t>
      </w:r>
    </w:p>
    <w:p>
      <w:pPr>
        <w:pStyle w:val="7"/>
        <w:keepNext/>
        <w:numPr>
          <w:numId w:val="0"/>
        </w:numPr>
        <w:spacing w:line="360" w:lineRule="exact" w:before="160" w:after="120"/>
        <w:ind w:firstLine="0"/>
      </w:pPr>
      <w:bookmarkStart w:id="268" w:name="h支撑条件下的费用变化"/>
      <w:r>
        <w:rPr>
          <w:rFonts w:ascii="Times New Roman" w:hAnsi="Times New Roman" w:eastAsia="方正仿宋_GBK"/>
          <w:b/>
          <w:sz w:val="24"/>
        </w:rPr>
        <w:t xml:space="preserve">4、6 h支撑条件下的费用变化</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两种支撑条件下的主变容量均为820.00 MVA，容载比均为2.80；储能额定功率分别为103.10 MW、154.70 MW。价格变化未引起设备替换，较长支撑时间需要更多储能，其费用对单价更敏感。</w:t>
      </w:r>
    </w:p>
    <w:p>
      <w:pPr>
        <w:pStyle w:val="2"/>
        <w:keepNext/>
        <w:spacing w:line="280" w:lineRule="exact" w:before="120" w:after="80"/>
        <w:ind w:firstLine="0"/>
        <w:jc w:val="center"/>
      </w:pPr>
      <w:r>
        <w:rPr>
          <w:rFonts w:ascii="Times New Roman" w:hAnsi="Times New Roman" w:eastAsia="宋体"/>
          <w:b w:val="0"/>
          <w:sz w:val="21"/>
        </w:rPr>
        <w:t xml:space="preserve">表5-96 储能价格对4、6 h方案费用的影响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4 h费用现值/万元</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6 h费用现值/万元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22702.28</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28307.09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28301.66</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36708.89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45110.68</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39500.43</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53512.48</w:t>
            </w:r>
          </w:p>
        </w:tc>
      </w:tr>
    </w:tbl>
    <w:p>
      <w:pPr>
        <w:pStyle w:val="4"/>
        <w:keepNext/>
        <w:numPr>
          <w:numId w:val="0"/>
        </w:numPr>
        <w:spacing w:line="480" w:lineRule="exact" w:before="160" w:after="120"/>
        <w:ind w:firstLine="0"/>
      </w:pPr>
      <w:bookmarkStart w:id="1994" w:name="h994"/>
      <w:bookmarkStart w:id="269" w:name="规划建议"/>
      <w:r>
        <w:rPr>
          <w:rFonts w:ascii="Times New Roman" w:hAnsi="Times New Roman" w:eastAsia="方正仿宋_GBK"/>
          <w:b/>
          <w:sz w:val="32"/>
        </w:rPr>
        <w:t xml:space="preserve">5.7 规划建议</w:t>
      </w:r>
      <w:bookmarkEnd w:id="269"/>
      <w:bookmarkEnd w:id="1994"/>
    </w:p>
    <w:p>
      <w:pPr>
        <w:pStyle w:val="5"/>
        <w:keepNext/>
        <w:numPr>
          <w:numId w:val="0"/>
        </w:numPr>
        <w:spacing w:line="390" w:lineRule="exact" w:before="160" w:after="120"/>
        <w:ind w:firstLine="0"/>
      </w:pPr>
      <w:bookmarkStart w:id="270" w:name="按源荷条件和网络能力选取容量"/>
      <w:r>
        <w:rPr>
          <w:rFonts w:ascii="Times New Roman" w:hAnsi="Times New Roman" w:eastAsia="方正仿宋_GBK"/>
          <w:b/>
          <w:sz w:val="26"/>
        </w:rPr>
        <w:t xml:space="preserve">5.7.1 按源荷条件和网络能力选取容量</w:t>
      </w:r>
      <w:bookmarkEnd w:id="270"/>
    </w:p>
    <w:p>
      <w:pPr>
        <w:pStyle w:val="FirstParagraph"/>
        <w:widowControl/>
        <w:spacing w:line="348" w:lineRule="exact" w:before="0" w:after="0"/>
        <w:ind w:firstLine="480"/>
        <w:jc w:val="both"/>
      </w:pPr>
      <w:r>
        <w:rPr>
          <w:rFonts w:ascii="Times New Roman" w:hAnsi="Times New Roman" w:eastAsia="方正仿宋_GBK"/>
          <w:b w:val="0"/>
          <w:sz w:val="24"/>
        </w:rPr>
        <w:t xml:space="preserve">邳州应同时校核晚间正向供电与日间反向输送，市区重点核实局部负荷、存量10 kV联络和邻站承接能力。市区A/B分区资料不足时，可采用40%作为B类主导的研究参考，比较30%—50%的网络条件。待取得分区负荷和存量网络后，再按一致的负荷基数核定区域参数。</w:t>
      </w:r>
    </w:p>
    <w:p>
      <w:pPr>
        <w:pStyle w:val="5"/>
        <w:keepNext/>
        <w:numPr>
          <w:numId w:val="0"/>
        </w:numPr>
        <w:spacing w:line="390" w:lineRule="exact" w:before="160" w:after="120"/>
        <w:ind w:firstLine="0"/>
      </w:pPr>
      <w:bookmarkStart w:id="271" w:name="统筹主变储能及联络建设"/>
      <w:r>
        <w:rPr>
          <w:rFonts w:ascii="Times New Roman" w:hAnsi="Times New Roman" w:eastAsia="方正仿宋_GBK"/>
          <w:b/>
          <w:sz w:val="26"/>
        </w:rPr>
        <w:t xml:space="preserve">5.7.2 统筹主变、储能及联络建设</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72" w:name="保留参数区间滚动更新计算依据"/>
      <w:r>
        <w:rPr>
          <w:rFonts w:ascii="Times New Roman" w:hAnsi="Times New Roman" w:eastAsia="方正仿宋_GBK"/>
          <w:b/>
          <w:sz w:val="26"/>
        </w:rPr>
        <w:t xml:space="preserve">5.7.3 保留参数区间，滚动更新计算依据</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73" w:name="相同源荷条件下的推荐区间选择"/>
      <w:r>
        <w:rPr>
          <w:rFonts w:ascii="Times New Roman" w:hAnsi="Times New Roman" w:eastAsia="方正仿宋_GBK"/>
          <w:b/>
          <w:sz w:val="26"/>
        </w:rPr>
        <w:t xml:space="preserve">5.7.4 相同源荷条件下的推荐区间选择</w:t>
      </w:r>
      <w:bookmarkEnd w:id="273"/>
    </w:p>
    <w:p>
      <w:pPr>
        <w:pStyle w:val="FirstParagraph"/>
        <w:widowControl/>
        <w:spacing w:line="348" w:lineRule="exact" w:before="0" w:after="0"/>
        <w:ind w:firstLine="480"/>
        <w:jc w:val="both"/>
      </w:pPr>
      <w:r>
        <w:rPr>
          <w:rFonts w:ascii="Times New Roman" w:hAnsi="Times New Roman" w:eastAsia="方正仿宋_GBK"/>
          <w:b w:val="0"/>
          <w:sz w:val="24"/>
        </w:rPr>
        <w:t xml:space="preserve">以分布式电源装机渗透率1.50、增长率4%、线路成本系数4.25和持续时间4 h为例，比较不同初始转供率。增长率4%归入大于2%且不大于4%的档，持续时间4 h归入大于2 h且不大于4 h的档，均按左开右闭原则确定。</w:t>
      </w:r>
    </w:p>
    <w:p>
      <w:pPr>
        <w:pStyle w:val="2"/>
        <w:keepNext/>
        <w:spacing w:line="280" w:lineRule="exact" w:before="120" w:after="80"/>
        <w:ind w:firstLine="0"/>
        <w:jc w:val="center"/>
      </w:pPr>
      <w:r>
        <w:rPr>
          <w:rFonts w:ascii="Times New Roman" w:hAnsi="Times New Roman" w:eastAsia="宋体"/>
          <w:b w:val="0"/>
          <w:sz w:val="21"/>
        </w:rPr>
        <w:t xml:space="preserve">表5-97 相同源荷和成本条件下不同初始转供率的配置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注：分布式电源装机渗透率1.50，增长率4%，线路成本系数4.25，持续时间4 h。</w:t>
      </w:r>
    </w:p>
    <w:p>
      <w:pPr>
        <w:pStyle w:val="2"/>
        <w:widowControl/>
        <w:spacing w:line="348" w:lineRule="exact" w:before="0" w:after="0"/>
        <w:ind w:firstLine="480"/>
        <w:jc w:val="both"/>
      </w:pPr>
      <w:r>
        <w:rPr>
          <w:rFonts w:ascii="Times New Roman" w:hAnsi="Times New Roman" w:eastAsia="方正仿宋_GBK"/>
          <w:b w:val="0"/>
          <w:sz w:val="24"/>
        </w:rPr>
        <w:t xml:space="preserve">查表使用输入区间，工程落实使用具体参数及设备组合。相同源荷和价格下的初始转供率变化，表示网络条件改变，需有对应存量路径和馈线能力支撑。若实际初始设备、负荷空间分布或扩建位置与模板不同，应重新计算设备配置。</w:t>
      </w:r>
    </w:p>
    <w:p>
      <w:pPr>
        <w:pStyle w:val="2"/>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推荐区间与地区年网供最大负荷结合，可得到区域主变容量的初步范围。例如年网供最大负荷1000.00 MW时，容载比每变化0.10，对应公用主变总容量变化100.00 MVA。这一数量关系说明，小幅比值差异在较大区域内也会对应明确的设备规模。容量分配仍应按各站正反向负荷和主变N-1条件安排。</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有多组设备组合。对具备扩建位置且停运后剩余容量不足的站，增加主变台数可能较有利；对已有较大主变但峰值缺口较短的站，储能可能补充局部需求；对邻站余量较大且联络条件较好的站，负荷转接能够减少本站新增容量。区域推荐值应与逐站措施一并形成，便于解释容量储备的来源和投资用途。</w:t>
      </w:r>
    </w:p>
    <w:p>
      <w:pPr>
        <w:pStyle w:val="5"/>
        <w:keepNext/>
        <w:numPr>
          <w:numId w:val="0"/>
        </w:numPr>
        <w:spacing w:line="390" w:lineRule="exact" w:before="160" w:after="120"/>
        <w:ind w:firstLine="0"/>
      </w:pPr>
      <w:bookmarkStart w:id="274" w:name="邳州与市区建设措施的综合比较"/>
      <w:r>
        <w:rPr>
          <w:rFonts w:ascii="Times New Roman" w:hAnsi="Times New Roman" w:eastAsia="方正仿宋_GBK"/>
          <w:b/>
          <w:sz w:val="26"/>
        </w:rPr>
        <w:t xml:space="preserve">5.7.5 邳州与市区建设措施的综合比较</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逐站采用不同的建设方式。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邳州弹性方案目标年主变容量1955.50 MVA、容载比2.04，未配置储能，累计新增联络30条。市区为3324.00 MVA、容载比2.17，储能0.50 MW/1.075 MWh，累计新增联络64条。不同地区的容量和费用关系由实际年度负荷、仿真设备及候选网络共同形成。</w:t>
      </w:r>
    </w:p>
    <w:p>
      <w:pPr>
        <w:pStyle w:val="2"/>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两地区刚性方案评价期费用现值合计120219.30万元，弹性方案为84449.61万元，减少约30%。后续若完善市区存量网络或调整工程价格，应同时更新技术约束和费用，重新核对具体建设组合。</w:t>
      </w:r>
    </w:p>
    <w:p>
      <w:pPr>
        <w:pStyle w:val="2"/>
        <w:widowControl/>
        <w:spacing w:line="348" w:lineRule="exact" w:before="0" w:after="0"/>
        <w:ind w:firstLine="480"/>
        <w:jc w:val="both"/>
      </w:pPr>
      <w:r>
        <w:rPr>
          <w:rFonts w:ascii="Times New Roman" w:hAnsi="Times New Roman" w:eastAsia="方正仿宋_GBK"/>
          <w:b w:val="0"/>
          <w:sz w:val="24"/>
        </w:rPr>
        <w:t xml:space="preserve">年度建设需先满足当年需求，再利用后续在役容量。实际负荷回落可以增加同一容量下的比值，负荷恢复可以消耗已有储备；整台主变的离散投运又使容量按项目变化。推荐区间提供前期比选范围，逐站工程和建设时点用于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13" w:name="h1013"/>
      <w:bookmarkStart w:id="275" w:name="第六章-结论与建议"/>
      <w:r>
        <w:rPr>
          <w:rFonts w:ascii="Times New Roman" w:hAnsi="Times New Roman" w:eastAsia="方正仿宋_GBK"/>
          <w:b/>
          <w:sz w:val="36"/>
        </w:rPr>
        <w:t xml:space="preserve">第六章 结论与建议</w:t>
      </w:r>
      <w:bookmarkEnd w:id="275"/>
      <w:bookmarkEnd w:id="2013"/>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015" w:name="h1015"/>
      <w:bookmarkStart w:id="276" w:name="主要研究结论"/>
      <w:r>
        <w:rPr>
          <w:rFonts w:ascii="Times New Roman" w:hAnsi="Times New Roman" w:eastAsia="方正仿宋_GBK"/>
          <w:b/>
          <w:sz w:val="32"/>
        </w:rPr>
        <w:t xml:space="preserve">6.1 主要研究结论</w:t>
      </w:r>
      <w:bookmarkEnd w:id="276"/>
      <w:bookmarkEnd w:id="2015"/>
    </w:p>
    <w:p>
      <w:pPr>
        <w:pStyle w:val="5"/>
        <w:keepNext/>
        <w:numPr>
          <w:numId w:val="0"/>
        </w:numPr>
        <w:spacing w:line="390" w:lineRule="exact" w:before="160" w:after="120"/>
        <w:ind w:firstLine="0"/>
      </w:pPr>
      <w:bookmarkStart w:id="277" w:name="容载比与局部容量压力应结合分析"/>
      <w:r>
        <w:rPr>
          <w:rFonts w:ascii="Times New Roman" w:hAnsi="Times New Roman" w:eastAsia="方正仿宋_GBK"/>
          <w:b/>
          <w:sz w:val="26"/>
        </w:rPr>
        <w:t xml:space="preserve">6.1.1 容载比与局部容量压力应结合分析</w:t>
      </w:r>
      <w:bookmarkEnd w:id="277"/>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78" w:name="弹性容量配置降低了所设条件下的方案费用"/>
      <w:r>
        <w:rPr>
          <w:rFonts w:ascii="Times New Roman" w:hAnsi="Times New Roman" w:eastAsia="方正仿宋_GBK"/>
          <w:b/>
          <w:sz w:val="26"/>
        </w:rPr>
        <w:t xml:space="preserve">6.1.2 弹性容量配置降低了所设条件下的方案费用</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在相同初始设备、年度负荷、候选网络和4 h正向储能支撑条件下，邳州弹性方案2025年主变容量为1955.50 MVA、容载比2.04；市区为3324.00 MVA、2.17。两地区刚性可行方案费用合计120219.30万元，弹性合计84449.61万元，当前候选费用减少30%。</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邳州弹性方案未配置储能，市区配置0.50 MW/1.075 MWh。刚性方案中，两地区目标年储能额定功率分别为32.90 MW、4.80 MW。本次弹性方案的储能和联络费用节省超过主变费用增加，形成总费用下降；储能的替代程度取决于局部网络、设备候选和持续时间。当前刚性无储能四年模型不可行，2022年必要容量下界已超过刚性允许范围；该结论限于本研究候选集合。</w:t>
      </w:r>
    </w:p>
    <w:p>
      <w:pPr>
        <w:pStyle w:val="5"/>
        <w:keepNext/>
        <w:numPr>
          <w:numId w:val="0"/>
        </w:numPr>
        <w:spacing w:line="390" w:lineRule="exact" w:before="160" w:after="120"/>
        <w:ind w:firstLine="0"/>
      </w:pPr>
      <w:bookmarkStart w:id="279"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79"/>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w:t>
      </w:r>
    </w:p>
    <w:p>
      <w:pPr>
        <w:pStyle w:val="5"/>
        <w:keepNext/>
        <w:numPr>
          <w:numId w:val="0"/>
        </w:numPr>
        <w:spacing w:line="390" w:lineRule="exact" w:before="160" w:after="120"/>
        <w:ind w:firstLine="0"/>
      </w:pPr>
      <w:bookmarkStart w:id="280" w:name="六参数矩阵给出有条件的容载比范围"/>
      <w:r>
        <w:rPr>
          <w:rFonts w:ascii="Times New Roman" w:hAnsi="Times New Roman" w:eastAsia="方正仿宋_GBK"/>
          <w:b/>
          <w:sz w:val="26"/>
        </w:rPr>
        <w:t xml:space="preserve">6.1.4 六参数矩阵给出有条件的容载比范围</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及负荷分散系数，储能价格另作专项分析。12600组推广计算形成648个参数区间单元，容载比计算值总体为2.01～3.28。各地区按对应源荷和网络条件选用相应单元的推荐区间。</w:t>
      </w:r>
    </w:p>
    <w:p>
      <w:pPr>
        <w:pStyle w:val="2"/>
        <w:widowControl/>
        <w:spacing w:line="348" w:lineRule="exact" w:before="0" w:after="0"/>
        <w:ind w:firstLine="480"/>
        <w:jc w:val="both"/>
      </w:pPr>
      <w:r>
        <w:rPr>
          <w:rFonts w:ascii="Times New Roman" w:hAnsi="Times New Roman" w:eastAsia="方正仿宋_GBK"/>
          <w:b w:val="0"/>
          <w:sz w:val="24"/>
        </w:rPr>
        <w:t xml:space="preserve">输入参数采用首尾开口区间，增长分界与DL/T 5729—2023表6.3.4一致；其他分界为研究设置。容载比输出取已验证样本的有限范围。两地区实际年度相关分析显示，邳州容载比变化更多伴随负荷变化，市区则更多伴随容量投放；六项规划参数的作用结合受控配对和交互差分解释。</w:t>
      </w:r>
    </w:p>
    <w:p>
      <w:pPr>
        <w:pStyle w:val="4"/>
        <w:keepNext/>
        <w:numPr>
          <w:numId w:val="0"/>
        </w:numPr>
        <w:spacing w:line="480" w:lineRule="exact" w:before="160" w:after="120"/>
        <w:ind w:firstLine="0"/>
      </w:pPr>
      <w:bookmarkStart w:id="2029" w:name="h1029"/>
      <w:bookmarkStart w:id="281" w:name="规划应用建议"/>
      <w:r>
        <w:rPr>
          <w:rFonts w:ascii="Times New Roman" w:hAnsi="Times New Roman" w:eastAsia="方正仿宋_GBK"/>
          <w:b/>
          <w:sz w:val="32"/>
        </w:rPr>
        <w:t xml:space="preserve">6.2 规划应用建议</w:t>
      </w:r>
      <w:bookmarkEnd w:id="281"/>
      <w:bookmarkEnd w:id="2029"/>
    </w:p>
    <w:p>
      <w:pPr>
        <w:pStyle w:val="5"/>
        <w:keepNext/>
        <w:numPr>
          <w:numId w:val="0"/>
        </w:numPr>
        <w:spacing w:line="390" w:lineRule="exact" w:before="160" w:after="120"/>
        <w:ind w:firstLine="0"/>
      </w:pPr>
      <w:bookmarkStart w:id="282" w:name="按输入区间查表再落实设备方案"/>
      <w:r>
        <w:rPr>
          <w:rFonts w:ascii="Times New Roman" w:hAnsi="Times New Roman" w:eastAsia="方正仿宋_GBK"/>
          <w:b/>
          <w:sz w:val="26"/>
        </w:rPr>
        <w:t xml:space="preserve">6.2.1 按输入区间查表，再落实设备方案</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先按同一统计范围计算源荷指标和复合增长率，以完整精度判断参数区间；再核对初始主变、负荷分散系数、联络路径及可扩建位置。查表范围用于初步比选，最终容载比应由可实施的设备组合与同年网供峰值计算。最大容量由设备和站址条件确定。</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83" w:name="核实分区转供能力与储能支撑条件"/>
      <w:r>
        <w:rPr>
          <w:rFonts w:ascii="Times New Roman" w:hAnsi="Times New Roman" w:eastAsia="方正仿宋_GBK"/>
          <w:b/>
          <w:sz w:val="26"/>
        </w:rPr>
        <w:t xml:space="preserve">6.2.2 核实分区转供能力与储能支撑条件</w:t>
      </w:r>
      <w:bookmarkEnd w:id="283"/>
    </w:p>
    <w:p>
      <w:pPr>
        <w:pStyle w:val="FirstParagraph"/>
        <w:widowControl/>
        <w:spacing w:line="348" w:lineRule="exact" w:before="0" w:after="0"/>
        <w:ind w:firstLine="480"/>
        <w:jc w:val="both"/>
      </w:pPr>
      <w:r>
        <w:rPr>
          <w:rFonts w:ascii="Times New Roman" w:hAnsi="Times New Roman" w:eastAsia="方正仿宋_GBK"/>
          <w:b w:val="0"/>
          <w:sz w:val="24"/>
        </w:rPr>
        <w:t xml:space="preserve">市区按A类较少、B类较多的研究背景，以40%作为B类区间中值参考，比较30%～50%；待分区负荷及存量网络资料齐备后，核定实际转供率。现有联络须对应具体路径，新增联络按建设项目计费，并共同校核馈线接收余量和邻站主变能力。</w:t>
      </w:r>
    </w:p>
    <w:p>
      <w:pPr>
        <w:pStyle w:val="2"/>
        <w:widowControl/>
        <w:spacing w:line="348" w:lineRule="exact" w:before="0" w:after="0"/>
        <w:ind w:firstLine="480"/>
        <w:jc w:val="both"/>
      </w:pPr>
      <w:r>
        <w:rPr>
          <w:rFonts w:ascii="Times New Roman" w:hAnsi="Times New Roman" w:eastAsia="方正仿宋_GBK"/>
          <w:b w:val="0"/>
          <w:sz w:val="24"/>
        </w:rPr>
        <w:t xml:space="preserve">储能4 h用于本次统一比较，工程应用结合地区网供峰值曲线、容量缺口持续时间及故障恢复条件确定实际需求。可用电量与充电空间均需校核。</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84" w:name="随数据和工程条件更新结果"/>
      <w:r>
        <w:rPr>
          <w:rFonts w:ascii="Times New Roman" w:hAnsi="Times New Roman" w:eastAsia="方正仿宋_GBK"/>
          <w:b/>
          <w:sz w:val="26"/>
        </w:rPr>
        <w:t xml:space="preserve">6.2.3 随数据和工程条件更新结果</w:t>
      </w:r>
      <w:bookmarkEnd w:id="284"/>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41" w:name="h1041"/>
      <w:bookmarkStart w:id="285" w:name="后续研究方向"/>
      <w:r>
        <w:rPr>
          <w:rFonts w:ascii="Times New Roman" w:hAnsi="Times New Roman" w:eastAsia="方正仿宋_GBK"/>
          <w:b/>
          <w:sz w:val="32"/>
        </w:rPr>
        <w:t xml:space="preserve">6.3 后续研究方向</w:t>
      </w:r>
      <w:bookmarkEnd w:id="285"/>
      <w:bookmarkEnd w:id="2041"/>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两类静态工况，未开展逐时荷电状态、电压或保护仿真；市区部分网络能力及设备条件采用研究假设。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86" w:name="深化储能运行与实际网络校核"/>
      <w:r>
        <w:rPr>
          <w:rFonts w:ascii="Times New Roman" w:hAnsi="Times New Roman" w:eastAsia="方正仿宋_GBK"/>
          <w:b/>
          <w:sz w:val="26"/>
        </w:rPr>
        <w:t xml:space="preserve">6.3.1 深化储能运行与实际网络校核</w:t>
      </w:r>
      <w:bookmarkEnd w:id="286"/>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87" w:name="拓展片区结构和经济参数"/>
      <w:r>
        <w:rPr>
          <w:rFonts w:ascii="Times New Roman" w:hAnsi="Times New Roman" w:eastAsia="方正仿宋_GBK"/>
          <w:b/>
          <w:sz w:val="26"/>
        </w:rPr>
        <w:t xml:space="preserve">6.3.2 拓展片区结构和经济参数</w:t>
      </w:r>
      <w:bookmarkEnd w:id="287"/>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47" w:name="h1047"/>
      <w:bookmarkStart w:id="288" w:name="参考文献"/>
      <w:r>
        <w:rPr>
          <w:rFonts w:ascii="Times New Roman" w:hAnsi="Times New Roman" w:eastAsia="方正仿宋_GBK"/>
          <w:b/>
          <w:sz w:val="36"/>
        </w:rPr>
        <w:t xml:space="preserve">参考文献</w:t>
      </w:r>
      <w:bookmarkEnd w:id="288"/>
      <w:bookmarkEnd w:id="2047"/>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[88] National Institute of Standards and Technology. Dataplot: Rank Correlation Independence Test[EB/OL]. [2026-10-07]. https://www.itl.nist.gov/div898/software/dataplot/refman1/auxillar/rankcorr.htm.</w:t>
      </w:r>
    </w:p>
    <w:p>
      <w:pPr>
        <w:pStyle w:val="2"/>
        <w:widowControl/>
        <w:spacing w:line="320" w:lineRule="exact" w:before="0" w:after="80"/>
        <w:ind w:firstLine="0"/>
        <w:jc w:val="left"/>
      </w:pPr>
      <w:r>
        <w:rPr>
          <w:rFonts w:ascii="Times New Roman" w:hAnsi="Times New Roman" w:eastAsia="方正仿宋_GBK"/>
          <w:b w:val="0"/>
          <w:sz w:val="21"/>
        </w:rPr>
        <w:t xml:space="preserve">[89]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[90]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[91]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[92]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[93]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[94]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[95]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89" Type="http://schemas.openxmlformats.org/officeDocument/2006/relationships/image" Target="media/rId189.png"/><Relationship Id="rId98" Type="http://schemas.openxmlformats.org/officeDocument/2006/relationships/image" Target="media/rId98.png"/><Relationship Id="rId111" Type="http://schemas.openxmlformats.org/officeDocument/2006/relationships/image" Target="media/rId111.png"/><Relationship Id="rId252" Type="http://schemas.openxmlformats.org/officeDocument/2006/relationships/image" Target="media/rId252.png"/><Relationship Id="rId130" Type="http://schemas.openxmlformats.org/officeDocument/2006/relationships/image" Target="media/rId130.png"/><Relationship Id="rId114" Type="http://schemas.openxmlformats.org/officeDocument/2006/relationships/image" Target="media/rId114.png"/><Relationship Id="rId191" Type="http://schemas.openxmlformats.org/officeDocument/2006/relationships/image" Target="media/rId191.png"/><Relationship Id="rId109" Type="http://schemas.openxmlformats.org/officeDocument/2006/relationships/image" Target="media/rId109.png"/><Relationship Id="rId192" Type="http://schemas.openxmlformats.org/officeDocument/2006/relationships/image" Target="media/rId192.png"/><Relationship Id="rId128" Type="http://schemas.openxmlformats.org/officeDocument/2006/relationships/image" Target="media/rId128.png"/><Relationship Id="rId113" Type="http://schemas.openxmlformats.org/officeDocument/2006/relationships/image" Target="media/rId113.png"/><Relationship Id="rId257" Type="http://schemas.openxmlformats.org/officeDocument/2006/relationships/image" Target="media/rId257.png"/><Relationship Id="rId103" Type="http://schemas.openxmlformats.org/officeDocument/2006/relationships/image" Target="media/rId103.png"/><Relationship Id="rId157" Type="http://schemas.openxmlformats.org/officeDocument/2006/relationships/image" Target="media/rId157.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140</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2026-10-11T08:54:18Z</dcterms:created>
  <dcterms:modified xsi:type="dcterms:W3CDTF">2026-10-11T08:54:18Z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