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29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9"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h339 \h </w:instrText>
      </w:r>
      <w:r>
        <w:rPr>
          <w:rFonts w:ascii="Times New Roman" w:hAnsi="Times New Roman" w:eastAsia="方正仿宋_GBK"/>
          <w:b w:val="0"/>
          <w:sz w:val="24"/>
        </w:rPr>
        <w:fldChar w:fldCharType="separate"/>
      </w:r>
      <w:r>
        <w:rPr>
          <w:rFonts w:ascii="Times New Roman" w:hAnsi="Times New Roman" w:eastAsia="方正仿宋_GBK"/>
          <w:b w:val="0"/>
          <w:sz w:val="24"/>
        </w:rPr>
        <w:t>40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9"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h349 \h </w:instrText>
      </w:r>
      <w:r>
        <w:rPr>
          <w:rFonts w:ascii="Times New Roman" w:hAnsi="Times New Roman" w:eastAsia="方正仿宋_GBK"/>
          <w:b w:val="0"/>
          <w:sz w:val="24"/>
        </w:rPr>
        <w:fldChar w:fldCharType="separate"/>
      </w:r>
      <w:r>
        <w:rPr>
          <w:rFonts w:ascii="Times New Roman" w:hAnsi="Times New Roman" w:eastAsia="方正仿宋_GBK"/>
          <w:b w:val="0"/>
          <w:sz w:val="24"/>
        </w:rPr>
        <w:t>41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88"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h388 \h </w:instrText>
      </w:r>
      <w:r>
        <w:rPr>
          <w:rFonts w:ascii="Times New Roman" w:hAnsi="Times New Roman" w:eastAsia="方正仿宋_GBK"/>
          <w:b/>
          <w:sz w:val="24"/>
        </w:rPr>
        <w:fldChar w:fldCharType="separate"/>
      </w:r>
      <w:r>
        <w:rPr>
          <w:rFonts w:ascii="Times New Roman" w:hAnsi="Times New Roman" w:eastAsia="方正仿宋_GBK"/>
          <w:b/>
          <w:sz w:val="24"/>
        </w:rPr>
        <w:t>46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89"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h389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1"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h401 \h </w:instrText>
      </w:r>
      <w:r>
        <w:rPr>
          <w:rFonts w:ascii="Times New Roman" w:hAnsi="Times New Roman" w:eastAsia="方正仿宋_GBK"/>
          <w:b w:val="0"/>
          <w:sz w:val="24"/>
        </w:rPr>
        <w:fldChar w:fldCharType="separate"/>
      </w:r>
      <w:r>
        <w:rPr>
          <w:rFonts w:ascii="Times New Roman" w:hAnsi="Times New Roman" w:eastAsia="方正仿宋_GBK"/>
          <w:b w:val="0"/>
          <w:sz w:val="24"/>
        </w:rPr>
        <w:t>47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2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h420 \h </w:instrText>
      </w:r>
      <w:r>
        <w:rPr>
          <w:rFonts w:ascii="Times New Roman" w:hAnsi="Times New Roman" w:eastAsia="方正仿宋_GBK"/>
          <w:b w:val="0"/>
          <w:sz w:val="24"/>
        </w:rPr>
        <w:fldChar w:fldCharType="separate"/>
      </w:r>
      <w:r>
        <w:rPr>
          <w:rFonts w:ascii="Times New Roman" w:hAnsi="Times New Roman" w:eastAsia="方正仿宋_GBK"/>
          <w:b w:val="0"/>
          <w:sz w:val="24"/>
        </w:rPr>
        <w:t>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1"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h431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7"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h447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86"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h486 \h </w:instrText>
      </w:r>
      <w:r>
        <w:rPr>
          <w:rFonts w:ascii="Times New Roman" w:hAnsi="Times New Roman" w:eastAsia="方正仿宋_GBK"/>
          <w:b/>
          <w:sz w:val="24"/>
        </w:rPr>
        <w:fldChar w:fldCharType="separate"/>
      </w:r>
      <w:r>
        <w:rPr>
          <w:rFonts w:ascii="Times New Roman" w:hAnsi="Times New Roman" w:eastAsia="方正仿宋_GBK"/>
          <w:b/>
          <w:sz w:val="24"/>
        </w:rPr>
        <w:t>56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88"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h488 \h </w:instrText>
      </w:r>
      <w:r>
        <w:rPr>
          <w:rFonts w:ascii="Times New Roman" w:hAnsi="Times New Roman" w:eastAsia="方正仿宋_GBK"/>
          <w:b w:val="0"/>
          <w:sz w:val="24"/>
        </w:rPr>
        <w:fldChar w:fldCharType="separate"/>
      </w:r>
      <w:r>
        <w:rPr>
          <w:rFonts w:ascii="Times New Roman" w:hAnsi="Times New Roman" w:eastAsia="方正仿宋_GBK"/>
          <w:b w:val="0"/>
          <w:sz w:val="24"/>
        </w:rPr>
        <w:t>56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1"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h511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31"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h531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3"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h543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15"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h915 \h </w:instrText>
      </w:r>
      <w:r>
        <w:rPr>
          <w:rFonts w:ascii="Times New Roman" w:hAnsi="Times New Roman" w:eastAsia="方正仿宋_GBK"/>
          <w:b w:val="0"/>
          <w:sz w:val="24"/>
        </w:rPr>
        <w:fldChar w:fldCharType="separate"/>
      </w:r>
      <w:r>
        <w:rPr>
          <w:rFonts w:ascii="Times New Roman" w:hAnsi="Times New Roman" w:eastAsia="方正仿宋_GBK"/>
          <w:b w:val="0"/>
          <w:sz w:val="24"/>
        </w:rPr>
        <w:t>103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31" w:history="1">
        <w:r>
          <w:rPr>
            <w:rFonts w:ascii="Times New Roman" w:hAnsi="Times New Roman" w:eastAsia="方正仿宋_GBK"/>
            <w:b w:val="0"/>
            <w:sz w:val="24"/>
          </w:rPr>
          <w:t>5.6 六参数推广矩阵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h931 \h </w:instrText>
      </w:r>
      <w:r>
        <w:rPr>
          <w:rFonts w:ascii="Times New Roman" w:hAnsi="Times New Roman" w:eastAsia="方正仿宋_GBK"/>
          <w:b w:val="0"/>
          <w:sz w:val="24"/>
        </w:rPr>
        <w:fldChar w:fldCharType="separate"/>
      </w:r>
      <w:r>
        <w:rPr>
          <w:rFonts w:ascii="Times New Roman" w:hAnsi="Times New Roman" w:eastAsia="方正仿宋_GBK"/>
          <w:b w:val="0"/>
          <w:sz w:val="24"/>
        </w:rPr>
        <w:t>107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04"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h1004 \h </w:instrText>
      </w:r>
      <w:r>
        <w:rPr>
          <w:rFonts w:ascii="Times New Roman" w:hAnsi="Times New Roman" w:eastAsia="方正仿宋_GBK"/>
          <w:b w:val="0"/>
          <w:sz w:val="24"/>
        </w:rPr>
        <w:fldChar w:fldCharType="separate"/>
      </w:r>
      <w:r>
        <w:rPr>
          <w:rFonts w:ascii="Times New Roman" w:hAnsi="Times New Roman" w:eastAsia="方正仿宋_GBK"/>
          <w:b w:val="0"/>
          <w:sz w:val="24"/>
        </w:rPr>
        <w:t>121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19"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h1019 \h </w:instrText>
      </w:r>
      <w:r>
        <w:rPr>
          <w:rFonts w:ascii="Times New Roman" w:hAnsi="Times New Roman" w:eastAsia="方正仿宋_GBK"/>
          <w:b/>
          <w:sz w:val="24"/>
        </w:rPr>
        <w:fldChar w:fldCharType="separate"/>
      </w:r>
      <w:r>
        <w:rPr>
          <w:rFonts w:ascii="Times New Roman" w:hAnsi="Times New Roman" w:eastAsia="方正仿宋_GBK"/>
          <w:b/>
          <w:sz w:val="24"/>
        </w:rPr>
        <w:t>124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1"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h1021 \h </w:instrText>
      </w:r>
      <w:r>
        <w:rPr>
          <w:rFonts w:ascii="Times New Roman" w:hAnsi="Times New Roman" w:eastAsia="方正仿宋_GBK"/>
          <w:b w:val="0"/>
          <w:sz w:val="24"/>
        </w:rPr>
        <w:fldChar w:fldCharType="separate"/>
      </w:r>
      <w:r>
        <w:rPr>
          <w:rFonts w:ascii="Times New Roman" w:hAnsi="Times New Roman" w:eastAsia="方正仿宋_GBK"/>
          <w:b w:val="0"/>
          <w:sz w:val="24"/>
        </w:rPr>
        <w:t>124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5"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h1035 \h </w:instrText>
      </w:r>
      <w:r>
        <w:rPr>
          <w:rFonts w:ascii="Times New Roman" w:hAnsi="Times New Roman" w:eastAsia="方正仿宋_GBK"/>
          <w:b w:val="0"/>
          <w:sz w:val="24"/>
        </w:rPr>
        <w:fldChar w:fldCharType="separate"/>
      </w:r>
      <w:r>
        <w:rPr>
          <w:rFonts w:ascii="Times New Roman" w:hAnsi="Times New Roman" w:eastAsia="方正仿宋_GBK"/>
          <w:b w:val="0"/>
          <w:sz w:val="24"/>
        </w:rPr>
        <w:t>125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7"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h1047 \h </w:instrText>
      </w:r>
      <w:r>
        <w:rPr>
          <w:rFonts w:ascii="Times New Roman" w:hAnsi="Times New Roman" w:eastAsia="方正仿宋_GBK"/>
          <w:b w:val="0"/>
          <w:sz w:val="24"/>
        </w:rPr>
        <w:fldChar w:fldCharType="separate"/>
      </w:r>
      <w:r>
        <w:rPr>
          <w:rFonts w:ascii="Times New Roman" w:hAnsi="Times New Roman" w:eastAsia="方正仿宋_GBK"/>
          <w:b w:val="0"/>
          <w:sz w:val="24"/>
        </w:rPr>
        <w:t>126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53"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h1053 \h </w:instrText>
      </w:r>
      <w:r>
        <w:rPr>
          <w:rFonts w:ascii="Times New Roman" w:hAnsi="Times New Roman" w:eastAsia="方正仿宋_GBK"/>
          <w:b/>
          <w:sz w:val="24"/>
        </w:rPr>
        <w:fldChar w:fldCharType="separate"/>
      </w:r>
      <w:r>
        <w:rPr>
          <w:rFonts w:ascii="Times New Roman" w:hAnsi="Times New Roman" w:eastAsia="方正仿宋_GBK"/>
          <w:b/>
          <w:sz w:val="24"/>
        </w:rPr>
        <w:t>127</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MW/km²。本研究按市区A类较少、B类较多的分区特征设置转供率参考，设备候选按各站资料和研究假设分别确定。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最后，围绕六项核心参数构造推广矩阵，全部参数在第3.5节报告相关性。矩阵按输入区间归纳容载比计算范围，设备措施与费用分别列示。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电缆长度占比、初始转供率、储能支撑持续时间及负荷分散系数六项输入，开展34686组目标年静态比选，其中32112组有效。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先核对指标的统计范围及计算关系，再根据其对容量需求、网络能力和费用的作用选取参数。第3.5节结合规范和论文说明参数选取依据，按两地区实际年度记录分析指标关联；第五章通过地区案例独立扰动及推广参数受控配对解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储能支撑持续时间确定储能有效支撑功率，电缆长度占比决定新增联络综合造价。六项参数先报告相关性，再组织推广矩阵，各单元保留计算节点和配置结果。</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按电缆长度占比、储能支撑持续时间及负荷分散系数分表，列出源荷和转供条件对应的容载比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本研究保留两端约束，通过设备配置变化评价联络的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主变投运后持续在役，负荷则可能在不同年份上升或下降。年度规划路径因此需要处理资产持续在役和负荷波动的共同影响。模型逐年计取建设费用，并校核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新增联络线的可转负荷还取决于受端剩余容量。可转负荷受线路热限、负荷可分段条件和受端可用容量共同限制。公开线路单位造价能够提供价格参考，实际可转任务需要网络资料支撑[8]。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更新支出影响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案例按四年设备状态连续寻优，保留实际年度负荷变化。通用矩阵设置34686组目标年参数组合，将32112组有效结果按全部六项参数归纳为1296个单元。主变、储能与联络按统一工程价格和设备候选进行费用比选。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电缆长度占比、初始转供率、储能支撑持续时间及负荷分散系数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采用各地区共同的仿真初始设备和2021年实际负荷，基期容载比均约为2.00，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年最大净负荷平均增长率[7]由同范围起止年度负荷按复合增长形式计算。2021—2025年包含四个年度间隔，增长分档采用2025年4月《配电网规划设计技术导则（修订稿）》第6.2.2.1条及表2[7]。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峰值幅度和持续时间共同决定静态支撑需求。储能额定功率限制瞬时支撑幅度，可用能量限制连续支撑时长。模型使用铭牌功率与峰段可持续能量的较小值确定充放电功率。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核心参数依据与相关性分析"/>
      <w:r>
        <w:rPr>
          <w:rFonts w:ascii="Times New Roman" w:hAnsi="Times New Roman" w:eastAsia="方正仿宋_GBK"/>
          <w:b/>
          <w:sz w:val="32"/>
        </w:rPr>
        <w:t xml:space="preserve">3.5 核心参数依据与相关性分析</w:t>
      </w:r>
      <w:bookmarkEnd w:id="117"/>
      <w:bookmarkEnd w:id="1314"/>
    </w:p>
    <w:p>
      <w:pPr>
        <w:pStyle w:val="5"/>
        <w:keepNext/>
        <w:numPr>
          <w:numId w:val="0"/>
        </w:numPr>
        <w:spacing w:line="390" w:lineRule="exact" w:before="160" w:after="120"/>
        <w:ind w:firstLine="0"/>
      </w:pPr>
      <w:bookmarkStart w:id="118" w:name="六项参数的选取依据"/>
      <w:r>
        <w:rPr>
          <w:rFonts w:ascii="Times New Roman" w:hAnsi="Times New Roman" w:eastAsia="方正仿宋_GBK"/>
          <w:b/>
          <w:sz w:val="26"/>
        </w:rPr>
        <w:t xml:space="preserve">3.5.1 六项参数的选取依据</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[7]。本研究据此选取源荷规模、网络支援和措施费用相关的六项参数。</w:t>
      </w:r>
    </w:p>
    <w:p>
      <w:pPr>
        <w:pStyle w:val="2"/>
        <w:keepNext/>
        <w:spacing w:line="280" w:lineRule="exact" w:before="120" w:after="80"/>
        <w:ind w:firstLine="0"/>
        <w:jc w:val="center"/>
      </w:pPr>
      <w:r>
        <w:rPr>
          <w:rFonts w:ascii="Times New Roman" w:hAnsi="Times New Roman" w:eastAsia="宋体"/>
          <w:b w:val="0"/>
          <w:sz w:val="21"/>
        </w:rPr>
        <w:t xml:space="preserve">表3-8 六项参数的定义、依据与规划作用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分布式电源装机容量与用户最大负荷之比，无量纲</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该导则第6.5.4条给出定义，第7.4.2.2条联系反向容量校核[7]；装机及负荷资料见第3.3节</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同范围起止年度网供最大负荷的复合年平均增长率，%/年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该导则第6.2.2.1条按该指标划分负荷发展阶段[7]；由同范围起止年度网供最大负荷计算</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 kV线路形式影响工程费用[12]；邳州线路长度统计约11%，市区补充资料约80%，按第4.3节折算新增联络费用</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该导则第6.2.2.1条及馈线联络研究说明转供能力与容量储备的关系[7][8]；用于设定基期网络能力</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储能定容同时考虑功率、能量及持续过程[10][28]；结合第3.4节峰段设置2、4、6 h</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该导则第6.2.2条列为容量储备影响因素[7]；各站及区域峰值取同一补齐全年序列</w:t>
            </w:r>
          </w:p>
        </w:tc>
      </w:tr>
    </w:tbl>
    <w:p>
      <w:pPr>
        <w:pStyle w:val="2"/>
        <w:widowControl/>
        <w:spacing w:line="348" w:lineRule="atLeast" w:before="0" w:after="0"/>
        <w:ind w:firstLine="480"/>
        <w:jc w:val="both"/>
      </w:pPr>
      <w:r>
        <w:rPr>
          <w:rFonts w:ascii="Times New Roman" w:hAnsi="Times New Roman" w:eastAsia="方正仿宋_GBK"/>
          <w:b w:val="0"/>
          <w:sz w:val="24"/>
        </w:rPr>
        <w:t xml:space="preserve">各项计算分别采用</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w:t>
      </w: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为基期及第</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年的年网供最大负荷，</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为基期可转负荷，单位均为MW；</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为分布式电源装机容量，单位MW；</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分别为电缆、架空线路长度，单位km。储能支撑持续时间为本研究的规划参数，按第4.4节功率与可用电量关系参与设备比选。</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w:t>
      </w:r>
    </w:p>
    <w:p>
      <w:pPr>
        <w:pStyle w:val="2"/>
        <w:widowControl/>
        <w:spacing w:line="348" w:lineRule="exact" w:before="0" w:after="0"/>
        <w:ind w:firstLine="480"/>
        <w:jc w:val="both"/>
      </w:pPr>
      <w:r>
        <w:rPr>
          <w:rFonts w:ascii="Times New Roman" w:hAnsi="Times New Roman" w:eastAsia="方正仿宋_GBK"/>
          <w:b w:val="0"/>
          <w:sz w:val="24"/>
        </w:rPr>
        <w:t xml:space="preserve">参数的工程作用需结合容载比的构成理解。装机渗透率和平均增长率改变源荷条件，影响正向供电与反向输送所需容量；初始转供率和负荷分散系数改变站间容量能否共同利用及局部高峰任务；电缆长度占比与储能支撑持续时间则分别通过联络造价、储能有效支撑能力影响措施比选。同一参数可以先引起联络或储能调整，再在设备切换节点引起主变容量变化，因此后续同时观察容载比和设备响应。</w:t>
      </w:r>
    </w:p>
    <w:p>
      <w:pPr>
        <w:pStyle w:val="5"/>
        <w:keepNext/>
        <w:numPr>
          <w:numId w:val="0"/>
        </w:numPr>
        <w:spacing w:line="390" w:lineRule="exact" w:before="160" w:after="120"/>
        <w:ind w:firstLine="0"/>
      </w:pPr>
      <w:bookmarkStart w:id="119" w:name="参数采样及相关分析方法"/>
      <w:r>
        <w:rPr>
          <w:rFonts w:ascii="Times New Roman" w:hAnsi="Times New Roman" w:eastAsia="方正仿宋_GBK"/>
          <w:b/>
          <w:sz w:val="26"/>
        </w:rPr>
        <w:t xml:space="preserve">3.5.2 参数采样及相关分析方法</w:t>
      </w:r>
      <w:bookmarkEnd w:id="119"/>
    </w:p>
    <w:p>
      <w:pPr>
        <w:pStyle w:val="FirstParagraph"/>
        <w:keepNext/>
        <w:spacing w:line="280" w:lineRule="exact" w:before="120" w:after="80"/>
        <w:ind w:firstLine="0"/>
        <w:jc w:val="center"/>
      </w:pPr>
      <w:r>
        <w:rPr>
          <w:rFonts w:ascii="Times New Roman" w:hAnsi="Times New Roman" w:eastAsia="宋体"/>
          <w:b w:val="0"/>
          <w:sz w:val="21"/>
        </w:rPr>
        <w:t xml:space="preserve">表3-11 六项参数采样节点与矩阵分类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0～3.00，步长0.25</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0、2%、3%、4%、5.5%、7%、8%、10%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 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 h；4 h；6 h</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采用2%、4%、7%的分界[7]。装机渗透率、电缆长度占比和初始转供率按表列区间组织，首尾档开口；储能支撑持续时间和负荷分散系数按三个定值分别比较。电缆与转供参数结合一般城镇、邳州及市区网络背景取值，并补充低电缆占比下的高转供组合。六项参数按源荷条件与地区网络背景联合采样，共形成34686个互异组合，相关分析与第五章矩阵共用其中32112个有效节点。</w:t>
      </w:r>
    </w:p>
    <w:p>
      <w:pPr>
        <w:pStyle w:val="2"/>
        <w:widowControl/>
        <w:spacing w:line="348" w:lineRule="exact" w:before="0" w:after="0"/>
        <w:ind w:firstLine="480"/>
        <w:jc w:val="both"/>
      </w:pPr>
      <w:r>
        <w:rPr>
          <w:rFonts w:ascii="Times New Roman" w:hAnsi="Times New Roman" w:eastAsia="方正仿宋_GBK"/>
          <w:b w:val="0"/>
          <w:sz w:val="24"/>
        </w:rPr>
        <w:t xml:space="preserve">参数与容载比采用固定其余五项后的组内相关：同组参数值和容载比分别减去组均值，再将各组节点汇总计算Pearson系数，每组至少包含两个有效节点，节点等权，保留零响应组。参数间关联采用有效节点的六项输入相关矩阵。Pearson描述线性关联，Spearman用于检验排序关系[87][88]。</w:t>
      </w:r>
    </w:p>
    <w:p>
      <w:pPr>
        <w:pStyle w:val="5"/>
        <w:keepNext/>
        <w:numPr>
          <w:numId w:val="0"/>
        </w:numPr>
        <w:spacing w:line="390" w:lineRule="exact" w:before="160" w:after="120"/>
        <w:ind w:firstLine="0"/>
      </w:pPr>
      <w:bookmarkStart w:id="120" w:name="六项参数与容载比的关联"/>
      <w:r>
        <w:rPr>
          <w:rFonts w:ascii="Times New Roman" w:hAnsi="Times New Roman" w:eastAsia="方正仿宋_GBK"/>
          <w:b/>
          <w:sz w:val="26"/>
        </w:rPr>
        <w:t xml:space="preserve">3.5.3 六项参数与容载比的关联</w:t>
      </w:r>
      <w:bookmarkEnd w:id="120"/>
    </w:p>
    <w:p>
      <w:pPr>
        <w:pStyle w:val="FirstParagraph"/>
        <w:keepNext/>
        <w:spacing w:line="280" w:lineRule="exact" w:before="120" w:after="80"/>
        <w:ind w:firstLine="0"/>
        <w:jc w:val="center"/>
      </w:pPr>
      <w:r>
        <w:rPr>
          <w:rFonts w:ascii="Times New Roman" w:hAnsi="Times New Roman" w:eastAsia="宋体"/>
          <w:b w:val="0"/>
          <w:sz w:val="21"/>
        </w:rPr>
        <w:t xml:space="preserve">表3-12 六项参数与容载比的组内相关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与容载比的组内相关系数为0.88，装机增长提高日间反向输送需求，全部受控组均出现主变容量响应。年最大净负荷平均增长率和初始转供率的相关系数分别为－0.80、－0.74：前者同时改变目标年容量需求与容载比分母，后者通过站间支援减少部分本地容量或新增联络需求。</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储能支撑持续时间和负荷分散系数的相关系数分别为0.45、0.27、0.52。电缆占比提高使新增联络费用增加，部分组合转向主变建设；支撑时间延长使相同储能能量对应的有效功率降低；负荷分散系数提高增加局部峰值承载任务。三项参数分别在25%、12%、37%的受控组中触发主变容量变化，说明其作用集中于特定设备替代节点。</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正相关与反向工况的容量需求一致。日间光伏出力增长后，净负荷可能由受入转为反送，主变容量与储能吸收能力共同决定可承载规模。对同一组背景参数，较低装机节点仍可能由晚间正向需求决定配置，进入反向约束起作用的区段后才增加设备。0.88的组内系数概括了这些分段响应，具体切换节点由第五章的设备结果解释。</w:t>
      </w:r>
    </w:p>
    <w:p>
      <w:pPr>
        <w:pStyle w:val="2"/>
        <w:widowControl/>
        <w:spacing w:line="348" w:lineRule="exact" w:before="0" w:after="0"/>
        <w:ind w:firstLine="480"/>
        <w:jc w:val="both"/>
      </w:pPr>
      <w:r>
        <w:rPr>
          <w:rFonts w:ascii="Times New Roman" w:hAnsi="Times New Roman" w:eastAsia="方正仿宋_GBK"/>
          <w:b w:val="0"/>
          <w:sz w:val="24"/>
        </w:rPr>
        <w:t xml:space="preserve">平均增长率的负相关包含容载比分母变化的作用。在初始容量一定、已建主变继续在役时，负荷增加会先消耗已有储备；达到局部供电约束后再购入整台主变，容量随设备规格跳变。因此，较低容载比可以同时对应较高负荷、更多联络及更高费用。初始转供率提高则增加既有网络可调用的支援能力，在邻站具有余量时减少新增工程；当剩余缺口由其他站点或设备规格决定时，继续提高该参数主要体现为联络投资变化。</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支撑持续时间均通过经济比选影响容量，工程作用具有条件性。既有网络已满足转供任务、未选择新增联络的组合，对电缆造价变化可以保持相同配置；由主变及网络承担全部支撑的组合，也可以对储能持续时间保持相同配置。这与总体相关系数为正相容。负荷分散系数反映局部峰值相对区域同时峰值的分散程度，其增大可能先增加邻站支援或储能，再触发主变增容。容量响应组占比用于说明这种设备切换的覆盖范围，完整设备组合见第五章。</w:t>
      </w:r>
    </w:p>
    <w:p>
      <w:pPr>
        <w:pStyle w:val="5"/>
        <w:keepNext/>
        <w:numPr>
          <w:numId w:val="0"/>
        </w:numPr>
        <w:spacing w:line="390" w:lineRule="exact" w:before="160" w:after="120"/>
        <w:ind w:firstLine="0"/>
      </w:pPr>
      <w:bookmarkStart w:id="121" w:name="参数之间的关联"/>
      <w:r>
        <w:rPr>
          <w:rFonts w:ascii="Times New Roman" w:hAnsi="Times New Roman" w:eastAsia="方正仿宋_GBK"/>
          <w:b/>
          <w:sz w:val="26"/>
        </w:rPr>
        <w:t xml:space="preserve">3.5.4 参数之间的关联</w:t>
      </w:r>
      <w:bookmarkEnd w:id="121"/>
    </w:p>
    <w:p>
      <w:pPr>
        <w:pStyle w:val="FirstParagraph"/>
        <w:keepNext/>
        <w:spacing w:line="280" w:lineRule="exact" w:before="120" w:after="80"/>
        <w:ind w:firstLine="0"/>
        <w:jc w:val="center"/>
      </w:pPr>
      <w:r>
        <w:rPr>
          <w:rFonts w:ascii="Times New Roman" w:hAnsi="Times New Roman" w:eastAsia="宋体"/>
          <w:b w:val="0"/>
          <w:sz w:val="21"/>
        </w:rPr>
        <w:t xml:space="preserve">表3-13 六项输入参数的Pearson相关矩阵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ηC</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ḡ</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α</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r₀</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KD</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支撑持续时间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表中符号依次对应装机渗透率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、平均增长率</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、电缆长度占比</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、初始转供率</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、储能支撑持续时间</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及负荷分散系数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oMath>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的Pearson系数为0.28，Spearman系数为0.24。两项参数具有共同的地区建设背景，但分别通过线路造价和既有网络支援作用于设备配置。其余输入配对的Pearson绝对值均不超过0.15，样本库中的线性关联较弱。这些系数描述本次联合情景及可行性筛选后的输入关联；实际地区中的关系结合地区记录判断。</w:t>
      </w:r>
    </w:p>
    <w:p>
      <w:pPr>
        <w:pStyle w:val="2"/>
        <w:widowControl/>
        <w:spacing w:line="348" w:lineRule="exact" w:before="0" w:after="0"/>
        <w:ind w:firstLine="480"/>
        <w:jc w:val="both"/>
      </w:pPr>
      <w:r>
        <w:rPr>
          <w:rFonts w:ascii="Times New Roman" w:hAnsi="Times New Roman" w:eastAsia="方正仿宋_GBK"/>
          <w:b w:val="0"/>
          <w:sz w:val="24"/>
        </w:rPr>
        <w:t xml:space="preserve">输入参数间的关系还需区分共同建设背景与具体作用机制。电缆长度占比较高的地区往往具有不同的线路建设形态和联络条件，本次情景按工程背景安排了相应联合取值；两个参数仍分别承担造价输入和既有能力输入的作用。其余配对线性关联较弱，说明本库保留了较多交叉变化组合。</w:t>
      </w:r>
    </w:p>
    <w:p>
      <w:pPr>
        <w:pStyle w:val="4"/>
        <w:keepNext/>
        <w:numPr>
          <w:numId w:val="0"/>
        </w:numPr>
        <w:spacing w:line="480" w:lineRule="exact" w:before="160" w:after="120"/>
        <w:ind w:firstLine="0"/>
      </w:pPr>
      <w:bookmarkStart w:id="1339" w:name="h339"/>
      <w:bookmarkStart w:id="122" w:name="kv负荷转接资料与仿真条件"/>
      <w:r>
        <w:rPr>
          <w:rFonts w:ascii="Times New Roman" w:hAnsi="Times New Roman" w:eastAsia="方正仿宋_GBK"/>
          <w:b/>
          <w:sz w:val="32"/>
        </w:rPr>
        <w:t xml:space="preserve">3.6 10 kV负荷转接资料与仿真条件</w:t>
      </w:r>
      <w:bookmarkEnd w:id="122"/>
      <w:bookmarkEnd w:id="1339"/>
    </w:p>
    <w:p>
      <w:pPr>
        <w:pStyle w:val="5"/>
        <w:keepNext/>
        <w:numPr>
          <w:numId w:val="0"/>
        </w:numPr>
        <w:spacing w:line="390" w:lineRule="exact" w:before="160" w:after="120"/>
        <w:ind w:firstLine="0"/>
      </w:pPr>
      <w:bookmarkStart w:id="123" w:name="地区转供统计与计算方法"/>
      <w:r>
        <w:rPr>
          <w:rFonts w:ascii="Times New Roman" w:hAnsi="Times New Roman" w:eastAsia="方正仿宋_GBK"/>
          <w:b/>
          <w:sz w:val="26"/>
        </w:rPr>
        <w:t xml:space="preserve">3.6.1 地区转供统计与计算方法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24" w:name="逐站能力及网络约束"/>
      <w:r>
        <w:rPr>
          <w:rFonts w:ascii="Times New Roman" w:hAnsi="Times New Roman" w:eastAsia="方正仿宋_GBK"/>
          <w:b/>
          <w:sz w:val="26"/>
        </w:rPr>
        <w:t xml:space="preserve">3.6.2 逐站能力及网络约束</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地区案例将原表与110 kV站点逐一匹配，市区26座实体站、邳州20座站采用对应记录。每站既有转供功率之和受原表站外最大可供负荷与既有网络标定预算两者较小值限制；市区3座模拟站按其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25" w:name="电源归属及反向功率"/>
      <w:r>
        <w:rPr>
          <w:rFonts w:ascii="Times New Roman" w:hAnsi="Times New Roman" w:eastAsia="方正仿宋_GBK"/>
          <w:b/>
          <w:sz w:val="26"/>
        </w:rPr>
        <w:t xml:space="preserve">3.6.3 电源归属及反向功率</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正常转供改变用电负荷分配，电源仍保留原站归属。每个静态工况分别计算转出和转入功率，转出功率以本站原始可转负荷为上限。转供后净负荷同时校核正向供电和反向容量，区域内部转入、转出合计相等。</w:t>
      </w:r>
    </w:p>
    <w:p>
      <w:pPr>
        <w:pStyle w:val="4"/>
        <w:keepNext/>
        <w:numPr>
          <w:numId w:val="0"/>
        </w:numPr>
        <w:spacing w:line="480" w:lineRule="exact" w:before="160" w:after="120"/>
        <w:ind w:firstLine="0"/>
      </w:pPr>
      <w:bookmarkStart w:id="1349" w:name="h349"/>
      <w:bookmarkStart w:id="126" w:name="站级负载率与配置需求"/>
      <w:r>
        <w:rPr>
          <w:rFonts w:ascii="Times New Roman" w:hAnsi="Times New Roman" w:eastAsia="方正仿宋_GBK"/>
          <w:b/>
          <w:sz w:val="32"/>
        </w:rPr>
        <w:t xml:space="preserve">3.7 站级负载率与配置需求</w:t>
      </w:r>
      <w:bookmarkEnd w:id="126"/>
      <w:bookmarkEnd w:id="1349"/>
    </w:p>
    <w:p>
      <w:pPr>
        <w:pStyle w:val="5"/>
        <w:keepNext/>
        <w:numPr>
          <w:numId w:val="0"/>
        </w:numPr>
        <w:spacing w:line="390" w:lineRule="exact" w:before="160" w:after="120"/>
        <w:ind w:firstLine="0"/>
      </w:pPr>
      <w:bookmarkStart w:id="127" w:name="邳州站级相对负载"/>
      <w:r>
        <w:rPr>
          <w:rFonts w:ascii="Times New Roman" w:hAnsi="Times New Roman" w:eastAsia="方正仿宋_GBK"/>
          <w:b/>
          <w:sz w:val="26"/>
        </w:rPr>
        <w:t xml:space="preserve">3.7.1 邳州站级相对负载</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邳州站级负载率</w:t>
      </w:r>
    </w:p>
    <w:p>
      <w:pPr>
        <w:pStyle w:val="5"/>
        <w:keepNext/>
        <w:numPr>
          <w:numId w:val="0"/>
        </w:numPr>
        <w:spacing w:line="390" w:lineRule="exact" w:before="160" w:after="120"/>
        <w:ind w:firstLine="0"/>
      </w:pPr>
      <w:bookmarkStart w:id="129" w:name="市区站级相对负载"/>
      <w:r>
        <w:rPr>
          <w:rFonts w:ascii="Times New Roman" w:hAnsi="Times New Roman" w:eastAsia="方正仿宋_GBK"/>
          <w:b/>
          <w:sz w:val="26"/>
        </w:rPr>
        <w:t xml:space="preserve">3.7.2 市区站级相对负载</w:t>
      </w:r>
      <w:bookmarkEnd w:id="129"/>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1" w:name="负载率与规划措施的联系"/>
      <w:r>
        <w:rPr>
          <w:rFonts w:ascii="Times New Roman" w:hAnsi="Times New Roman" w:eastAsia="方正仿宋_GBK"/>
          <w:b/>
          <w:sz w:val="26"/>
        </w:rPr>
        <w:t xml:space="preserve">3.7.3 负载率与规划措施的联系</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2" w:name="较高负载率站的方向与配置条件"/>
      <w:r>
        <w:rPr>
          <w:rFonts w:ascii="Times New Roman" w:hAnsi="Times New Roman" w:eastAsia="方正仿宋_GBK"/>
          <w:b/>
          <w:sz w:val="26"/>
        </w:rPr>
        <w:t xml:space="preserve">3.7.4 较高负载率站的方向与配置条件</w:t>
      </w:r>
      <w:bookmarkEnd w:id="132"/>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3" w:name="站级功率的主导方向"/>
      <w:r>
        <w:rPr>
          <w:rFonts w:ascii="Times New Roman" w:hAnsi="Times New Roman" w:eastAsia="方正仿宋_GBK"/>
          <w:b/>
          <w:sz w:val="26"/>
        </w:rPr>
        <w:t xml:space="preserve">3.7.5 站级功率的主导方向</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66" w:name="h366"/>
      <w:bookmarkStart w:id="134" w:name="运行特征的综合分析"/>
      <w:r>
        <w:rPr>
          <w:rFonts w:ascii="Times New Roman" w:hAnsi="Times New Roman" w:eastAsia="方正仿宋_GBK"/>
          <w:b/>
          <w:sz w:val="32"/>
        </w:rPr>
        <w:t xml:space="preserve">3.8 运行特征的综合分析</w:t>
      </w:r>
      <w:bookmarkEnd w:id="134"/>
      <w:bookmarkEnd w:id="1366"/>
    </w:p>
    <w:p>
      <w:pPr>
        <w:pStyle w:val="5"/>
        <w:keepNext/>
        <w:numPr>
          <w:numId w:val="0"/>
        </w:numPr>
        <w:spacing w:line="390" w:lineRule="exact"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388" w:name="h388"/>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88"/>
    </w:p>
    <w:p>
      <w:pPr>
        <w:pStyle w:val="4"/>
        <w:keepNext/>
        <w:numPr>
          <w:numId w:val="0"/>
        </w:numPr>
        <w:spacing w:line="480" w:lineRule="exact" w:before="160" w:after="120"/>
        <w:ind w:firstLine="0"/>
      </w:pPr>
      <w:bookmarkStart w:id="1389" w:name="h389"/>
      <w:bookmarkStart w:id="140" w:name="成本模型的范围与建立原则"/>
      <w:r>
        <w:rPr>
          <w:rFonts w:ascii="Times New Roman" w:hAnsi="Times New Roman" w:eastAsia="方正仿宋_GBK"/>
          <w:b/>
          <w:sz w:val="32"/>
        </w:rPr>
        <w:t xml:space="preserve">4.1 成本模型的范围与建立原则</w:t>
      </w:r>
      <w:bookmarkEnd w:id="140"/>
      <w:bookmarkEnd w:id="1389"/>
    </w:p>
    <w:p>
      <w:pPr>
        <w:pStyle w:val="5"/>
        <w:keepNext/>
        <w:numPr>
          <w:numId w:val="0"/>
        </w:numPr>
        <w:spacing w:line="390" w:lineRule="exact"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[89][86]。</w:t>
      </w:r>
    </w:p>
    <w:p>
      <w:pPr>
        <w:pStyle w:val="5"/>
        <w:keepNext/>
        <w:numPr>
          <w:numId w:val="0"/>
        </w:numPr>
        <w:spacing w:line="390" w:lineRule="exact"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01" w:name="h401"/>
      <w:bookmarkStart w:id="144" w:name="主变工程成本系数"/>
      <w:r>
        <w:rPr>
          <w:rFonts w:ascii="Times New Roman" w:hAnsi="Times New Roman" w:eastAsia="方正仿宋_GBK"/>
          <w:b/>
          <w:sz w:val="32"/>
        </w:rPr>
        <w:t xml:space="preserve">4.2 主变工程成本系数</w:t>
      </w:r>
      <w:bookmarkEnd w:id="144"/>
      <w:bookmarkEnd w:id="1401"/>
    </w:p>
    <w:p>
      <w:pPr>
        <w:pStyle w:val="5"/>
        <w:keepNext/>
        <w:numPr>
          <w:numId w:val="0"/>
        </w:numPr>
        <w:spacing w:line="390" w:lineRule="exact"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主变净增容量为投运后在役总容量相对投运前的增加量，等于新购容量扣除同期被替换设备容量。仅扩建时两者相等；更换主变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20" w:name="h420"/>
      <w:bookmarkStart w:id="149" w:name="kv联络工程费用"/>
      <w:r>
        <w:rPr>
          <w:rFonts w:ascii="Times New Roman" w:hAnsi="Times New Roman" w:eastAsia="方正仿宋_GBK"/>
          <w:b/>
          <w:sz w:val="32"/>
        </w:rPr>
        <w:t xml:space="preserve">4.3 10 kV联络工程费用</w:t>
      </w:r>
      <w:bookmarkEnd w:id="149"/>
      <w:bookmarkEnd w:id="1420"/>
    </w:p>
    <w:p>
      <w:pPr>
        <w:pStyle w:val="5"/>
        <w:keepNext/>
        <w:numPr>
          <w:numId w:val="0"/>
        </w:numPr>
        <w:spacing w:line="390" w:lineRule="exact"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[89]。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1" w:name="电缆长度占比与综合造价"/>
      <w:r>
        <w:rPr>
          <w:rFonts w:ascii="Times New Roman" w:hAnsi="Times New Roman" w:eastAsia="方正仿宋_GBK"/>
          <w:b/>
          <w:sz w:val="26"/>
        </w:rPr>
        <w:t xml:space="preserve">4.3.2 电缆长度占比与综合造价</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2" w:name="联络能力与工程计费"/>
      <w:r>
        <w:rPr>
          <w:rFonts w:ascii="Times New Roman" w:hAnsi="Times New Roman" w:eastAsia="方正仿宋_GBK"/>
          <w:b/>
          <w:sz w:val="26"/>
        </w:rPr>
        <w:t xml:space="preserve">4.3.3 联络能力与工程计费</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31" w:name="h431"/>
      <w:bookmarkStart w:id="153" w:name="储能投资模型"/>
      <w:r>
        <w:rPr>
          <w:rFonts w:ascii="Times New Roman" w:hAnsi="Times New Roman" w:eastAsia="方正仿宋_GBK"/>
          <w:b/>
          <w:sz w:val="32"/>
        </w:rPr>
        <w:t xml:space="preserve">4.4 储能投资模型</w:t>
      </w:r>
      <w:bookmarkEnd w:id="153"/>
      <w:bookmarkEnd w:id="1431"/>
    </w:p>
    <w:p>
      <w:pPr>
        <w:pStyle w:val="5"/>
        <w:keepNext/>
        <w:numPr>
          <w:numId w:val="0"/>
        </w:numPr>
        <w:spacing w:line="390" w:lineRule="exact"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kWh柜规格。苏州采购公告的储能柜子项最高限价为27.20万元，作为单柜价格参考[91]。模型投资采用浏阳用户侧储能项目的成套中标价210.46万元，保证交付规模为1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储能采购价格依据[91][86]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6" w:name="储能有效支撑功率与持续时间"/>
      <w:r>
        <w:rPr>
          <w:rFonts w:ascii="Times New Roman" w:hAnsi="Times New Roman" w:eastAsia="方正仿宋_GBK"/>
          <w:b/>
          <w:sz w:val="26"/>
        </w:rPr>
        <w:t xml:space="preserve">4.4.3 储能有效支撑功率与持续时间</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可用电量系数用于静态比选。正向支撑需要可放电电量，反向吸收需要可充电空间。模型适用范围见第3.4.5节；工程应用需结合保证可用电量、充放电效率、充电条件及恢复时间核定支撑能力。</w:t>
      </w:r>
    </w:p>
    <w:p>
      <w:pPr>
        <w:pStyle w:val="4"/>
        <w:keepNext/>
        <w:numPr>
          <w:numId w:val="0"/>
        </w:numPr>
        <w:spacing w:line="480" w:lineRule="exact" w:before="160" w:after="120"/>
        <w:ind w:firstLine="0"/>
      </w:pPr>
      <w:bookmarkStart w:id="1447" w:name="h447"/>
      <w:bookmarkStart w:id="159" w:name="参数变化与措施费用的联系"/>
      <w:r>
        <w:rPr>
          <w:rFonts w:ascii="Times New Roman" w:hAnsi="Times New Roman" w:eastAsia="方正仿宋_GBK"/>
          <w:b/>
          <w:sz w:val="32"/>
        </w:rPr>
        <w:t xml:space="preserve">4.5 参数变化与措施费用的联系</w:t>
      </w:r>
      <w:bookmarkEnd w:id="159"/>
      <w:bookmarkEnd w:id="1447"/>
    </w:p>
    <w:p>
      <w:pPr>
        <w:pStyle w:val="5"/>
        <w:keepNext/>
        <w:numPr>
          <w:numId w:val="0"/>
        </w:numPr>
        <w:spacing w:line="390" w:lineRule="exact" w:before="160" w:after="120"/>
        <w:ind w:firstLine="0"/>
      </w:pPr>
      <w:bookmarkStart w:id="160" w:name="电缆长度占比与联络费用"/>
      <w:r>
        <w:rPr>
          <w:rFonts w:ascii="Times New Roman" w:hAnsi="Times New Roman" w:eastAsia="方正仿宋_GBK"/>
          <w:b/>
          <w:sz w:val="26"/>
        </w:rPr>
        <w:t xml:space="preserve">4.5.1 电缆长度占比与联络费用</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61" w:name="储能支撑时间与配置费用"/>
      <w:r>
        <w:rPr>
          <w:rFonts w:ascii="Times New Roman" w:hAnsi="Times New Roman" w:eastAsia="方正仿宋_GBK"/>
          <w:b/>
          <w:sz w:val="26"/>
        </w:rPr>
        <w:t xml:space="preserve">4.5.2 储能支撑时间与配置费用</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费用由新增柜数而非年末全部在役数量计取。</w:t>
      </w:r>
    </w:p>
    <w:p>
      <w:pPr>
        <w:pStyle w:val="5"/>
        <w:keepNext/>
        <w:numPr>
          <w:numId w:val="0"/>
        </w:numPr>
        <w:spacing w:line="390" w:lineRule="exact" w:before="160" w:after="120"/>
        <w:ind w:firstLine="0"/>
      </w:pPr>
      <w:bookmarkStart w:id="162" w:name="三类措施的经济比较"/>
      <w:r>
        <w:rPr>
          <w:rFonts w:ascii="Times New Roman" w:hAnsi="Times New Roman" w:eastAsia="方正仿宋_GBK"/>
          <w:b/>
          <w:sz w:val="26"/>
        </w:rPr>
        <w:t xml:space="preserve">4.5.3 三类措施的经济比较</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可辅助比较工程费用。主变投资对应新购整台容量，其供电作用受最大单台主变N-1剩余容量约束；联络投资对应具体区段可转功率，并受邻站接收余量限制；储能投资对应给定持续时间内的有效功率。第五章按相同正常及故障约束比较完整建设组合[30][28][10]。</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MVA；若两台均升档或具备第三台扩建位置，故障后的剩余容量才随具体组合改变。工程比选应据实际停运设备校核，再比较相应采购费用。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4"/>
        <w:keepNext/>
        <w:numPr>
          <w:numId w:val="0"/>
        </w:numPr>
        <w:spacing w:line="480" w:lineRule="exact" w:before="160" w:after="120"/>
        <w:ind w:firstLine="0"/>
      </w:pPr>
      <w:bookmarkStart w:id="1460" w:name="h460"/>
      <w:bookmarkStart w:id="163" w:name="现金流现值计算"/>
      <w:r>
        <w:rPr>
          <w:rFonts w:ascii="Times New Roman" w:hAnsi="Times New Roman" w:eastAsia="方正仿宋_GBK"/>
          <w:b/>
          <w:sz w:val="32"/>
        </w:rPr>
        <w:t xml:space="preserve">4.6 现金流现值计算</w:t>
      </w:r>
      <w:bookmarkEnd w:id="163"/>
      <w:bookmarkEnd w:id="1460"/>
    </w:p>
    <w:p>
      <w:pPr>
        <w:pStyle w:val="5"/>
        <w:keepNext/>
        <w:numPr>
          <w:numId w:val="0"/>
        </w:numPr>
        <w:spacing w:line="390" w:lineRule="exact" w:before="160" w:after="120"/>
        <w:ind w:firstLine="0"/>
      </w:pPr>
      <w:bookmarkStart w:id="164" w:name="单项工程现值因子"/>
      <w:r>
        <w:rPr>
          <w:rFonts w:ascii="Times New Roman" w:hAnsi="Times New Roman" w:eastAsia="方正仿宋_GBK"/>
          <w:b/>
          <w:sz w:val="26"/>
        </w:rPr>
        <w:t xml:space="preserve">4.6.1 单项工程现值因子</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5" w:name="年度投运对现值的影响"/>
      <w:r>
        <w:rPr>
          <w:rFonts w:ascii="Times New Roman" w:hAnsi="Times New Roman" w:eastAsia="方正仿宋_GBK"/>
          <w:b/>
          <w:sz w:val="26"/>
        </w:rPr>
        <w:t xml:space="preserve">4.6.2 年度投运对现值的影响</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6" w:name="费用构成与结果复算"/>
      <w:r>
        <w:rPr>
          <w:rFonts w:ascii="Times New Roman" w:hAnsi="Times New Roman" w:eastAsia="方正仿宋_GBK"/>
          <w:b/>
          <w:sz w:val="26"/>
        </w:rPr>
        <w:t xml:space="preserve">4.6.3 费用构成与结果复算</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7" w:name="评价期边界与费用解释"/>
      <w:r>
        <w:rPr>
          <w:rFonts w:ascii="Times New Roman" w:hAnsi="Times New Roman" w:eastAsia="方正仿宋_GBK"/>
          <w:b/>
          <w:sz w:val="26"/>
        </w:rPr>
        <w:t xml:space="preserve">4.6.4 评价期边界与费用解释</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68" w:name="主变更换与扩建的投资差异"/>
      <w:r>
        <w:rPr>
          <w:rFonts w:ascii="Times New Roman" w:hAnsi="Times New Roman" w:eastAsia="方正仿宋_GBK"/>
          <w:b/>
          <w:sz w:val="26"/>
        </w:rPr>
        <w:t xml:space="preserve">4.6.5 主变更换与扩建的投资差异</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69" w:name="联络与储能的费用响应"/>
      <w:r>
        <w:rPr>
          <w:rFonts w:ascii="Times New Roman" w:hAnsi="Times New Roman" w:eastAsia="方正仿宋_GBK"/>
          <w:b/>
          <w:sz w:val="26"/>
        </w:rPr>
        <w:t xml:space="preserve">4.6.6 联络与储能的费用响应</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486" w:name="h486"/>
      <w:bookmarkStart w:id="170"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0"/>
      <w:bookmarkEnd w:id="1486"/>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488" w:name="h488"/>
      <w:bookmarkStart w:id="171" w:name="寻优问题与共同起点"/>
      <w:r>
        <w:rPr>
          <w:rFonts w:ascii="Times New Roman" w:hAnsi="Times New Roman" w:eastAsia="方正仿宋_GBK"/>
          <w:b/>
          <w:sz w:val="32"/>
        </w:rPr>
        <w:t xml:space="preserve">5.1 寻优问题与共同起点</w:t>
      </w:r>
      <w:bookmarkEnd w:id="171"/>
      <w:bookmarkEnd w:id="1488"/>
    </w:p>
    <w:p>
      <w:pPr>
        <w:pStyle w:val="5"/>
        <w:keepNext/>
        <w:numPr>
          <w:numId w:val="0"/>
        </w:numPr>
        <w:spacing w:line="390" w:lineRule="exact" w:before="160" w:after="120"/>
        <w:ind w:firstLine="0"/>
      </w:pPr>
      <w:bookmarkStart w:id="172" w:name="年度负荷与共同仿真起点"/>
      <w:r>
        <w:rPr>
          <w:rFonts w:ascii="Times New Roman" w:hAnsi="Times New Roman" w:eastAsia="方正仿宋_GBK"/>
          <w:b/>
          <w:sz w:val="26"/>
        </w:rPr>
        <w:t xml:space="preserve">5.1.1 年度负荷与共同仿真起点</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3" w:name="刚性与弹性方案"/>
      <w:r>
        <w:rPr>
          <w:rFonts w:ascii="Times New Roman" w:hAnsi="Times New Roman" w:eastAsia="方正仿宋_GBK"/>
          <w:b/>
          <w:sz w:val="26"/>
        </w:rPr>
        <w:t xml:space="preserve">5.1.2 刚性与弹性方案</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该年维持既有容量。弹性方案按费用最小选择设备组合，容量由正常及N-1承载需求、允许规格和扩建位置共同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按增长率对应的导则范围确定，市区1.50、邳州1.70[7]。两类方案均按实际设备配置与同年网供峰值计算容载比。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4" w:name="工程候选与参数设置"/>
      <w:r>
        <w:rPr>
          <w:rFonts w:ascii="Times New Roman" w:hAnsi="Times New Roman" w:eastAsia="方正仿宋_GBK"/>
          <w:b/>
          <w:sz w:val="26"/>
        </w:rPr>
        <w:t xml:space="preserve">5.1.3 工程候选与参数设置</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h，反向持续时间按各站静态参数设置；推广采用2、4、6 h三个定值。采用相同储能规格和工程价格，比较容量约束变化后是否仍需配置储能。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核心参数的定义、选取依据及地区资料见第3.5节。地区案例保留实际年度负荷和具体网络，推广模板按第3.5节的六项参数构造源荷、网络及工程费用条件。</w:t>
      </w:r>
    </w:p>
    <w:p>
      <w:pPr>
        <w:pStyle w:val="4"/>
        <w:keepNext/>
        <w:numPr>
          <w:numId w:val="0"/>
        </w:numPr>
        <w:spacing w:line="480" w:lineRule="exact" w:before="160" w:after="120"/>
        <w:ind w:firstLine="0"/>
      </w:pPr>
      <w:bookmarkStart w:id="1511" w:name="h511"/>
      <w:bookmarkStart w:id="175" w:name="三类措施的选取与寻优方法"/>
      <w:r>
        <w:rPr>
          <w:rFonts w:ascii="Times New Roman" w:hAnsi="Times New Roman" w:eastAsia="方正仿宋_GBK"/>
          <w:b/>
          <w:sz w:val="32"/>
        </w:rPr>
        <w:t xml:space="preserve">5.2 三类措施的选取与寻优方法</w:t>
      </w:r>
      <w:bookmarkEnd w:id="175"/>
      <w:bookmarkEnd w:id="1511"/>
    </w:p>
    <w:p>
      <w:pPr>
        <w:pStyle w:val="5"/>
        <w:keepNext/>
        <w:numPr>
          <w:numId w:val="0"/>
        </w:numPr>
        <w:spacing w:line="390" w:lineRule="exact" w:before="160" w:after="120"/>
        <w:ind w:firstLine="0"/>
      </w:pPr>
      <w:bookmarkStart w:id="176" w:name="主变增容及扩建方案"/>
      <w:r>
        <w:rPr>
          <w:rFonts w:ascii="Times New Roman" w:hAnsi="Times New Roman" w:eastAsia="方正仿宋_GBK"/>
          <w:b/>
          <w:sz w:val="26"/>
        </w:rPr>
        <w:t xml:space="preserve">5.2.1 主变增容及扩建方案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77" w:name="利用既有10-kv联络能力"/>
      <w:r>
        <w:rPr>
          <w:rFonts w:ascii="Times New Roman" w:hAnsi="Times New Roman" w:eastAsia="方正仿宋_GBK"/>
          <w:b/>
          <w:sz w:val="26"/>
        </w:rPr>
        <w:t xml:space="preserve">5.2.2 利用既有10 kV联络能力</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既有网络按地区转供资料和逐站MW上限建模，统计计算见第3.6节。既有通道转出功率之和按每站预算约束，共用馈线的多条通道共用源端负荷和接收余量。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为既有网络标定预算，</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为补充资料所列站外最大可供负荷，单位均为MW。正常和故障工况分别安排转供，既有能力以固定MW预算使用。</w:t>
      </w:r>
    </w:p>
    <w:p>
      <w:pPr>
        <w:pStyle w:val="5"/>
        <w:keepNext/>
        <w:numPr>
          <w:numId w:val="0"/>
        </w:numPr>
        <w:spacing w:line="390" w:lineRule="exact" w:before="160" w:after="120"/>
        <w:ind w:firstLine="0"/>
      </w:pPr>
      <w:bookmarkStart w:id="178" w:name="新建10-kv联络提升转供能力"/>
      <w:r>
        <w:rPr>
          <w:rFonts w:ascii="Times New Roman" w:hAnsi="Times New Roman" w:eastAsia="方正仿宋_GBK"/>
          <w:b/>
          <w:sz w:val="26"/>
        </w:rPr>
        <w:t xml:space="preserve">5.2.3 新建10 kV联络提升转供能力</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79" w:name="负荷转接与容量衔接"/>
      <w:r>
        <w:rPr>
          <w:rFonts w:ascii="Times New Roman" w:hAnsi="Times New Roman" w:eastAsia="方正仿宋_GBK"/>
          <w:b/>
          <w:sz w:val="26"/>
        </w:rPr>
        <w:t xml:space="preserve">5.2.4 负荷转接与容量衔接</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0" w:name="储能有效支撑功率"/>
      <w:r>
        <w:rPr>
          <w:rFonts w:ascii="Times New Roman" w:hAnsi="Times New Roman" w:eastAsia="方正仿宋_GBK"/>
          <w:b/>
          <w:sz w:val="26"/>
        </w:rPr>
        <w:t xml:space="preserve">5.2.5 储能有效支撑功率</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31" w:name="h531"/>
      <w:bookmarkStart w:id="181" w:name="约束条件与求解流程"/>
      <w:r>
        <w:rPr>
          <w:rFonts w:ascii="Times New Roman" w:hAnsi="Times New Roman" w:eastAsia="方正仿宋_GBK"/>
          <w:b/>
          <w:sz w:val="32"/>
        </w:rPr>
        <w:t xml:space="preserve">5.3 约束条件与求解流程</w:t>
      </w:r>
      <w:bookmarkEnd w:id="181"/>
      <w:bookmarkEnd w:id="1531"/>
    </w:p>
    <w:p>
      <w:pPr>
        <w:pStyle w:val="5"/>
        <w:keepNext/>
        <w:numPr>
          <w:numId w:val="0"/>
        </w:numPr>
        <w:spacing w:line="390" w:lineRule="exact" w:before="160" w:after="120"/>
        <w:ind w:firstLine="0"/>
      </w:pPr>
      <w:bookmarkStart w:id="182" w:name="正常运行与主变n-1"/>
      <w:r>
        <w:rPr>
          <w:rFonts w:ascii="Times New Roman" w:hAnsi="Times New Roman" w:eastAsia="方正仿宋_GBK"/>
          <w:b/>
          <w:sz w:val="26"/>
        </w:rPr>
        <w:t xml:space="preserve">5.3.1 正常运行与主变N-1</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市区45个、邳州26个同期静态截面分别校核正常运行及各站最大单台主变N-1。故障站按剩余主变容量计算，健康邻站保留全部主变，允许通过已投运线路重新安排负荷。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3" w:name="评价期费用目标"/>
      <w:r>
        <w:rPr>
          <w:rFonts w:ascii="Times New Roman" w:hAnsi="Times New Roman" w:eastAsia="方正仿宋_GBK"/>
          <w:b/>
          <w:sz w:val="26"/>
        </w:rPr>
        <w:t xml:space="preserve">5.3.2 评价期费用目标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4" w:name="三类措施的约束寻优流程"/>
      <w:r>
        <w:rPr>
          <w:rFonts w:ascii="Times New Roman" w:hAnsi="Times New Roman" w:eastAsia="方正仿宋_GBK"/>
          <w:b/>
          <w:sz w:val="26"/>
        </w:rPr>
        <w:t xml:space="preserve">5.3.3 三类措施的约束寻优流程</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43" w:name="h543"/>
      <w:bookmarkStart w:id="185" w:name="寻优结果"/>
      <w:r>
        <w:rPr>
          <w:rFonts w:ascii="Times New Roman" w:hAnsi="Times New Roman" w:eastAsia="方正仿宋_GBK"/>
          <w:b/>
          <w:sz w:val="32"/>
        </w:rPr>
        <w:t xml:space="preserve">5.4 寻优结果</w:t>
      </w:r>
      <w:bookmarkEnd w:id="185"/>
      <w:bookmarkEnd w:id="1543"/>
    </w:p>
    <w:p>
      <w:pPr>
        <w:pStyle w:val="5"/>
        <w:keepNext/>
        <w:numPr>
          <w:numId w:val="0"/>
        </w:numPr>
        <w:spacing w:line="390" w:lineRule="exact" w:before="160" w:after="120"/>
        <w:ind w:firstLine="0"/>
      </w:pPr>
      <w:bookmarkStart w:id="186" w:name="邳州逐年方案"/>
      <w:r>
        <w:rPr>
          <w:rFonts w:ascii="Times New Roman" w:hAnsi="Times New Roman" w:eastAsia="方正仿宋_GBK"/>
          <w:b/>
          <w:sz w:val="26"/>
        </w:rPr>
        <w:t xml:space="preserve">5.4.1 邳州逐年方案</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14588.04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2653.89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1527.82</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MVA；刚性方案当年受容量上限约束，形成1642.50 MVA，并以储能及联络共同补足局部供电需求。2024年刚性方案再增加61.50 MVA，两类方案此后总容量相同。前期主变建设规模的差异改变了后续补充措施的选择，年度主变采购与储能、联络增量共同解释方案费用。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刚性方案同时增容，弹性方案利用已投运容量并新增2项联络；2025年负荷进一步增加，两类方案主变容量均保持1704.00 MVA，容载比均为1.78。此时刚性方案继续增加储能及联络，弹性方案新增7.74 MWh储能和6项联络，反映出相同区域总容量下的站内设备结构和网络任务差异。</w:t>
      </w:r>
    </w:p>
    <w:p>
      <w:pPr>
        <w:pStyle w:val="2"/>
        <w:widowControl/>
        <w:spacing w:line="348" w:lineRule="exact" w:before="0" w:after="0"/>
        <w:ind w:firstLine="480"/>
        <w:jc w:val="both"/>
      </w:pPr>
      <w:r>
        <w:rPr>
          <w:rFonts w:ascii="Times New Roman" w:hAnsi="Times New Roman" w:eastAsia="方正仿宋_GBK"/>
          <w:b w:val="0"/>
          <w:sz w:val="24"/>
        </w:rPr>
        <w:t xml:space="preserve">年度新增工程表中的主变新购容量包含更换和扩建采购，扣除同期被替换主变容量后得到净增容量。例如，邳州弹性方案2022年新购483.50 MVA、替换原设备243.00 MVA，容量净增240.50 MVA。新购容量用于计取工程投资，净增容量决定在役总容量及容载比的变化。负荷回落年份即使不新增主变，容载比也可能升高；后续负荷恢复时，前期投运设备继续满足相应需求。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87" w:name="市区逐年方案"/>
      <w:r>
        <w:rPr>
          <w:rFonts w:ascii="Times New Roman" w:hAnsi="Times New Roman" w:eastAsia="方正仿宋_GBK"/>
          <w:b/>
          <w:sz w:val="26"/>
        </w:rPr>
        <w:t xml:space="preserve">5.4.2 市区逐年方案</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88"/>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市区2022年负荷低于2021年、2024年负荷低于2023年。刚性方案保留已投运的2900.00 MVA主变容量，负荷回落使容量与负荷的比值升高，相应年度容载比超过2.0。这些年份未新增主变，容载比上升由年度负荷减少形成。</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MW，仍略低于2023年。以四年复合平均增长率描述增长阶段时，还需保留这类年际波动，逐年容量安排才能与实际供电任务对应。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首年增加5项联络，借助网络重新安排负荷。两类方案分别以站内补强和新增通道满足同一组供电约束，费用差主要由这两类措施的工程费用形成；既有逐站转供能力在两类方案中共同参与支援。</w:t>
      </w:r>
    </w:p>
    <w:p>
      <w:pPr>
        <w:pStyle w:val="5"/>
        <w:keepNext/>
        <w:numPr>
          <w:numId w:val="0"/>
        </w:numPr>
        <w:spacing w:line="390" w:lineRule="exact" w:before="160" w:after="120"/>
        <w:ind w:firstLine="0"/>
      </w:pPr>
      <w:bookmarkStart w:id="189" w:name="弹性方案与导则建议范围的逐年对照"/>
      <w:r>
        <w:rPr>
          <w:rFonts w:ascii="Times New Roman" w:hAnsi="Times New Roman" w:eastAsia="方正仿宋_GBK"/>
          <w:b/>
          <w:sz w:val="26"/>
        </w:rPr>
        <w:t xml:space="preserve">5.4.3 弹性方案与导则建议范围的逐年对照</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2025年4月《配电网规划设计技术导则（修订稿）》第6.2.2.1条提出容载比总体控制在1.5～2.0，表2按年最大净负荷平均增长率划分发展阶段，相应建议范围如下[7]。</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本节沿用建模采用的2021—2025年复合平均增长率，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MW，平均增长率约7%，属于4%＜KP≤7%的中等增长阶段，对应建议范围1.7～1.9；市区由1449.77 MW增至1528.82 MW，平均增长率约1%，属于KP≤2%的饱和期，对应建议范围1.5～1.7[7]。</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压缩起点下、正常允许调整供区的弹性无下限方案规划回算结果。按上述增长率统一分档，邳州2022—2024年均高于分档建议上限1.9，2025年降至1.78，进入建议范围；市区四年均高于分档建议上限1.7，其中2025年为1.91，高出约0.21。两地区各年结果均高于对应建议下限。按条文总体范围比较，邳州2022、2023年和市区2022、2024年超过2.0，其余年度位于1.5～2.0内[7]。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[7]。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190" w:name="建设规模与费用比较"/>
      <w:r>
        <w:rPr>
          <w:rFonts w:ascii="Times New Roman" w:hAnsi="Times New Roman" w:eastAsia="方正仿宋_GBK"/>
          <w:b/>
          <w:sz w:val="26"/>
        </w:rPr>
        <w:t xml:space="preserve">5.4.4 建设规模与费用比较</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两地区刚性可行方案费用现值合计21790.82万元，弹性为15793.49万元，减少5997.33万元，降幅约28%。</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1"/>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2"/>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两地区均以共同压缩起点开展规划回算，首年必要补强计入建设投资。既有转供采用逐站资料上限，新增联络按地区电缆长度占比计价。费用比较采用通过全部静态工况校核的具体可行方案。</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5751.81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2040.34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11648.73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1916.05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307.86万元，储能和联络分别减少4969.74万元、124.29万元，合计减少4786.17万元。首年较充分的主变补强降低了后续配储需求，储能费用减少是该地区费用差的主要来源。两类方案2024年起总容量相同，但主变采购及配套措施的时序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2657.80万元联络费用，合计减少1211.17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5"/>
        <w:keepNext/>
        <w:numPr>
          <w:numId w:val="0"/>
        </w:numPr>
        <w:spacing w:line="390" w:lineRule="exact" w:before="160" w:after="120"/>
        <w:ind w:firstLine="0"/>
      </w:pPr>
      <w:bookmarkStart w:id="193" w:name="邳州逐站规划方案"/>
      <w:r>
        <w:rPr>
          <w:rFonts w:ascii="Times New Roman" w:hAnsi="Times New Roman" w:eastAsia="方正仿宋_GBK"/>
          <w:b/>
          <w:sz w:val="26"/>
        </w:rPr>
        <w:t xml:space="preserve">5.4.5 邳州逐站规划方案</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支撑能力另按邳州2 h及可用电量折算。</w:t>
      </w:r>
    </w:p>
    <w:p>
      <w:pPr>
        <w:pStyle w:val="7"/>
        <w:keepNext/>
        <w:numPr>
          <w:numId w:val="0"/>
        </w:numPr>
        <w:spacing w:line="360" w:lineRule="exact" w:before="160" w:after="120"/>
        <w:ind w:firstLine="0"/>
      </w:pPr>
      <w:bookmarkStart w:id="194" w:name="八义集变规划分析"/>
      <w:r>
        <w:rPr>
          <w:rFonts w:ascii="Times New Roman" w:hAnsi="Times New Roman" w:eastAsia="方正仿宋_GBK"/>
          <w:b/>
          <w:sz w:val="24"/>
        </w:rPr>
        <w:t xml:space="preserve">八义集变规划分析</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MVA。四年保留初始主变组合。2025年新增0.60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MW。刚性方案当年主变容量为70.00 MVA、储能额定功率0.60 MW；弹性方案分别为70.00 MVA和0.60 MW。两类方案本站主变总容量相同。弹性方案按当年各站局部极值计算的站级负载率为56%。</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MVA。两代表工况重新转供后的本站净负荷分别为19.49 MW、-6.39 MW，两方向最小容量余量为0.00 MW，正向储能有效支撑功率为0.49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MW，主要表现为正向受电需求。按该年设备扣除最大单台主变后，剩余容量20.00 MVA。故障方式下本站转出17.74 MW、承接0.00 MW，其中与土山变之间的主要转出功率为14.46 MW，转接后净负荷为19.49 MW。这一工况通过邻站分担本站故障后的正向负荷。</w:t>
      </w:r>
    </w:p>
    <w:p>
      <w:pPr>
        <w:pStyle w:val="7"/>
        <w:keepNext/>
        <w:numPr>
          <w:numId w:val="0"/>
        </w:numPr>
        <w:spacing w:line="360" w:lineRule="exact" w:before="160" w:after="120"/>
        <w:ind w:firstLine="0"/>
      </w:pPr>
      <w:bookmarkStart w:id="195" w:name="大宋变规划分析"/>
      <w:r>
        <w:rPr>
          <w:rFonts w:ascii="Times New Roman" w:hAnsi="Times New Roman" w:eastAsia="方正仿宋_GBK"/>
          <w:b/>
          <w:sz w:val="24"/>
        </w:rPr>
        <w:t xml:space="preserve">大宋变规划分析</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MW，主要表现为正向受电需求。按该年设备扣除最大单台主变后，剩余容量40.00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196" w:name="戴圩变规划分析"/>
      <w:r>
        <w:rPr>
          <w:rFonts w:ascii="Times New Roman" w:hAnsi="Times New Roman" w:eastAsia="方正仿宋_GBK"/>
          <w:b/>
          <w:sz w:val="24"/>
        </w:rPr>
        <w:t xml:space="preserve">戴圩变规划分析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MW，主要表现为正向受电需求。按该年设备扣除最大单台主变后，剩余容量20.00 MVA。故障方式下本站转出11.30 MW、承接0.00 MW，其中与坊上变之间的主要转出功率为11.30 MW，转接后净负荷为19.00 MW。这一工况通过邻站分担本站故障后的正向负荷。</w:t>
      </w:r>
    </w:p>
    <w:p>
      <w:pPr>
        <w:pStyle w:val="7"/>
        <w:keepNext/>
        <w:numPr>
          <w:numId w:val="0"/>
        </w:numPr>
        <w:spacing w:line="360" w:lineRule="exact" w:before="160" w:after="120"/>
        <w:ind w:firstLine="0"/>
      </w:pPr>
      <w:bookmarkStart w:id="197" w:name="戴庄变规划分析"/>
      <w:r>
        <w:rPr>
          <w:rFonts w:ascii="Times New Roman" w:hAnsi="Times New Roman" w:eastAsia="方正仿宋_GBK"/>
          <w:b/>
          <w:sz w:val="24"/>
        </w:rPr>
        <w:t xml:space="preserve">戴庄变规划分析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MVA。2022年20 MVA更换为50 MVA，31.5 MVA更换为50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MW，主要表现为反向输送需求。按该年设备扣除最大单台主变后，剩余容量50.00 MVA。该工况本站由剩余主变满足承载要求。</w:t>
      </w:r>
    </w:p>
    <w:p>
      <w:pPr>
        <w:pStyle w:val="7"/>
        <w:keepNext/>
        <w:numPr>
          <w:numId w:val="0"/>
        </w:numPr>
        <w:spacing w:line="360" w:lineRule="exact" w:before="160" w:after="120"/>
        <w:ind w:firstLine="0"/>
      </w:pPr>
      <w:bookmarkStart w:id="198" w:name="杜村变规划分析"/>
      <w:r>
        <w:rPr>
          <w:rFonts w:ascii="Times New Roman" w:hAnsi="Times New Roman" w:eastAsia="方正仿宋_GBK"/>
          <w:b/>
          <w:sz w:val="24"/>
        </w:rPr>
        <w:t xml:space="preserve">杜村变规划分析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MW，主要表现为正向受电需求。按该年设备扣除最大单台主变后，剩余容量40.00 MVA。故障方式下本站转出54.06 MW、承接0.00 MW，其中与河湾变之间的主要转出功率为25.59 MW，转接后净负荷为38.00 MW。这一工况通过邻站分担本站故障后的正向负荷。</w:t>
      </w:r>
    </w:p>
    <w:p>
      <w:pPr>
        <w:pStyle w:val="7"/>
        <w:keepNext/>
        <w:numPr>
          <w:numId w:val="0"/>
        </w:numPr>
        <w:spacing w:line="360" w:lineRule="exact" w:before="160" w:after="120"/>
        <w:ind w:firstLine="0"/>
      </w:pPr>
      <w:bookmarkStart w:id="199" w:name="墩集变规划分析"/>
      <w:r>
        <w:rPr>
          <w:rFonts w:ascii="Times New Roman" w:hAnsi="Times New Roman" w:eastAsia="方正仿宋_GBK"/>
          <w:b/>
          <w:sz w:val="24"/>
        </w:rPr>
        <w:t xml:space="preserve">墩集变规划分析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MW，主要表现为正向受电需求。按该年设备扣除最大单台主变后，剩余容量20.00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00" w:name="二庙变规划分析"/>
      <w:r>
        <w:rPr>
          <w:rFonts w:ascii="Times New Roman" w:hAnsi="Times New Roman" w:eastAsia="方正仿宋_GBK"/>
          <w:b/>
          <w:sz w:val="24"/>
        </w:rPr>
        <w:t xml:space="preserve">二庙变规划分析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MW。刚性方案当年主变容量为111.50 MVA、储能额定功率0.00 MW；弹性方案分别为111.50 MVA和0.00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MVA。两代表工况重新转供后的本站净负荷分别为29.93 MW、29.92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MW，主要表现为正向受电需求。按该年设备扣除最大单台主变后，剩余容量31.50 MVA。故障方式下本站转出73.63 MW、承接0.00 MW，其中与吴闸变之间的主要转出功率为17.47 MW，转接后净负荷为29.93 MW。这一工况通过邻站分担本站故障后的正向负荷。</w:t>
      </w:r>
    </w:p>
    <w:p>
      <w:pPr>
        <w:pStyle w:val="7"/>
        <w:keepNext/>
        <w:numPr>
          <w:numId w:val="0"/>
        </w:numPr>
        <w:spacing w:line="360" w:lineRule="exact" w:before="160" w:after="120"/>
        <w:ind w:firstLine="0"/>
      </w:pPr>
      <w:bookmarkStart w:id="201" w:name="坊上变规划分析"/>
      <w:r>
        <w:rPr>
          <w:rFonts w:ascii="Times New Roman" w:hAnsi="Times New Roman" w:eastAsia="方正仿宋_GBK"/>
          <w:b/>
          <w:sz w:val="24"/>
        </w:rPr>
        <w:t xml:space="preserve">坊上变规划分析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MVA。两代表工况重新转供后的本站净负荷分别为29.92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MW，主要表现为正向受电需求。按该年设备扣除最大单台主变后，剩余容量31.50 MVA。故障方式下本站转出9.96 MW、承接0.00 MW，其中与杜村变之间的主要转出功率为9.96 MW，转接后净负荷为29.92 MW。这一工况通过邻站分担本站故障后的正向负荷。</w:t>
      </w:r>
    </w:p>
    <w:p>
      <w:pPr>
        <w:pStyle w:val="7"/>
        <w:keepNext/>
        <w:numPr>
          <w:numId w:val="0"/>
        </w:numPr>
        <w:spacing w:line="360" w:lineRule="exact" w:before="160" w:after="120"/>
        <w:ind w:firstLine="0"/>
      </w:pPr>
      <w:bookmarkStart w:id="202" w:name="富山变规划分析"/>
      <w:r>
        <w:rPr>
          <w:rFonts w:ascii="Times New Roman" w:hAnsi="Times New Roman" w:eastAsia="方正仿宋_GBK"/>
          <w:b/>
          <w:sz w:val="24"/>
        </w:rPr>
        <w:t xml:space="preserve">富山变规划分析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MVA更换为31.5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MW，主要表现为正向受电需求。按该年设备扣除最大单台主变后，剩余容量31.50 MVA。该工况本站由剩余主变满足承载要求。</w:t>
      </w:r>
    </w:p>
    <w:p>
      <w:pPr>
        <w:pStyle w:val="7"/>
        <w:keepNext/>
        <w:numPr>
          <w:numId w:val="0"/>
        </w:numPr>
        <w:spacing w:line="360" w:lineRule="exact" w:before="160" w:after="120"/>
        <w:ind w:firstLine="0"/>
      </w:pPr>
      <w:bookmarkStart w:id="203" w:name="河湾变规划分析"/>
      <w:r>
        <w:rPr>
          <w:rFonts w:ascii="Times New Roman" w:hAnsi="Times New Roman" w:eastAsia="方正仿宋_GBK"/>
          <w:b/>
          <w:sz w:val="24"/>
        </w:rPr>
        <w:t xml:space="preserve">河湾变规划分析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MW，主要表现为正向受电需求。按该年设备扣除最大单台主变后，剩余容量20.00 MVA。故障方式下本站转出54.11 MW、承接0.00 MW，其中与吴闸变之间的主要转出功率为16.29 MW，转接后净负荷为19.00 MW。这一工况通过邻站分担本站故障后的正向负荷。</w:t>
      </w:r>
    </w:p>
    <w:p>
      <w:pPr>
        <w:pStyle w:val="7"/>
        <w:keepNext/>
        <w:numPr>
          <w:numId w:val="0"/>
        </w:numPr>
        <w:spacing w:line="360" w:lineRule="exact" w:before="160" w:after="120"/>
        <w:ind w:firstLine="0"/>
      </w:pPr>
      <w:bookmarkStart w:id="204" w:name="邳城变规划分析"/>
      <w:r>
        <w:rPr>
          <w:rFonts w:ascii="Times New Roman" w:hAnsi="Times New Roman" w:eastAsia="方正仿宋_GBK"/>
          <w:b/>
          <w:sz w:val="24"/>
        </w:rPr>
        <w:t xml:space="preserve">邳城变规划分析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MVA更换为31.5 MVA。2025年新增1.10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MW。刚性方案当年主变容量为81.50 MVA、储能额定功率8.20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MW，主要表现为反向输送需求。按该年设备扣除最大单台主变后，剩余容量31.50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05" w:name="邳州变规划分析"/>
      <w:r>
        <w:rPr>
          <w:rFonts w:ascii="Times New Roman" w:hAnsi="Times New Roman" w:eastAsia="方正仿宋_GBK"/>
          <w:b/>
          <w:sz w:val="24"/>
        </w:rPr>
        <w:t xml:space="preserve">邳州变规划分析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MW，转接后净负荷为75.62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MVA。两代表工况重新转供后的本站净负荷分别为29.92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MW，主要表现为正向受电需求。按该年设备扣除最大单台主变后，剩余容量31.50 MVA。故障方式下本站转出39.46 MW、承接0.00 MW，其中与河湾变之间的主要转出功率为17.96 MW，转接后净负荷为29.92 MW。这一工况通过邻站分担本站故障后的正向负荷。</w:t>
      </w:r>
    </w:p>
    <w:p>
      <w:pPr>
        <w:pStyle w:val="7"/>
        <w:keepNext/>
        <w:numPr>
          <w:numId w:val="0"/>
        </w:numPr>
        <w:spacing w:line="360" w:lineRule="exact" w:before="160" w:after="120"/>
        <w:ind w:firstLine="0"/>
      </w:pPr>
      <w:bookmarkStart w:id="206" w:name="宿羊山变规划分析"/>
      <w:r>
        <w:rPr>
          <w:rFonts w:ascii="Times New Roman" w:hAnsi="Times New Roman" w:eastAsia="方正仿宋_GBK"/>
          <w:b/>
          <w:sz w:val="24"/>
        </w:rPr>
        <w:t xml:space="preserve">宿羊山变规划分析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MVA。四年保留初始主变组合。2025年新增1.10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MW，主要表现为正向受电需求。按该年设备扣除最大单台主变后，剩余容量31.50 MVA。故障方式下本站转出30.60 MW、承接0.00 MW，其中与兴塘变之间的主要转出功率为14.20 MW，转接后净负荷为30.82 MW。这一工况通过邻站分担本站故障后的正向负荷。</w:t>
      </w:r>
    </w:p>
    <w:p>
      <w:pPr>
        <w:pStyle w:val="7"/>
        <w:keepNext/>
        <w:numPr>
          <w:numId w:val="0"/>
        </w:numPr>
        <w:spacing w:line="360" w:lineRule="exact" w:before="160" w:after="120"/>
        <w:ind w:firstLine="0"/>
      </w:pPr>
      <w:bookmarkStart w:id="207" w:name="铁富变规划分析"/>
      <w:r>
        <w:rPr>
          <w:rFonts w:ascii="Times New Roman" w:hAnsi="Times New Roman" w:eastAsia="方正仿宋_GBK"/>
          <w:b/>
          <w:sz w:val="24"/>
        </w:rPr>
        <w:t xml:space="preserve">铁富变规划分析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MVA。2022年31.5 MVA更换为63 MVA，40 MVA更换为63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MW，主要表现为正向受电需求。按该年设备扣除最大单台主变后，剩余容量63.00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08" w:name="土山变规划分析"/>
      <w:r>
        <w:rPr>
          <w:rFonts w:ascii="Times New Roman" w:hAnsi="Times New Roman" w:eastAsia="方正仿宋_GBK"/>
          <w:b/>
          <w:sz w:val="24"/>
        </w:rPr>
        <w:t xml:space="preserve">土山变规划分析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MVA更换为50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MW，主要表现为正向受电需求。按该年设备扣除最大单台主变后，剩余容量50.00 MVA。该工况本站由剩余主变满足承载要求。</w:t>
      </w:r>
    </w:p>
    <w:p>
      <w:pPr>
        <w:pStyle w:val="7"/>
        <w:keepNext/>
        <w:numPr>
          <w:numId w:val="0"/>
        </w:numPr>
        <w:spacing w:line="360" w:lineRule="exact" w:before="160" w:after="120"/>
        <w:ind w:firstLine="0"/>
      </w:pPr>
      <w:bookmarkStart w:id="209" w:name="汶河变规划分析"/>
      <w:r>
        <w:rPr>
          <w:rFonts w:ascii="Times New Roman" w:hAnsi="Times New Roman" w:eastAsia="方正仿宋_GBK"/>
          <w:b/>
          <w:sz w:val="24"/>
        </w:rPr>
        <w:t xml:space="preserve">汶河变规划分析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MVA。2022年20 MVA更换为31.5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MW，主要表现为反向输送需求。按该年设备扣除最大单台主变后，剩余容量31.50 MVA。该工况本站由剩余主变满足承载要求。</w:t>
      </w:r>
    </w:p>
    <w:p>
      <w:pPr>
        <w:pStyle w:val="7"/>
        <w:keepNext/>
        <w:numPr>
          <w:numId w:val="0"/>
        </w:numPr>
        <w:spacing w:line="360" w:lineRule="exact" w:before="160" w:after="120"/>
        <w:ind w:firstLine="0"/>
      </w:pPr>
      <w:bookmarkStart w:id="210" w:name="吴闸变规划分析"/>
      <w:r>
        <w:rPr>
          <w:rFonts w:ascii="Times New Roman" w:hAnsi="Times New Roman" w:eastAsia="方正仿宋_GBK"/>
          <w:b/>
          <w:sz w:val="24"/>
        </w:rPr>
        <w:t xml:space="preserve">吴闸变规划分析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MW，主要表现为正向受电需求。按该年设备扣除最大单台主变后，剩余容量20.00 MVA。故障方式下本站转出31.21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11" w:name="邢楼变规划分析"/>
      <w:r>
        <w:rPr>
          <w:rFonts w:ascii="Times New Roman" w:hAnsi="Times New Roman" w:eastAsia="方正仿宋_GBK"/>
          <w:b/>
          <w:sz w:val="24"/>
        </w:rPr>
        <w:t xml:space="preserve">邢楼变规划分析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MVA。2022年扩建第三台50 MVA主变。弹性方案四年均由主变及网络承担供电任务。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MW，主要表现为反向输送需求。按该年设备扣除最大单台主变后，剩余容量40.00 MVA。该工况本站由剩余主变满足承载要求。</w:t>
      </w:r>
    </w:p>
    <w:p>
      <w:pPr>
        <w:pStyle w:val="7"/>
        <w:keepNext/>
        <w:numPr>
          <w:numId w:val="0"/>
        </w:numPr>
        <w:spacing w:line="360" w:lineRule="exact" w:before="160" w:after="120"/>
        <w:ind w:firstLine="0"/>
      </w:pPr>
      <w:bookmarkStart w:id="212" w:name="兴塘变规划分析"/>
      <w:r>
        <w:rPr>
          <w:rFonts w:ascii="Times New Roman" w:hAnsi="Times New Roman" w:eastAsia="方正仿宋_GBK"/>
          <w:b/>
          <w:sz w:val="24"/>
        </w:rPr>
        <w:t xml:space="preserve">兴塘变规划分析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MVA。2022年20 MVA更换为31.5 MVA，20 MVA更换为31.5 MVA。2025年新增0.80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MW，主要表现为正向受电需求。按该年设备扣除最大单台主变后，剩余容量31.50 MVA。故障方式下本站转出8.57 MW、承接0.00 MW，其中与宿羊山变之间的主要转出功率为7.40 MW，转接后净负荷为30.58 MW。这一工况通过邻站分担本站故障后的正向负荷。</w:t>
      </w:r>
    </w:p>
    <w:p>
      <w:pPr>
        <w:pStyle w:val="7"/>
        <w:keepNext/>
        <w:numPr>
          <w:numId w:val="0"/>
        </w:numPr>
        <w:spacing w:line="360" w:lineRule="exact" w:before="160" w:after="120"/>
        <w:ind w:firstLine="0"/>
      </w:pPr>
      <w:bookmarkStart w:id="213" w:name="议堂变规划分析"/>
      <w:r>
        <w:rPr>
          <w:rFonts w:ascii="Times New Roman" w:hAnsi="Times New Roman" w:eastAsia="方正仿宋_GBK"/>
          <w:b/>
          <w:sz w:val="24"/>
        </w:rPr>
        <w:t xml:space="preserve">议堂变规划分析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MW，转接后净负荷为34.43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MW，主要表现为正向受电需求。按该年设备扣除最大单台主变后，剩余容量20.00 MVA。故障方式下本站转出15.43 MW、承接0.00 MW，其中与吴闸变之间的主要转出功率为15.43 MW，转接后净负荷为19.00 MW。这一工况通过邻站分担本站故障后的正向负荷。</w:t>
      </w:r>
    </w:p>
    <w:p>
      <w:pPr>
        <w:pStyle w:val="5"/>
        <w:keepNext/>
        <w:numPr>
          <w:numId w:val="0"/>
        </w:numPr>
        <w:spacing w:line="390" w:lineRule="exact" w:before="160" w:after="120"/>
        <w:ind w:firstLine="0"/>
      </w:pPr>
      <w:bookmarkStart w:id="214" w:name="市区逐站规划方案"/>
      <w:r>
        <w:rPr>
          <w:rFonts w:ascii="Times New Roman" w:hAnsi="Times New Roman" w:eastAsia="方正仿宋_GBK"/>
          <w:b/>
          <w:sz w:val="26"/>
        </w:rPr>
        <w:t xml:space="preserve">5.4.6 市区逐站规划方案</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5" w:name="大黄山变规划分析"/>
      <w:r>
        <w:rPr>
          <w:rFonts w:ascii="Times New Roman" w:hAnsi="Times New Roman" w:eastAsia="方正仿宋_GBK"/>
          <w:b/>
          <w:sz w:val="24"/>
        </w:rPr>
        <w:t xml:space="preserve">大黄山变规划分析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MW，主要表现为反向输送需求。按该年设备扣除最大单台主变后，剩余容量40.00 MVA。该工况本站由剩余主变满足承载要求。</w:t>
      </w:r>
    </w:p>
    <w:p>
      <w:pPr>
        <w:pStyle w:val="7"/>
        <w:keepNext/>
        <w:numPr>
          <w:numId w:val="0"/>
        </w:numPr>
        <w:spacing w:line="360" w:lineRule="exact" w:before="160" w:after="120"/>
        <w:ind w:firstLine="0"/>
      </w:pPr>
      <w:bookmarkStart w:id="216" w:name="大庙变规划分析"/>
      <w:r>
        <w:rPr>
          <w:rFonts w:ascii="Times New Roman" w:hAnsi="Times New Roman" w:eastAsia="方正仿宋_GBK"/>
          <w:b/>
          <w:sz w:val="24"/>
        </w:rPr>
        <w:t xml:space="preserve">大庙变规划分析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MW，主要表现为正向受电需求。按该年设备扣除最大单台主变后，剩余容量40.00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17" w:name="堤北变规划分析"/>
      <w:r>
        <w:rPr>
          <w:rFonts w:ascii="Times New Roman" w:hAnsi="Times New Roman" w:eastAsia="方正仿宋_GBK"/>
          <w:b/>
          <w:sz w:val="24"/>
        </w:rPr>
        <w:t xml:space="preserve">堤北变规划分析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MW，主要表现为正向受电需求。按该年设备扣除最大单台主变后，剩余容量63.00 MVA。故障方式下本站转出43.98 MW、承接0.00 MW，其中与刘湾变之间的主要转出功率为25.46 MW，转接后净负荷为59.85 MW。这一工况通过邻站分担本站故障后的正向负荷。</w:t>
      </w:r>
    </w:p>
    <w:p>
      <w:pPr>
        <w:pStyle w:val="7"/>
        <w:keepNext/>
        <w:numPr>
          <w:numId w:val="0"/>
        </w:numPr>
        <w:spacing w:line="360" w:lineRule="exact" w:before="160" w:after="120"/>
        <w:ind w:firstLine="0"/>
      </w:pPr>
      <w:bookmarkStart w:id="218" w:name="翟山变规划分析"/>
      <w:r>
        <w:rPr>
          <w:rFonts w:ascii="Times New Roman" w:hAnsi="Times New Roman" w:eastAsia="方正仿宋_GBK"/>
          <w:b/>
          <w:sz w:val="24"/>
        </w:rPr>
        <w:t xml:space="preserve">翟山变规划分析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MVA。2022年40 MVA更换为63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MW，主要表现为正向受电需求。按该年设备扣除最大单台主变后，剩余容量63.00 MVA。故障方式下本站转出36.61 MW、承接0.00 MW，其中与开元变之间的主要转出功率为23.53 MW，转接后净负荷为59.85 MW。这一工况通过邻站分担本站故障后的正向负荷。</w:t>
      </w:r>
    </w:p>
    <w:p>
      <w:pPr>
        <w:pStyle w:val="7"/>
        <w:keepNext/>
        <w:numPr>
          <w:numId w:val="0"/>
        </w:numPr>
        <w:spacing w:line="360" w:lineRule="exact" w:before="160" w:after="120"/>
        <w:ind w:firstLine="0"/>
      </w:pPr>
      <w:bookmarkStart w:id="219" w:name="古彭变规划分析"/>
      <w:r>
        <w:rPr>
          <w:rFonts w:ascii="Times New Roman" w:hAnsi="Times New Roman" w:eastAsia="方正仿宋_GBK"/>
          <w:b/>
          <w:sz w:val="24"/>
        </w:rPr>
        <w:t xml:space="preserve">古彭变规划分析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MW，主要表现为正向受电需求。按该年设备扣除最大单台主变后，剩余容量50.00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20" w:name="花园变规划分析"/>
      <w:r>
        <w:rPr>
          <w:rFonts w:ascii="Times New Roman" w:hAnsi="Times New Roman" w:eastAsia="方正仿宋_GBK"/>
          <w:b/>
          <w:sz w:val="24"/>
        </w:rPr>
        <w:t xml:space="preserve">花园变规划分析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MW，主要表现为正向受电需求。按该年设备扣除最大单台主变后，剩余容量40.00 MVA。故障方式下本站转出26.13 MW、承接0.00 MW，其中与庆云桥变之间的主要转出功率为10.59 MW，转接后净负荷为38.00 MW。这一工况通过邻站分担本站故障后的正向负荷。</w:t>
      </w:r>
    </w:p>
    <w:p>
      <w:pPr>
        <w:pStyle w:val="7"/>
        <w:keepNext/>
        <w:numPr>
          <w:numId w:val="0"/>
        </w:numPr>
        <w:spacing w:line="360" w:lineRule="exact" w:before="160" w:after="120"/>
        <w:ind w:firstLine="0"/>
      </w:pPr>
      <w:bookmarkStart w:id="221" w:name="惠民变规划分析"/>
      <w:r>
        <w:rPr>
          <w:rFonts w:ascii="Times New Roman" w:hAnsi="Times New Roman" w:eastAsia="方正仿宋_GBK"/>
          <w:b/>
          <w:sz w:val="24"/>
        </w:rPr>
        <w:t xml:space="preserve">惠民变规划分析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MW，主要表现为正向受电需求。按该年设备扣除最大单台主变后，剩余容量40.00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22" w:name="夹河变规划分析"/>
      <w:r>
        <w:rPr>
          <w:rFonts w:ascii="Times New Roman" w:hAnsi="Times New Roman" w:eastAsia="方正仿宋_GBK"/>
          <w:b/>
          <w:sz w:val="24"/>
        </w:rPr>
        <w:t xml:space="preserve">夹河变规划分析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MW，主要表现为正向受电需求。按该年设备扣除最大单台主变后，剩余容量40.00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23" w:name="开元变规划分析"/>
      <w:r>
        <w:rPr>
          <w:rFonts w:ascii="Times New Roman" w:hAnsi="Times New Roman" w:eastAsia="方正仿宋_GBK"/>
          <w:b/>
          <w:sz w:val="24"/>
        </w:rPr>
        <w:t xml:space="preserve">开元变规划分析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MW，转接后净负荷为56.24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MW，主要表现为正向受电需求。按该年设备扣除最大单台主变后，剩余容量40.00 MVA。故障方式下本站转出18.73 MW、承接0.00 MW，其中与吴庄变之间的主要转出功率为18.73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24" w:name="奎山变规划分析"/>
      <w:r>
        <w:rPr>
          <w:rFonts w:ascii="Times New Roman" w:hAnsi="Times New Roman" w:eastAsia="方正仿宋_GBK"/>
          <w:b/>
          <w:sz w:val="24"/>
        </w:rPr>
        <w:t xml:space="preserve">奎山变规划分析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MW，主要表现为正向受电需求。按该年设备扣除最大单台主变后，剩余容量50.00 MVA。故障方式下本站转出36.97 MW、承接0.00 MW，其中与翟山变之间的主要转出功率为36.97 MW，转接后净负荷为47.50 MW。这一工况通过邻站分担本站故障后的正向负荷。</w:t>
      </w:r>
    </w:p>
    <w:p>
      <w:pPr>
        <w:pStyle w:val="7"/>
        <w:keepNext/>
        <w:numPr>
          <w:numId w:val="0"/>
        </w:numPr>
        <w:spacing w:line="360" w:lineRule="exact" w:before="160" w:after="120"/>
        <w:ind w:firstLine="0"/>
      </w:pPr>
      <w:bookmarkStart w:id="225" w:name="刘湾变规划分析"/>
      <w:r>
        <w:rPr>
          <w:rFonts w:ascii="Times New Roman" w:hAnsi="Times New Roman" w:eastAsia="方正仿宋_GBK"/>
          <w:b/>
          <w:sz w:val="24"/>
        </w:rPr>
        <w:t xml:space="preserve">刘湾变规划分析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MW，主要表现为正向受电需求。按该年设备扣除最大单台主变后，剩余容量40.00 MVA。故障方式下本站转出33.84 MW、承接0.00 MW，其中与拾屯变之间的主要转出功率为33.11 MW，转接后净负荷为38.00 MW。这一工况通过邻站分担本站故障后的正向负荷。</w:t>
      </w:r>
    </w:p>
    <w:p>
      <w:pPr>
        <w:pStyle w:val="7"/>
        <w:keepNext/>
        <w:numPr>
          <w:numId w:val="0"/>
        </w:numPr>
        <w:spacing w:line="360" w:lineRule="exact" w:before="160" w:after="120"/>
        <w:ind w:firstLine="0"/>
      </w:pPr>
      <w:bookmarkStart w:id="226" w:name="龙湖变规划分析"/>
      <w:r>
        <w:rPr>
          <w:rFonts w:ascii="Times New Roman" w:hAnsi="Times New Roman" w:eastAsia="方正仿宋_GBK"/>
          <w:b/>
          <w:sz w:val="24"/>
        </w:rPr>
        <w:t xml:space="preserve">龙湖变规划分析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27" w:name="庞庄变规划分析"/>
      <w:r>
        <w:rPr>
          <w:rFonts w:ascii="Times New Roman" w:hAnsi="Times New Roman" w:eastAsia="方正仿宋_GBK"/>
          <w:b/>
          <w:sz w:val="24"/>
        </w:rPr>
        <w:t xml:space="preserve">庞庄变规划分析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MW、承接4.40 MW，转接后净负荷为13.90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MVA。两代表工况重新转供后的本站净负荷分别为13.90 MW、-6.87 MW，两方向最小容量余量为24.10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28" w:name="彭场变规划分析"/>
      <w:r>
        <w:rPr>
          <w:rFonts w:ascii="Times New Roman" w:hAnsi="Times New Roman" w:eastAsia="方正仿宋_GBK"/>
          <w:b/>
          <w:sz w:val="24"/>
        </w:rPr>
        <w:t xml:space="preserve">彭场变规划分析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MW，主要表现为正向受电需求。按该年设备扣除最大单台主变后，剩余容量40.00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29" w:name="庆云桥变规划分析"/>
      <w:r>
        <w:rPr>
          <w:rFonts w:ascii="Times New Roman" w:hAnsi="Times New Roman" w:eastAsia="方正仿宋_GBK"/>
          <w:b/>
          <w:sz w:val="24"/>
        </w:rPr>
        <w:t xml:space="preserve">庆云桥变规划分析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MW，主要表现为正向受电需求。按该年设备扣除最大单台主变后，剩余容量40.00 MVA。故障方式下本站转出28.34 MW、承接0.00 MW，其中与开元变之间的主要转出功率为19.47 MW，转接后净负荷为38.00 MW。这一工况通过邻站分担本站故障后的正向负荷。</w:t>
      </w:r>
    </w:p>
    <w:p>
      <w:pPr>
        <w:pStyle w:val="7"/>
        <w:keepNext/>
        <w:numPr>
          <w:numId w:val="0"/>
        </w:numPr>
        <w:spacing w:line="360" w:lineRule="exact" w:before="160" w:after="120"/>
        <w:ind w:firstLine="0"/>
      </w:pPr>
      <w:bookmarkStart w:id="230" w:name="山南变规划分析"/>
      <w:r>
        <w:rPr>
          <w:rFonts w:ascii="Times New Roman" w:hAnsi="Times New Roman" w:eastAsia="方正仿宋_GBK"/>
          <w:b/>
          <w:sz w:val="24"/>
        </w:rPr>
        <w:t xml:space="preserve">山南变规划分析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31" w:name="升辉变规划分析"/>
      <w:r>
        <w:rPr>
          <w:rFonts w:ascii="Times New Roman" w:hAnsi="Times New Roman" w:eastAsia="方正仿宋_GBK"/>
          <w:b/>
          <w:sz w:val="24"/>
        </w:rPr>
        <w:t xml:space="preserve">升辉变规划分析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MW，主要表现为正向受电需求。按该年设备扣除最大单台主变后，剩余容量80.00 MVA。该工况本站由剩余主变满足承载要求。</w:t>
      </w:r>
    </w:p>
    <w:p>
      <w:pPr>
        <w:pStyle w:val="7"/>
        <w:keepNext/>
        <w:numPr>
          <w:numId w:val="0"/>
        </w:numPr>
        <w:spacing w:line="360" w:lineRule="exact" w:before="160" w:after="120"/>
        <w:ind w:firstLine="0"/>
      </w:pPr>
      <w:bookmarkStart w:id="232" w:name="石桥变规划分析"/>
      <w:r>
        <w:rPr>
          <w:rFonts w:ascii="Times New Roman" w:hAnsi="Times New Roman" w:eastAsia="方正仿宋_GBK"/>
          <w:b/>
          <w:sz w:val="24"/>
        </w:rPr>
        <w:t xml:space="preserve">石桥变规划分析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MW，主要表现为正向受电需求。按该年设备扣除最大单台主变后，剩余容量63.00 MVA。故障方式下本站转出51.13 MW、承接0.00 MW，其中与响山变之间的主要转出功率为24.34 MW，转接后净负荷为59.85 MW。这一工况通过邻站分担本站故障后的正向负荷。</w:t>
      </w:r>
    </w:p>
    <w:p>
      <w:pPr>
        <w:pStyle w:val="7"/>
        <w:keepNext/>
        <w:numPr>
          <w:numId w:val="0"/>
        </w:numPr>
        <w:spacing w:line="360" w:lineRule="exact" w:before="160" w:after="120"/>
        <w:ind w:firstLine="0"/>
      </w:pPr>
      <w:bookmarkStart w:id="233" w:name="拾屯变规划分析"/>
      <w:r>
        <w:rPr>
          <w:rFonts w:ascii="Times New Roman" w:hAnsi="Times New Roman" w:eastAsia="方正仿宋_GBK"/>
          <w:b/>
          <w:sz w:val="24"/>
        </w:rPr>
        <w:t xml:space="preserve">拾屯变规划分析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MW、承接3.74 MW，转接后净负荷为76.00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MW，主要表现为正向受电需求。按该年设备扣除最大单台主变后，剩余容量40.00 MVA。故障方式下本站转出36.11 MW、承接0.00 MW，其中与花园变之间的主要转出功率为22.73 MW，转接后净负荷为38.00 MW。这一工况通过邻站分担本站故障后的正向负荷。</w:t>
      </w:r>
    </w:p>
    <w:p>
      <w:pPr>
        <w:pStyle w:val="7"/>
        <w:keepNext/>
        <w:numPr>
          <w:numId w:val="0"/>
        </w:numPr>
        <w:spacing w:line="360" w:lineRule="exact" w:before="160" w:after="120"/>
        <w:ind w:firstLine="0"/>
      </w:pPr>
      <w:bookmarkStart w:id="234" w:name="统一变规划分析"/>
      <w:r>
        <w:rPr>
          <w:rFonts w:ascii="Times New Roman" w:hAnsi="Times New Roman" w:eastAsia="方正仿宋_GBK"/>
          <w:b/>
          <w:sz w:val="24"/>
        </w:rPr>
        <w:t xml:space="preserve">统一变规划分析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MW，主要表现为正向受电需求。按该年设备扣除最大单台主变后，剩余容量40.00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35" w:name="吴庄变规划分析"/>
      <w:r>
        <w:rPr>
          <w:rFonts w:ascii="Times New Roman" w:hAnsi="Times New Roman" w:eastAsia="方正仿宋_GBK"/>
          <w:b/>
          <w:sz w:val="24"/>
        </w:rPr>
        <w:t xml:space="preserve">吴庄变规划分析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MW，主要表现为正向受电需求。按该年设备扣除最大单台主变后，剩余容量50.00 MVA。故障方式下本站转出56.42 MW、承接0.00 MW，其中与翟山变之间的主要转出功率为39.78 MW，转接后净负荷为47.50 MW。这一工况通过邻站分担本站故障后的正向负荷。</w:t>
      </w:r>
    </w:p>
    <w:p>
      <w:pPr>
        <w:pStyle w:val="7"/>
        <w:keepNext/>
        <w:numPr>
          <w:numId w:val="0"/>
        </w:numPr>
        <w:spacing w:line="360" w:lineRule="exact" w:before="160" w:after="120"/>
        <w:ind w:firstLine="0"/>
      </w:pPr>
      <w:bookmarkStart w:id="236" w:name="西郊变规划分析"/>
      <w:r>
        <w:rPr>
          <w:rFonts w:ascii="Times New Roman" w:hAnsi="Times New Roman" w:eastAsia="方正仿宋_GBK"/>
          <w:b/>
          <w:sz w:val="24"/>
        </w:rPr>
        <w:t xml:space="preserve">西郊变规划分析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MW，主要表现为正向受电需求。按该年设备扣除最大单台主变后，剩余容量63.00 MVA。故障方式下本站转出69.54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37" w:name="祥和变规划分析"/>
      <w:r>
        <w:rPr>
          <w:rFonts w:ascii="Times New Roman" w:hAnsi="Times New Roman" w:eastAsia="方正仿宋_GBK"/>
          <w:b/>
          <w:sz w:val="24"/>
        </w:rPr>
        <w:t xml:space="preserve">祥和变规划分析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38" w:name="响山变规划分析"/>
      <w:r>
        <w:rPr>
          <w:rFonts w:ascii="Times New Roman" w:hAnsi="Times New Roman" w:eastAsia="方正仿宋_GBK"/>
          <w:b/>
          <w:sz w:val="24"/>
        </w:rPr>
        <w:t xml:space="preserve">响山变规划分析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MW，主要表现为正向受电需求。按该年设备扣除最大单台主变后，剩余容量40.00 MVA。故障方式下本站转出15.58 MW、承接0.00 MW，其中与刘湾变之间的主要转出功率为15.58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39" w:name="玉潭变规划分析"/>
      <w:r>
        <w:rPr>
          <w:rFonts w:ascii="Times New Roman" w:hAnsi="Times New Roman" w:eastAsia="方正仿宋_GBK"/>
          <w:b/>
          <w:sz w:val="24"/>
        </w:rPr>
        <w:t xml:space="preserve">玉潭变规划分析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MW、承接0.43 MW，转接后净负荷为45.45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MVA。两代表工况重新转供后的本站净负荷分别为45.45 MW、9.12 MW，两方向最小容量余量为14.40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MW，主要表现为正向受电需求。按该年设备扣除最大单台主变后，剩余容量63.00 MVA。故障方式下本站转出0.00 MW、承接2.23 MW，其中与西郊变之间的主要承接功率为2.23 MW，转接后净负荷为47.65 MW。该工况的站间任务随局部功率方向和接收余量安排。</w:t>
      </w:r>
    </w:p>
    <w:p>
      <w:pPr>
        <w:pStyle w:val="7"/>
        <w:keepNext/>
        <w:numPr>
          <w:numId w:val="0"/>
        </w:numPr>
        <w:spacing w:line="360" w:lineRule="exact" w:before="160" w:after="120"/>
        <w:ind w:firstLine="0"/>
      </w:pPr>
      <w:bookmarkStart w:id="240" w:name="茱萸变规划分析"/>
      <w:r>
        <w:rPr>
          <w:rFonts w:ascii="Times New Roman" w:hAnsi="Times New Roman" w:eastAsia="方正仿宋_GBK"/>
          <w:b/>
          <w:sz w:val="24"/>
        </w:rPr>
        <w:t xml:space="preserve">茱萸变规划分析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MW，主要表现为正向受电需求。按该年设备扣除最大单台主变后，剩余容量40.00 MVA。该工况本站由剩余主变满足承载要求。</w:t>
      </w:r>
    </w:p>
    <w:p>
      <w:pPr>
        <w:pStyle w:val="5"/>
        <w:keepNext/>
        <w:numPr>
          <w:numId w:val="0"/>
        </w:numPr>
        <w:spacing w:line="390" w:lineRule="exact" w:before="160" w:after="120"/>
        <w:ind w:firstLine="0"/>
      </w:pPr>
      <w:bookmarkStart w:id="241" w:name="年度设备配置与站间差异"/>
      <w:r>
        <w:rPr>
          <w:rFonts w:ascii="Times New Roman" w:hAnsi="Times New Roman" w:eastAsia="方正仿宋_GBK"/>
          <w:b/>
          <w:sz w:val="26"/>
        </w:rPr>
        <w:t xml:space="preserve">5.4.7 年度设备配置与站间差异</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915" w:name="h915"/>
      <w:bookmarkStart w:id="242" w:name="措施作用与工程衔接"/>
      <w:r>
        <w:rPr>
          <w:rFonts w:ascii="Times New Roman" w:hAnsi="Times New Roman" w:eastAsia="方正仿宋_GBK"/>
          <w:b/>
          <w:sz w:val="32"/>
        </w:rPr>
        <w:t xml:space="preserve">5.5 措施作用与工程衔接</w:t>
      </w:r>
      <w:bookmarkEnd w:id="242"/>
      <w:bookmarkEnd w:id="1915"/>
    </w:p>
    <w:p>
      <w:pPr>
        <w:pStyle w:val="5"/>
        <w:keepNext/>
        <w:numPr>
          <w:numId w:val="0"/>
        </w:numPr>
        <w:spacing w:line="390" w:lineRule="exact" w:before="160" w:after="120"/>
        <w:ind w:firstLine="0"/>
      </w:pPr>
      <w:bookmarkStart w:id="243" w:name="逐年负荷转接与站间任务"/>
      <w:r>
        <w:rPr>
          <w:rFonts w:ascii="Times New Roman" w:hAnsi="Times New Roman" w:eastAsia="方正仿宋_GBK"/>
          <w:b/>
          <w:sz w:val="26"/>
        </w:rPr>
        <w:t xml:space="preserve">5.5.1 逐年负荷转接与站间任务</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w:t>
      </w:r>
    </w:p>
    <w:p>
      <w:pPr>
        <w:pStyle w:val="2"/>
        <w:keepNext/>
        <w:spacing w:line="280" w:lineRule="exact" w:before="120" w:after="80"/>
        <w:ind w:firstLine="0"/>
        <w:jc w:val="center"/>
      </w:pPr>
      <w:r>
        <w:rPr>
          <w:rFonts w:ascii="Times New Roman" w:hAnsi="Times New Roman" w:eastAsia="宋体"/>
          <w:b w:val="0"/>
          <w:sz w:val="21"/>
        </w:rPr>
        <w:t xml:space="preserve">表5-60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表5-61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4" w:name="主变储能与联络的共同作用"/>
      <w:r>
        <w:rPr>
          <w:rFonts w:ascii="Times New Roman" w:hAnsi="Times New Roman" w:eastAsia="方正仿宋_GBK"/>
          <w:b/>
          <w:sz w:val="26"/>
        </w:rPr>
        <w:t xml:space="preserve">5.5.2 主变、储能与联络的共同作用</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停运后的剩余容量；邢楼变的第三台主变建设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5"/>
        <w:keepNext/>
        <w:numPr>
          <w:numId w:val="0"/>
        </w:numPr>
        <w:spacing w:line="390" w:lineRule="exact" w:before="160" w:after="120"/>
        <w:ind w:firstLine="0"/>
      </w:pPr>
      <w:bookmarkStart w:id="245" w:name="储能支撑与必要转供量"/>
      <w:r>
        <w:rPr>
          <w:rFonts w:ascii="Times New Roman" w:hAnsi="Times New Roman" w:eastAsia="方正仿宋_GBK"/>
          <w:b/>
          <w:sz w:val="26"/>
        </w:rPr>
        <w:t xml:space="preserve">5.5.3 储能支撑与必要转供量</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MW。邳州弹性方案2025年储能额定功率3.60 MW、额定能量7.74 MWh，刚性方案分别为22.70 MW、48.81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表5-62 逐年最大必要既有转供功率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正常最大/MW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N-1最大/MW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表中固定设备方案后，以最小总通道转供功率计算必要转供，并分别列出正常和N-1工况中的最大既有转供量。既有网络支援在正常及故障工况下共同参与容量平衡，新增联络费用由实际建设项目计取。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1931" w:name="h931"/>
      <w:bookmarkStart w:id="246" w:name="六参数推广矩阵"/>
      <w:r>
        <w:rPr>
          <w:rFonts w:ascii="Times New Roman" w:hAnsi="Times New Roman" w:eastAsia="方正仿宋_GBK"/>
          <w:b/>
          <w:sz w:val="32"/>
        </w:rPr>
        <w:t xml:space="preserve">5.6 六参数推广矩阵</w:t>
      </w:r>
      <w:bookmarkEnd w:id="246"/>
      <w:bookmarkEnd w:id="1931"/>
    </w:p>
    <w:p>
      <w:pPr>
        <w:pStyle w:val="5"/>
        <w:keepNext/>
        <w:numPr>
          <w:numId w:val="0"/>
        </w:numPr>
        <w:spacing w:line="390" w:lineRule="exact" w:before="160" w:after="120"/>
        <w:ind w:firstLine="0"/>
      </w:pPr>
      <w:bookmarkStart w:id="247" w:name="参数组织与推广模型"/>
      <w:r>
        <w:rPr>
          <w:rFonts w:ascii="Times New Roman" w:hAnsi="Times New Roman" w:eastAsia="方正仿宋_GBK"/>
          <w:b/>
          <w:sz w:val="26"/>
        </w:rPr>
        <w:t xml:space="preserve">5.6.1 参数组织与推广模型</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推广采用第3.5节全部六项参数：分布式电源装机渗透率、年最大净负荷平均增长率、电缆长度占比、初始转供率、储能支撑持续时间和负荷分散系数。参数的政策依据、采样节点和相关系数见第3.5节，本节将同一有效结果库归纳为容载比矩阵。</w:t>
      </w:r>
    </w:p>
    <w:p>
      <w:pPr>
        <w:pStyle w:val="2"/>
        <w:widowControl/>
        <w:spacing w:line="348" w:lineRule="exact" w:before="0" w:after="0"/>
        <w:ind w:firstLine="480"/>
        <w:jc w:val="both"/>
      </w:pPr>
      <w:r>
        <w:rPr>
          <w:rFonts w:ascii="Times New Roman" w:hAnsi="Times New Roman" w:eastAsia="方正仿宋_GBK"/>
          <w:b w:val="0"/>
          <w:sz w:val="24"/>
        </w:rPr>
        <w:t xml:space="preserve">五站模板每站初始两台50 MVA主变，基期网供峰值250 MW，目标时点为基期后第4年。主变允许规格、扩建位置、馈线和间隔条件进入承载约束，主变、储能和新增联络按共同评价期费用比选。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表5-63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5站，每站2×50 MVA；按位置允许升档和扩建第三台50 MVA</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48" w:name="矩阵结果与查表方法"/>
      <w:r>
        <w:rPr>
          <w:rFonts w:ascii="Times New Roman" w:hAnsi="Times New Roman" w:eastAsia="方正仿宋_GBK"/>
          <w:b/>
          <w:sz w:val="26"/>
        </w:rPr>
        <w:t xml:space="preserve">5.6.2 矩阵结果与查表方法</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六项参数共设置34686个组合，其中32112个有效组合形成容载比区间。按电缆长度占比三档、储能支撑持续时间三个定值和负荷分散系数三个定值分为27张表，每表以平均增长率和装机渗透率构成12行、初始转供率构成4列，共1296个单元。每个单元包含2～60个有效样本，容载比区间总体为1.36～3.15。</w:t>
      </w:r>
    </w:p>
    <w:p>
      <w:pPr>
        <w:pStyle w:val="2"/>
        <w:widowControl/>
        <w:spacing w:line="348" w:lineRule="exact" w:before="0" w:after="0"/>
        <w:ind w:firstLine="480"/>
        <w:jc w:val="both"/>
      </w:pPr>
      <w:r>
        <w:rPr>
          <w:rFonts w:ascii="Times New Roman" w:hAnsi="Times New Roman" w:eastAsia="方正仿宋_GBK"/>
          <w:b w:val="0"/>
          <w:sz w:val="24"/>
        </w:rPr>
        <w:t xml:space="preserve">查表先确定电缆长度占比档、储能支撑持续时间和负荷分散系数，再按平均增长率、装机渗透率选行，按初始转供率选列。表内为对应有效节点的容载比有限范围，源荷与转供参数采用首尾开口分类，时间及分散系数按表题所列定值使用。</w:t>
      </w:r>
    </w:p>
    <w:p>
      <w:pPr>
        <w:pStyle w:val="2"/>
        <w:keepNext/>
        <w:spacing w:line="280" w:lineRule="exact" w:before="120" w:after="80"/>
        <w:ind w:firstLine="0"/>
        <w:jc w:val="center"/>
      </w:pPr>
      <w:r>
        <w:rPr>
          <w:rFonts w:ascii="Times New Roman" w:hAnsi="Times New Roman" w:eastAsia="宋体"/>
          <w:b w:val="0"/>
          <w:sz w:val="21"/>
        </w:rPr>
        <w:t xml:space="preserve">表5-64 电缆长度占比≤10%，储能支撑2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表5-65 电缆长度占比≤10%，储能支撑2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表5-66 电缆长度占比≤10%，储能支撑2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电缆长度占比≤10%，储能支撑4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电缆长度占比≤10%，储能支撑4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表5-69 电缆长度占比≤10%，储能支撑4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表5-70 电缆长度占比≤10%，储能支撑6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表5-71 电缆长度占比≤10%，储能支撑6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表5-72 电缆长度占比≤10%，储能支撑6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表5-73 电缆长度占比(10%,30%]，储能支撑2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表5-74 电缆长度占比(10%,30%]，储能支撑2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表5-75 电缆长度占比(10%,30%]，储能支撑2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表5-76 电缆长度占比(10%,30%]，储能支撑4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表5-77 电缆长度占比(10%,30%]，储能支撑4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表5-78 电缆长度占比(10%,30%]，储能支撑4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表5-79 电缆长度占比(10%,30%]，储能支撑6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表5-80 电缆长度占比(10%,30%]，储能支撑6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表5-81 电缆长度占比(10%,30%]，储能支撑6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表5-82 电缆长度占比&gt;30%，储能支撑2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表5-83 电缆长度占比&gt;30%，储能支撑2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表5-84 电缆长度占比&gt;30%，储能支撑2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表5-85 电缆长度占比&gt;30%，储能支撑4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表5-86 电缆长度占比&gt;30%，储能支撑4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表5-87 电缆长度占比&gt;30%，储能支撑4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表5-88 电缆长度占比&gt;30%，储能支撑6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表5-89 电缆长度占比&gt;30%，储能支撑6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表5-90 电缆长度占比&gt;30%，储能支撑6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5"/>
        <w:keepNext/>
        <w:numPr>
          <w:numId w:val="0"/>
        </w:numPr>
        <w:spacing w:line="390" w:lineRule="exact" w:before="160" w:after="120"/>
        <w:ind w:firstLine="0"/>
      </w:pPr>
      <w:bookmarkStart w:id="249" w:name="参数关联对应的设备变化"/>
      <w:r>
        <w:rPr>
          <w:rFonts w:ascii="Times New Roman" w:hAnsi="Times New Roman" w:eastAsia="方正仿宋_GBK"/>
          <w:b/>
          <w:sz w:val="26"/>
        </w:rPr>
        <w:t xml:space="preserve">5.6.3 参数关联对应的设备变化</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平均增长率同时改变规划时点负荷和设备配置，容载比随容量离散投运呈阶段变化。电缆长度占比、支撑时间及负荷分散系数则在部分组合中触发设备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0"/>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图中固定电缆长度占比10%、初始转供率40%、储能支撑持续时间4 h和负荷分散系数1.10，显示同一组背景下源荷条件的作用。具体参数组合与设备结果见配套工作簿。</w:t>
      </w:r>
    </w:p>
    <w:p>
      <w:pPr>
        <w:pStyle w:val="5"/>
        <w:keepNext/>
        <w:numPr>
          <w:numId w:val="0"/>
        </w:numPr>
        <w:spacing w:line="390" w:lineRule="exact" w:before="160" w:after="120"/>
        <w:ind w:firstLine="0"/>
      </w:pPr>
      <w:bookmarkStart w:id="251" w:name="固定源荷条件下的转供序列"/>
      <w:r>
        <w:rPr>
          <w:rFonts w:ascii="Times New Roman" w:hAnsi="Times New Roman" w:eastAsia="方正仿宋_GBK"/>
          <w:b/>
          <w:sz w:val="26"/>
        </w:rPr>
        <w:t xml:space="preserve">5.6.4 固定源荷条件下的转供序列</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固定装机渗透率1.50、平均增长率4%、电缆长度占比10%、储能支撑持续时间4 h和负荷分散系数1.10，比较10%～90%的完整初始转供率序列。</w:t>
      </w:r>
    </w:p>
    <w:p>
      <w:pPr>
        <w:pStyle w:val="2"/>
        <w:keepNext/>
        <w:spacing w:line="280" w:lineRule="exact" w:before="120" w:after="80"/>
        <w:ind w:firstLine="0"/>
        <w:jc w:val="center"/>
      </w:pPr>
      <w:r>
        <w:rPr>
          <w:rFonts w:ascii="Times New Roman" w:hAnsi="Times New Roman" w:eastAsia="宋体"/>
          <w:b w:val="0"/>
          <w:sz w:val="21"/>
        </w:rPr>
        <w:t xml:space="preserve">表5-91 固定源荷和线路条件下的转供率比较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5348.03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4967.43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1500.74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bl>
    <w:p>
      <w:pPr>
        <w:pStyle w:val="2"/>
        <w:widowControl/>
        <w:spacing w:line="348" w:lineRule="exact" w:before="0" w:after="0"/>
        <w:ind w:firstLine="480"/>
        <w:jc w:val="both"/>
      </w:pPr>
      <w:r>
        <w:rPr>
          <w:rFonts w:ascii="Times New Roman" w:hAnsi="Times New Roman" w:eastAsia="方正仿宋_GBK"/>
          <w:b w:val="0"/>
          <w:sz w:val="24"/>
        </w:rPr>
        <w:t xml:space="preserve">10%～30%转供率之间发生主变配置切换，其中20%节点以储能补充局部缺口。30%及以上节点保持550.00 MVA、无储能的配置，新增联络随既有转供能力提高而减少，70%及以上节点采用相同设备方案。对应的容量变化集中于低转供阶段，后续改善主要表现为联络建设费用下降。</w:t>
      </w:r>
    </w:p>
    <w:p>
      <w:pPr>
        <w:pStyle w:val="5"/>
        <w:keepNext/>
        <w:numPr>
          <w:numId w:val="0"/>
        </w:numPr>
        <w:spacing w:line="390" w:lineRule="exact" w:before="160" w:after="120"/>
        <w:ind w:firstLine="0"/>
      </w:pPr>
      <w:bookmarkStart w:id="252" w:name="装机渗透率与双向容量需求"/>
      <w:r>
        <w:rPr>
          <w:rFonts w:ascii="Times New Roman" w:hAnsi="Times New Roman" w:eastAsia="方正仿宋_GBK"/>
          <w:b/>
          <w:sz w:val="26"/>
        </w:rPr>
        <w:t xml:space="preserve">5.6.5 装机渗透率与双向容量需求</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固定平均增长率4%、电缆长度占比10%、初始转供率40%、储能支撑持续时间4 h和负荷分散系数1.10，读取装机渗透率0～3.00、步长0.25的完整序列。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表5-92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[7]。</w:t>
      </w:r>
    </w:p>
    <w:p>
      <w:pPr>
        <w:pStyle w:val="5"/>
        <w:keepNext/>
        <w:numPr>
          <w:numId w:val="0"/>
        </w:numPr>
        <w:spacing w:line="390" w:lineRule="exact" w:before="160" w:after="120"/>
        <w:ind w:firstLine="0"/>
      </w:pPr>
      <w:bookmarkStart w:id="253" w:name="平均增长率与容量储备消耗"/>
      <w:r>
        <w:rPr>
          <w:rFonts w:ascii="Times New Roman" w:hAnsi="Times New Roman" w:eastAsia="方正仿宋_GBK"/>
          <w:b/>
          <w:sz w:val="26"/>
        </w:rPr>
        <w:t xml:space="preserve">5.6.6 平均增长率与容量储备消耗</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固定装机渗透率1.50、电缆长度占比10%、初始转供率40%、支撑持续时间4 h及负荷分散系数1.10，比较锁定库中相应的八个增长节点。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表5-93 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5"/>
        <w:keepNext/>
        <w:numPr>
          <w:numId w:val="0"/>
        </w:numPr>
        <w:spacing w:line="390" w:lineRule="exact" w:before="160" w:after="120"/>
        <w:ind w:firstLine="0"/>
      </w:pPr>
      <w:bookmarkStart w:id="254" w:name="电缆长度占比与联络主变替代"/>
      <w:r>
        <w:rPr>
          <w:rFonts w:ascii="Times New Roman" w:hAnsi="Times New Roman" w:eastAsia="方正仿宋_GBK"/>
          <w:b/>
          <w:sz w:val="26"/>
        </w:rPr>
        <w:t xml:space="preserve">5.6.7 电缆长度占比与联络、主变替代</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固定装机渗透率2.50、平均增长率4%、初始转供率70%、支撑持续时间4 h和负荷分散系数1.10，读取10%、30%、50%、80%、90%电缆长度占比节点。全部节点采用相同的单位线路能力和候选网络，费用按第四章长度加权关系计算。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表5-94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12680.32～14900.59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15147.71</w:t>
            </w:r>
          </w:p>
        </w:tc>
      </w:tr>
    </w:tbl>
    <w:p>
      <w:pPr>
        <w:pStyle w:val="2"/>
        <w:widowControl/>
        <w:spacing w:line="348" w:lineRule="exact" w:before="0" w:after="0"/>
        <w:ind w:firstLine="480"/>
        <w:jc w:val="both"/>
      </w:pPr>
      <w:r>
        <w:rPr>
          <w:rFonts w:ascii="Times New Roman" w:hAnsi="Times New Roman" w:eastAsia="方正仿宋_GBK"/>
          <w:b w:val="0"/>
          <w:sz w:val="24"/>
        </w:rPr>
        <w:t xml:space="preserve">注：首行四个节点配置相同，费用范围对应四个已计算节点。</w:t>
      </w:r>
    </w:p>
    <w:p>
      <w:pPr>
        <w:pStyle w:val="2"/>
        <w:widowControl/>
        <w:spacing w:line="348" w:lineRule="exact" w:before="0" w:after="0"/>
        <w:ind w:firstLine="480"/>
        <w:jc w:val="both"/>
      </w:pPr>
      <w:r>
        <w:rPr>
          <w:rFonts w:ascii="Times New Roman" w:hAnsi="Times New Roman" w:eastAsia="方正仿宋_GBK"/>
          <w:b w:val="0"/>
          <w:sz w:val="24"/>
        </w:rPr>
        <w:t xml:space="preserve">10%～80%范围内的四个已采样节点采用相同设备，费用增加来自同一组新增联络的造价变化；90%节点则将主变由660.00 MVA提高至710.00 MVA，新增联络由7项减少为4项，储能配置保持28.00 MW。高电缆占比下新增联络较贵，费用比选转向更多站内容量，形成主变与联络的替代。该变化具有明确的项目费用依据。</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本次库中相关系数为0.28，两者的工程作用仍分别对应造价和既有网络能力。上述比较固定转供率，显示造价自身引起的设备切换；第5.6.4节固定线路条件，显示既有能力改善带来的新增工程减少。两组结果共同说明参数间统计关联与各自规划作用应分别报告，全部六项结果保留供甲方判断。</w:t>
      </w:r>
    </w:p>
    <w:p>
      <w:pPr>
        <w:pStyle w:val="5"/>
        <w:keepNext/>
        <w:numPr>
          <w:numId w:val="0"/>
        </w:numPr>
        <w:spacing w:line="390" w:lineRule="exact" w:before="160" w:after="120"/>
        <w:ind w:firstLine="0"/>
      </w:pPr>
      <w:bookmarkStart w:id="255" w:name="储能持续时间与有效功率配置"/>
      <w:r>
        <w:rPr>
          <w:rFonts w:ascii="Times New Roman" w:hAnsi="Times New Roman" w:eastAsia="方正仿宋_GBK"/>
          <w:b/>
          <w:sz w:val="26"/>
        </w:rPr>
        <w:t xml:space="preserve">5.6.8 储能持续时间与有效功率配置</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固定装机渗透率2.50、平均增长率4%、电缆长度占比10%、初始转供率40%和负荷分散系数1.10，分别读取2、4、6 h三个定值。三组主变均为710.00 MVA，新增联络均为8项，储能有效支撑功率约14.38 MW。</w:t>
      </w:r>
    </w:p>
    <w:p>
      <w:pPr>
        <w:pStyle w:val="2"/>
        <w:keepNext/>
        <w:spacing w:line="280" w:lineRule="exact" w:before="120" w:after="80"/>
        <w:ind w:firstLine="0"/>
        <w:jc w:val="center"/>
      </w:pPr>
      <w:r>
        <w:rPr>
          <w:rFonts w:ascii="Times New Roman" w:hAnsi="Times New Roman" w:eastAsia="宋体"/>
          <w:b w:val="0"/>
          <w:sz w:val="21"/>
        </w:rPr>
        <w:t xml:space="preserve">表5-95 固定主变及联络配置下的储能持续时间比较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储能额定能量/MWh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11921.75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113.52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19568.63</w:t>
            </w:r>
          </w:p>
        </w:tc>
      </w:tr>
    </w:tbl>
    <w:p>
      <w:pPr>
        <w:pStyle w:val="2"/>
        <w:widowControl/>
        <w:spacing w:line="348" w:lineRule="exact" w:before="0" w:after="0"/>
        <w:ind w:firstLine="480"/>
        <w:jc w:val="both"/>
      </w:pPr>
      <w:r>
        <w:rPr>
          <w:rFonts w:ascii="Times New Roman" w:hAnsi="Times New Roman" w:eastAsia="方正仿宋_GBK"/>
          <w:b w:val="0"/>
          <w:sz w:val="24"/>
        </w:rPr>
        <w:t xml:space="preserve">该组设备所需补充的有效功率接近一致，持续时间由2 h延长至4 h和6 h时，储能额定功率及额定能量按所需柜数增加，费用相应提高。主变及联络没有切换，说明这一组背景下增加柜数仍是相应可行组合的选择。其工程含义是：持续时间控制为同一功率缺口准备多少可用电量，铭牌功率变化还需结合有效支撑功率解释。</w:t>
      </w:r>
    </w:p>
    <w:p>
      <w:pPr>
        <w:pStyle w:val="2"/>
        <w:widowControl/>
        <w:spacing w:line="348" w:lineRule="exact" w:before="0" w:after="0"/>
        <w:ind w:firstLine="480"/>
        <w:jc w:val="both"/>
      </w:pPr>
      <w:r>
        <w:rPr>
          <w:rFonts w:ascii="Times New Roman" w:hAnsi="Times New Roman" w:eastAsia="方正仿宋_GBK"/>
          <w:b w:val="0"/>
          <w:sz w:val="24"/>
        </w:rPr>
        <w:t xml:space="preserve">第3.5节统计中，支撑时间仅在12%的受控组触发主变容量变化，其余组可能保持主变并调整储能，也可能由主变和网络满足全部需求。时间参数因此按2、4、6 h分别展示，便于将地区近峰特征与具体设备配置对应。实际项目的支撑时长还需结合故障恢复过程和功率缺口持续时间核定[28][10]。</w:t>
      </w:r>
    </w:p>
    <w:p>
      <w:pPr>
        <w:pStyle w:val="5"/>
        <w:keepNext/>
        <w:numPr>
          <w:numId w:val="0"/>
        </w:numPr>
        <w:spacing w:line="390" w:lineRule="exact" w:before="160" w:after="120"/>
        <w:ind w:firstLine="0"/>
      </w:pPr>
      <w:bookmarkStart w:id="256" w:name="负荷分散系数与局部高峰承载"/>
      <w:r>
        <w:rPr>
          <w:rFonts w:ascii="Times New Roman" w:hAnsi="Times New Roman" w:eastAsia="方正仿宋_GBK"/>
          <w:b/>
          <w:sz w:val="26"/>
        </w:rPr>
        <w:t xml:space="preserve">5.6.9 负荷分散系数与局部高峰承载</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固定装机渗透率0、平均增长率4%、电缆长度占比10%、初始转供率40%和储能支撑持续时间4 h，分别比较负荷分散系数1.00、1.10、1.15。各工况区域负荷合计相同，分散系数改变局部高峰在各站之间的分布。</w:t>
      </w:r>
    </w:p>
    <w:p>
      <w:pPr>
        <w:pStyle w:val="2"/>
        <w:keepNext/>
        <w:spacing w:line="280" w:lineRule="exact" w:before="120" w:after="80"/>
        <w:ind w:firstLine="0"/>
        <w:jc w:val="center"/>
      </w:pPr>
      <w:r>
        <w:rPr>
          <w:rFonts w:ascii="Times New Roman" w:hAnsi="Times New Roman" w:eastAsia="宋体"/>
          <w:b w:val="0"/>
          <w:sz w:val="21"/>
        </w:rPr>
        <w:t xml:space="preserve">表5-96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2225.73</w:t>
            </w:r>
          </w:p>
        </w:tc>
      </w:tr>
    </w:tbl>
    <w:p>
      <w:pPr>
        <w:pStyle w:val="2"/>
        <w:widowControl/>
        <w:spacing w:line="348" w:lineRule="exact" w:before="0" w:after="0"/>
        <w:ind w:firstLine="480"/>
        <w:jc w:val="both"/>
      </w:pPr>
      <w:r>
        <w:rPr>
          <w:rFonts w:ascii="Times New Roman" w:hAnsi="Times New Roman" w:eastAsia="方正仿宋_GBK"/>
          <w:b w:val="0"/>
          <w:sz w:val="24"/>
        </w:rPr>
        <w:t xml:space="preserve">由1.00至1.10时，主变增加50.00 MVA，原少量储能退出，并增加联络；由1.10至1.15时，主变容量保持550.00 MVA，进一步增加2项联络。前一段体现局部高峰任务触发主变补强，后一段通过更多转接路径利用已有容量。区域同时峰值相同，仍可以形成不同的站级设备需求。</w:t>
      </w:r>
    </w:p>
    <w:p>
      <w:pPr>
        <w:pStyle w:val="2"/>
        <w:widowControl/>
        <w:spacing w:line="348" w:lineRule="exact" w:before="0" w:after="0"/>
        <w:ind w:firstLine="480"/>
        <w:jc w:val="both"/>
      </w:pPr>
      <w:r>
        <w:rPr>
          <w:rFonts w:ascii="Times New Roman" w:hAnsi="Times New Roman" w:eastAsia="方正仿宋_GBK"/>
          <w:b w:val="0"/>
          <w:sz w:val="24"/>
        </w:rPr>
        <w:t xml:space="preserve">在装机渗透率2.50、其余背景相同的另一组节点中，三种分散系数均采用710.00 MVA主变，但储能额定功率分别为28.40、35.20、45.90 MW，新增联络也有调整。反向容量和局部高峰共同影响配置时，分散程度的作用可以更多体现为储能与线路组合。矩阵将三个定值分别列示，可保留这些设备差异，后续查表应与片区各站峰值及实际联络条件衔接。</w:t>
      </w:r>
    </w:p>
    <w:p>
      <w:pPr>
        <w:pStyle w:val="4"/>
        <w:keepNext/>
        <w:numPr>
          <w:numId w:val="0"/>
        </w:numPr>
        <w:spacing w:line="480" w:lineRule="exact" w:before="160" w:after="120"/>
        <w:ind w:firstLine="0"/>
      </w:pPr>
      <w:bookmarkStart w:id="2004" w:name="h1004"/>
      <w:bookmarkStart w:id="257" w:name="规划建议"/>
      <w:r>
        <w:rPr>
          <w:rFonts w:ascii="Times New Roman" w:hAnsi="Times New Roman" w:eastAsia="方正仿宋_GBK"/>
          <w:b/>
          <w:sz w:val="32"/>
        </w:rPr>
        <w:t xml:space="preserve">5.7 规划建议</w:t>
      </w:r>
      <w:bookmarkEnd w:id="257"/>
      <w:bookmarkEnd w:id="2004"/>
    </w:p>
    <w:p>
      <w:pPr>
        <w:pStyle w:val="5"/>
        <w:keepNext/>
        <w:numPr>
          <w:numId w:val="0"/>
        </w:numPr>
        <w:spacing w:line="390" w:lineRule="exact" w:before="160" w:after="120"/>
        <w:ind w:firstLine="0"/>
      </w:pPr>
      <w:bookmarkStart w:id="258" w:name="按源荷条件和网络能力选取容量"/>
      <w:r>
        <w:rPr>
          <w:rFonts w:ascii="Times New Roman" w:hAnsi="Times New Roman" w:eastAsia="方正仿宋_GBK"/>
          <w:b/>
          <w:sz w:val="26"/>
        </w:rPr>
        <w:t xml:space="preserve">5.7.1 按源荷条件和网络能力选取容量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kV案例时落实为逐站MW能力和具体网络约束。推广矩阵保留全部六项参数，规划应用根据片区实际取值查表。</w:t>
      </w:r>
    </w:p>
    <w:p>
      <w:pPr>
        <w:pStyle w:val="5"/>
        <w:keepNext/>
        <w:numPr>
          <w:numId w:val="0"/>
        </w:numPr>
        <w:spacing w:line="390" w:lineRule="exact" w:before="160" w:after="120"/>
        <w:ind w:firstLine="0"/>
      </w:pPr>
      <w:bookmarkStart w:id="259" w:name="统筹主变储能及联络建设"/>
      <w:r>
        <w:rPr>
          <w:rFonts w:ascii="Times New Roman" w:hAnsi="Times New Roman" w:eastAsia="方正仿宋_GBK"/>
          <w:b/>
          <w:sz w:val="26"/>
        </w:rPr>
        <w:t xml:space="preserve">5.7.2 统筹主变、储能及联络建设</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0" w:name="保留参数区间滚动更新计算依据"/>
      <w:r>
        <w:rPr>
          <w:rFonts w:ascii="Times New Roman" w:hAnsi="Times New Roman" w:eastAsia="方正仿宋_GBK"/>
          <w:b/>
          <w:sz w:val="26"/>
        </w:rPr>
        <w:t xml:space="preserve">5.7.3 保留参数区间，滚动更新计算依据</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1" w:name="推荐区间与具体设备的衔接"/>
      <w:r>
        <w:rPr>
          <w:rFonts w:ascii="Times New Roman" w:hAnsi="Times New Roman" w:eastAsia="方正仿宋_GBK"/>
          <w:b/>
          <w:sz w:val="26"/>
        </w:rPr>
        <w:t xml:space="preserve">5.7.4 推荐区间与具体设备的衔接</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62" w:name="邳州与市区建设措施的综合比较"/>
      <w:r>
        <w:rPr>
          <w:rFonts w:ascii="Times New Roman" w:hAnsi="Times New Roman" w:eastAsia="方正仿宋_GBK"/>
          <w:b/>
          <w:sz w:val="26"/>
        </w:rPr>
        <w:t xml:space="preserve">5.7.5 邳州与市区建设措施的综合比较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邳州两类方案2025年主变容量均为1704.00 MVA、容载比1.78。弹性方案在首年完成较多主变建设，2025年储能额定能量为7.74 MWh，累计新增联络14条；刚性方案受首年容量上限限制，2025年储能为48.81 MWh，累计新增联络15条。最终主变容量相同，建设时序和替代措施不同。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MVA，首年新增5条联络，2025年容载比1.90。两地区刚性可行方案费用合计21790.82万元，弹性为15793.49万元，减少约28%。</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19" w:name="h1019"/>
      <w:bookmarkStart w:id="263" w:name="第六章-结论与建议"/>
      <w:r>
        <w:rPr>
          <w:rFonts w:ascii="Times New Roman" w:hAnsi="Times New Roman" w:eastAsia="方正仿宋_GBK"/>
          <w:b/>
          <w:sz w:val="36"/>
        </w:rPr>
        <w:t xml:space="preserve">第六章 结论与建议</w:t>
      </w:r>
      <w:bookmarkEnd w:id="263"/>
      <w:bookmarkEnd w:id="2019"/>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21" w:name="h1021"/>
      <w:bookmarkStart w:id="264" w:name="主要研究结论"/>
      <w:r>
        <w:rPr>
          <w:rFonts w:ascii="Times New Roman" w:hAnsi="Times New Roman" w:eastAsia="方正仿宋_GBK"/>
          <w:b/>
          <w:sz w:val="32"/>
        </w:rPr>
        <w:t xml:space="preserve">6.1 主要研究结论</w:t>
      </w:r>
      <w:bookmarkEnd w:id="264"/>
      <w:bookmarkEnd w:id="2021"/>
    </w:p>
    <w:p>
      <w:pPr>
        <w:pStyle w:val="5"/>
        <w:keepNext/>
        <w:numPr>
          <w:numId w:val="0"/>
        </w:numPr>
        <w:spacing w:line="390" w:lineRule="exact" w:before="160" w:after="120"/>
        <w:ind w:firstLine="0"/>
      </w:pPr>
      <w:bookmarkStart w:id="265" w:name="容载比与局部容量压力应结合分析"/>
      <w:r>
        <w:rPr>
          <w:rFonts w:ascii="Times New Roman" w:hAnsi="Times New Roman" w:eastAsia="方正仿宋_GBK"/>
          <w:b/>
          <w:sz w:val="26"/>
        </w:rPr>
        <w:t xml:space="preserve">6.1.1 容载比与局部容量压力应结合分析</w:t>
      </w:r>
      <w:bookmarkEnd w:id="265"/>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66" w:name="弹性容量配置降低了所设条件下的方案费用"/>
      <w:r>
        <w:rPr>
          <w:rFonts w:ascii="Times New Roman" w:hAnsi="Times New Roman" w:eastAsia="方正仿宋_GBK"/>
          <w:b/>
          <w:sz w:val="26"/>
        </w:rPr>
        <w:t xml:space="preserve">6.1.2 弹性容量配置降低了所设条件下的方案费用</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在相同初始设备、实际年度负荷及逐站转供约束下，邳州两类方案2025年主变容量均为1704.00 MVA、容载比1.78；市区弹性方案为2923.00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邳州弹性方案首年完成主变补强，减少后期配储，2025年储能额定能量7.74 MWh，刚性为48.81 MWh。市区弹性方案以一台主变更换替代刚性方案的5项新增联络。两地区刚性可行方案费用合计21790.82万元，弹性为15793.49万元，减少5997.33万元，约28%。</w:t>
      </w:r>
    </w:p>
    <w:p>
      <w:pPr>
        <w:pStyle w:val="5"/>
        <w:keepNext/>
        <w:numPr>
          <w:numId w:val="0"/>
        </w:numPr>
        <w:spacing w:line="390" w:lineRule="exact" w:before="160" w:after="120"/>
        <w:ind w:firstLine="0"/>
      </w:pPr>
      <w:bookmarkStart w:id="26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68" w:name="六参数矩阵给出有条件的容载比范围"/>
      <w:r>
        <w:rPr>
          <w:rFonts w:ascii="Times New Roman" w:hAnsi="Times New Roman" w:eastAsia="方正仿宋_GBK"/>
          <w:b/>
          <w:sz w:val="26"/>
        </w:rPr>
        <w:t xml:space="preserve">6.1.4 六参数矩阵给出有条件的容载比范围</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保留装机渗透率、年最大净负荷平均增长率、电缆长度占比、初始转供率、储能支撑持续时间和负荷分散系数全部六项参数。32112个有效节点按时间与分散系数的三个定值分别列示，形成27张表、1296个单元，容载比总体区间为1.36～3.15。</w:t>
      </w:r>
    </w:p>
    <w:p>
      <w:pPr>
        <w:pStyle w:val="2"/>
        <w:widowControl/>
        <w:spacing w:line="348" w:lineRule="exact" w:before="0" w:after="0"/>
        <w:ind w:firstLine="480"/>
        <w:jc w:val="both"/>
      </w:pPr>
      <w:r>
        <w:rPr>
          <w:rFonts w:ascii="Times New Roman" w:hAnsi="Times New Roman" w:eastAsia="方正仿宋_GBK"/>
          <w:b w:val="0"/>
          <w:sz w:val="24"/>
        </w:rPr>
        <w:t xml:space="preserve">固定其余五项后的组内相关系数依次为0.88、－0.80、0.45、－0.74、0.27、0.52。参数间电缆占比与转供率的Pearson系数为0.28，其余配对绝对值不超过0.15。上述统计描述本次有效情景库，六项参数均作为查表条件列示。</w:t>
      </w:r>
    </w:p>
    <w:p>
      <w:pPr>
        <w:pStyle w:val="4"/>
        <w:keepNext/>
        <w:numPr>
          <w:numId w:val="0"/>
        </w:numPr>
        <w:spacing w:line="480" w:lineRule="exact" w:before="160" w:after="120"/>
        <w:ind w:firstLine="0"/>
      </w:pPr>
      <w:bookmarkStart w:id="2035" w:name="h1035"/>
      <w:bookmarkStart w:id="269" w:name="规划应用建议"/>
      <w:r>
        <w:rPr>
          <w:rFonts w:ascii="Times New Roman" w:hAnsi="Times New Roman" w:eastAsia="方正仿宋_GBK"/>
          <w:b/>
          <w:sz w:val="32"/>
        </w:rPr>
        <w:t xml:space="preserve">6.2 规划应用建议</w:t>
      </w:r>
      <w:bookmarkEnd w:id="269"/>
      <w:bookmarkEnd w:id="2035"/>
    </w:p>
    <w:p>
      <w:pPr>
        <w:pStyle w:val="5"/>
        <w:keepNext/>
        <w:numPr>
          <w:numId w:val="0"/>
        </w:numPr>
        <w:spacing w:line="390" w:lineRule="exact" w:before="160" w:after="120"/>
        <w:ind w:firstLine="0"/>
      </w:pPr>
      <w:bookmarkStart w:id="270" w:name="按输入区间查表再落实设备方案"/>
      <w:r>
        <w:rPr>
          <w:rFonts w:ascii="Times New Roman" w:hAnsi="Times New Roman" w:eastAsia="方正仿宋_GBK"/>
          <w:b/>
          <w:sz w:val="26"/>
        </w:rPr>
        <w:t xml:space="preserve">6.2.1 按输入区间查表，再落实设备方案</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1" w:name="核实分区转供能力与储能支撑条件"/>
      <w:r>
        <w:rPr>
          <w:rFonts w:ascii="Times New Roman" w:hAnsi="Times New Roman" w:eastAsia="方正仿宋_GBK"/>
          <w:b/>
          <w:sz w:val="26"/>
        </w:rPr>
        <w:t xml:space="preserve">6.2.2 核实分区转供能力与储能支撑条件</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储能正向支撑持续时间采用邳州2 h、市区6 h，推广比较2、4、6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72" w:name="随数据和工程条件更新结果"/>
      <w:r>
        <w:rPr>
          <w:rFonts w:ascii="Times New Roman" w:hAnsi="Times New Roman" w:eastAsia="方正仿宋_GBK"/>
          <w:b/>
          <w:sz w:val="26"/>
        </w:rPr>
        <w:t xml:space="preserve">6.2.3 随数据和工程条件更新结果</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47" w:name="h1047"/>
      <w:bookmarkStart w:id="273" w:name="后续研究方向"/>
      <w:r>
        <w:rPr>
          <w:rFonts w:ascii="Times New Roman" w:hAnsi="Times New Roman" w:eastAsia="方正仿宋_GBK"/>
          <w:b/>
          <w:sz w:val="32"/>
        </w:rPr>
        <w:t xml:space="preserve">6.3 后续研究方向</w:t>
      </w:r>
      <w:bookmarkEnd w:id="273"/>
      <w:bookmarkEnd w:id="2047"/>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74" w:name="深化储能运行与实际网络校核"/>
      <w:r>
        <w:rPr>
          <w:rFonts w:ascii="Times New Roman" w:hAnsi="Times New Roman" w:eastAsia="方正仿宋_GBK"/>
          <w:b/>
          <w:sz w:val="26"/>
        </w:rPr>
        <w:t xml:space="preserve">6.3.1 深化储能运行与实际网络校核</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75" w:name="拓展片区结构和经济参数"/>
      <w:r>
        <w:rPr>
          <w:rFonts w:ascii="Times New Roman" w:hAnsi="Times New Roman" w:eastAsia="方正仿宋_GBK"/>
          <w:b/>
          <w:sz w:val="26"/>
        </w:rPr>
        <w:t xml:space="preserve">6.3.2 拓展片区结构和经济参数</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53" w:name="h1053"/>
      <w:bookmarkStart w:id="276" w:name="参考文献"/>
      <w:r>
        <w:rPr>
          <w:rFonts w:ascii="Times New Roman" w:hAnsi="Times New Roman" w:eastAsia="方正仿宋_GBK"/>
          <w:b/>
          <w:sz w:val="36"/>
        </w:rPr>
        <w:t xml:space="preserve">参考文献</w:t>
      </w:r>
      <w:bookmarkEnd w:id="276"/>
      <w:bookmarkEnd w:id="2053"/>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[88] National Institute of Standards and Technology. Dataplot: Rank Correlation Independence Test[EB/OL]. [2026-10-07]. https://www.itl.nist.gov/div898/software/dataplot/refman1/auxillar/rankcorr.htm.</w:t>
      </w:r>
    </w:p>
    <w:p>
      <w:pPr>
        <w:pStyle w:val="2"/>
        <w:widowControl/>
        <w:spacing w:line="320" w:lineRule="exact" w:before="0" w:after="80"/>
        <w:ind w:firstLine="0"/>
        <w:jc w:val="left"/>
      </w:pPr>
      <w:r>
        <w:rPr>
          <w:rFonts w:ascii="Times New Roman" w:hAnsi="Times New Roman" w:eastAsia="方正仿宋_GBK"/>
          <w:b w:val="0"/>
          <w:sz w:val="21"/>
        </w:rPr>
        <w:t xml:space="preserve">[89]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88" Type="http://schemas.openxmlformats.org/officeDocument/2006/relationships/image" Target="media/rId188.png"/><Relationship Id="rId98" Type="http://schemas.openxmlformats.org/officeDocument/2006/relationships/image" Target="media/rId98.png"/><Relationship Id="rId111" Type="http://schemas.openxmlformats.org/officeDocument/2006/relationships/image" Target="media/rId111.png"/><Relationship Id="rId130" Type="http://schemas.openxmlformats.org/officeDocument/2006/relationships/image" Target="media/rId130.png"/><Relationship Id="rId114" Type="http://schemas.openxmlformats.org/officeDocument/2006/relationships/image" Target="media/rId114.png"/><Relationship Id="rId191" Type="http://schemas.openxmlformats.org/officeDocument/2006/relationships/image" Target="media/rId191.png"/><Relationship Id="rId109" Type="http://schemas.openxmlformats.org/officeDocument/2006/relationships/image" Target="media/rId109.png"/><Relationship Id="rId192" Type="http://schemas.openxmlformats.org/officeDocument/2006/relationships/image" Target="media/rId192.png"/><Relationship Id="rId128" Type="http://schemas.openxmlformats.org/officeDocument/2006/relationships/image" Target="media/rId128.png"/><Relationship Id="rId113" Type="http://schemas.openxmlformats.org/officeDocument/2006/relationships/image" Target="media/rId113.png"/><Relationship Id="rId250" Type="http://schemas.openxmlformats.org/officeDocument/2006/relationships/image" Target="media/rId250.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132</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2026-10-13T08:23:54Z</dcterms:created>
  <dcterms:modified xsi:type="dcterms:W3CDTF">2026-10-13T08:23:54Z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