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8"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h18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2"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h32 \h </w:instrText>
      </w:r>
      <w:r>
        <w:rPr>
          <w:rFonts w:ascii="Times New Roman" w:hAnsi="Times New Roman" w:eastAsia="方正仿宋_GBK"/>
          <w:b w:val="0"/>
          <w:sz w:val="24"/>
        </w:rPr>
        <w:fldChar w:fldCharType="separate"/>
      </w:r>
      <w:r>
        <w:rPr>
          <w:rFonts w:ascii="Times New Roman" w:hAnsi="Times New Roman" w:eastAsia="方正仿宋_GBK"/>
          <w:b w:val="0"/>
          <w:sz w:val="24"/>
        </w:rPr>
        <w:t>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 \h </w:instrText>
      </w:r>
      <w:r>
        <w:rPr>
          <w:rFonts w:ascii="Times New Roman" w:hAnsi="Times New Roman" w:eastAsia="方正仿宋_GBK"/>
          <w:b w:val="0"/>
          <w:sz w:val="24"/>
        </w:rPr>
        <w:fldChar w:fldCharType="separate"/>
      </w:r>
      <w:r>
        <w:rPr>
          <w:rFonts w:ascii="Times New Roman" w:hAnsi="Times New Roman" w:eastAsia="方正仿宋_GBK"/>
          <w:b w:val="0"/>
          <w:sz w:val="24"/>
        </w:rPr>
        <w:t>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3"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h73 \h </w:instrText>
      </w:r>
      <w:r>
        <w:rPr>
          <w:rFonts w:ascii="Times New Roman" w:hAnsi="Times New Roman" w:eastAsia="方正仿宋_GBK"/>
          <w:b w:val="0"/>
          <w:sz w:val="24"/>
        </w:rPr>
        <w:fldChar w:fldCharType="separate"/>
      </w:r>
      <w:r>
        <w:rPr>
          <w:rFonts w:ascii="Times New Roman" w:hAnsi="Times New Roman" w:eastAsia="方正仿宋_GBK"/>
          <w:b w:val="0"/>
          <w:sz w:val="24"/>
        </w:rPr>
        <w:t>10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76"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h76 \h </w:instrText>
      </w:r>
      <w:r>
        <w:rPr>
          <w:rFonts w:ascii="Times New Roman" w:hAnsi="Times New Roman" w:eastAsia="方正仿宋_GBK"/>
          <w:b/>
          <w:sz w:val="24"/>
        </w:rPr>
        <w:fldChar w:fldCharType="separate"/>
      </w:r>
      <w:r>
        <w:rPr>
          <w:rFonts w:ascii="Times New Roman" w:hAnsi="Times New Roman" w:eastAsia="方正仿宋_GBK"/>
          <w:b/>
          <w:sz w:val="24"/>
        </w:rPr>
        <w:t>12</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9"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h79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1"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h101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39"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h139 \h </w:instrText>
      </w:r>
      <w:r>
        <w:rPr>
          <w:rFonts w:ascii="Times New Roman" w:hAnsi="Times New Roman" w:eastAsia="方正仿宋_GBK"/>
          <w:b w:val="0"/>
          <w:sz w:val="24"/>
        </w:rPr>
        <w:fldChar w:fldCharType="separate"/>
      </w:r>
      <w:r>
        <w:rPr>
          <w:rFonts w:ascii="Times New Roman" w:hAnsi="Times New Roman" w:eastAsia="方正仿宋_GBK"/>
          <w:b w:val="0"/>
          <w:sz w:val="24"/>
        </w:rPr>
        <w:t>19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5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h153 \h </w:instrText>
      </w:r>
      <w:r>
        <w:rPr>
          <w:rFonts w:ascii="Times New Roman" w:hAnsi="Times New Roman" w:eastAsia="方正仿宋_GBK"/>
          <w:b w:val="0"/>
          <w:sz w:val="24"/>
        </w:rPr>
        <w:fldChar w:fldCharType="separate"/>
      </w:r>
      <w:r>
        <w:rPr>
          <w:rFonts w:ascii="Times New Roman" w:hAnsi="Times New Roman" w:eastAsia="方正仿宋_GBK"/>
          <w:b w:val="0"/>
          <w:sz w:val="24"/>
        </w:rPr>
        <w:t>20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67"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h167 \h </w:instrText>
      </w:r>
      <w:r>
        <w:rPr>
          <w:rFonts w:ascii="Times New Roman" w:hAnsi="Times New Roman" w:eastAsia="方正仿宋_GBK"/>
          <w:b w:val="0"/>
          <w:sz w:val="24"/>
        </w:rPr>
        <w:fldChar w:fldCharType="separate"/>
      </w:r>
      <w:r>
        <w:rPr>
          <w:rFonts w:ascii="Times New Roman" w:hAnsi="Times New Roman" w:eastAsia="方正仿宋_GBK"/>
          <w:b w:val="0"/>
          <w:sz w:val="24"/>
        </w:rPr>
        <w:t>21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84"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h184 \h </w:instrText>
      </w:r>
      <w:r>
        <w:rPr>
          <w:rFonts w:ascii="Times New Roman" w:hAnsi="Times New Roman" w:eastAsia="方正仿宋_GBK"/>
          <w:b w:val="0"/>
          <w:sz w:val="24"/>
        </w:rPr>
        <w:fldChar w:fldCharType="separate"/>
      </w:r>
      <w:r>
        <w:rPr>
          <w:rFonts w:ascii="Times New Roman" w:hAnsi="Times New Roman" w:eastAsia="方正仿宋_GBK"/>
          <w:b w:val="0"/>
          <w:sz w:val="24"/>
        </w:rPr>
        <w:t>22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8"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h198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1"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h211 \h </w:instrText>
      </w:r>
      <w:r>
        <w:rPr>
          <w:rFonts w:ascii="Times New Roman" w:hAnsi="Times New Roman" w:eastAsia="方正仿宋_GBK"/>
          <w:b w:val="0"/>
          <w:sz w:val="24"/>
        </w:rPr>
        <w:fldChar w:fldCharType="separate"/>
      </w:r>
      <w:r>
        <w:rPr>
          <w:rFonts w:ascii="Times New Roman" w:hAnsi="Times New Roman" w:eastAsia="方正仿宋_GBK"/>
          <w:b w:val="0"/>
          <w:sz w:val="24"/>
        </w:rPr>
        <w:t>24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3"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235"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h235 \h </w:instrText>
      </w:r>
      <w:r>
        <w:rPr>
          <w:rFonts w:ascii="Times New Roman" w:hAnsi="Times New Roman" w:eastAsia="方正仿宋_GBK"/>
          <w:b/>
          <w:sz w:val="24"/>
        </w:rPr>
        <w:fldChar w:fldCharType="separate"/>
      </w:r>
      <w:r>
        <w:rPr>
          <w:rFonts w:ascii="Times New Roman" w:hAnsi="Times New Roman" w:eastAsia="方正仿宋_GBK"/>
          <w:b/>
          <w:sz w:val="24"/>
        </w:rPr>
        <w:t>27</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6"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h236 \h </w:instrText>
      </w:r>
      <w:r>
        <w:rPr>
          <w:rFonts w:ascii="Times New Roman" w:hAnsi="Times New Roman" w:eastAsia="方正仿宋_GBK"/>
          <w:b w:val="0"/>
          <w:sz w:val="24"/>
        </w:rPr>
        <w:fldChar w:fldCharType="separate"/>
      </w:r>
      <w:r>
        <w:rPr>
          <w:rFonts w:ascii="Times New Roman" w:hAnsi="Times New Roman" w:eastAsia="方正仿宋_GBK"/>
          <w:b w:val="0"/>
          <w:sz w:val="24"/>
        </w:rPr>
        <w:t>27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6"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h246 \h </w:instrText>
      </w:r>
      <w:r>
        <w:rPr>
          <w:rFonts w:ascii="Times New Roman" w:hAnsi="Times New Roman" w:eastAsia="方正仿宋_GBK"/>
          <w:b w:val="0"/>
          <w:sz w:val="24"/>
        </w:rPr>
        <w:fldChar w:fldCharType="separate"/>
      </w:r>
      <w:r>
        <w:rPr>
          <w:rFonts w:ascii="Times New Roman" w:hAnsi="Times New Roman" w:eastAsia="方正仿宋_GBK"/>
          <w:b w:val="0"/>
          <w:sz w:val="24"/>
        </w:rPr>
        <w:t>27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64"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h264 \h </w:instrText>
      </w:r>
      <w:r>
        <w:rPr>
          <w:rFonts w:ascii="Times New Roman" w:hAnsi="Times New Roman" w:eastAsia="方正仿宋_GBK"/>
          <w:b w:val="0"/>
          <w:sz w:val="24"/>
        </w:rPr>
        <w:fldChar w:fldCharType="separate"/>
      </w:r>
      <w:r>
        <w:rPr>
          <w:rFonts w:ascii="Times New Roman" w:hAnsi="Times New Roman" w:eastAsia="方正仿宋_GBK"/>
          <w:b w:val="0"/>
          <w:sz w:val="24"/>
        </w:rPr>
        <w:t>29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8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h286 \h </w:instrText>
      </w:r>
      <w:r>
        <w:rPr>
          <w:rFonts w:ascii="Times New Roman" w:hAnsi="Times New Roman" w:eastAsia="方正仿宋_GBK"/>
          <w:b w:val="0"/>
          <w:sz w:val="24"/>
        </w:rPr>
        <w:fldChar w:fldCharType="separate"/>
      </w:r>
      <w:r>
        <w:rPr>
          <w:rFonts w:ascii="Times New Roman" w:hAnsi="Times New Roman" w:eastAsia="方正仿宋_GBK"/>
          <w:b w:val="0"/>
          <w:sz w:val="24"/>
        </w:rPr>
        <w:t>31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4"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h314 \h </w:instrText>
      </w:r>
      <w:r>
        <w:rPr>
          <w:rFonts w:ascii="Times New Roman" w:hAnsi="Times New Roman" w:eastAsia="方正仿宋_GBK"/>
          <w:b w:val="0"/>
          <w:sz w:val="24"/>
        </w:rPr>
        <w:fldChar w:fldCharType="separate"/>
      </w:r>
      <w:r>
        <w:rPr>
          <w:rFonts w:ascii="Times New Roman" w:hAnsi="Times New Roman" w:eastAsia="方正仿宋_GBK"/>
          <w:b w:val="0"/>
          <w:sz w:val="24"/>
        </w:rPr>
        <w:t>36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7"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h347 \h </w:instrText>
      </w:r>
      <w:r>
        <w:rPr>
          <w:rFonts w:ascii="Times New Roman" w:hAnsi="Times New Roman" w:eastAsia="方正仿宋_GBK"/>
          <w:b w:val="0"/>
          <w:sz w:val="24"/>
        </w:rPr>
        <w:fldChar w:fldCharType="separate"/>
      </w:r>
      <w:r>
        <w:rPr>
          <w:rFonts w:ascii="Times New Roman" w:hAnsi="Times New Roman" w:eastAsia="方正仿宋_GBK"/>
          <w:b w:val="0"/>
          <w:sz w:val="24"/>
        </w:rPr>
        <w:t>41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57"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h357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h374 \h </w:instrText>
      </w:r>
      <w:r>
        <w:rPr>
          <w:rFonts w:ascii="Times New Roman" w:hAnsi="Times New Roman" w:eastAsia="方正仿宋_GBK"/>
          <w:b w:val="0"/>
          <w:sz w:val="24"/>
        </w:rPr>
        <w:fldChar w:fldCharType="separate"/>
      </w:r>
      <w:r>
        <w:rPr>
          <w:rFonts w:ascii="Times New Roman" w:hAnsi="Times New Roman" w:eastAsia="方正仿宋_GBK"/>
          <w:b w:val="0"/>
          <w:sz w:val="24"/>
        </w:rPr>
        <w:t>44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96"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h396 \h </w:instrText>
      </w:r>
      <w:r>
        <w:rPr>
          <w:rFonts w:ascii="Times New Roman" w:hAnsi="Times New Roman" w:eastAsia="方正仿宋_GBK"/>
          <w:b/>
          <w:sz w:val="24"/>
        </w:rPr>
        <w:fldChar w:fldCharType="separate"/>
      </w:r>
      <w:r>
        <w:rPr>
          <w:rFonts w:ascii="Times New Roman" w:hAnsi="Times New Roman" w:eastAsia="方正仿宋_GBK"/>
          <w:b/>
          <w:sz w:val="24"/>
        </w:rPr>
        <w:t>47</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97"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h397 \h </w:instrText>
      </w:r>
      <w:r>
        <w:rPr>
          <w:rFonts w:ascii="Times New Roman" w:hAnsi="Times New Roman" w:eastAsia="方正仿宋_GBK"/>
          <w:b w:val="0"/>
          <w:sz w:val="24"/>
        </w:rPr>
        <w:fldChar w:fldCharType="separate"/>
      </w:r>
      <w:r>
        <w:rPr>
          <w:rFonts w:ascii="Times New Roman" w:hAnsi="Times New Roman" w:eastAsia="方正仿宋_GBK"/>
          <w:b w:val="0"/>
          <w:sz w:val="24"/>
        </w:rPr>
        <w:t>47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9"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h409 \h </w:instrText>
      </w:r>
      <w:r>
        <w:rPr>
          <w:rFonts w:ascii="Times New Roman" w:hAnsi="Times New Roman" w:eastAsia="方正仿宋_GBK"/>
          <w:b w:val="0"/>
          <w:sz w:val="24"/>
        </w:rPr>
        <w:fldChar w:fldCharType="separate"/>
      </w:r>
      <w:r>
        <w:rPr>
          <w:rFonts w:ascii="Times New Roman" w:hAnsi="Times New Roman" w:eastAsia="方正仿宋_GBK"/>
          <w:b w:val="0"/>
          <w:sz w:val="24"/>
        </w:rPr>
        <w:t>48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28"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h428 \h </w:instrText>
      </w:r>
      <w:r>
        <w:rPr>
          <w:rFonts w:ascii="Times New Roman" w:hAnsi="Times New Roman" w:eastAsia="方正仿宋_GBK"/>
          <w:b w:val="0"/>
          <w:sz w:val="24"/>
        </w:rPr>
        <w:fldChar w:fldCharType="separate"/>
      </w:r>
      <w:r>
        <w:rPr>
          <w:rFonts w:ascii="Times New Roman" w:hAnsi="Times New Roman" w:eastAsia="方正仿宋_GBK"/>
          <w:b w:val="0"/>
          <w:sz w:val="24"/>
        </w:rPr>
        <w:t>49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39"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h439 \h </w:instrText>
      </w:r>
      <w:r>
        <w:rPr>
          <w:rFonts w:ascii="Times New Roman" w:hAnsi="Times New Roman" w:eastAsia="方正仿宋_GBK"/>
          <w:b w:val="0"/>
          <w:sz w:val="24"/>
        </w:rPr>
        <w:fldChar w:fldCharType="separate"/>
      </w:r>
      <w:r>
        <w:rPr>
          <w:rFonts w:ascii="Times New Roman" w:hAnsi="Times New Roman" w:eastAsia="方正仿宋_GBK"/>
          <w:b w:val="0"/>
          <w:sz w:val="24"/>
        </w:rPr>
        <w:t>50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5"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h455 \h </w:instrText>
      </w:r>
      <w:r>
        <w:rPr>
          <w:rFonts w:ascii="Times New Roman" w:hAnsi="Times New Roman" w:eastAsia="方正仿宋_GBK"/>
          <w:b w:val="0"/>
          <w:sz w:val="24"/>
        </w:rPr>
        <w:fldChar w:fldCharType="separate"/>
      </w:r>
      <w:r>
        <w:rPr>
          <w:rFonts w:ascii="Times New Roman" w:hAnsi="Times New Roman" w:eastAsia="方正仿宋_GBK"/>
          <w:b w:val="0"/>
          <w:sz w:val="24"/>
        </w:rPr>
        <w:t>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68"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h468 \h </w:instrText>
      </w:r>
      <w:r>
        <w:rPr>
          <w:rFonts w:ascii="Times New Roman" w:hAnsi="Times New Roman" w:eastAsia="方正仿宋_GBK"/>
          <w:b w:val="0"/>
          <w:sz w:val="24"/>
        </w:rPr>
        <w:fldChar w:fldCharType="separate"/>
      </w:r>
      <w:r>
        <w:rPr>
          <w:rFonts w:ascii="Times New Roman" w:hAnsi="Times New Roman" w:eastAsia="方正仿宋_GBK"/>
          <w:b w:val="0"/>
          <w:sz w:val="24"/>
        </w:rPr>
        <w:t>53</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494"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h494 \h </w:instrText>
      </w:r>
      <w:r>
        <w:rPr>
          <w:rFonts w:ascii="Times New Roman" w:hAnsi="Times New Roman" w:eastAsia="方正仿宋_GBK"/>
          <w:b/>
          <w:sz w:val="24"/>
        </w:rPr>
        <w:fldChar w:fldCharType="separate"/>
      </w:r>
      <w:r>
        <w:rPr>
          <w:rFonts w:ascii="Times New Roman" w:hAnsi="Times New Roman" w:eastAsia="方正仿宋_GBK"/>
          <w:b/>
          <w:sz w:val="24"/>
        </w:rPr>
        <w:t>57</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96"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h496 \h </w:instrText>
      </w:r>
      <w:r>
        <w:rPr>
          <w:rFonts w:ascii="Times New Roman" w:hAnsi="Times New Roman" w:eastAsia="方正仿宋_GBK"/>
          <w:b w:val="0"/>
          <w:sz w:val="24"/>
        </w:rPr>
        <w:fldChar w:fldCharType="separate"/>
      </w:r>
      <w:r>
        <w:rPr>
          <w:rFonts w:ascii="Times New Roman" w:hAnsi="Times New Roman" w:eastAsia="方正仿宋_GBK"/>
          <w:b w:val="0"/>
          <w:sz w:val="24"/>
        </w:rPr>
        <w:t>57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9"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h519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39"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h539 \h </w:instrText>
      </w:r>
      <w:r>
        <w:rPr>
          <w:rFonts w:ascii="Times New Roman" w:hAnsi="Times New Roman" w:eastAsia="方正仿宋_GBK"/>
          <w:b w:val="0"/>
          <w:sz w:val="24"/>
        </w:rPr>
        <w:fldChar w:fldCharType="separate"/>
      </w:r>
      <w:r>
        <w:rPr>
          <w:rFonts w:ascii="Times New Roman" w:hAnsi="Times New Roman" w:eastAsia="方正仿宋_GBK"/>
          <w:b w:val="0"/>
          <w:sz w:val="24"/>
        </w:rPr>
        <w:t>62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1"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h551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1"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h921 \h </w:instrText>
      </w:r>
      <w:r>
        <w:rPr>
          <w:rFonts w:ascii="Times New Roman" w:hAnsi="Times New Roman" w:eastAsia="方正仿宋_GBK"/>
          <w:b w:val="0"/>
          <w:sz w:val="24"/>
        </w:rPr>
        <w:fldChar w:fldCharType="separate"/>
      </w:r>
      <w:r>
        <w:rPr>
          <w:rFonts w:ascii="Times New Roman" w:hAnsi="Times New Roman" w:eastAsia="方正仿宋_GBK"/>
          <w:b w:val="0"/>
          <w:sz w:val="24"/>
        </w:rPr>
        <w:t>103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37" w:history="1">
        <w:r>
          <w:rPr>
            <w:rFonts w:ascii="Times New Roman" w:hAnsi="Times New Roman" w:eastAsia="方正仿宋_GBK"/>
            <w:b w:val="0"/>
            <w:sz w:val="24"/>
          </w:rPr>
          <w:t>5.6 六参数推广矩阵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h937 \h </w:instrText>
      </w:r>
      <w:r>
        <w:rPr>
          <w:rFonts w:ascii="Times New Roman" w:hAnsi="Times New Roman" w:eastAsia="方正仿宋_GBK"/>
          <w:b w:val="0"/>
          <w:sz w:val="24"/>
        </w:rPr>
        <w:fldChar w:fldCharType="separate"/>
      </w:r>
      <w:r>
        <w:rPr>
          <w:rFonts w:ascii="Times New Roman" w:hAnsi="Times New Roman" w:eastAsia="方正仿宋_GBK"/>
          <w:b w:val="0"/>
          <w:sz w:val="24"/>
        </w:rPr>
        <w:t>107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1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h1010 \h </w:instrText>
      </w:r>
      <w:r>
        <w:rPr>
          <w:rFonts w:ascii="Times New Roman" w:hAnsi="Times New Roman" w:eastAsia="方正仿宋_GBK"/>
          <w:b w:val="0"/>
          <w:sz w:val="24"/>
        </w:rPr>
        <w:fldChar w:fldCharType="separate"/>
      </w:r>
      <w:r>
        <w:rPr>
          <w:rFonts w:ascii="Times New Roman" w:hAnsi="Times New Roman" w:eastAsia="方正仿宋_GBK"/>
          <w:b w:val="0"/>
          <w:sz w:val="24"/>
        </w:rPr>
        <w:t>121</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025"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h1025 \h </w:instrText>
      </w:r>
      <w:r>
        <w:rPr>
          <w:rFonts w:ascii="Times New Roman" w:hAnsi="Times New Roman" w:eastAsia="方正仿宋_GBK"/>
          <w:b/>
          <w:sz w:val="24"/>
        </w:rPr>
        <w:fldChar w:fldCharType="separate"/>
      </w:r>
      <w:r>
        <w:rPr>
          <w:rFonts w:ascii="Times New Roman" w:hAnsi="Times New Roman" w:eastAsia="方正仿宋_GBK"/>
          <w:b/>
          <w:sz w:val="24"/>
        </w:rPr>
        <w:t>124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27"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h1027 \h </w:instrText>
      </w:r>
      <w:r>
        <w:rPr>
          <w:rFonts w:ascii="Times New Roman" w:hAnsi="Times New Roman" w:eastAsia="方正仿宋_GBK"/>
          <w:b w:val="0"/>
          <w:sz w:val="24"/>
        </w:rPr>
        <w:fldChar w:fldCharType="separate"/>
      </w:r>
      <w:r>
        <w:rPr>
          <w:rFonts w:ascii="Times New Roman" w:hAnsi="Times New Roman" w:eastAsia="方正仿宋_GBK"/>
          <w:b w:val="0"/>
          <w:sz w:val="24"/>
        </w:rPr>
        <w:t>124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41"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h1041 \h </w:instrText>
      </w:r>
      <w:r>
        <w:rPr>
          <w:rFonts w:ascii="Times New Roman" w:hAnsi="Times New Roman" w:eastAsia="方正仿宋_GBK"/>
          <w:b w:val="0"/>
          <w:sz w:val="24"/>
        </w:rPr>
        <w:fldChar w:fldCharType="separate"/>
      </w:r>
      <w:r>
        <w:rPr>
          <w:rFonts w:ascii="Times New Roman" w:hAnsi="Times New Roman" w:eastAsia="方正仿宋_GBK"/>
          <w:b w:val="0"/>
          <w:sz w:val="24"/>
        </w:rPr>
        <w:t>125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3"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h1053 \h </w:instrText>
      </w:r>
      <w:r>
        <w:rPr>
          <w:rFonts w:ascii="Times New Roman" w:hAnsi="Times New Roman" w:eastAsia="方正仿宋_GBK"/>
          <w:b w:val="0"/>
          <w:sz w:val="24"/>
        </w:rPr>
        <w:fldChar w:fldCharType="separate"/>
      </w:r>
      <w:r>
        <w:rPr>
          <w:rFonts w:ascii="Times New Roman" w:hAnsi="Times New Roman" w:eastAsia="方正仿宋_GBK"/>
          <w:b w:val="0"/>
          <w:sz w:val="24"/>
        </w:rPr>
        <w:t>126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059"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h1059 \h </w:instrText>
      </w:r>
      <w:r>
        <w:rPr>
          <w:rFonts w:ascii="Times New Roman" w:hAnsi="Times New Roman" w:eastAsia="方正仿宋_GBK"/>
          <w:b/>
          <w:sz w:val="24"/>
        </w:rPr>
        <w:fldChar w:fldCharType="separate"/>
      </w:r>
      <w:r>
        <w:rPr>
          <w:rFonts w:ascii="Times New Roman" w:hAnsi="Times New Roman" w:eastAsia="方正仿宋_GBK"/>
          <w:b/>
          <w:sz w:val="24"/>
        </w:rPr>
        <w:t>127</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2025年4月《配电网规划设计技术导则》修订资料引入分布式电源装机渗透率（源荷比）和分布式电源电量渗透率，提出源荷比超过2.00，或分布式电源电量渗透率超过40%～50%时，以110～35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[7]。与此同时，容量规划仍需参照按负荷增长分档的容载比范围，上限一般为2.00[5][7]。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[8]。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容量提高后，局部供电安全约束所需的储能可能减少；但主变购置、配套工程及后续运维费用也会增加。两种费用变化能否相抵，取决于主变规格、储能价格、储能支撑持续时间和负荷空间分布。研究以同措施集合、同价格和同初态比较方案，通过费用结果评价两类方案的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变化与负荷变化对年度容载比的影响。既有主变保持不变而年最大负荷下降，容载比会升高。反之，负荷增长快于容量增长时，新增主变后容载比仍可能降低。逐年方案需同时列出主变在役容量、采购容量和年度负荷，才能把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其直接价值是提供相应配置路径、价格参数与条件推荐矩阵，并明确推荐值随相关条件变化的范围。采用相似片区模板时，仍需核对实际容量和负荷分布。涉及具体接线、故障恢复时间、电压与保护配合的工程结论，应在接入系统或专项规划阶段另行校核。</w:t>
      </w:r>
    </w:p>
    <w:p>
      <w:pPr>
        <w:pStyle w:val="4"/>
        <w:keepNext/>
        <w:numPr>
          <w:numId w:val="0"/>
        </w:numPr>
        <w:spacing w:line="480" w:lineRule="exact" w:before="160" w:after="120"/>
        <w:ind w:firstLine="0"/>
      </w:pPr>
      <w:bookmarkStart w:id="1018" w:name="h18"/>
      <w:bookmarkStart w:id="25" w:name="主要概念与规范依据"/>
      <w:r>
        <w:rPr>
          <w:rFonts w:ascii="Times New Roman" w:hAnsi="Times New Roman" w:eastAsia="方正仿宋_GBK"/>
          <w:b/>
          <w:sz w:val="32"/>
        </w:rPr>
        <w:t xml:space="preserve">1.2 主要概念与规范依据</w:t>
      </w:r>
      <w:bookmarkEnd w:id="25"/>
      <w:bookmarkEnd w:id="1018"/>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[8]。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[9]。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配电网规划设计技术导则》第6.2.2.1条进一步提出，建议范围内不能满足供电安全准则时，可结合实际情况适当提高[7]。本课题保留相同初始设备结构：刚性方案新增扩容按当年负荷两倍控制，负荷下降导致的既有容量被动超限允许保留；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本研究参照全寿命周期费用方法，将新增措施初始投资、固定运维及评价期内设备更新费用折算到2021年末，统一计算至2041年[10,11,12]。结果称为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[13][14][15][16]。本项目采用评价期费用最小作为寻优目标，供电安全及设备容量作为约束，并结合片区源荷条件形成推荐范围。工程实施阶段可补充施工条件、土地资源及运行方式的综合评价。</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2041—2025《分布式电源接入电力系统承载力评估导则》组织分布式电源容量校核[5][9]。GB/T 45418—2025《配电网通用技术导则》作为下级配电网技术分析的补充依据[17]。分布式电源装机渗透率和分布式电源电量渗透率采用《配电网规划设计技术导则》的指标定义[7]，用于描述片区源荷条件。</w:t>
      </w:r>
    </w:p>
    <w:p>
      <w:pPr>
        <w:pStyle w:val="4"/>
        <w:keepNext/>
        <w:numPr>
          <w:numId w:val="0"/>
        </w:numPr>
        <w:spacing w:line="480" w:lineRule="exact" w:before="160" w:after="120"/>
        <w:ind w:firstLine="0"/>
      </w:pPr>
      <w:bookmarkStart w:id="1032" w:name="h32"/>
      <w:bookmarkStart w:id="30" w:name="研究范围与对象"/>
      <w:r>
        <w:rPr>
          <w:rFonts w:ascii="Times New Roman" w:hAnsi="Times New Roman" w:eastAsia="方正仿宋_GBK"/>
          <w:b/>
          <w:sz w:val="32"/>
        </w:rPr>
        <w:t xml:space="preserve">1.3 研究范围与对象</w:t>
      </w:r>
      <w:bookmarkEnd w:id="30"/>
      <w:bookmarkEnd w:id="1032"/>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5729—2023第6.3.3条，以行政区县作为最小统计分析范围[5]。本研究优化对象为邳州和市区。电网运行统计和规划优化均按110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MW/km²。本研究按市区A类较少、B类较多的分区特征设置转供率参考，设备候选按各站资料和研究假设分别确定。</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离散规格配置，基期年网供最大负荷取2021年实际统计值，两地区起点容载比按两位小数均为2.00。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经济评价以2021年末为折现基准，评价截止于2041年。仿真第1—4年在计算文件中分别标记为2022—2025年，用于统一投运时间和现金流折现。主变、线路和储能的寿命、运维率采用第四章列明的研究参数[10,11,12]。</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技术模型包括正向供电、反向功率、主变N-1及站间转供约束。储能按额定功率、可用电量和支撑持续时间折算有效能力，正向储能支撑持续时间为4 h，反向按各站支撑要求设置。联络按具体送受端路径计量，共享馈线余量。模型采用静态工况进行规划比选。</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4"/>
        <w:keepNext/>
        <w:numPr>
          <w:numId w:val="0"/>
        </w:numPr>
        <w:spacing w:line="480" w:lineRule="exact" w:before="160" w:after="120"/>
        <w:ind w:firstLine="0"/>
      </w:pPr>
      <w:bookmarkStart w:id="1045" w:name="h45"/>
      <w:bookmarkStart w:id="34" w:name="研究目标与内容"/>
      <w:r>
        <w:rPr>
          <w:rFonts w:ascii="Times New Roman" w:hAnsi="Times New Roman" w:eastAsia="方正仿宋_GBK"/>
          <w:b/>
          <w:sz w:val="32"/>
        </w:rPr>
        <w:t xml:space="preserve">1.4 研究目标与内容</w:t>
      </w:r>
      <w:bookmarkEnd w:id="34"/>
      <w:bookmarkEnd w:id="1045"/>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后续四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最后，围绕六项核心参数构造推广矩阵，全部参数在第3.5节报告相关性。矩阵按输入区间归纳容载比计算范围，设备措施与费用分别列示。</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MVA等设备可保留，新购主变采用31.50、50、63、80 MVA等候选规格并按站限制；扩建、联络投运状态及储能柜数为整数决策，站间转供功率为连续决策。以新增措施评价期费用现值最小为目标，在正常及主变N-1等约束下确定逐年设备与线路配置。</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设置分布式电源装机渗透率、年最大净负荷平均增长率、电缆长度占比、初始转供率、储能支撑持续时间及负荷分散系数六项输入，开展34686组目标年静态比选，其中32112组有效。输入区间采用首尾开口形式，增长分界与DL/T 5729—2023表6.3.4一致；计算所得容载比仍按有限范围列示。</w:t>
      </w:r>
    </w:p>
    <w:p>
      <w:pPr>
        <w:pStyle w:val="4"/>
        <w:keepNext/>
        <w:numPr>
          <w:numId w:val="0"/>
        </w:numPr>
        <w:spacing w:line="480" w:lineRule="exact" w:before="160" w:after="120"/>
        <w:ind w:firstLine="0"/>
      </w:pPr>
      <w:bookmarkStart w:id="1057" w:name="h57"/>
      <w:bookmarkStart w:id="37" w:name="研究方法与技术路线"/>
      <w:r>
        <w:rPr>
          <w:rFonts w:ascii="Times New Roman" w:hAnsi="Times New Roman" w:eastAsia="方正仿宋_GBK"/>
          <w:b/>
          <w:sz w:val="32"/>
        </w:rPr>
        <w:t xml:space="preserve">1.5 研究方法与技术路线</w:t>
      </w:r>
      <w:bookmarkEnd w:id="37"/>
      <w:bookmarkEnd w:id="1057"/>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分析分布式电源渗透水平、双向净负荷及95%峰值持续时间。先核对指标的统计范围及计算关系，再根据其对容量需求、网络能力和费用的作用选取参数。第3.5节结合规范和论文说明参数选取依据，按两地区实际年度记录分析指标关联；第五章通过地区案例独立扰动及推广参数受控配对解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年最大净负荷平均增长率按2021—2025年起止负荷之比开四次方计算。地区案例直接使用2022—2025年逐年实际负荷，保留年度回落；复合增长率用于概括发展水平及设置推广情景。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储能支撑持续时间确定储能有效支撑功率，电缆长度占比决定新增联络综合造价。六项参数先报告相关性，再组织推广矩阵，各单元保留计算节点和配置结果。</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计算工作簿与核验记录用于保存计算依据和结果复核。</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采用第三章至第五章列明的输入、算式和约束。</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93235"/>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299323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73" w:name="h73"/>
      <w:bookmarkStart w:id="43" w:name="研究成果及应用"/>
      <w:r>
        <w:rPr>
          <w:rFonts w:ascii="Times New Roman" w:hAnsi="Times New Roman" w:eastAsia="方正仿宋_GBK"/>
          <w:b/>
          <w:sz w:val="32"/>
        </w:rPr>
        <w:t xml:space="preserve">1.6 研究成果及应用</w:t>
      </w:r>
      <w:bookmarkEnd w:id="43"/>
      <w:bookmarkEnd w:id="1073"/>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四年规划方案，给出年度主变容量、采购规模、储能配置、负荷转接及评价期费用。通用推荐矩阵按电缆长度占比、储能支撑持续时间及负荷分散系数分表，列出源荷和转供条件对应的容载比区间，逐点设备配置和计算记录保存在配套工作簿中。</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76" w:name="h76"/>
      <w:bookmarkStart w:id="44" w:name="第二章-国内外研究现状"/>
      <w:r>
        <w:rPr>
          <w:rFonts w:ascii="Times New Roman" w:hAnsi="Times New Roman" w:eastAsia="方正仿宋_GBK"/>
          <w:b/>
          <w:sz w:val="36"/>
        </w:rPr>
        <w:t xml:space="preserve">第二章 国内外研究现状</w:t>
      </w:r>
      <w:bookmarkEnd w:id="44"/>
      <w:bookmarkEnd w:id="1076"/>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79" w:name="h79"/>
      <w:bookmarkStart w:id="45" w:name="国外研究现状"/>
      <w:r>
        <w:rPr>
          <w:rFonts w:ascii="Times New Roman" w:hAnsi="Times New Roman" w:eastAsia="方正仿宋_GBK"/>
          <w:b/>
          <w:sz w:val="32"/>
        </w:rPr>
        <w:t xml:space="preserve">2.1 国外研究现状</w:t>
      </w:r>
      <w:bookmarkEnd w:id="45"/>
      <w:bookmarkEnd w:id="1079"/>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承载力评估从确定性运行断面分析逐步拓展到源荷不确定性、主动管理及动态评估。不同方法分别考虑电压、设备容量和风险约束，为高渗透率下的容量校核提供依据。在不确定性建模方面，Lin 等提出两阶段光伏（photovoltaic，PV）承载力计算模型，先采用鲁棒优化分析源荷不确定性下的最不利场景，再构建计及主动管理的混合整数二阶锥规划模型，算例分析表明，负荷降低及光伏出力提高可能使接入约束趋紧；对受过电压限制的网络主动管理（无功、SVC）提升明显、对受最大传输功率限制的网络效果有限；网络重构可使薄弱支路网络承载力提升超过 50%（达原值约 150%）[18]。</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场景生成（夜间太阳辐照度设为零等物理约束）刻画源侧时序不确定性，以麻雀搜索算法寻优最大承载力，为承载力计算提供符合物理条件的出力场景[19]。</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渗透率后边际收益递减、风险非线性上升[20]。</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20%～34%，说明主动支撑及稳定约束对接入能力的影响[21]。</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23%，为以灵活资源平抑净负荷爬坡提供依据[22]。</w:t>
      </w:r>
    </w:p>
    <w:p>
      <w:pPr>
        <w:pStyle w:val="2"/>
        <w:widowControl/>
        <w:spacing w:line="348" w:lineRule="exact" w:before="0" w:after="0"/>
        <w:ind w:firstLine="480"/>
        <w:jc w:val="both"/>
      </w:pPr>
      <w:r>
        <w:rPr>
          <w:rFonts w:ascii="Times New Roman" w:hAnsi="Times New Roman" w:eastAsia="方正仿宋_GBK"/>
          <w:b w:val="0"/>
          <w:sz w:val="24"/>
        </w:rPr>
        <w:t xml:space="preserve">在反向潮流引致的电压问题上，Xie 等结合主网与配网线路参数差异建立过电压计算方法，并验证抑制策略可使反向潮流引起的过电压由高于额定约 10% 降至 2%[23]；Ghorbansarvi 等以模型预测控制（MPC）联合管理母线电压与配变温度、最小化弃光，通过协调控制推迟配变过载的发生[24]。</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光伏有功削减、有载分接开关调节（OLTC）、配网重构及多柔性资源协调四类电压越限治理手段，并讨论了协调控制中调节时序与经济性考虑不足，以及低压网络模型简化对分析结果的影响[25]。</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灵活资源研究关注储能、可调负荷及柔性互联对接入能力和容量需求的影响，并将相关方案与电网增容开展经济比较。在接入能力分析方面，Nair 等以确定性迭代、两阶段随机 MISOCP 与蒙特卡洛三法对比，表明动态资源协调可使 IEEE 123 馈线 PV 承载力由 48% 提升至 83%（两阶段随机规划达 98%），可行域体积扩大逾 22 倍，并指出动态方案波动性更高、临界性排序为电池＞热泵＞EV[26]；Wang 等（Nature Communications）提出基于智能软开关（SOP）的柔性配电网多资源动态协同规划，在风险小于 5% 内实现 100% 本地光伏消纳，且最优方案总成本较对照方案降低 7%～55%[27]。</w:t>
      </w:r>
    </w:p>
    <w:p>
      <w:pPr>
        <w:pStyle w:val="2"/>
        <w:widowControl/>
        <w:spacing w:line="348" w:lineRule="exact" w:before="0" w:after="0"/>
        <w:ind w:firstLine="480"/>
        <w:jc w:val="both"/>
      </w:pPr>
      <w:r>
        <w:rPr>
          <w:rFonts w:ascii="Times New Roman" w:hAnsi="Times New Roman" w:eastAsia="方正仿宋_GBK"/>
          <w:b w:val="0"/>
          <w:sz w:val="24"/>
        </w:rPr>
        <w:t xml:space="preserve">在储能与电网增容的经济比较方面，多项研究给出特定算例条件下的经济阈值：Martínez 等基于西班牙真实 500 节点中压网得出，专用分布式电池储能（BESS）替代网架增容仅在年负荷增长率不超过千分之一点六时净现值为正，移动式储能仅在不超过千分之二点五时可行[28]；Holweger 等在 CIGRE 低压网上得到分布式柔性优于网架增强的盈亏平衡点位于 PV 占年用电量的 110%～145% 区间（廉价变压器约 110%、昂贵变压器约 145%），且变压器为承载瓶颈元件[29]；Matthiss 等分别比较初始投资和年化费用，发现按投资成本储能远低于网架增强，但折算为计入电池 10 年寿命的年成本后差距明显收窄[30]。</w:t>
      </w:r>
    </w:p>
    <w:p>
      <w:pPr>
        <w:pStyle w:val="2"/>
        <w:widowControl/>
        <w:spacing w:line="348" w:lineRule="exact" w:before="0" w:after="0"/>
        <w:ind w:firstLine="480"/>
        <w:jc w:val="both"/>
      </w:pPr>
      <w:r>
        <w:rPr>
          <w:rFonts w:ascii="Times New Roman" w:hAnsi="Times New Roman" w:eastAsia="方正仿宋_GBK"/>
          <w:b w:val="0"/>
          <w:sz w:val="24"/>
        </w:rPr>
        <w:t xml:space="preserve">在储能定容方面，Xu 等以两阶段启发式优化最小化储能全寿命周期成本（LCC，包含投资、更换、运维及处置，并计及锂电池容量衰减），算例显示合理定容可使节点平均年化成本下降约 47%[10]；Wu 等以两阶段分布鲁棒优化并嵌入并网点短路电流约束做 PV+储能联合规划，较传统方法 PV 可装容量提升约 60%、电压偏差降低 17%，且</w:t>
      </w:r>
      <w:r>
        <w:rPr>
          <w:rFonts w:ascii="Times New Roman" w:hAnsi="Times New Roman" w:eastAsia="方正仿宋_GBK"/>
          <w:b w:val="0"/>
          <w:sz w:val="24"/>
        </w:rPr>
        <w:t xml:space="preserve">“</w:t>
      </w:r>
      <w:r>
        <w:rPr>
          <w:rFonts w:ascii="Times New Roman" w:hAnsi="Times New Roman" w:eastAsia="方正仿宋_GBK"/>
          <w:b w:val="0"/>
          <w:sz w:val="24"/>
        </w:rPr>
        <w:t xml:space="preserve">联合规划</w:t>
      </w:r>
      <w:r>
        <w:rPr>
          <w:rFonts w:ascii="Times New Roman" w:hAnsi="Times New Roman" w:eastAsia="方正仿宋_GBK"/>
          <w:b w:val="0"/>
          <w:sz w:val="24"/>
        </w:rPr>
        <w:t xml:space="preserve">”</w:t>
      </w:r>
      <w:r>
        <w:rPr>
          <w:rFonts w:ascii="Times New Roman" w:hAnsi="Times New Roman" w:eastAsia="方正仿宋_GBK"/>
          <w:b w:val="0"/>
          <w:sz w:val="24"/>
        </w:rPr>
        <w:t xml:space="preserve">优于</w:t>
      </w:r>
      <w:r>
        <w:rPr>
          <w:rFonts w:ascii="Times New Roman" w:hAnsi="Times New Roman" w:eastAsia="方正仿宋_GBK"/>
          <w:b w:val="0"/>
          <w:sz w:val="24"/>
        </w:rPr>
        <w:t xml:space="preserve">“</w:t>
      </w:r>
      <w:r>
        <w:rPr>
          <w:rFonts w:ascii="Times New Roman" w:hAnsi="Times New Roman" w:eastAsia="方正仿宋_GBK"/>
          <w:b w:val="0"/>
          <w:sz w:val="24"/>
        </w:rPr>
        <w:t xml:space="preserve">先 PV 后储能</w:t>
      </w:r>
      <w:r>
        <w:rPr>
          <w:rFonts w:ascii="Times New Roman" w:hAnsi="Times New Roman" w:eastAsia="方正仿宋_GBK"/>
          <w:b w:val="0"/>
          <w:sz w:val="24"/>
        </w:rPr>
        <w:t xml:space="preserve">”</w:t>
      </w:r>
      <w:r>
        <w:rPr>
          <w:rFonts w:ascii="Times New Roman" w:hAnsi="Times New Roman" w:eastAsia="方正仿宋_GBK"/>
          <w:b w:val="0"/>
          <w:sz w:val="24"/>
        </w:rPr>
        <w:t xml:space="preserve">[31]。</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渗透率），且其孤岛恢复方案采用构网型光伏与储能[32]。</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面向高负荷密度与含可再生能源的变电容量优化，Huang 等以多元宇宙优化器同时优化主变容量与台数，算例表明，本地可再生能源供电可减少净负荷，并延缓主变建设[33]；Xu 等则从分时电价/需求侧响应改变负荷曲线的角度论证削峰可节省变电建设投资[34]，Nespoli 等给出无需历史数据量化柔性负荷经济价值的全局预测方法[35]。</w:t>
      </w:r>
    </w:p>
    <w:p>
      <w:pPr>
        <w:pStyle w:val="2"/>
        <w:widowControl/>
        <w:spacing w:line="348" w:lineRule="exact" w:before="0" w:after="0"/>
        <w:ind w:firstLine="480"/>
        <w:jc w:val="both"/>
      </w:pPr>
      <w:r>
        <w:rPr>
          <w:rFonts w:ascii="Times New Roman" w:hAnsi="Times New Roman" w:eastAsia="方正仿宋_GBK"/>
          <w:b w:val="0"/>
          <w:sz w:val="24"/>
        </w:rPr>
        <w:t xml:space="preserve">在源网荷储/柔性互联的国际期刊成果中，Zhu等的多区域E-SOP协同规划可使年总成本降低约 15%、电压不平衡全部降至 2% 以内[36]，SOP+储能联合规划使供电能力提升 31%[37]，源—网—储协同随机规划以仅增成本 2% 换取大幅消纳提升[38]，Shi等通过源网荷储多主体演化博弈，分析收益分配对储能配置及主体协同的影响[39]。</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在成本评价方面，Zeng 等基于全寿命周期成本（投资、运行、维护、故障）建立输电线路经济寿命区间法，并以改进 GM(1,1) 在小样本下预测成本、以区间法处理不确定性[11]；Zhu 等对 10 kV 三类线路建立显式包含投资、运维、故障与报废（discard）四部分的 LCC 模型，研究表明，高负载率下运维成本成为 LCC 最主要影响因素、三类线路 LCC 平衡点出现在第 7～8 年，为线路寿命和费用边界分析提供参考[12]。</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与累积前景理论用于电网规划方案适应性评价[40]；Fermatean 模糊 TOPSIS 配合 FAHP-熵权与 DEMATEL 因果分析处理专家评分不确定性[41]；最优最劣法（BWM）+ 反熵权 + 纳什博弈 + 马氏距离改进 TOPSIS 用于输电项目优选[42]；改进 AHP 叠加物元可拓评估实现效益分级[14]。多准则评价通过指标与权重表达方案差异，适用于技术可行方案的综合比较。</w:t>
      </w:r>
    </w:p>
    <w:p>
      <w:pPr>
        <w:pStyle w:val="4"/>
        <w:keepNext/>
        <w:numPr>
          <w:numId w:val="0"/>
        </w:numPr>
        <w:spacing w:line="480" w:lineRule="exact" w:before="160" w:after="120"/>
        <w:ind w:firstLine="0"/>
      </w:pPr>
      <w:bookmarkStart w:id="1101" w:name="h101"/>
      <w:bookmarkStart w:id="50" w:name="国内研究现状"/>
      <w:r>
        <w:rPr>
          <w:rFonts w:ascii="Times New Roman" w:hAnsi="Times New Roman" w:eastAsia="方正仿宋_GBK"/>
          <w:b/>
          <w:sz w:val="32"/>
        </w:rPr>
        <w:t xml:space="preserve">2.2 国内研究现状</w:t>
      </w:r>
      <w:bookmarkEnd w:id="50"/>
      <w:bookmarkEnd w:id="1101"/>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容量配置需要兼顾供电安全与投资效率，国内研究逐步从单电压等级容量配置拓展到多电压等级协同规划，并进一步细化相关参数及评价方法。在最优容载比计算上，陈浩等较早建立含高、低压两电压等级变电站的最优容载比优化模型，以年综合费用最小为目标、用离散粒子群算法求解[43]；王凯亮等进一步以建设成本最小为目标统筹 220/110/10 kV 协同规划，用贝叶斯优化—遗传算法（BOA-GA）求解多电压等级容载比配比，证明长时间尺度下容载比配比与整体投资近似呈二次关系，规划方案较实际网架降低建设成本约 8%，并给出按负荷密度（以 10 MW·km⁻² 为界）与负荷增长率分档的差异化容载比推荐表[44]。</w:t>
      </w:r>
    </w:p>
    <w:p>
      <w:pPr>
        <w:pStyle w:val="2"/>
        <w:widowControl/>
        <w:spacing w:line="348" w:lineRule="exact" w:before="0" w:after="0"/>
        <w:ind w:firstLine="480"/>
        <w:jc w:val="both"/>
      </w:pPr>
      <w:r>
        <w:rPr>
          <w:rFonts w:ascii="Times New Roman" w:hAnsi="Times New Roman" w:eastAsia="方正仿宋_GBK"/>
          <w:b w:val="0"/>
          <w:sz w:val="24"/>
        </w:rPr>
        <w:t xml:space="preserve">在指标精细化上，刘文霞等针对导则容载比区间过宽、与可靠性脱钩的问题提出</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，以理想值为基准的带状标尺可视化表达充裕性，以供电可靠性和发展阶段评价区域容量储备[45]；刘炜彬等则从负荷分散系数、储备系数、变压器安全运行率、平均功率因数四参数入手，用 BP 神经网络拟合负荷同时率、将 N-1 通过率纳入安全运行率，实现容载比精细化与差异化配置[46]。</w:t>
      </w:r>
    </w:p>
    <w:p>
      <w:pPr>
        <w:pStyle w:val="2"/>
        <w:widowControl/>
        <w:spacing w:line="348" w:lineRule="exact" w:before="0" w:after="0"/>
        <w:ind w:firstLine="480"/>
        <w:jc w:val="both"/>
      </w:pPr>
      <w:r>
        <w:rPr>
          <w:rFonts w:ascii="Times New Roman" w:hAnsi="Times New Roman" w:eastAsia="方正仿宋_GBK"/>
          <w:b w:val="0"/>
          <w:sz w:val="24"/>
        </w:rPr>
        <w:t xml:space="preserve">在最大供电能力方面，肖峻等以 TSC 理论（计及主变与下级网络转带、满足 N-1）量化容载比与下级网络强弱的关系，研究表明，网络转带能力增强后可降低相应变电容量储备需求：达到 TSC 时容载比理论范围约 1.10～2.00，常见城市配电网联络度 0.40～0.50 时对应容载比 1.50～1.60，其算例相较1.80～2.00的取值范围，可承接负荷增加约20%，并建议互联程度高的城市配电网容载比控制在 1.60 左右[8]；张锐等进一步以改进供电能力指标指导低压柔性互联装置规划，将设备容量与实际供电能力分别评价[47]；马雨欣、林凌雪提出面向精准规划的 TSC 评估方法并将分布式电源场景纳入供电能力计算[48]。</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，并指出单电压等级独立评估会使低压侧承载力估计过于乐观[49]。</w:t>
      </w:r>
    </w:p>
    <w:p>
      <w:pPr>
        <w:pStyle w:val="2"/>
        <w:widowControl/>
        <w:spacing w:line="348" w:lineRule="exact" w:before="0" w:after="0"/>
        <w:ind w:firstLine="480"/>
        <w:jc w:val="both"/>
      </w:pPr>
      <w:r>
        <w:rPr>
          <w:rFonts w:ascii="Times New Roman" w:hAnsi="Times New Roman" w:eastAsia="方正仿宋_GBK"/>
          <w:b w:val="0"/>
          <w:sz w:val="24"/>
        </w:rPr>
        <w:t xml:space="preserve">在概率/区间评估上，王方敏等提出基于历史场景的分层分级概率评估，以反向负载率分级并将薄弱环节分为红/黄/蓝/绿四级，可按不同置信水平给出各供电区域光伏可新增容量（依据DL/T 2041开展评估）[50]；徐非非等提出计及不确定性的承载能力区间分析方法[51]；张伟等针对含储能与软开关的柔性配电网，以确定性模型刻画最乐观、双层鲁棒优化刻画最悲观，构成消纳能力区间，并验证随 E-SOP 端口容量增大区间整体抬升、宽度收窄（由 7.93～10.89 MW 升至 9.32～11.34 MW）[52]。</w:t>
      </w:r>
    </w:p>
    <w:p>
      <w:pPr>
        <w:pStyle w:val="2"/>
        <w:widowControl/>
        <w:spacing w:line="348" w:lineRule="exact" w:before="0" w:after="0"/>
        <w:ind w:firstLine="480"/>
        <w:jc w:val="both"/>
      </w:pPr>
      <w:r>
        <w:rPr>
          <w:rFonts w:ascii="Times New Roman" w:hAnsi="Times New Roman" w:eastAsia="方正仿宋_GBK"/>
          <w:b w:val="0"/>
          <w:sz w:val="24"/>
        </w:rPr>
        <w:t xml:space="preserve">在安全经济承载力上，宋钰等构建兼顾安全与经济的分布式光伏承载力评估方法[53]，李敬如等研究主配协同条件下的安全经济承载力计算[54]，二者均强调</w:t>
      </w:r>
      <w:r>
        <w:rPr>
          <w:rFonts w:ascii="Times New Roman" w:hAnsi="Times New Roman" w:eastAsia="方正仿宋_GBK"/>
          <w:b w:val="0"/>
          <w:sz w:val="24"/>
        </w:rPr>
        <w:t xml:space="preserve">“</w:t>
      </w:r>
      <w:r>
        <w:rPr>
          <w:rFonts w:ascii="Times New Roman" w:hAnsi="Times New Roman" w:eastAsia="方正仿宋_GBK"/>
          <w:b w:val="0"/>
          <w:sz w:val="24"/>
        </w:rPr>
        <w:t xml:space="preserve">先满足电压、设备容量与运行安全约束，再比较扩网、储能与调节措施经济性</w:t>
      </w:r>
      <w:r>
        <w:rPr>
          <w:rFonts w:ascii="Times New Roman" w:hAnsi="Times New Roman" w:eastAsia="方正仿宋_GBK"/>
          <w:b w:val="0"/>
          <w:sz w:val="24"/>
        </w:rPr>
        <w:t xml:space="preserve">”</w:t>
      </w:r>
      <w:r>
        <w:rPr>
          <w:rFonts w:ascii="Times New Roman" w:hAnsi="Times New Roman" w:eastAsia="方正仿宋_GBK"/>
          <w:b w:val="0"/>
          <w:sz w:val="24"/>
        </w:rPr>
        <w:t xml:space="preserve">。</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，通过运行评价系数反映接入容量的质量差异[55]。</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大停电经验，分析高比例新能源接入后向主网反向输送功率的现象，并提示防孤岛与频率保护设定的重要性[56]。</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，为分析江苏地区负荷与气温的关系提供参考[57]。</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风险评估指标体系并提出分层分区紧急切负荷策略[58]，吕达夫等以多场景源荷不确定性模型评估承载能力、得出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[59]，刘克权等则以甘肃为例定性论证高比例新能源下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的真实困境[60]。</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源网荷储/柔性互联协同规划成果丰富，研究关注柔性互联及储能的联合配置对潮流、供电能力和投资的影响。综述类研究系统梳理了分布式光伏规模化并网关键技术[61]、主动配电网规划[62]与新型配电网分布式储能配置[63]。在 SOP/柔性互联协同上，贺春光等以混合整数二阶锥规划做多电压等级 SOP 协同规划，算例中年综合成本由 457.30 万元降至 357.70 万元、各节点电压维持在 [0.95,1.05]、缓解 220 kV 变电站潮流倒送[64]。在</w:t>
      </w:r>
      <w:r>
        <w:rPr>
          <w:rFonts w:ascii="Times New Roman" w:hAnsi="Times New Roman" w:eastAsia="方正仿宋_GBK"/>
          <w:b w:val="0"/>
          <w:sz w:val="24"/>
        </w:rPr>
        <w:t xml:space="preserve">“</w:t>
      </w:r>
      <w:r>
        <w:rPr>
          <w:rFonts w:ascii="Times New Roman" w:hAnsi="Times New Roman" w:eastAsia="方正仿宋_GBK"/>
          <w:b w:val="0"/>
          <w:sz w:val="24"/>
        </w:rPr>
        <w:t xml:space="preserve">源—网—储</w:t>
      </w:r>
      <w:r>
        <w:rPr>
          <w:rFonts w:ascii="Times New Roman" w:hAnsi="Times New Roman" w:eastAsia="方正仿宋_GBK"/>
          <w:b w:val="0"/>
          <w:sz w:val="24"/>
        </w:rPr>
        <w:t xml:space="preserve">”</w:t>
      </w:r>
      <w:r>
        <w:rPr>
          <w:rFonts w:ascii="Times New Roman" w:hAnsi="Times New Roman" w:eastAsia="方正仿宋_GBK"/>
          <w:b w:val="0"/>
          <w:sz w:val="24"/>
        </w:rPr>
        <w:t xml:space="preserve">联合扩展规划上，徐峰亮等提出三层扩展规划并定义净负荷适应率、净负荷波动率、线路负载裕度均衡性三个运行灵活性指标，其推荐方案在五种方案中总成本最低（1300.50 万元）、DG 渗透率最高（57%）[65]；乐健等以 Frank-Copula 刻画源荷时空相关、蒙特卡洛生成并削减典型场景，比较基准与差异化源网储方案的全寿命费用（25 节点方案 4 综合成本较方案 2 降约 45%）[66]。</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容载比纳入评价指标并给出四级分级阈值，用于区域电网分类和综合评价[15]。</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机制可用于剔除不满足关键要求的规划方案[16]；汪志才等的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二阶锥松弛做多层级配电网消纳空间分解测算，论证层间协调可提升总消纳空间（但其算例为 IEEE 6/7/9/10/12/15 合成测试系统，用于检验多层级协调方法）[75]。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[46]；王凯亮等研究多电压等级协同规划，说明上级容量与下级网络条件需要共同考虑[44]。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2041—2025《分布式电源接入电力系统承载力评估导则》规定系统级及设备级承载力计算、结果校核和可开放容量评估方法[9]。GB/T 45418—2025《配电网通用技术导则》为下级配电网技术分析提供补充依据[17]。《配电网规划设计技术导则》提出分布式电源装机渗透率和分布式电源电量渗透率指标，用于判断源荷发展水平及反向容量校核需求[7]。</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39" w:name="h139"/>
      <w:bookmarkStart w:id="61" w:name="国内外研究对比与述评"/>
      <w:r>
        <w:rPr>
          <w:rFonts w:ascii="Times New Roman" w:hAnsi="Times New Roman" w:eastAsia="方正仿宋_GBK"/>
          <w:b/>
          <w:sz w:val="32"/>
        </w:rPr>
        <w:t xml:space="preserve">2.3 国内外研究对比与述评</w:t>
      </w:r>
      <w:bookmarkEnd w:id="61"/>
      <w:bookmarkEnd w:id="1139"/>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[44][45][73]。本项目先用邳州与市区案例分析实际源荷、设备和网络条件下的配置，再另建五站模板，独立改变源荷规模、负荷增长、转供条件、持续时间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4"/>
        <w:keepNext/>
        <w:numPr>
          <w:numId w:val="0"/>
        </w:numPr>
        <w:spacing w:line="480" w:lineRule="exact" w:before="160" w:after="120"/>
        <w:ind w:firstLine="0"/>
      </w:pPr>
      <w:bookmarkStart w:id="1153" w:name="h153"/>
      <w:bookmarkStart w:id="65" w:name="容载比与供电能力的理论联系"/>
      <w:r>
        <w:rPr>
          <w:rFonts w:ascii="Times New Roman" w:hAnsi="Times New Roman" w:eastAsia="方正仿宋_GBK"/>
          <w:b/>
          <w:sz w:val="32"/>
        </w:rPr>
        <w:t xml:space="preserve">2.4 容载比与供电能力的理论联系</w:t>
      </w:r>
      <w:bookmarkEnd w:id="65"/>
      <w:bookmarkEnd w:id="115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[8]。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两台等容量主变在N-1条件下剩余容量为原总容量的一半；三台等容量主变在N-1条件下剩余比例为三分之二。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区域容量配置还受主变规格的离散性影响。某站需要增加的有效供电能力可能小于一个推荐规格的容量增量，采购整台设备后出现一定容量储备。随着负荷增加，储备被逐步使用，年度容载比下降。本项目将可选规格直接纳入整数模型，年度指标从实际规格合计得到。</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[8]。工程上需要分别核实负荷是否可分段、通道是否可用、受端主变是否有余量。可转负荷由通道条件与两端容量共同确定。</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改变站级供电任务，可以使部分站原有储备承担邻站负荷，减少局部新增容量或储能。对区县整体而言，用户需求保持不变，送出和接收应成对计量。忽略线路损耗时，区域负荷总量守恒。本研究保留两端约束，通过设备配置变化评价联络的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送端可转负荷、受端容量及反向压力共同限制其使用量。工程费用决定能力不足时采用新建联络、增容或储能的组合。</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负荷发展储备与规划年份直接相关。主变投运后持续在役，负荷则可能在不同年份上升或下降。年度规划路径因此需要处理资产持续在役和负荷波动的共同影响。模型逐年计取建设费用，并校核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按未舍入结果判断年最大净负荷平均增长率区间。已知历史年度用于案例时，直接采用对应年度实际负荷；面向其他片区的情景分析再按增长率推算目标年需求。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影响供电需求，同时影响容载比分母。在资产非减条件下，较低增长可能使已配置容量对应的容载比较高；较高增长可能触发新的主变或储能建设。离散措施使变化呈台阶形态，推荐矩阵按分档情景归纳容量变化。</w:t>
      </w:r>
    </w:p>
    <w:p>
      <w:pPr>
        <w:pStyle w:val="4"/>
        <w:keepNext/>
        <w:numPr>
          <w:numId w:val="0"/>
        </w:numPr>
        <w:spacing w:line="480" w:lineRule="exact" w:before="160" w:after="120"/>
        <w:ind w:firstLine="0"/>
      </w:pPr>
      <w:bookmarkStart w:id="1167" w:name="h167"/>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167"/>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表达用户实际用电需求，网供负荷表达电网向用户供电的剩余任务。分布式电源参与本地供电后，二者需要通过同一范围的发电和交换功率对应。在忽略损耗的简化关系中，净负荷为用户用电功率减去本地发电功率。正值表示受电，负值表示反送。源荷平衡按同一时段和统计范围建立。</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[7]。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与反向场景的网络和保护条件可能不同。正向供电安全涉及用户恢复供电，反向接入还涉及上级网络、电压和保护配合。把两个方向压缩为绝对峰值后，仍需分别分析功率方向及对应场景。正反向净负荷分别对应相应技术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对储能配置，仅有年度峰值幅度还不够。相同的5 MW缺口若持续1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，最低理想放电能量为5 MWh；若持续5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，所需能量相应增加。这是功率与能量的直接关系，实际工程还需考虑效率、可用荷电状态及容量衰减[28][10]。本项目静态模型以铭牌功率和峰段可持续能量共同限制储能支撑。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光伏增加可能降低部分日间净负荷，而年度设备最大负载率还可能由晚间高峰或局部反送决定。两项指标的相关方向受容量配置、负荷时段和统计边界共同影响[3][4][58]。</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邳州和市区的资料分别反映县域与市区的源荷条件。年度地区指标用于比较相对水平。对具有月度同范围资料的地区，可计算月度关联并说明样本内性质，为后续扩大实际数据样本提供依据。</w:t>
      </w:r>
    </w:p>
    <w:p>
      <w:pPr>
        <w:pStyle w:val="4"/>
        <w:keepNext/>
        <w:numPr>
          <w:numId w:val="0"/>
        </w:numPr>
        <w:spacing w:line="480" w:lineRule="exact" w:before="160" w:after="120"/>
        <w:ind w:firstLine="0"/>
      </w:pPr>
      <w:bookmarkStart w:id="1184" w:name="h184"/>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184"/>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[8]，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新增联络线的可转负荷还取决于受端剩余容量。可转负荷受线路热限、负荷可分段条件和受端可用容量共同限制。公开线路单位造价能够提供价格参考，实际可转任务需要网络资料支撑[8]。</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储能单位有效支撑功率投资随支撑持续时间变化。10柜组合额定功率1 MW、额定能量2.15 MWh，在可用电量系数0.76及4 h条件下，有效支撑功率为0.4085 MW。经济比较应按可持续功率折算，并保留额定功率限制[10][86]。</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[11][12]。如果储能寿命短于网架设备，评价期内可能出现更新投资。更新支出影响储能替代长期容量建设的经济性。相反，延后投运减少早期资金占用，也可能影响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多准则评价适于对已通过技术筛查的方案比较实施条件和规划适应性[14][15][16]。本报告以费用最小形成计算推荐，供电安全和设备规格作为硬约束，工程实施条件作为应用前核对项。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支撑持续时间和源荷条件一起给出。同一推荐容载比可对应不同设备布局，费用相同也可能出现多组可行配置。推荐区间结合主变与储能配置、建设时序和站间负荷转接结果确定，相应方案在第五章逐站列示。</w:t>
      </w:r>
    </w:p>
    <w:p>
      <w:pPr>
        <w:pStyle w:val="4"/>
        <w:keepNext/>
        <w:numPr>
          <w:numId w:val="0"/>
        </w:numPr>
        <w:spacing w:line="480" w:lineRule="exact" w:before="160" w:after="120"/>
        <w:ind w:firstLine="0"/>
      </w:pPr>
      <w:bookmarkStart w:id="1198" w:name="h198"/>
      <w:bookmarkStart w:id="78" w:name="规划寻优方法与本项目选型"/>
      <w:r>
        <w:rPr>
          <w:rFonts w:ascii="Times New Roman" w:hAnsi="Times New Roman" w:eastAsia="方正仿宋_GBK"/>
          <w:b/>
          <w:sz w:val="32"/>
        </w:rPr>
        <w:t xml:space="preserve">2.7 规划寻优方法与本项目选型</w:t>
      </w:r>
      <w:bookmarkEnd w:id="78"/>
      <w:bookmarkEnd w:id="1198"/>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[43][44]。</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整数规划将设备规格与工程数量直接作为决策变量，在正常运行和供电安全约束下比较措施费用。年度设备状态连续衔接。</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费用相近时可以出现多组可行配置。以费用目标求得的可行方案对应具体设备和联络项目。</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离散设备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4"/>
        <w:keepNext/>
        <w:numPr>
          <w:numId w:val="0"/>
        </w:numPr>
        <w:spacing w:line="480" w:lineRule="exact" w:before="160" w:after="120"/>
        <w:ind w:firstLine="0"/>
      </w:pPr>
      <w:bookmarkStart w:id="1211" w:name="h211"/>
      <w:bookmarkStart w:id="82" w:name="本项目方法选择与工程衔接"/>
      <w:r>
        <w:rPr>
          <w:rFonts w:ascii="Times New Roman" w:hAnsi="Times New Roman" w:eastAsia="方正仿宋_GBK"/>
          <w:b/>
          <w:sz w:val="32"/>
        </w:rPr>
        <w:t xml:space="preserve">2.8 本项目方法选择与工程衔接</w:t>
      </w:r>
      <w:bookmarkEnd w:id="82"/>
      <w:bookmarkEnd w:id="1211"/>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[57]；供电能力研究强调主变结构及下级网络互济[8][45]。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规格、主变扩建位置、储能柜数和联络项目属于离散决策，站间转接功率属于连续决策，采用混合整数线性规划共同求解。工程费用按购置批次和投运年份形成现金流，以建设、固定运维与寿命更新的现值之和比较方案[10,11,12][43][44]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案例按四年设备状态连续寻优，保留实际年度负荷变化。通用矩阵设置34686组目标年参数组合，将32112组有效结果按全部六项参数归纳为1296个单元。主变、储能与联络按统一工程价格和设备候选进行费用比选。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[8]。</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[46]。</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[7]。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[7]。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[44]，刘炜彬等从负荷分散系数、安全运行及发展储备等因素分析参数取值[46]。这些研究强调容量储备与地区条件的对应关系。本报告采用分布式电源装机渗透率、年最大净负荷平均增长率、电缆长度占比、初始转供率、储能支撑持续时间及负荷分散系数作为主矩阵输入，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最大净负荷平均增长率区间依次为不大于2%、大于2%且不大于4%、大于4%且不大于7%、大于7%。本报告增长参数沿用这些分界，其他输入参数参照其首尾开口的分档形式。后者的具体分界由研究设置。输入分档覆盖参数定义域，有限计算节点覆盖的验证范围另行说明。</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各单元的容载比范围由已核验配置归纳，具体取值对应允许主变规格和台数形成的离散配置。规划应用先核对输入与模板条件，再将容量规模落实到设备、联络及储能方案[43][44]。</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中的储能与网架建设比较，既有按初始投资判断的研究，也有计及运行、更新和寿命的费用分析[30][28][10]。比较目的不同，费用范围也随之变化。初始投资适合解释设备采购和工程规模；评价期费用适合比较不同建设年份及运维水平；包含收益的财务分析则还需电价、运行策略和市场机制。使用研究结论时，应先确认其所回答的经济问题。</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4"/>
        <w:keepNext/>
        <w:numPr>
          <w:numId w:val="0"/>
        </w:numPr>
        <w:spacing w:line="480" w:lineRule="exact" w:before="160" w:after="120"/>
        <w:ind w:firstLine="0"/>
      </w:pPr>
      <w:bookmarkStart w:id="1233" w:name="h233"/>
      <w:bookmarkStart w:id="89" w:name="本章小结"/>
      <w:r>
        <w:rPr>
          <w:rFonts w:ascii="Times New Roman" w:hAnsi="Times New Roman" w:eastAsia="方正仿宋_GBK"/>
          <w:b/>
          <w:sz w:val="32"/>
        </w:rPr>
        <w:t xml:space="preserve">2.9 本章小结</w:t>
      </w:r>
      <w:bookmarkEnd w:id="89"/>
      <w:bookmarkEnd w:id="1233"/>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235" w:name="h235"/>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235"/>
    </w:p>
    <w:p>
      <w:pPr>
        <w:pStyle w:val="4"/>
        <w:keepNext/>
        <w:numPr>
          <w:numId w:val="0"/>
        </w:numPr>
        <w:spacing w:line="480" w:lineRule="exact" w:before="160" w:after="120"/>
        <w:ind w:firstLine="0"/>
      </w:pPr>
      <w:bookmarkStart w:id="1236" w:name="h236"/>
      <w:bookmarkStart w:id="91" w:name="研究地区与原始资料"/>
      <w:r>
        <w:rPr>
          <w:rFonts w:ascii="Times New Roman" w:hAnsi="Times New Roman" w:eastAsia="方正仿宋_GBK"/>
          <w:b/>
          <w:sz w:val="32"/>
        </w:rPr>
        <w:t xml:space="preserve">3.1 研究地区与原始资料</w:t>
      </w:r>
      <w:bookmarkEnd w:id="91"/>
      <w:bookmarkEnd w:id="1236"/>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分析历史负荷、光伏及设备结构，并说明规划仿真采用的参数。年度区域负荷统一换算为MW，作为年网供最大负荷估计值。规划站级正向、反向净负荷采用2025年分布，按仿真年度规模缩放。图表中2021—2022年光伏装机采用几何回推，2023—2025年采用月末记录。</w:t>
      </w:r>
    </w:p>
    <w:p>
      <w:pPr>
        <w:pStyle w:val="2"/>
        <w:widowControl/>
        <w:spacing w:line="348" w:lineRule="exact" w:before="0" w:after="0"/>
        <w:ind w:firstLine="480"/>
        <w:jc w:val="both"/>
      </w:pPr>
      <w:r>
        <w:rPr>
          <w:rFonts w:ascii="Times New Roman" w:hAnsi="Times New Roman" w:eastAsia="方正仿宋_GBK"/>
          <w:b w:val="0"/>
          <w:sz w:val="24"/>
        </w:rPr>
        <w:t xml:space="preserve">历史容量和负荷用于本章现状分析。第五章采用各地区共同的仿真初始设备和2021年实际负荷，基期容载比均约为2.00，后续容量由逐年优化确定。设备统计形成允许规格、供电区域类别及主变扩建位置；正常负荷调整使用相同仿真通道。资料来源与统计范围见配套数据说明。</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案例提取区域正向峰值、最低净负荷及各站局部极值的同期截面，市区45个、邳州26个；每个截面保留全部站点的同期功率。正向储能支撑持续时间分别取邳州2 h、市区6 h。</w:t>
      </w:r>
    </w:p>
    <w:p>
      <w:pPr>
        <w:pStyle w:val="4"/>
        <w:keepNext/>
        <w:numPr>
          <w:numId w:val="0"/>
        </w:numPr>
        <w:spacing w:line="480" w:lineRule="exact" w:before="160" w:after="120"/>
        <w:ind w:firstLine="0"/>
      </w:pPr>
      <w:bookmarkStart w:id="1246" w:name="h246"/>
      <w:bookmarkStart w:id="95" w:name="年度容量负荷与增长特征"/>
      <w:r>
        <w:rPr>
          <w:rFonts w:ascii="Times New Roman" w:hAnsi="Times New Roman" w:eastAsia="方正仿宋_GBK"/>
          <w:b/>
          <w:sz w:val="32"/>
        </w:rPr>
        <w:t xml:space="preserve">3.2 年度容量、负荷与增长特征</w:t>
      </w:r>
      <w:bookmarkEnd w:id="95"/>
      <w:bookmarkEnd w:id="1246"/>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历史统计保留原始年度波动，用于计算负荷增长和解释运行特征。仿真规划的基期与后续四年负荷在第五章另行列示。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5"/>
        <w:keepNext/>
        <w:numPr>
          <w:numId w:val="0"/>
        </w:numPr>
        <w:spacing w:line="390" w:lineRule="exact" w:before="160" w:after="120"/>
        <w:ind w:firstLine="0"/>
      </w:pPr>
      <w:bookmarkStart w:id="99" w:name="年最大净负荷平均增长率"/>
      <w:r>
        <w:rPr>
          <w:rFonts w:ascii="Times New Roman" w:hAnsi="Times New Roman" w:eastAsia="方正仿宋_GBK"/>
          <w:b/>
          <w:sz w:val="26"/>
        </w:rPr>
        <w:t xml:space="preserve">3.2.3 年最大净负荷平均增长率</w:t>
      </w:r>
      <w:bookmarkEnd w:id="99"/>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年最大净负荷平均增长率[7]由同范围起止年度负荷按复合增长形式计算。2021—2025年包含四个年度间隔，增长分档采用2025年4月《配电网规划设计技术导则（修订稿）》第6.2.2.1条及表2[7]。</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（3-1）</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0" w:name="历史统计与规划仿真的衔接"/>
      <w:r>
        <w:rPr>
          <w:rFonts w:ascii="Times New Roman" w:hAnsi="Times New Roman" w:eastAsia="方正仿宋_GBK"/>
          <w:b/>
          <w:sz w:val="26"/>
        </w:rPr>
        <w:t xml:space="preserve">3.2.4 历史统计与规划仿真的衔接</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2021—2025年实际容量与负荷用于现状分析，2022—2025年已知年度负荷直接进入地区案例。仿真保留市区2900.00 MVA、邳州1463.50 MVA的初始设备容量，基期及后续各年负荷均采用实际年度统计值，基期容载比按两位小数均为2.00。主变增容由逐年优化确定，实际在役容量与仿真容量分别列示。</w:t>
      </w:r>
    </w:p>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确定目标年负荷。地区案例与通用模板的用途不同，分别保留其负荷来源和计算条件。</w:t>
      </w:r>
    </w:p>
    <w:p>
      <w:pPr>
        <w:pStyle w:val="4"/>
        <w:keepNext/>
        <w:numPr>
          <w:numId w:val="0"/>
        </w:numPr>
        <w:spacing w:line="480" w:lineRule="exact" w:before="160" w:after="120"/>
        <w:ind w:firstLine="0"/>
      </w:pPr>
      <w:bookmarkStart w:id="1264" w:name="h264"/>
      <w:bookmarkStart w:id="101" w:name="分布式光伏装机与电量"/>
      <w:r>
        <w:rPr>
          <w:rFonts w:ascii="Times New Roman" w:hAnsi="Times New Roman" w:eastAsia="方正仿宋_GBK"/>
          <w:b/>
          <w:sz w:val="32"/>
        </w:rPr>
        <w:t xml:space="preserve">3.3 分布式光伏装机与电量</w:t>
      </w:r>
      <w:bookmarkEnd w:id="101"/>
      <w:bookmarkEnd w:id="1264"/>
    </w:p>
    <w:p>
      <w:pPr>
        <w:pStyle w:val="5"/>
        <w:keepNext/>
        <w:numPr>
          <w:numId w:val="0"/>
        </w:numPr>
        <w:spacing w:line="390" w:lineRule="exact" w:before="160" w:after="120"/>
        <w:ind w:firstLine="0"/>
      </w:pPr>
      <w:bookmarkStart w:id="102" w:name="装机规模与月度变化"/>
      <w:r>
        <w:rPr>
          <w:rFonts w:ascii="Times New Roman" w:hAnsi="Times New Roman" w:eastAsia="方正仿宋_GBK"/>
          <w:b/>
          <w:sz w:val="26"/>
        </w:rPr>
        <w:t xml:space="preserve">3.3.1 装机规模与月度变化</w:t>
      </w:r>
      <w:bookmarkEnd w:id="102"/>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MW。现有月度装机数据始于2023年，2021—2022年装机容量按同月份增长关系回推，图中以虚线区分估计结果与统计记录。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-2）计算，结果用于分析装机发展条件。</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（3-2）</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表3-3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3"/>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2021—2025年月末分布式光伏装机容量</w:t>
      </w:r>
    </w:p>
    <w:p>
      <w:pPr>
        <w:pStyle w:val="5"/>
        <w:keepNext/>
        <w:numPr>
          <w:numId w:val="0"/>
        </w:numPr>
        <w:spacing w:line="390" w:lineRule="exact" w:before="160" w:after="120"/>
        <w:ind w:firstLine="0"/>
      </w:pPr>
      <w:bookmarkStart w:id="104" w:name="年发电量估计方法"/>
      <w:r>
        <w:rPr>
          <w:rFonts w:ascii="Times New Roman" w:hAnsi="Times New Roman" w:eastAsia="方正仿宋_GBK"/>
          <w:b/>
          <w:sz w:val="26"/>
        </w:rPr>
        <w:t xml:space="preserve">3.3.2 年发电量估计方法</w:t>
      </w:r>
      <w:bookmarkEnd w:id="10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，使用本月末和前月末容量均值；1月前月取2024年12月。式（3-3）为本研究积分估计方法，典型出力系数来自原始光伏曲线。</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（3-3）</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5" w:name="用户最大负荷与分布式电源装机渗透率"/>
      <w:r>
        <w:rPr>
          <w:rFonts w:ascii="Times New Roman" w:hAnsi="Times New Roman" w:eastAsia="方正仿宋_GBK"/>
          <w:b/>
          <w:sz w:val="26"/>
        </w:rPr>
        <w:t xml:space="preserve">3.3.3 用户最大负荷与分布式电源装机渗透率</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分布式电源装机渗透率采用《配电网规划设计技术导则》的指标定义，作为描述源荷条件的研究参数[7]。</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（3-4）</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[7]。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6" w:name="用户电量与分布式电源电量渗透率"/>
      <w:r>
        <w:rPr>
          <w:rFonts w:ascii="Times New Roman" w:hAnsi="Times New Roman" w:eastAsia="方正仿宋_GBK"/>
          <w:b/>
          <w:sz w:val="26"/>
        </w:rPr>
        <w:t xml:space="preserve">3.3.4 用户电量与分布式电源电量渗透率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-5）估计。</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（3-5）</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286" w:name="h286"/>
      <w:bookmarkStart w:id="107" w:name="主变负载率与双向净负荷"/>
      <w:r>
        <w:rPr>
          <w:rFonts w:ascii="Times New Roman" w:hAnsi="Times New Roman" w:eastAsia="方正仿宋_GBK"/>
          <w:b/>
          <w:sz w:val="32"/>
        </w:rPr>
        <w:t xml:space="preserve">3.4 主变负载率与双向净负荷</w:t>
      </w:r>
      <w:bookmarkEnd w:id="107"/>
      <w:bookmarkEnd w:id="1286"/>
    </w:p>
    <w:p>
      <w:pPr>
        <w:pStyle w:val="5"/>
        <w:keepNext/>
        <w:numPr>
          <w:numId w:val="0"/>
        </w:numPr>
        <w:spacing w:line="390" w:lineRule="exact" w:before="160" w:after="120"/>
        <w:ind w:firstLine="0"/>
      </w:pPr>
      <w:bookmarkStart w:id="108" w:name="主变年最大负载率统计"/>
      <w:r>
        <w:rPr>
          <w:rFonts w:ascii="Times New Roman" w:hAnsi="Times New Roman" w:eastAsia="方正仿宋_GBK"/>
          <w:b/>
          <w:sz w:val="26"/>
        </w:rPr>
        <w:t xml:space="preserve">3.4.1 主变年最大负载率统计</w:t>
      </w:r>
      <w:bookmarkEnd w:id="108"/>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表3-4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09"/>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邳州和市区逐台主变最大负载率分布</w:t>
      </w:r>
    </w:p>
    <w:p>
      <w:pPr>
        <w:pStyle w:val="5"/>
        <w:keepNext/>
        <w:numPr>
          <w:numId w:val="0"/>
        </w:numPr>
        <w:spacing w:line="390" w:lineRule="exact" w:before="160" w:after="120"/>
        <w:ind w:firstLine="0"/>
      </w:pPr>
      <w:bookmarkStart w:id="110" w:name="最大正向反向净负荷"/>
      <w:r>
        <w:rPr>
          <w:rFonts w:ascii="Times New Roman" w:hAnsi="Times New Roman" w:eastAsia="方正仿宋_GBK"/>
          <w:b/>
          <w:sz w:val="26"/>
        </w:rPr>
        <w:t xml:space="preserve">3.4.2 最大正向、反向净负荷</w:t>
      </w:r>
      <w:bookmarkEnd w:id="110"/>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（3-6）</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表3-5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变电站</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110千伏八义集变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110千伏铁富变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110千伏庞庄变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14.08</w:t>
            </w:r>
          </w:p>
        </w:tc>
      </w:tr>
    </w:tbl>
    <w:p>
      <w:pPr>
        <w:pStyle w:val="2"/>
        <w:keepNext/>
        <w:spacing w:line="280" w:lineRule="exact" w:before="120" w:after="80"/>
        <w:ind w:firstLine="0"/>
        <w:jc w:val="center"/>
      </w:pPr>
      <w:r>
        <w:rPr>
          <w:rFonts w:ascii="Times New Roman" w:hAnsi="Times New Roman" w:eastAsia="宋体"/>
          <w:b w:val="0"/>
          <w:sz w:val="21"/>
        </w:rPr>
        <w:t xml:space="preserve">表3-6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108</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58</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99</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66</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113</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73</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125</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68</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115</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74</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123</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69</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116</w:t>
            </w:r>
          </w:p>
        </w:tc>
      </w:tr>
      <w:tr>
        <w:trPr>
          <w:cantSplit/>
        </w:trPr>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73</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122</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9636"/>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1"/>
                    <a:stretch>
                      <a:fillRect/>
                    </a:stretch>
                  </pic:blipFill>
                  <pic:spPr bwMode="auto">
                    <a:xfrm>
                      <a:off x="0" y="0"/>
                      <a:ext cx="5120640" cy="25196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两地区静态工况下的站级负载率</w:t>
      </w:r>
    </w:p>
    <w:p>
      <w:pPr>
        <w:pStyle w:val="5"/>
        <w:keepNext/>
        <w:numPr>
          <w:numId w:val="0"/>
        </w:numPr>
        <w:spacing w:line="390" w:lineRule="exact" w:before="160" w:after="120"/>
        <w:ind w:firstLine="0"/>
      </w:pPr>
      <w:bookmarkStart w:id="112" w:name="区域同步净负荷曲线"/>
      <w:r>
        <w:rPr>
          <w:rFonts w:ascii="Times New Roman" w:hAnsi="Times New Roman" w:eastAsia="方正仿宋_GBK"/>
          <w:b/>
          <w:sz w:val="26"/>
        </w:rPr>
        <w:t xml:space="preserve">3.4.3 区域同步净负荷曲线</w:t>
      </w:r>
      <w:bookmarkEnd w:id="112"/>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3"/>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4"/>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市区区域净负荷曲线及95%近峰时段</w:t>
      </w:r>
    </w:p>
    <w:p>
      <w:pPr>
        <w:pStyle w:val="5"/>
        <w:keepNext/>
        <w:numPr>
          <w:numId w:val="0"/>
        </w:numPr>
        <w:spacing w:line="390" w:lineRule="exact" w:before="160" w:after="120"/>
        <w:ind w:firstLine="0"/>
      </w:pPr>
      <w:bookmarkStart w:id="115" w:name="峰值持续时间"/>
      <w:r>
        <w:rPr>
          <w:rFonts w:ascii="Times New Roman" w:hAnsi="Times New Roman" w:eastAsia="方正仿宋_GBK"/>
          <w:b/>
          <w:sz w:val="26"/>
        </w:rPr>
        <w:t xml:space="preserve">3.4.4 95%峰值持续时间</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（3-7）</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表3-7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5"/>
        <w:keepNext/>
        <w:numPr>
          <w:numId w:val="0"/>
        </w:numPr>
        <w:spacing w:line="390" w:lineRule="exact" w:before="160" w:after="120"/>
        <w:ind w:firstLine="0"/>
      </w:pPr>
      <w:bookmarkStart w:id="116" w:name="峰段与储能容量的联系"/>
      <w:r>
        <w:rPr>
          <w:rFonts w:ascii="Times New Roman" w:hAnsi="Times New Roman" w:eastAsia="方正仿宋_GBK"/>
          <w:b/>
          <w:sz w:val="26"/>
        </w:rPr>
        <w:t xml:space="preserve">3.4.5 峰段与储能容量的联系</w:t>
      </w:r>
      <w:bookmarkEnd w:id="116"/>
    </w:p>
    <w:p>
      <w:pPr>
        <w:pStyle w:val="FirstParagraph"/>
        <w:widowControl/>
        <w:spacing w:line="348" w:lineRule="exact" w:before="0" w:after="0"/>
        <w:ind w:firstLine="480"/>
        <w:jc w:val="both"/>
      </w:pPr>
      <w:r>
        <w:rPr>
          <w:rFonts w:ascii="Times New Roman" w:hAnsi="Times New Roman" w:eastAsia="方正仿宋_GBK"/>
          <w:b w:val="0"/>
          <w:sz w:val="24"/>
        </w:rPr>
        <w:t xml:space="preserve">峰值幅度和持续时间共同决定静态支撑需求。储能额定功率限制瞬时支撑幅度，可用能量限制连续支撑时长。模型使用铭牌功率与峰段可持续能量的较小值确定充放电功率。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h。当前研究采用可用电量系数0.76作静态折算，未开展逐时荷电状态仿真[28][10]。</w:t>
      </w:r>
    </w:p>
    <w:p>
      <w:pPr>
        <w:pStyle w:val="4"/>
        <w:keepNext/>
        <w:numPr>
          <w:numId w:val="0"/>
        </w:numPr>
        <w:spacing w:line="480" w:lineRule="exact" w:before="160" w:after="120"/>
        <w:ind w:firstLine="0"/>
      </w:pPr>
      <w:bookmarkStart w:id="1314" w:name="h314"/>
      <w:bookmarkStart w:id="117" w:name="核心参数依据与相关性分析"/>
      <w:r>
        <w:rPr>
          <w:rFonts w:ascii="Times New Roman" w:hAnsi="Times New Roman" w:eastAsia="方正仿宋_GBK"/>
          <w:b/>
          <w:sz w:val="32"/>
        </w:rPr>
        <w:t xml:space="preserve">3.5 核心参数依据与相关性分析</w:t>
      </w:r>
      <w:bookmarkEnd w:id="117"/>
      <w:bookmarkEnd w:id="1314"/>
    </w:p>
    <w:p>
      <w:pPr>
        <w:pStyle w:val="5"/>
        <w:keepNext/>
        <w:numPr>
          <w:numId w:val="0"/>
        </w:numPr>
        <w:spacing w:line="390" w:lineRule="exact" w:before="160" w:after="120"/>
        <w:ind w:firstLine="0"/>
      </w:pPr>
      <w:bookmarkStart w:id="118" w:name="六项参数的选取依据"/>
      <w:r>
        <w:rPr>
          <w:rFonts w:ascii="Times New Roman" w:hAnsi="Times New Roman" w:eastAsia="方正仿宋_GBK"/>
          <w:b/>
          <w:sz w:val="26"/>
        </w:rPr>
        <w:t xml:space="preserve">3.5.1 六项参数的选取依据</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资料第6.2.2条将负荷增长、负荷分散系数和负荷转移能力列为容载比的影响因素，第7.4.2.2条要求结合新能源渗透水平校核反向容量，并开展增容与储能技术经济比选[7]。本研究据此选取源荷规模、网络支援和措施费用相关的六项参数。</w:t>
      </w:r>
    </w:p>
    <w:p>
      <w:pPr>
        <w:pStyle w:val="2"/>
        <w:keepNext/>
        <w:spacing w:line="280" w:lineRule="exact" w:before="120" w:after="80"/>
        <w:ind w:firstLine="0"/>
        <w:jc w:val="center"/>
      </w:pPr>
      <w:r>
        <w:rPr>
          <w:rFonts w:ascii="Times New Roman" w:hAnsi="Times New Roman" w:eastAsia="宋体"/>
          <w:b w:val="0"/>
          <w:sz w:val="21"/>
        </w:rPr>
        <w:t xml:space="preserve">表3-8 六项参数的定义、依据与规划作用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定义及单位</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依据与规划作用</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分布式电源装机渗透率</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分布式电源装机容量与用户最大负荷之比，无量纲</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修订资料第6.5.4条给出定义，第7.4.2.2条联系反向容量校核[7]；装机及负荷资料见第3.3节</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年最大净负荷平均增长率</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同范围起止年度网供最大负荷的复合年平均增长率，%/年</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修订资料第6.2.2.1条按该指标划分负荷发展阶段[7]；由同范围起止年度网供最大负荷计算</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电缆长度占比</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电缆长度占电缆与架空线路总长度的比例，%</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 kV线路形式影响工程费用[12]；邳州线路长度统计约11%，市区补充资料约80%，按第4.3节折算新增联络费用</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初始转供率</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基期可转负荷与基期网供最大负荷之比，%</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修订资料第6.2.2.1条及馈线联络研究说明转供能力与容量储备的关系[7][8]；用于设定基期网络能力</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储能支撑持续时间</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给定功率缺口需连续支撑的时间，h</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储能定容同时考虑功率、能量及持续过程[10][28]；结合第3.4节峰段设置2、4、6 h</w:t>
            </w:r>
          </w:p>
        </w:tc>
      </w:tr>
      <w:tr>
        <w:trPr>
          <w:cantSplit/>
        </w:trPr>
        <w:tc>
          <w:tcPr>
            <w:tcW w:type="dxa" w:w="1793"/>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负荷分散系数</w:t>
            </w:r>
          </w:p>
        </w:tc>
        <w:tc>
          <w:tcPr>
            <w:tcW w:type="dxa" w:w="325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各站正向峰值之和与区域同时正向峰值之比，无量纲</w:t>
            </w:r>
          </w:p>
        </w:tc>
        <w:tc>
          <w:tcPr>
            <w:tcW w:type="dxa" w:w="325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修订资料第6.2.2条列为容量储备影响因素[7]；各站及区域峰值取同一补齐全年序列</w:t>
            </w:r>
          </w:p>
        </w:tc>
      </w:tr>
    </w:tbl>
    <w:p>
      <w:pPr>
        <w:pStyle w:val="2"/>
        <w:widowControl/>
        <w:spacing w:line="348" w:lineRule="atLeast" w:before="0" w:after="0"/>
        <w:ind w:firstLine="480"/>
        <w:jc w:val="both"/>
      </w:pPr>
      <w:r>
        <w:rPr>
          <w:rFonts w:ascii="Times New Roman" w:hAnsi="Times New Roman" w:eastAsia="方正仿宋_GBK"/>
          <w:b w:val="0"/>
          <w:sz w:val="24"/>
        </w:rPr>
        <w:t xml:space="preserve">各项计算分别采用</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w:t>
      </w: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为基期及第</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年的年网供最大负荷，</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为基期可转负荷，单位均为MW；</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为分布式电源装机容量，单位MW；</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分别为电缆、架空线路长度，单位km。储能支撑持续时间为本研究的规划参数，按第4.4节功率与可用电量关系参与设备比选。</w:t>
      </w:r>
    </w:p>
    <w:p>
      <w:pPr>
        <w:pStyle w:val="2"/>
        <w:keepNext/>
        <w:spacing w:line="280" w:lineRule="exact" w:before="120" w:after="80"/>
        <w:ind w:firstLine="0"/>
        <w:jc w:val="center"/>
      </w:pPr>
      <w:r>
        <w:rPr>
          <w:rFonts w:ascii="Times New Roman" w:hAnsi="Times New Roman" w:eastAsia="宋体"/>
          <w:b w:val="0"/>
          <w:sz w:val="21"/>
        </w:rPr>
        <w:t xml:space="preserve">表3-9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分布式电源装机渗透率估计值</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分布式电源电量渗透率估计值</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主变年最大负载率中位数</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电量性质</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1.63</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2.24</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典型场景及样本外推</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典型场景及样本外推</w:t>
            </w:r>
          </w:p>
        </w:tc>
      </w:tr>
    </w:tbl>
    <w:p>
      <w:pPr>
        <w:pStyle w:val="2"/>
        <w:keepNext/>
        <w:spacing w:line="280" w:lineRule="exact" w:before="120" w:after="80"/>
        <w:ind w:firstLine="0"/>
        <w:jc w:val="center"/>
      </w:pPr>
      <w:r>
        <w:rPr>
          <w:rFonts w:ascii="Times New Roman" w:hAnsi="Times New Roman" w:eastAsia="宋体"/>
          <w:b w:val="0"/>
          <w:sz w:val="21"/>
        </w:rPr>
        <w:t xml:space="preserve">表3-10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w:t>
      </w:r>
    </w:p>
    <w:p>
      <w:pPr>
        <w:pStyle w:val="2"/>
        <w:widowControl/>
        <w:spacing w:line="348" w:lineRule="exact" w:before="0" w:after="0"/>
        <w:ind w:firstLine="480"/>
        <w:jc w:val="both"/>
      </w:pPr>
      <w:r>
        <w:rPr>
          <w:rFonts w:ascii="Times New Roman" w:hAnsi="Times New Roman" w:eastAsia="方正仿宋_GBK"/>
          <w:b w:val="0"/>
          <w:sz w:val="24"/>
        </w:rPr>
        <w:t xml:space="preserve">参数的工程作用需结合容载比的构成理解。装机渗透率和平均增长率改变源荷条件，影响正向供电与反向输送所需容量；初始转供率和负荷分散系数改变站间容量能否共同利用及局部高峰任务；电缆长度占比与储能支撑持续时间则分别通过联络造价、储能有效支撑能力影响措施比选。同一参数可以先引起联络或储能调整，再在设备切换节点引起主变容量变化，因此后续同时观察容载比和设备响应。</w:t>
      </w:r>
    </w:p>
    <w:p>
      <w:pPr>
        <w:pStyle w:val="5"/>
        <w:keepNext/>
        <w:numPr>
          <w:numId w:val="0"/>
        </w:numPr>
        <w:spacing w:line="390" w:lineRule="exact" w:before="160" w:after="120"/>
        <w:ind w:firstLine="0"/>
      </w:pPr>
      <w:bookmarkStart w:id="119" w:name="参数采样及相关分析方法"/>
      <w:r>
        <w:rPr>
          <w:rFonts w:ascii="Times New Roman" w:hAnsi="Times New Roman" w:eastAsia="方正仿宋_GBK"/>
          <w:b/>
          <w:sz w:val="26"/>
        </w:rPr>
        <w:t xml:space="preserve">3.5.2 参数采样及相关分析方法</w:t>
      </w:r>
      <w:bookmarkEnd w:id="119"/>
    </w:p>
    <w:p>
      <w:pPr>
        <w:pStyle w:val="FirstParagraph"/>
        <w:keepNext/>
        <w:spacing w:line="280" w:lineRule="exact" w:before="120" w:after="80"/>
        <w:ind w:firstLine="0"/>
        <w:jc w:val="center"/>
      </w:pPr>
      <w:r>
        <w:rPr>
          <w:rFonts w:ascii="Times New Roman" w:hAnsi="Times New Roman" w:eastAsia="宋体"/>
          <w:b w:val="0"/>
          <w:sz w:val="21"/>
        </w:rPr>
        <w:t xml:space="preserve">表3-11 六项参数采样节点与矩阵分类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采样节点</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矩阵分类</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分布式电源装机渗透率</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0～3.00，步长0.25</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≤1；(1,2]；&gt;2</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年最大净负荷平均增长率</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0、2%、3%、4%、5.5%、7%、8%、10%</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≤2%；(2%,4%]；(4%,7%]；&gt;7%</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电缆长度占比</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10%、30%、50%、80%、90%</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≤10%；(10%,30%]；&gt;30%</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初始转供率</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10%～90%，步长10%</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≤30%；(30%,50%]；(50%,70%]；&gt;70%</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储能支撑持续时间</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2、4、6 h</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 h；4 h；6 h</w:t>
            </w:r>
          </w:p>
        </w:tc>
      </w:tr>
      <w:tr>
        <w:trPr>
          <w:cantSplit/>
        </w:trPr>
        <w:tc>
          <w:tcPr>
            <w:tcW w:type="dxa" w:w="1793"/>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负荷分散系数</w:t>
            </w:r>
          </w:p>
        </w:tc>
        <w:tc>
          <w:tcPr>
            <w:tcW w:type="dxa" w:w="325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1.00、1.10、1.15</w:t>
            </w:r>
          </w:p>
        </w:tc>
        <w:tc>
          <w:tcPr>
            <w:tcW w:type="dxa" w:w="325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注：7%增长分界附近另有7.1%、7.5%的54个补充组合。</w:t>
      </w:r>
    </w:p>
    <w:p>
      <w:pPr>
        <w:pStyle w:val="2"/>
        <w:widowControl/>
        <w:spacing w:line="348" w:lineRule="exact" w:before="0" w:after="0"/>
        <w:ind w:firstLine="480"/>
        <w:jc w:val="both"/>
      </w:pPr>
      <w:r>
        <w:rPr>
          <w:rFonts w:ascii="Times New Roman" w:hAnsi="Times New Roman" w:eastAsia="方正仿宋_GBK"/>
          <w:b w:val="0"/>
          <w:sz w:val="24"/>
        </w:rPr>
        <w:t xml:space="preserve">增长率采用2%、4%、7%的分界[7]。装机渗透率、电缆长度占比和初始转供率按表列区间组织，首尾档开口；储能支撑持续时间和负荷分散系数按三个定值分别比较。电缆与转供参数结合一般城镇、邳州及市区网络背景取值，并补充低电缆占比下的高转供组合。六项参数共设置34686个组合，相关分析与第五章矩阵共用其中32112个有效节点。</w:t>
      </w:r>
    </w:p>
    <w:p>
      <w:pPr>
        <w:pStyle w:val="2"/>
        <w:widowControl/>
        <w:spacing w:line="348" w:lineRule="exact" w:before="0" w:after="0"/>
        <w:ind w:firstLine="480"/>
        <w:jc w:val="both"/>
      </w:pPr>
      <w:r>
        <w:rPr>
          <w:rFonts w:ascii="Times New Roman" w:hAnsi="Times New Roman" w:eastAsia="方正仿宋_GBK"/>
          <w:b w:val="0"/>
          <w:sz w:val="24"/>
        </w:rPr>
        <w:t xml:space="preserve">参数与容载比采用固定其余五项后的组内相关：同组参数值和容载比分别减去组均值，再将各组节点汇总计算Pearson系数，每组至少包含两个有效节点，节点等权，保留零响应组。参数间关联采用有效节点的六项输入相关矩阵。Pearson描述线性关联，实际年度数据另以Spearman检验排序关系[87][88]。</w:t>
      </w:r>
    </w:p>
    <w:p>
      <w:pPr>
        <w:pStyle w:val="5"/>
        <w:keepNext/>
        <w:numPr>
          <w:numId w:val="0"/>
        </w:numPr>
        <w:spacing w:line="390" w:lineRule="exact" w:before="160" w:after="120"/>
        <w:ind w:firstLine="0"/>
      </w:pPr>
      <w:bookmarkStart w:id="120" w:name="六项参数与容载比的关联"/>
      <w:r>
        <w:rPr>
          <w:rFonts w:ascii="Times New Roman" w:hAnsi="Times New Roman" w:eastAsia="方正仿宋_GBK"/>
          <w:b/>
          <w:sz w:val="26"/>
        </w:rPr>
        <w:t xml:space="preserve">3.5.3 六项参数与容载比的关联</w:t>
      </w:r>
      <w:bookmarkEnd w:id="120"/>
    </w:p>
    <w:p>
      <w:pPr>
        <w:pStyle w:val="FirstParagraph"/>
        <w:keepNext/>
        <w:spacing w:line="280" w:lineRule="exact" w:before="120" w:after="80"/>
        <w:ind w:firstLine="0"/>
        <w:jc w:val="center"/>
      </w:pPr>
      <w:r>
        <w:rPr>
          <w:rFonts w:ascii="Times New Roman" w:hAnsi="Times New Roman" w:eastAsia="宋体"/>
          <w:b w:val="0"/>
          <w:sz w:val="21"/>
        </w:rPr>
        <w:t xml:space="preserve">表3-12 六项参数与容载比的组内相关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2484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32112</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0.88</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4329</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32112</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7584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32112</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4680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32058</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-0.74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10704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32112</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37%</w:t>
            </w:r>
          </w:p>
        </w:tc>
      </w:tr>
    </w:tbl>
    <w:p>
      <w:pPr>
        <w:pStyle w:val="2"/>
        <w:widowControl/>
        <w:spacing w:line="348" w:lineRule="exact" w:before="0" w:after="0"/>
        <w:ind w:firstLine="480"/>
        <w:jc w:val="both"/>
      </w:pPr>
      <w:r>
        <w:rPr>
          <w:rFonts w:ascii="Times New Roman" w:hAnsi="Times New Roman" w:eastAsia="方正仿宋_GBK"/>
          <w:b w:val="0"/>
          <w:sz w:val="24"/>
        </w:rPr>
        <w:t xml:space="preserve">装机渗透率与容载比的组内相关系数为0.88，装机增长提高日间反向输送需求，全部受控组均出现主变容量响应。年最大净负荷平均增长率和初始转供率的相关系数分别为－0.80、－0.74：前者同时改变目标年容量需求与容载比分母，后者通过站间支援减少部分本地容量或新增联络需求。</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储能支撑持续时间和负荷分散系数的相关系数分别为0.45、0.27、0.52。电缆占比提高使新增联络费用增加，部分组合转向主变建设；支撑时间延长使相同储能能量对应的有效功率降低；负荷分散系数提高增加局部峰值承载任务。三项参数分别在25%、12%、37%的受控组中触发主变容量变化，说明其作用集中于特定设备替代节点。</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正相关与反向工况的容量需求一致。日间光伏出力增长后，净负荷可能由受入转为反送，主变容量与储能吸收能力共同决定可承载规模。对同一组背景参数，较低装机节点仍可能由晚间正向需求决定配置，进入反向约束起作用的区段后才增加设备。0.88的组内系数概括了这些分段响应，具体切换节点由第五章的设备结果解释。</w:t>
      </w:r>
    </w:p>
    <w:p>
      <w:pPr>
        <w:pStyle w:val="2"/>
        <w:widowControl/>
        <w:spacing w:line="348" w:lineRule="exact" w:before="0" w:after="0"/>
        <w:ind w:firstLine="480"/>
        <w:jc w:val="both"/>
      </w:pPr>
      <w:r>
        <w:rPr>
          <w:rFonts w:ascii="Times New Roman" w:hAnsi="Times New Roman" w:eastAsia="方正仿宋_GBK"/>
          <w:b w:val="0"/>
          <w:sz w:val="24"/>
        </w:rPr>
        <w:t xml:space="preserve">平均增长率的负相关包含容载比分母变化的作用。在初始容量一定、已建主变继续在役时，负荷增加会先消耗已有储备；达到局部供电约束后再购入整台主变，容量随设备规格跳变。因此，较低容载比可以同时对应较高负荷、更多联络及更高费用。初始转供率提高则增加既有网络可调用的支援能力，在邻站具有余量时减少新增工程；当剩余缺口由其他站点或设备规格决定时，继续提高该参数主要体现为联络投资变化。</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支撑持续时间均通过经济比选影响容量，工程作用具有条件性。既有网络已满足转供任务、未选择新增联络的组合，对电缆造价变化可以保持相同配置；由主变及网络承担全部支撑的组合，也可以对储能持续时间保持相同配置。这与总体相关系数为正相容。负荷分散系数反映局部峰值相对区域同时峰值的分散程度，其增大可能先增加邻站支援或储能，再触发主变增容。容量响应组占比用于说明这种设备切换的覆盖范围，完整设备组合见第五章。</w:t>
      </w:r>
    </w:p>
    <w:p>
      <w:pPr>
        <w:pStyle w:val="5"/>
        <w:keepNext/>
        <w:numPr>
          <w:numId w:val="0"/>
        </w:numPr>
        <w:spacing w:line="390" w:lineRule="exact" w:before="160" w:after="120"/>
        <w:ind w:firstLine="0"/>
      </w:pPr>
      <w:bookmarkStart w:id="121" w:name="参数之间的关联"/>
      <w:r>
        <w:rPr>
          <w:rFonts w:ascii="Times New Roman" w:hAnsi="Times New Roman" w:eastAsia="方正仿宋_GBK"/>
          <w:b/>
          <w:sz w:val="26"/>
        </w:rPr>
        <w:t xml:space="preserve">3.5.4 参数之间的关联</w:t>
      </w:r>
      <w:bookmarkEnd w:id="121"/>
    </w:p>
    <w:p>
      <w:pPr>
        <w:pStyle w:val="FirstParagraph"/>
        <w:keepNext/>
        <w:spacing w:line="280" w:lineRule="exact" w:before="120" w:after="80"/>
        <w:ind w:firstLine="0"/>
        <w:jc w:val="center"/>
      </w:pPr>
      <w:r>
        <w:rPr>
          <w:rFonts w:ascii="Times New Roman" w:hAnsi="Times New Roman" w:eastAsia="宋体"/>
          <w:b w:val="0"/>
          <w:sz w:val="21"/>
        </w:rPr>
        <w:t xml:space="preserve">表3-13 六项输入参数的Pearson相关矩阵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ηC</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ḡ</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α</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r₀</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H</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KD</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装机渗透率</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平均增长率</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-0.03</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电缆长度占比</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0.28</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初始转供率</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0.28</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0.06</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支撑持续时间</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负荷分散系数</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-0.03</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0.06</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表中符号依次对应装机渗透率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、平均增长率</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、电缆长度占比</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、初始转供率</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、储能支撑持续时间</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及负荷分散系数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oMath>
      <w:r>
        <w:rPr>
          <w:rFonts w:ascii="Times New Roman" w:hAnsi="Times New Roman" w:eastAsia="方正仿宋_GBK"/>
          <w:b w:val="0"/>
          <w:sz w:val="24"/>
        </w:rPr>
        <w:t xml:space="preserve">。</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的Pearson系数为0.28，Spearman系数为0.24。两项参数具有共同的地区建设背景，但分别通过线路造价和既有网络支援作用于设备配置。其余输入配对的Pearson绝对值均不超过0.15，样本库中的线性关联较弱。这些系数描述本次联合情景及可行性筛选后的输入关联；实际地区中的关系结合地区记录判断。六项参数在本版均列入推广矩阵。</w:t>
      </w:r>
    </w:p>
    <w:p>
      <w:pPr>
        <w:pStyle w:val="2"/>
        <w:widowControl/>
        <w:spacing w:line="348" w:lineRule="exact" w:before="0" w:after="0"/>
        <w:ind w:firstLine="480"/>
        <w:jc w:val="both"/>
      </w:pPr>
      <w:r>
        <w:rPr>
          <w:rFonts w:ascii="Times New Roman" w:hAnsi="Times New Roman" w:eastAsia="方正仿宋_GBK"/>
          <w:b w:val="0"/>
          <w:sz w:val="24"/>
        </w:rPr>
        <w:t xml:space="preserve">输入参数间的关系还需区分共同建设背景与具体作用机制。电缆长度占比较高的地区往往具有不同的线路建设形态和联络条件，本次情景按工程背景安排了相应联合取值；两个参数仍分别承担造价输入和既有能力输入的作用。其余配对线性关联较弱，说明本库保留了较多交叉变化组合。甲方后续选取查表参数时，可结合本表、组内响应及资料可获取程度判断，本版保留六项完整结果。</w:t>
      </w:r>
    </w:p>
    <w:p>
      <w:pPr>
        <w:pStyle w:val="5"/>
        <w:keepNext/>
        <w:numPr>
          <w:numId w:val="0"/>
        </w:numPr>
        <w:spacing w:line="390" w:lineRule="exact" w:before="160" w:after="120"/>
        <w:ind w:firstLine="0"/>
      </w:pPr>
      <w:bookmarkStart w:id="122" w:name="实际年度记录的对照分析"/>
      <w:r>
        <w:rPr>
          <w:rFonts w:ascii="Times New Roman" w:hAnsi="Times New Roman" w:eastAsia="方正仿宋_GBK"/>
          <w:b/>
          <w:sz w:val="26"/>
        </w:rPr>
        <w:t xml:space="preserve">3.5.5 实际年度记录的对照分析</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根据项目提供的2021—2025年110 kV公用主变容量及降压负荷统计，分别计算两地区年度指标的相关性。容量、年网供最大负荷和容载比各有5个年度样本；年最大净负荷平均增长率以2021年为共同基期，计算至2022—2025年各观测年度的复合平均值，各有4个样本。</w:t>
      </w:r>
    </w:p>
    <w:p>
      <w:pPr>
        <w:pStyle w:val="2"/>
        <w:keepNext/>
        <w:spacing w:line="280" w:lineRule="exact" w:before="120" w:after="80"/>
        <w:ind w:firstLine="0"/>
        <w:jc w:val="center"/>
      </w:pPr>
      <w:r>
        <w:rPr>
          <w:rFonts w:ascii="Times New Roman" w:hAnsi="Times New Roman" w:eastAsia="宋体"/>
          <w:b w:val="0"/>
          <w:sz w:val="21"/>
        </w:rPr>
        <w:t xml:space="preserve">表3-14 邳州实际年度指标的Pearson相关矩阵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主变容量</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年网供最大负荷</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年最大净负荷平均增长率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主变容量</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0.49</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-0.87</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-0.22</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年网供最大负荷</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0.49</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-0.96</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-0.87</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-0.54</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容载比</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-0.96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-0.54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表3-15 市区实际年度指标的Pearson相关矩阵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主变容量</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年网供最大负荷</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年最大净负荷平均增长率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主变容量</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0.56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0.49</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0.88</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年网供最大负荷</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0.56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0.94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0.09</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0.49</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0.94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容载比</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表3-16 两地区实际指标与容载比的相关性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样本数</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Spearman</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主变容量</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-0.22</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年网供最大负荷</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-0.96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-0.54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主变容量</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0.88</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年网供最大负荷</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0.09</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-0.30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-0.29</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-0.40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年网供最大负荷与容载比的Pearson系数为－0.96，样本期负荷增长快于容量增长，容载比总体下降。市区容量与容载比的系数为0.88，对应容量持续增加、负荷年际波动的特征。年度关联需结合容载比的容量与负荷计算关系解释，六项规划参数的受控响应见第3.5.3节。</w:t>
      </w:r>
    </w:p>
    <w:p>
      <w:pPr>
        <w:pStyle w:val="2"/>
        <w:widowControl/>
        <w:spacing w:line="348" w:lineRule="exact" w:before="0" w:after="0"/>
        <w:ind w:firstLine="480"/>
        <w:jc w:val="both"/>
      </w:pPr>
      <w:r>
        <w:rPr>
          <w:rFonts w:ascii="Times New Roman" w:hAnsi="Times New Roman" w:eastAsia="方正仿宋_GBK"/>
          <w:b w:val="0"/>
          <w:sz w:val="24"/>
        </w:rPr>
        <w:t xml:space="preserve">两地区实际年度记录说明了宏观指标与设备、负荷变化之间的联系，也为参数设置提供了地区背景。实际记录中的容量由历年投运形成，仿真容量则由给定候选和费用目标确定，二者分别对应运行统计与方案比选。电缆长度占比、转供率和支撑持续时间目前主要依据工程补充资料及曲线特征确定，年度相关表保留已有连续记录的指标，有效样本数随指标列明。</w:t>
      </w:r>
    </w:p>
    <w:p>
      <w:pPr>
        <w:pStyle w:val="4"/>
        <w:keepNext/>
        <w:numPr>
          <w:numId w:val="0"/>
        </w:numPr>
        <w:spacing w:line="480" w:lineRule="exact" w:before="160" w:after="120"/>
        <w:ind w:firstLine="0"/>
      </w:pPr>
      <w:bookmarkStart w:id="1347" w:name="h347"/>
      <w:bookmarkStart w:id="123" w:name="kv负荷转接资料与仿真条件"/>
      <w:r>
        <w:rPr>
          <w:rFonts w:ascii="Times New Roman" w:hAnsi="Times New Roman" w:eastAsia="方正仿宋_GBK"/>
          <w:b/>
          <w:sz w:val="32"/>
        </w:rPr>
        <w:t xml:space="preserve">3.6 10 kV负荷转接资料与仿真条件</w:t>
      </w:r>
      <w:bookmarkEnd w:id="123"/>
      <w:bookmarkEnd w:id="1347"/>
    </w:p>
    <w:p>
      <w:pPr>
        <w:pStyle w:val="5"/>
        <w:keepNext/>
        <w:numPr>
          <w:numId w:val="0"/>
        </w:numPr>
        <w:spacing w:line="390" w:lineRule="exact" w:before="160" w:after="120"/>
        <w:ind w:firstLine="0"/>
      </w:pPr>
      <w:bookmarkStart w:id="124" w:name="地区转供统计与计算方法"/>
      <w:r>
        <w:rPr>
          <w:rFonts w:ascii="Times New Roman" w:hAnsi="Times New Roman" w:eastAsia="方正仿宋_GBK"/>
          <w:b/>
          <w:sz w:val="26"/>
        </w:rPr>
        <w:t xml:space="preserve">3.6.1 地区转供统计与计算方法</w:t>
      </w:r>
      <w:bookmarkEnd w:id="124"/>
    </w:p>
    <w:p>
      <w:pPr>
        <w:pStyle w:val="FirstParagraph"/>
        <w:widowControl/>
        <w:spacing w:line="348" w:lineRule="exact" w:before="0" w:after="0"/>
        <w:ind w:firstLine="480"/>
        <w:jc w:val="both"/>
      </w:pPr>
      <w:r>
        <w:rPr>
          <w:rFonts w:ascii="Times New Roman" w:hAnsi="Times New Roman" w:eastAsia="方正仿宋_GBK"/>
          <w:b w:val="0"/>
          <w:sz w:val="24"/>
        </w:rPr>
        <w:t xml:space="preserve">项目补充的《徐州地区变电站全停全转情况分析汇总20250705》逐站列出站外最大可供负荷和损失负荷。地区负荷加权转供率按站外最大可供负荷合计与两项负荷合计之比计算。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（3-8）</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25" w:name="逐站能力及网络约束"/>
      <w:r>
        <w:rPr>
          <w:rFonts w:ascii="Times New Roman" w:hAnsi="Times New Roman" w:eastAsia="方正仿宋_GBK"/>
          <w:b/>
          <w:sz w:val="26"/>
        </w:rPr>
        <w:t xml:space="preserve">3.6.2 逐站能力及网络约束</w:t>
      </w:r>
      <w:bookmarkEnd w:id="12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地区案例将原表与110 kV站点逐一匹配，市区26座实体站、邳州20座站采用对应记录。每站既有转供功率之和受原表站外最大可供负荷与既有网络标定预算两者较小值限制；市区3座模拟站按其既定设备参与地区计算，既有转供能力取零。</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既有通道与新增候选分别记录馈线端点和有效容量，正常运行允许调整供区，主变故障后重新分配转供。各通道共同校核源端可切负荷、共享馈线余量和接收站容量；新增联络单项有效能力为7.49 MW，工程费用按地区电缆长度占比计算。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26" w:name="电源归属及反向功率"/>
      <w:r>
        <w:rPr>
          <w:rFonts w:ascii="Times New Roman" w:hAnsi="Times New Roman" w:eastAsia="方正仿宋_GBK"/>
          <w:b/>
          <w:sz w:val="26"/>
        </w:rPr>
        <w:t xml:space="preserve">3.6.3 电源归属及反向功率</w:t>
      </w:r>
      <w:bookmarkEnd w:id="126"/>
    </w:p>
    <w:p>
      <w:pPr>
        <w:pStyle w:val="FirstParagraph"/>
        <w:widowControl/>
        <w:spacing w:line="348" w:lineRule="exact" w:before="0" w:after="0"/>
        <w:ind w:firstLine="480"/>
        <w:jc w:val="both"/>
      </w:pPr>
      <w:r>
        <w:rPr>
          <w:rFonts w:ascii="Times New Roman" w:hAnsi="Times New Roman" w:eastAsia="方正仿宋_GBK"/>
          <w:b w:val="0"/>
          <w:sz w:val="24"/>
        </w:rPr>
        <w:t xml:space="preserve">正常转供改变用电负荷分配，电源仍保留原站归属。每个静态工况分别计算转出和转入功率，转出功率以本站原始可转负荷为上限。转供后净负荷同时校核正向供电和反向容量，区域内部转入、转出合计相等。</w:t>
      </w:r>
    </w:p>
    <w:p>
      <w:pPr>
        <w:pStyle w:val="4"/>
        <w:keepNext/>
        <w:numPr>
          <w:numId w:val="0"/>
        </w:numPr>
        <w:spacing w:line="480" w:lineRule="exact" w:before="160" w:after="120"/>
        <w:ind w:firstLine="0"/>
      </w:pPr>
      <w:bookmarkStart w:id="1357" w:name="h357"/>
      <w:bookmarkStart w:id="127" w:name="站级负载率与配置需求"/>
      <w:r>
        <w:rPr>
          <w:rFonts w:ascii="Times New Roman" w:hAnsi="Times New Roman" w:eastAsia="方正仿宋_GBK"/>
          <w:b/>
          <w:sz w:val="32"/>
        </w:rPr>
        <w:t xml:space="preserve">3.7 站级负载率与配置需求</w:t>
      </w:r>
      <w:bookmarkEnd w:id="127"/>
      <w:bookmarkEnd w:id="1357"/>
    </w:p>
    <w:p>
      <w:pPr>
        <w:pStyle w:val="5"/>
        <w:keepNext/>
        <w:numPr>
          <w:numId w:val="0"/>
        </w:numPr>
        <w:spacing w:line="390" w:lineRule="exact" w:before="160" w:after="120"/>
        <w:ind w:firstLine="0"/>
      </w:pPr>
      <w:bookmarkStart w:id="128" w:name="邳州站级相对负载"/>
      <w:r>
        <w:rPr>
          <w:rFonts w:ascii="Times New Roman" w:hAnsi="Times New Roman" w:eastAsia="方正仿宋_GBK"/>
          <w:b/>
          <w:sz w:val="26"/>
        </w:rPr>
        <w:t xml:space="preserve">3.7.1 邳州站级相对负载</w:t>
      </w:r>
      <w:bookmarkEnd w:id="128"/>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1185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29"/>
                    <a:stretch>
                      <a:fillRect/>
                    </a:stretch>
                  </pic:blipFill>
                  <pic:spPr bwMode="auto">
                    <a:xfrm>
                      <a:off x="0" y="0"/>
                      <a:ext cx="5120640" cy="331185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邳州站级负载率</w:t>
      </w:r>
    </w:p>
    <w:p>
      <w:pPr>
        <w:pStyle w:val="5"/>
        <w:keepNext/>
        <w:numPr>
          <w:numId w:val="0"/>
        </w:numPr>
        <w:spacing w:line="390" w:lineRule="exact" w:before="160" w:after="120"/>
        <w:ind w:firstLine="0"/>
      </w:pPr>
      <w:bookmarkStart w:id="130" w:name="市区站级相对负载"/>
      <w:r>
        <w:rPr>
          <w:rFonts w:ascii="Times New Roman" w:hAnsi="Times New Roman" w:eastAsia="方正仿宋_GBK"/>
          <w:b/>
          <w:sz w:val="26"/>
        </w:rPr>
        <w:t xml:space="preserve">3.7.2 市区站级相对负载</w:t>
      </w:r>
      <w:bookmarkEnd w:id="130"/>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3950850"/>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1"/>
                    <a:stretch>
                      <a:fillRect/>
                    </a:stretch>
                  </pic:blipFill>
                  <pic:spPr bwMode="auto">
                    <a:xfrm>
                      <a:off x="0" y="0"/>
                      <a:ext cx="5120640" cy="39508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市区站级负载率</w:t>
      </w:r>
    </w:p>
    <w:p>
      <w:pPr>
        <w:pStyle w:val="2"/>
        <w:widowControl/>
        <w:spacing w:line="348" w:lineRule="exact" w:before="0" w:after="0"/>
        <w:ind w:firstLine="480"/>
        <w:jc w:val="both"/>
      </w:pPr>
      <w:r>
        <w:rPr>
          <w:rFonts w:ascii="Times New Roman" w:hAnsi="Times New Roman" w:eastAsia="方正仿宋_GBK"/>
          <w:b w:val="0"/>
          <w:sz w:val="24"/>
        </w:rPr>
        <w:t xml:space="preserve">市区站级图表按能够与设备资料对应的26座站列示。地区容量、负荷及费用按统一计算范围汇总，站级展示范围与地区汇总范围分别使用。</w:t>
      </w:r>
    </w:p>
    <w:p>
      <w:pPr>
        <w:pStyle w:val="5"/>
        <w:keepNext/>
        <w:numPr>
          <w:numId w:val="0"/>
        </w:numPr>
        <w:spacing w:line="390" w:lineRule="exact" w:before="160" w:after="120"/>
        <w:ind w:firstLine="0"/>
      </w:pPr>
      <w:bookmarkStart w:id="132" w:name="负载率与规划措施的联系"/>
      <w:r>
        <w:rPr>
          <w:rFonts w:ascii="Times New Roman" w:hAnsi="Times New Roman" w:eastAsia="方正仿宋_GBK"/>
          <w:b/>
          <w:sz w:val="26"/>
        </w:rPr>
        <w:t xml:space="preserve">3.7.3 负载率与规划措施的联系</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3" w:name="较高负载率站的方向与配置条件"/>
      <w:r>
        <w:rPr>
          <w:rFonts w:ascii="Times New Roman" w:hAnsi="Times New Roman" w:eastAsia="方正仿宋_GBK"/>
          <w:b/>
          <w:sz w:val="26"/>
        </w:rPr>
        <w:t xml:space="preserve">3.7.4 较高负载率站的方向与配置条件</w:t>
      </w:r>
      <w:bookmarkEnd w:id="133"/>
    </w:p>
    <w:p>
      <w:pPr>
        <w:pStyle w:val="FirstParagraph"/>
        <w:keepNext/>
        <w:spacing w:line="280" w:lineRule="exact" w:before="120" w:after="80"/>
        <w:ind w:firstLine="0"/>
        <w:jc w:val="center"/>
      </w:pPr>
      <w:r>
        <w:rPr>
          <w:rFonts w:ascii="Times New Roman" w:hAnsi="Times New Roman" w:eastAsia="宋体"/>
          <w:b w:val="0"/>
          <w:sz w:val="21"/>
        </w:rPr>
        <w:t xml:space="preserve">表3-17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71.50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125%</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121%</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111.50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98%</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51.50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93%</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71.50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122%</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86%</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84%</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花园变</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63.57</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84%</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34" w:name="站级功率的主导方向"/>
      <w:r>
        <w:rPr>
          <w:rFonts w:ascii="Times New Roman" w:hAnsi="Times New Roman" w:eastAsia="方正仿宋_GBK"/>
          <w:b/>
          <w:sz w:val="26"/>
        </w:rPr>
        <w:t xml:space="preserve">3.7.5 站级功率的主导方向</w:t>
      </w:r>
      <w:bookmarkEnd w:id="134"/>
    </w:p>
    <w:p>
      <w:pPr>
        <w:pStyle w:val="FirstParagraph"/>
        <w:keepNext/>
        <w:spacing w:line="280" w:lineRule="exact" w:before="120" w:after="80"/>
        <w:ind w:firstLine="0"/>
        <w:jc w:val="center"/>
      </w:pPr>
      <w:r>
        <w:rPr>
          <w:rFonts w:ascii="Times New Roman" w:hAnsi="Times New Roman" w:eastAsia="宋体"/>
          <w:b w:val="0"/>
          <w:sz w:val="21"/>
        </w:rPr>
        <w:t xml:space="preserve">表3-18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检查转出用电负荷后是否增加本站反送需求。建设方案以第五章逐工况网络校核为依据。</w:t>
      </w:r>
    </w:p>
    <w:p>
      <w:pPr>
        <w:pStyle w:val="4"/>
        <w:keepNext/>
        <w:numPr>
          <w:numId w:val="0"/>
        </w:numPr>
        <w:spacing w:line="480" w:lineRule="exact" w:before="160" w:after="120"/>
        <w:ind w:firstLine="0"/>
      </w:pPr>
      <w:bookmarkStart w:id="1374" w:name="h374"/>
      <w:bookmarkStart w:id="135" w:name="运行特征的综合分析"/>
      <w:r>
        <w:rPr>
          <w:rFonts w:ascii="Times New Roman" w:hAnsi="Times New Roman" w:eastAsia="方正仿宋_GBK"/>
          <w:b/>
          <w:sz w:val="32"/>
        </w:rPr>
        <w:t xml:space="preserve">3.8 运行特征的综合分析</w:t>
      </w:r>
      <w:bookmarkEnd w:id="135"/>
      <w:bookmarkEnd w:id="1374"/>
    </w:p>
    <w:p>
      <w:pPr>
        <w:pStyle w:val="5"/>
        <w:keepNext/>
        <w:numPr>
          <w:numId w:val="0"/>
        </w:numPr>
        <w:spacing w:line="390" w:lineRule="exact" w:before="160" w:after="120"/>
        <w:ind w:firstLine="0"/>
      </w:pPr>
      <w:bookmarkStart w:id="136" w:name="容量建设与负荷变化的不同作用"/>
      <w:r>
        <w:rPr>
          <w:rFonts w:ascii="Times New Roman" w:hAnsi="Times New Roman" w:eastAsia="方正仿宋_GBK"/>
          <w:b/>
          <w:sz w:val="26"/>
        </w:rPr>
        <w:t xml:space="preserve">3.8.1 容量建设与负荷变化的不同作用</w:t>
      </w:r>
      <w:bookmarkEnd w:id="136"/>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表3-19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新增用户逐步接入后，设备负载和年网供最大负荷上升，容载比相应降低。评价规划效果时，应同时观察容量、负荷和投运年份。第五章采用逐年方案，正是为了将这些变化落实到建设规模和投运时点。</w:t>
      </w:r>
    </w:p>
    <w:p>
      <w:pPr>
        <w:pStyle w:val="5"/>
        <w:keepNext/>
        <w:numPr>
          <w:numId w:val="0"/>
        </w:numPr>
        <w:spacing w:line="390" w:lineRule="exact" w:before="160" w:after="120"/>
        <w:ind w:firstLine="0"/>
      </w:pPr>
      <w:bookmarkStart w:id="137" w:name="光伏发电与用电高峰的季节关系"/>
      <w:r>
        <w:rPr>
          <w:rFonts w:ascii="Times New Roman" w:hAnsi="Times New Roman" w:eastAsia="方正仿宋_GBK"/>
          <w:b/>
          <w:sz w:val="26"/>
        </w:rPr>
        <w:t xml:space="preserve">3.8.2 光伏发电与用电高峰的季节关系</w:t>
      </w:r>
      <w:bookmarkEnd w:id="137"/>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光伏发电量与用户用电量共同决定分布式电源电量渗透率。邳州2025年月度估计中，5月分布式电源电量渗透率约60%，高于7月的38%；但7月光伏发电量约212845.47 MWh，高于5月的163851.67 MWh。其原因是7月用户用电量同步升高到562354.97 MWh，而5月为271920.09 MWh。</w:t>
      </w:r>
    </w:p>
    <w:p>
      <w:pPr>
        <w:pStyle w:val="2"/>
        <w:keepNext/>
        <w:spacing w:line="280" w:lineRule="exact" w:before="120" w:after="80"/>
        <w:ind w:firstLine="0"/>
        <w:jc w:val="center"/>
      </w:pPr>
      <w:r>
        <w:rPr>
          <w:rFonts w:ascii="Times New Roman" w:hAnsi="Times New Roman" w:eastAsia="宋体"/>
          <w:b w:val="0"/>
          <w:sz w:val="21"/>
        </w:rPr>
        <w:t xml:space="preserve">表3-20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38" w:name="区域容量储备与重载设备并存"/>
      <w:r>
        <w:rPr>
          <w:rFonts w:ascii="Times New Roman" w:hAnsi="Times New Roman" w:eastAsia="方正仿宋_GBK"/>
          <w:b/>
          <w:sz w:val="26"/>
        </w:rPr>
        <w:t xml:space="preserve">3.8.3 区域容量储备与重载设备并存</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也会改变停运后的剩余容量。两台等容量主变在N-1条件下只剩一半容量；增加一台主变后，即使正常运行负载率不高，N-1条件下的可用容量仍可能明显提高。因而，主变扩建的作用既包括增加总容量，也包括改变站内设备组合。第五章中弹性方案增加扩建项目、减少储能，需结合这一关系解释。</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用于联系各站峰值与区域同时峰值。系数大于1.00说明各站峰值不完全同时出现，区域峰值低于各站独立峰值之和；各站设备仍要承受本地高峰。本报告采用1.00、1.10、1.15三个负荷分散系数构造推广情景，并结合站级负荷分配讨论容量配置。</w:t>
      </w:r>
    </w:p>
    <w:p>
      <w:pPr>
        <w:pStyle w:val="5"/>
        <w:keepNext/>
        <w:numPr>
          <w:numId w:val="0"/>
        </w:numPr>
        <w:spacing w:line="390" w:lineRule="exact" w:before="160" w:after="120"/>
        <w:ind w:firstLine="0"/>
      </w:pPr>
      <w:bookmarkStart w:id="139" w:name="两地区的容量规划重点"/>
      <w:r>
        <w:rPr>
          <w:rFonts w:ascii="Times New Roman" w:hAnsi="Times New Roman" w:eastAsia="方正仿宋_GBK"/>
          <w:b/>
          <w:sz w:val="26"/>
        </w:rPr>
        <w:t xml:space="preserve">3.8.4 两地区的容量规划重点</w:t>
      </w:r>
      <w:bookmarkEnd w:id="139"/>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396" w:name="h396"/>
      <w:bookmarkStart w:id="140" w:name="第四章-基于实际工程的建设成本模型"/>
      <w:r>
        <w:rPr>
          <w:rFonts w:ascii="Times New Roman" w:hAnsi="Times New Roman" w:eastAsia="方正仿宋_GBK"/>
          <w:b/>
          <w:sz w:val="36"/>
        </w:rPr>
        <w:t xml:space="preserve">第四章 基于实际工程的建设成本模型</w:t>
      </w:r>
      <w:bookmarkEnd w:id="140"/>
      <w:bookmarkEnd w:id="1396"/>
    </w:p>
    <w:p>
      <w:pPr>
        <w:pStyle w:val="4"/>
        <w:keepNext/>
        <w:numPr>
          <w:numId w:val="0"/>
        </w:numPr>
        <w:spacing w:line="480" w:lineRule="exact" w:before="160" w:after="120"/>
        <w:ind w:firstLine="0"/>
      </w:pPr>
      <w:bookmarkStart w:id="1397" w:name="h397"/>
      <w:bookmarkStart w:id="141" w:name="成本模型的范围与建立原则"/>
      <w:r>
        <w:rPr>
          <w:rFonts w:ascii="Times New Roman" w:hAnsi="Times New Roman" w:eastAsia="方正仿宋_GBK"/>
          <w:b/>
          <w:sz w:val="32"/>
        </w:rPr>
        <w:t xml:space="preserve">4.1 成本模型的范围与建立原则</w:t>
      </w:r>
      <w:bookmarkEnd w:id="141"/>
      <w:bookmarkEnd w:id="1397"/>
    </w:p>
    <w:p>
      <w:pPr>
        <w:pStyle w:val="5"/>
        <w:keepNext/>
        <w:numPr>
          <w:numId w:val="0"/>
        </w:numPr>
        <w:spacing w:line="390" w:lineRule="exact" w:before="160" w:after="120"/>
        <w:ind w:firstLine="0"/>
      </w:pPr>
      <w:bookmarkStart w:id="142" w:name="建设改造措施与投资估算依据"/>
      <w:r>
        <w:rPr>
          <w:rFonts w:ascii="Times New Roman" w:hAnsi="Times New Roman" w:eastAsia="方正仿宋_GBK"/>
          <w:b/>
          <w:sz w:val="26"/>
        </w:rPr>
        <w:t xml:space="preserve">4.1.1 建设改造措施与投资估算依据</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[89][86]。</w:t>
      </w:r>
    </w:p>
    <w:p>
      <w:pPr>
        <w:pStyle w:val="5"/>
        <w:keepNext/>
        <w:numPr>
          <w:numId w:val="0"/>
        </w:numPr>
        <w:spacing w:line="390" w:lineRule="exact" w:before="160" w:after="120"/>
        <w:ind w:firstLine="0"/>
      </w:pPr>
      <w:bookmarkStart w:id="143" w:name="投资运维与更新"/>
      <w:r>
        <w:rPr>
          <w:rFonts w:ascii="Times New Roman" w:hAnsi="Times New Roman" w:eastAsia="方正仿宋_GBK"/>
          <w:b/>
          <w:sz w:val="26"/>
        </w:rPr>
        <w:t xml:space="preserve">4.1.2 投资、运维与更新</w:t>
      </w:r>
      <w:bookmarkEnd w:id="143"/>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截止于2041年。新增工程在投运年发生初始投资，次年起计固定运维；设备达到设定寿命且评价期尚需服务时，按同等实价更新。不同寿命的措施以同一现金流边界比较[10][11][12]。</w:t>
      </w:r>
    </w:p>
    <w:p>
      <w:pPr>
        <w:pStyle w:val="2"/>
        <w:widowControl/>
        <w:spacing w:line="348" w:lineRule="exact" w:before="0" w:after="0"/>
        <w:ind w:firstLine="480"/>
        <w:jc w:val="both"/>
      </w:pPr>
      <w:r>
        <w:rPr>
          <w:rFonts w:ascii="Times New Roman" w:hAnsi="Times New Roman" w:eastAsia="方正仿宋_GBK"/>
          <w:b w:val="0"/>
          <w:sz w:val="24"/>
        </w:rPr>
        <w:t xml:space="preserve">按项目经济评价边界，主变和线路寿命均取40年，储能取25年；变电和线路固定运维率显示约为初始投资的4%/年、2%/年，计算分别保留系数0.042、0.022。储能固定运维率取3%/年，折现率取6%。费用采用初始投资、年度运维和设备更新分项折现的方法[10,11,12]，各项取值作为两类方案的统一经济比较参数。评价截止年为2041年，两类方案采用相同参数。</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c>
          <w:tcPr>
            <w:tcW w:type="dxa" w:w="382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现值法；统一资金时间价值参数[10,11,12]</w:t>
            </w:r>
          </w:p>
        </w:tc>
      </w:tr>
      <w:tr>
        <w:trPr>
          <w:cantSplit/>
        </w:trPr>
        <w:tc>
          <w:tcPr>
            <w:tcW w:type="dxa" w:w="216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初始投资4%/年</w:t>
            </w:r>
          </w:p>
        </w:tc>
        <w:tc>
          <w:tcPr>
            <w:tcW w:type="dxa" w:w="382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按初始投资比例估算年度运维[11]</w:t>
            </w:r>
          </w:p>
        </w:tc>
      </w:tr>
      <w:tr>
        <w:trPr>
          <w:cantSplit/>
        </w:trPr>
        <w:tc>
          <w:tcPr>
            <w:tcW w:type="dxa" w:w="216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初始投资2%/年</w:t>
            </w:r>
          </w:p>
        </w:tc>
        <w:tc>
          <w:tcPr>
            <w:tcW w:type="dxa" w:w="382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按初始投资比例估算年度运维[12]</w:t>
            </w:r>
          </w:p>
        </w:tc>
      </w:tr>
      <w:tr>
        <w:trPr>
          <w:cantSplit/>
        </w:trPr>
        <w:tc>
          <w:tcPr>
            <w:tcW w:type="dxa" w:w="216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初始投资3%/年</w:t>
            </w:r>
          </w:p>
        </w:tc>
        <w:tc>
          <w:tcPr>
            <w:tcW w:type="dxa" w:w="3823"/>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44" w:name="增量比较的适用范围"/>
      <w:r>
        <w:rPr>
          <w:rFonts w:ascii="Times New Roman" w:hAnsi="Times New Roman" w:eastAsia="方正仿宋_GBK"/>
          <w:b/>
          <w:sz w:val="26"/>
        </w:rPr>
        <w:t xml:space="preserve">4.1.3 增量比较的适用范围</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409" w:name="h409"/>
      <w:bookmarkStart w:id="145" w:name="主变工程成本系数"/>
      <w:r>
        <w:rPr>
          <w:rFonts w:ascii="Times New Roman" w:hAnsi="Times New Roman" w:eastAsia="方正仿宋_GBK"/>
          <w:b/>
          <w:sz w:val="32"/>
        </w:rPr>
        <w:t xml:space="preserve">4.2 主变工程成本系数</w:t>
      </w:r>
      <w:bookmarkEnd w:id="145"/>
      <w:bookmarkEnd w:id="1409"/>
    </w:p>
    <w:p>
      <w:pPr>
        <w:pStyle w:val="5"/>
        <w:keepNext/>
        <w:numPr>
          <w:numId w:val="0"/>
        </w:numPr>
        <w:spacing w:line="390" w:lineRule="exact" w:before="160" w:after="120"/>
        <w:ind w:firstLine="0"/>
      </w:pPr>
      <w:bookmarkStart w:id="146" w:name="替换工程案例"/>
      <w:r>
        <w:rPr>
          <w:rFonts w:ascii="Times New Roman" w:hAnsi="Times New Roman" w:eastAsia="方正仿宋_GBK"/>
          <w:b/>
          <w:sz w:val="26"/>
        </w:rPr>
        <w:t xml:space="preserve">4.2.1 替换工程案例</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两个案例采购容量分别为50 MVA和100 MVA，容量净增分别为30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1335</w:t>
            </w:r>
          </w:p>
        </w:tc>
      </w:tr>
    </w:tbl>
    <w:p>
      <w:pPr>
        <w:pStyle w:val="5"/>
        <w:keepNext/>
        <w:numPr>
          <w:numId w:val="0"/>
        </w:numPr>
        <w:spacing w:line="390" w:lineRule="exact" w:before="160" w:after="120"/>
        <w:ind w:firstLine="0"/>
      </w:pPr>
      <w:bookmarkStart w:id="147" w:name="采购容量加权系数"/>
      <w:r>
        <w:rPr>
          <w:rFonts w:ascii="Times New Roman" w:hAnsi="Times New Roman" w:eastAsia="方正仿宋_GBK"/>
          <w:b/>
          <w:sz w:val="26"/>
        </w:rPr>
        <w:t xml:space="preserve">4.2.2 采购容量加权系数</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替换工程系数按两个案例静态投资之和除以新购铭牌容量之和计算，使用采购容量加权。参考系数按式（4-1）计算。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（4-1）</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5"/>
        <w:keepNext/>
        <w:numPr>
          <w:numId w:val="0"/>
        </w:numPr>
        <w:spacing w:line="390" w:lineRule="exact" w:before="160" w:after="120"/>
        <w:ind w:firstLine="0"/>
      </w:pPr>
      <w:bookmarkStart w:id="148" w:name="净增容量与工程费用"/>
      <w:r>
        <w:rPr>
          <w:rFonts w:ascii="Times New Roman" w:hAnsi="Times New Roman" w:eastAsia="方正仿宋_GBK"/>
          <w:b/>
          <w:sz w:val="26"/>
        </w:rPr>
        <w:t xml:space="preserve">4.2.3 净增容量与工程费用</w:t>
      </w:r>
      <w:bookmarkEnd w:id="14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（4-2）</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49" w:name="主变扩建"/>
      <w:r>
        <w:rPr>
          <w:rFonts w:ascii="Times New Roman" w:hAnsi="Times New Roman" w:eastAsia="方正仿宋_GBK"/>
          <w:b/>
          <w:sz w:val="26"/>
        </w:rPr>
        <w:t xml:space="preserve">4.2.4 主变扩建</w:t>
      </w:r>
      <w:bookmarkEnd w:id="14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（4-3）</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主变扩建按1223万元/项计费，包含增加台数及相应配套工程。主变扩建适用于具备预留位置的站点。</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428" w:name="h428"/>
      <w:bookmarkStart w:id="150" w:name="kv联络工程费用"/>
      <w:r>
        <w:rPr>
          <w:rFonts w:ascii="Times New Roman" w:hAnsi="Times New Roman" w:eastAsia="方正仿宋_GBK"/>
          <w:b/>
          <w:sz w:val="32"/>
        </w:rPr>
        <w:t xml:space="preserve">4.3 10 kV联络工程费用</w:t>
      </w:r>
      <w:bookmarkEnd w:id="150"/>
      <w:bookmarkEnd w:id="1428"/>
    </w:p>
    <w:p>
      <w:pPr>
        <w:pStyle w:val="5"/>
        <w:keepNext/>
        <w:numPr>
          <w:numId w:val="0"/>
        </w:numPr>
        <w:spacing w:line="390" w:lineRule="exact" w:before="160" w:after="120"/>
        <w:ind w:firstLine="0"/>
      </w:pPr>
      <w:bookmarkStart w:id="151" w:name="参考工程及单位造价"/>
      <w:r>
        <w:rPr>
          <w:rFonts w:ascii="Times New Roman" w:hAnsi="Times New Roman" w:eastAsia="方正仿宋_GBK"/>
          <w:b/>
          <w:sz w:val="26"/>
        </w:rPr>
        <w:t xml:space="preserve">4.3.1 参考工程及单位造价</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[89]。电缆采用含电气和土建的综合参考价180万元/km，其中土建按差额60万元/km计入研究费用。电缆工程投资范围包含电气安装及配套土建，徐州10 kV线路迁改工程公开建设内容亦包括相应电缆及通道工程[90]。</w:t>
      </w:r>
    </w:p>
    <w:p>
      <w:pPr>
        <w:pStyle w:val="5"/>
        <w:keepNext/>
        <w:numPr>
          <w:numId w:val="0"/>
        </w:numPr>
        <w:spacing w:line="390" w:lineRule="exact" w:before="160" w:after="120"/>
        <w:ind w:firstLine="0"/>
      </w:pPr>
      <w:bookmarkStart w:id="152" w:name="电缆长度占比与综合造价"/>
      <w:r>
        <w:rPr>
          <w:rFonts w:ascii="Times New Roman" w:hAnsi="Times New Roman" w:eastAsia="方正仿宋_GBK"/>
          <w:b/>
          <w:sz w:val="26"/>
        </w:rPr>
        <w:t xml:space="preserve">4.3.2 电缆长度占比与综合造价</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（4-4）</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499.20</w:t>
            </w:r>
          </w:p>
        </w:tc>
      </w:tr>
    </w:tbl>
    <w:p>
      <w:pPr>
        <w:pStyle w:val="5"/>
        <w:keepNext/>
        <w:numPr>
          <w:numId w:val="0"/>
        </w:numPr>
        <w:spacing w:line="390" w:lineRule="exact" w:before="160" w:after="120"/>
        <w:ind w:firstLine="0"/>
      </w:pPr>
      <w:bookmarkStart w:id="153" w:name="联络能力与工程计费"/>
      <w:r>
        <w:rPr>
          <w:rFonts w:ascii="Times New Roman" w:hAnsi="Times New Roman" w:eastAsia="方正仿宋_GBK"/>
          <w:b/>
          <w:sz w:val="26"/>
        </w:rPr>
        <w:t xml:space="preserve">4.3.3 联络能力与工程计费</w:t>
      </w:r>
      <w:bookmarkEnd w:id="153"/>
    </w:p>
    <w:p>
      <w:pPr>
        <w:pStyle w:val="FirstParagraph"/>
        <w:widowControl/>
        <w:spacing w:line="348" w:lineRule="exact" w:before="0" w:after="0"/>
        <w:ind w:firstLine="480"/>
        <w:jc w:val="both"/>
      </w:pPr>
      <w:r>
        <w:rPr>
          <w:rFonts w:ascii="Times New Roman" w:hAnsi="Times New Roman" w:eastAsia="方正仿宋_GBK"/>
          <w:b w:val="0"/>
          <w:sz w:val="24"/>
        </w:rPr>
        <w:t xml:space="preserve">新增候选线的区段负荷参考值为7.49 MW，低于按允许电流折算的有功容量9.05 MW。模型按具体送受端馈线建立候选边，既有边不重复计原建设费，新增边按投运年计项目费用。线路价格改变时，候选路径、区段负荷及热限保持不变，用于识别经济参数的影响。</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439" w:name="h439"/>
      <w:bookmarkStart w:id="154" w:name="储能投资模型"/>
      <w:r>
        <w:rPr>
          <w:rFonts w:ascii="Times New Roman" w:hAnsi="Times New Roman" w:eastAsia="方正仿宋_GBK"/>
          <w:b/>
          <w:sz w:val="32"/>
        </w:rPr>
        <w:t xml:space="preserve">4.4 储能投资模型</w:t>
      </w:r>
      <w:bookmarkEnd w:id="154"/>
      <w:bookmarkEnd w:id="1439"/>
    </w:p>
    <w:p>
      <w:pPr>
        <w:pStyle w:val="5"/>
        <w:keepNext/>
        <w:numPr>
          <w:numId w:val="0"/>
        </w:numPr>
        <w:spacing w:line="390" w:lineRule="exact" w:before="160" w:after="120"/>
        <w:ind w:firstLine="0"/>
      </w:pPr>
      <w:bookmarkStart w:id="155" w:name="储能规格与采购价格依据"/>
      <w:r>
        <w:rPr>
          <w:rFonts w:ascii="Times New Roman" w:hAnsi="Times New Roman" w:eastAsia="方正仿宋_GBK"/>
          <w:b/>
          <w:sz w:val="26"/>
        </w:rPr>
        <w:t xml:space="preserve">4.4.1 储能规格与采购价格依据</w:t>
      </w:r>
      <w:bookmarkEnd w:id="155"/>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kWh柜规格。苏州采购公告的储能柜子项最高限价为27.20万元，作为单柜价格参考[91]。模型投资采用浏阳用户侧储能项目的成套中标价210.46万元，保证交付规模为1 MW/2.15 MWh，折合10柜[86]。</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储能采购价格依据[91][86]</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56" w:name="成套柜单位价格"/>
      <w:r>
        <w:rPr>
          <w:rFonts w:ascii="Times New Roman" w:hAnsi="Times New Roman" w:eastAsia="方正仿宋_GBK"/>
          <w:b/>
          <w:sz w:val="26"/>
        </w:rPr>
        <w:t xml:space="preserve">4.4.2 成套柜单位价格</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模型以10柜成套项目成交总投资线性折算为单柜，得到21.05万元/柜。后续按相同柜型和单位价格进行规模外推；苏州单柜最高限价用于价格对照。</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（4-5）</w:t>
            </w:r>
          </w:p>
        </w:tc>
      </w:tr>
    </w:tbl>
    <w:p>
      <w:pPr>
        <w:pStyle w:val="FirstParagraph"/>
        <w:widowControl/>
        <w:spacing w:line="348" w:lineRule="atLeas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57" w:name="储能有效支撑功率与持续时间"/>
      <w:r>
        <w:rPr>
          <w:rFonts w:ascii="Times New Roman" w:hAnsi="Times New Roman" w:eastAsia="方正仿宋_GBK"/>
          <w:b/>
          <w:sz w:val="26"/>
        </w:rPr>
        <w:t xml:space="preserve">4.4.3 储能有效支撑功率与持续时间</w:t>
      </w:r>
      <w:bookmarkEnd w:id="157"/>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储能有效功率取额定功率与可用电量折算功率的较小值。设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（4-6）</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单位为MW，单柜额定能量为0.215 MWh，额定功率为0.10 MW，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单位为h。10柜在4 h条件下有效功率为0.4085 MW，单位有效功率投资约515.19万元/MW。正向支撑和反向吸收分别使用相应持续时间。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58"/>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储能单位有效支撑功率投资与持续时间</w:t>
      </w:r>
    </w:p>
    <w:p>
      <w:pPr>
        <w:pStyle w:val="5"/>
        <w:keepNext/>
        <w:numPr>
          <w:numId w:val="0"/>
        </w:numPr>
        <w:spacing w:line="390" w:lineRule="exact" w:before="160" w:after="120"/>
        <w:ind w:firstLine="0"/>
      </w:pPr>
      <w:bookmarkStart w:id="159" w:name="可用能力与工程适用性"/>
      <w:r>
        <w:rPr>
          <w:rFonts w:ascii="Times New Roman" w:hAnsi="Times New Roman" w:eastAsia="方正仿宋_GBK"/>
          <w:b/>
          <w:sz w:val="26"/>
        </w:rPr>
        <w:t xml:space="preserve">4.4.4 可用能力与工程适用性</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可用电量系数用于静态比选。正向支撑需要可放电电量，反向吸收需要可充电空间。模型适用范围见第3.4.5节；工程应用需结合保证可用电量、充放电效率、充电条件及恢复时间核定支撑能力。</w:t>
      </w:r>
    </w:p>
    <w:p>
      <w:pPr>
        <w:pStyle w:val="4"/>
        <w:keepNext/>
        <w:numPr>
          <w:numId w:val="0"/>
        </w:numPr>
        <w:spacing w:line="480" w:lineRule="exact" w:before="160" w:after="120"/>
        <w:ind w:firstLine="0"/>
      </w:pPr>
      <w:bookmarkStart w:id="1455" w:name="h455"/>
      <w:bookmarkStart w:id="160" w:name="参数变化与措施费用的联系"/>
      <w:r>
        <w:rPr>
          <w:rFonts w:ascii="Times New Roman" w:hAnsi="Times New Roman" w:eastAsia="方正仿宋_GBK"/>
          <w:b/>
          <w:sz w:val="32"/>
        </w:rPr>
        <w:t xml:space="preserve">4.5 参数变化与措施费用的联系</w:t>
      </w:r>
      <w:bookmarkEnd w:id="160"/>
      <w:bookmarkEnd w:id="1455"/>
    </w:p>
    <w:p>
      <w:pPr>
        <w:pStyle w:val="5"/>
        <w:keepNext/>
        <w:numPr>
          <w:numId w:val="0"/>
        </w:numPr>
        <w:spacing w:line="390" w:lineRule="exact" w:before="160" w:after="120"/>
        <w:ind w:firstLine="0"/>
      </w:pPr>
      <w:bookmarkStart w:id="161" w:name="电缆长度占比与联络费用"/>
      <w:r>
        <w:rPr>
          <w:rFonts w:ascii="Times New Roman" w:hAnsi="Times New Roman" w:eastAsia="方正仿宋_GBK"/>
          <w:b/>
          <w:sz w:val="26"/>
        </w:rPr>
        <w:t xml:space="preserve">4.5.1 电缆长度占比与联络费用</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62" w:name="储能支撑时间与配置费用"/>
      <w:r>
        <w:rPr>
          <w:rFonts w:ascii="Times New Roman" w:hAnsi="Times New Roman" w:eastAsia="方正仿宋_GBK"/>
          <w:b/>
          <w:sz w:val="26"/>
        </w:rPr>
        <w:t xml:space="preserve">4.5.2 储能支撑时间与配置费用</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kW、额定能量215 kWh的单柜为例，可用电量为0.1634 MWh，2、4、6 h下有效支撑功率分别为0.08170、0.04085、约0.02723 MW。按本章成套采购价格折算，每MW有效支撑对应的初始投资约为257.60、515.19、772.79万元。相同设备铭牌功率下，支撑时间越长，可供比较的有效功率越小，单位支撑费用越高[86]。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费用由新增柜数而非年末全部在役数量计取。</w:t>
      </w:r>
    </w:p>
    <w:p>
      <w:pPr>
        <w:pStyle w:val="5"/>
        <w:keepNext/>
        <w:numPr>
          <w:numId w:val="0"/>
        </w:numPr>
        <w:spacing w:line="390" w:lineRule="exact" w:before="160" w:after="120"/>
        <w:ind w:firstLine="0"/>
      </w:pPr>
      <w:bookmarkStart w:id="163" w:name="三类措施的经济比较"/>
      <w:r>
        <w:rPr>
          <w:rFonts w:ascii="Times New Roman" w:hAnsi="Times New Roman" w:eastAsia="方正仿宋_GBK"/>
          <w:b/>
          <w:sz w:val="26"/>
        </w:rPr>
        <w:t xml:space="preserve">4.5.3 三类措施的经济比较</w:t>
      </w:r>
      <w:bookmarkEnd w:id="163"/>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可辅助比较工程费用。主变投资对应新购整台容量，其供电作用受最大单台主变N-1剩余容量约束；联络投资对应具体区段可转功率，并受邻站接收余量限制；储能投资对应给定持续时间内的有效功率。第五章按相同正常及故障约束比较完整建设组合[30][28][10]。</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MVA；若两台均升档或具备第三台扩建位置，故障后的剩余容量才随具体组合改变。工程比选应据实际停运设备校核，再比较相应采购费用。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4"/>
        <w:keepNext/>
        <w:numPr>
          <w:numId w:val="0"/>
        </w:numPr>
        <w:spacing w:line="480" w:lineRule="exact" w:before="160" w:after="120"/>
        <w:ind w:firstLine="0"/>
      </w:pPr>
      <w:bookmarkStart w:id="1468" w:name="h468"/>
      <w:bookmarkStart w:id="164" w:name="现金流现值计算"/>
      <w:r>
        <w:rPr>
          <w:rFonts w:ascii="Times New Roman" w:hAnsi="Times New Roman" w:eastAsia="方正仿宋_GBK"/>
          <w:b/>
          <w:sz w:val="32"/>
        </w:rPr>
        <w:t xml:space="preserve">4.6 现金流现值计算</w:t>
      </w:r>
      <w:bookmarkEnd w:id="164"/>
      <w:bookmarkEnd w:id="1468"/>
    </w:p>
    <w:p>
      <w:pPr>
        <w:pStyle w:val="5"/>
        <w:keepNext/>
        <w:numPr>
          <w:numId w:val="0"/>
        </w:numPr>
        <w:spacing w:line="390" w:lineRule="exact" w:before="160" w:after="120"/>
        <w:ind w:firstLine="0"/>
      </w:pPr>
      <w:bookmarkStart w:id="165" w:name="单项工程现值因子"/>
      <w:r>
        <w:rPr>
          <w:rFonts w:ascii="Times New Roman" w:hAnsi="Times New Roman" w:eastAsia="方正仿宋_GBK"/>
          <w:b/>
          <w:sz w:val="26"/>
        </w:rPr>
        <w:t xml:space="preserve">4.6.1 单项工程现值因子</w:t>
      </w:r>
      <w:bookmarkEnd w:id="165"/>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=6%。单项工程现值由投运投资、评价期内更新和投运次年起固定运维构成[10][11][12]。</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（4-7）</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更新发生在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严格小于2041时。固定运维一直计至2041年。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。主变按40年和系数0.042、线路按40年和系数0.022、储能按25年和系数0.030计算。2022—2025年投运的三类设备均未在2041年评价截止前达到设定寿命，因此本评价期内的更新支出为零。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w:t>
            </w:r>
          </w:p>
        </w:tc>
      </w:tr>
    </w:tbl>
    <w:p>
      <w:pPr>
        <w:pStyle w:val="5"/>
        <w:keepNext/>
        <w:numPr>
          <w:numId w:val="0"/>
        </w:numPr>
        <w:spacing w:line="390" w:lineRule="exact" w:before="160" w:after="120"/>
        <w:ind w:firstLine="0"/>
      </w:pPr>
      <w:bookmarkStart w:id="166" w:name="年度投运对现值的影响"/>
      <w:r>
        <w:rPr>
          <w:rFonts w:ascii="Times New Roman" w:hAnsi="Times New Roman" w:eastAsia="方正仿宋_GBK"/>
          <w:b/>
          <w:sz w:val="26"/>
        </w:rPr>
        <w:t xml:space="preserve">4.6.2 年度投运对现值的影响</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相同工程晚一年投运，初始投资折现减少，计入的运维年数也减少；更新年份相应后移。这使年度建设安排进入经济目标。建设时点在各年技术可行条件下选取。</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储能投资按各投运批次的新增柜数计算。主变安装位置在不同年份先后升档，每一次更换分别计当年新购整台容量；采购批次合计用于费用，容量净增用于设备状态及容载比。</w:t>
      </w:r>
    </w:p>
    <w:p>
      <w:pPr>
        <w:pStyle w:val="5"/>
        <w:keepNext/>
        <w:numPr>
          <w:numId w:val="0"/>
        </w:numPr>
        <w:spacing w:line="390" w:lineRule="exact" w:before="160" w:after="120"/>
        <w:ind w:firstLine="0"/>
      </w:pPr>
      <w:bookmarkStart w:id="167" w:name="费用构成与结果复算"/>
      <w:r>
        <w:rPr>
          <w:rFonts w:ascii="Times New Roman" w:hAnsi="Times New Roman" w:eastAsia="方正仿宋_GBK"/>
          <w:b/>
          <w:sz w:val="26"/>
        </w:rPr>
        <w:t xml:space="preserve">4.6.3 费用构成与结果复算</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全方案现值为全部建设改造项目现值之和。主变、储能和线路分别汇总后相加，应等于求解目标在所选布局中的实际费用。费用表分别列出初始建设投资和评价期费用现值。</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（4-8）</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68" w:name="评价期边界与费用解释"/>
      <w:r>
        <w:rPr>
          <w:rFonts w:ascii="Times New Roman" w:hAnsi="Times New Roman" w:eastAsia="方正仿宋_GBK"/>
          <w:b/>
          <w:sz w:val="26"/>
        </w:rPr>
        <w:t xml:space="preserve">4.6.4 评价期边界与费用解释</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折现率6%，主变和线路寿命40年、储能寿命25年及相应固定运维率按本章所列依据使用。更新采用与首次购置相同实价，价格情景对首次购置和更新使用相同倍数。本报告参照全寿命周期费用方法，按2021年末至2041年的共同评价期计算新增措施支出，评价期短于三类设备的完整寿命。现值结果反映这一共同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现有现金流尚未纳入期末残值、被替换存量设备运维费用的变化、储能充电购电及损耗，也未采用收益抵扣。不同寿命和替换时点可能使这些科目对方案费用产生不同影响。工程经济评价应在资料齐备后统一补充这些现金流，并检查方案排序；本报告费用降幅仅适用于当前列明的支出范围。</w:t>
      </w:r>
    </w:p>
    <w:p>
      <w:pPr>
        <w:pStyle w:val="5"/>
        <w:keepNext/>
        <w:numPr>
          <w:numId w:val="0"/>
        </w:numPr>
        <w:spacing w:line="390" w:lineRule="exact" w:before="160" w:after="120"/>
        <w:ind w:firstLine="0"/>
      </w:pPr>
      <w:bookmarkStart w:id="169" w:name="主变更换与扩建的投资差异"/>
      <w:r>
        <w:rPr>
          <w:rFonts w:ascii="Times New Roman" w:hAnsi="Times New Roman" w:eastAsia="方正仿宋_GBK"/>
          <w:b/>
          <w:sz w:val="26"/>
        </w:rPr>
        <w:t xml:space="preserve">4.6.5 主变更换与扩建的投资差异</w:t>
      </w:r>
      <w:bookmarkEnd w:id="169"/>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70" w:name="联络与储能的费用响应"/>
      <w:r>
        <w:rPr>
          <w:rFonts w:ascii="Times New Roman" w:hAnsi="Times New Roman" w:eastAsia="方正仿宋_GBK"/>
          <w:b/>
          <w:sz w:val="26"/>
        </w:rPr>
        <w:t xml:space="preserve">4.6.6 联络与储能的费用响应</w:t>
      </w:r>
      <w:bookmarkEnd w:id="170"/>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新增联络能够发挥作用，还需送端可转负荷、共享馈线余量及邻站容量满足要求。价格变化可能只改变既定项目的费用，也可能触发主变、储能与联络之间的配置调整；第五章按固定其他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储能费用由新增柜数及单柜价格确定，有效支撑功率由额定功率、可用电量及持续时间共同确定。4 h条件下，10柜有效功率为0.4085 MW；2 h、6 h分别为0.8170 MW、约0.2723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比较按当年新购主变、储能柜数和新增联络项目计费，后续在役状态用于容量与供电安全校核。两地区方案费用差来自完整措施组合及投运时点。共同评价期截止于2041年，未触发设备更新的条件下，寿命参数变化可能不改变当前现金流。</w:t>
      </w:r>
    </w:p>
    <w:p>
      <w:pPr>
        <w:pStyle w:val="3"/>
        <w:keepNext/>
        <w:pageBreakBefore/>
        <w:numPr>
          <w:numId w:val="0"/>
        </w:numPr>
        <w:spacing w:line="540" w:lineRule="exact" w:before="0" w:after="120"/>
        <w:ind w:firstLine="0"/>
      </w:pPr>
      <w:bookmarkStart w:id="1494" w:name="h494"/>
      <w:bookmarkStart w:id="171"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71"/>
      <w:bookmarkEnd w:id="1494"/>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496" w:name="h496"/>
      <w:bookmarkStart w:id="172" w:name="寻优问题与共同起点"/>
      <w:r>
        <w:rPr>
          <w:rFonts w:ascii="Times New Roman" w:hAnsi="Times New Roman" w:eastAsia="方正仿宋_GBK"/>
          <w:b/>
          <w:sz w:val="32"/>
        </w:rPr>
        <w:t xml:space="preserve">5.1 寻优问题与共同起点</w:t>
      </w:r>
      <w:bookmarkEnd w:id="172"/>
      <w:bookmarkEnd w:id="1496"/>
    </w:p>
    <w:p>
      <w:pPr>
        <w:pStyle w:val="5"/>
        <w:keepNext/>
        <w:numPr>
          <w:numId w:val="0"/>
        </w:numPr>
        <w:spacing w:line="390" w:lineRule="exact" w:before="160" w:after="120"/>
        <w:ind w:firstLine="0"/>
      </w:pPr>
      <w:bookmarkStart w:id="173" w:name="年度负荷与共同仿真起点"/>
      <w:r>
        <w:rPr>
          <w:rFonts w:ascii="Times New Roman" w:hAnsi="Times New Roman" w:eastAsia="方正仿宋_GBK"/>
          <w:b/>
          <w:sz w:val="26"/>
        </w:rPr>
        <w:t xml:space="preserve">5.1.1 年度负荷与共同仿真起点</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两类方案保留相同的初始设备组合。市区初始主变总容量为2900.00 MVA，邳州为1463.50 MVA；基期负荷取2021年实际统计值，两地区基期容载比按两位小数均为2.00。该设置用于方案比较，实际在役容量仍采用第三章年度统计。</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2.00</m:t>
                </m:r>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（5-1）</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的初始仿真主变总容量，单位MVA；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年的原表网供最大负荷估计值，单位MW。已有年度负荷直接进入模型，保留2023年邳州及2022、2024年市区的负荷回落。标准复合增长率用于增长水平描述和通用情景设置。</w:t>
      </w:r>
    </w:p>
    <w:p>
      <w:pPr>
        <w:pStyle w:val="2"/>
        <w:keepNext/>
        <w:spacing w:line="280" w:lineRule="exact" w:before="120" w:after="80"/>
        <w:ind w:firstLine="0"/>
        <w:jc w:val="center"/>
      </w:pPr>
      <w:r>
        <w:rPr>
          <w:rFonts w:ascii="Times New Roman" w:hAnsi="Times New Roman" w:eastAsia="宋体"/>
          <w:b w:val="0"/>
          <w:sz w:val="21"/>
        </w:rPr>
        <w:t xml:space="preserve">表5-1 实际统计与仿真起点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实际主变容量/MVA</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实际年网供最大负荷/MW</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仿真容量/MVA</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1463.50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2900.00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按方案投运</w:t>
            </w:r>
          </w:p>
        </w:tc>
      </w:tr>
    </w:tbl>
    <w:p>
      <w:pPr>
        <w:pStyle w:val="2"/>
        <w:widowControl/>
        <w:spacing w:line="348" w:lineRule="exact" w:before="0" w:after="0"/>
        <w:ind w:firstLine="480"/>
        <w:jc w:val="both"/>
      </w:pPr>
      <w:r>
        <w:rPr>
          <w:rFonts w:ascii="Times New Roman" w:hAnsi="Times New Roman" w:eastAsia="方正仿宋_GBK"/>
          <w:b w:val="0"/>
          <w:sz w:val="24"/>
        </w:rPr>
        <w:t xml:space="preserve">各站静态功率按已归档的区域正向峰值和最低净负荷工况分配，再按年度网供峰值标定。反向工况沿用同一源荷结构，属于按年度规模标定的研究情景。</w:t>
      </w:r>
    </w:p>
    <w:p>
      <w:pPr>
        <w:pStyle w:val="5"/>
        <w:keepNext/>
        <w:numPr>
          <w:numId w:val="0"/>
        </w:numPr>
        <w:spacing w:line="390" w:lineRule="exact" w:before="160" w:after="120"/>
        <w:ind w:firstLine="0"/>
      </w:pPr>
      <w:bookmarkStart w:id="174" w:name="刚性与弹性方案"/>
      <w:r>
        <w:rPr>
          <w:rFonts w:ascii="Times New Roman" w:hAnsi="Times New Roman" w:eastAsia="方正仿宋_GBK"/>
          <w:b/>
          <w:sz w:val="26"/>
        </w:rPr>
        <w:t xml:space="preserve">5.1.2 刚性与弹性方案</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刚性方案新增扩容受当年负荷两倍的容量限制；若负荷回落使既有容量被动超过该值，该年维持既有容量。弹性方案按费用最小选择设备组合，容量由正常及N-1承载需求、允许规格和扩建位置共同确定。</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（5-2）</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在候选设备及场地条件下允许的最大容量。刚性方案的下端参考值</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按增长率对应的导则范围确定，市区1.50、邳州1.70[7]。两类方案均按实际设备配置与同年网供峰值计算容载比。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75" w:name="工程候选与参数设置"/>
      <w:r>
        <w:rPr>
          <w:rFonts w:ascii="Times New Roman" w:hAnsi="Times New Roman" w:eastAsia="方正仿宋_GBK"/>
          <w:b/>
          <w:sz w:val="26"/>
        </w:rPr>
        <w:t xml:space="preserve">5.1.3 工程候选与参数设置</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MVA，并受原设备容量、预留位置及允许扩建条件限制。增加第三台主变仅在具有预留条件的站点设置，当前候选容量为50.00 MVA。80.00 MVA方案仍需在工程阶段核实配套间隔、短路电流及站址条件。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h，反向持续时间按各站静态参数设置；推广采用2、4、6 h三个定值。采用相同储能规格和工程价格，比较容量约束变化后是否仍需配置储能。</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年度负荷</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2022—2025年逐年统计</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同范围110 kV年度记录</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静态截面</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邳州26个、市区45个</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地区和各站局部极值同期截面</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邳州2 h、市区6 h</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储能规格及可用电量系数</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 kW/215 kWh；0.76</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采购资料及静态折算</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新购主变规格</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31.50、50、63、80 MVA</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按站限制</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第三台主变</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有预留条件时50 MVA</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按站限制</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既有转供能力</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逐站MW上限与网络能力共同限制</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全停全转统计及馈线资料</w:t>
            </w:r>
          </w:p>
        </w:tc>
      </w:tr>
      <w:tr>
        <w:trPr>
          <w:cantSplit/>
        </w:trPr>
        <w:tc>
          <w:tcPr>
            <w:tcW w:type="dxa" w:w="1793"/>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新增联络费用</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供电安全及功率因数</w:t>
            </w:r>
          </w:p>
        </w:tc>
        <w:tc>
          <w:tcPr>
            <w:tcW w:type="dxa" w:w="325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正常及最大单台主变N-1；0.95</w:t>
            </w:r>
          </w:p>
        </w:tc>
        <w:tc>
          <w:tcPr>
            <w:tcW w:type="dxa" w:w="325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逐工况校核</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核心参数的定义、选取依据及地区资料见第3.5节。地区案例保留实际年度负荷和具体网络，推广模板按第3.5节的六项参数构造源荷、网络及工程费用条件。</w:t>
      </w:r>
    </w:p>
    <w:p>
      <w:pPr>
        <w:pStyle w:val="4"/>
        <w:keepNext/>
        <w:numPr>
          <w:numId w:val="0"/>
        </w:numPr>
        <w:spacing w:line="480" w:lineRule="exact" w:before="160" w:after="120"/>
        <w:ind w:firstLine="0"/>
      </w:pPr>
      <w:bookmarkStart w:id="1519" w:name="h519"/>
      <w:bookmarkStart w:id="176" w:name="三类措施的选取与寻优方法"/>
      <w:r>
        <w:rPr>
          <w:rFonts w:ascii="Times New Roman" w:hAnsi="Times New Roman" w:eastAsia="方正仿宋_GBK"/>
          <w:b/>
          <w:sz w:val="32"/>
        </w:rPr>
        <w:t xml:space="preserve">5.2 三类措施的选取与寻优方法</w:t>
      </w:r>
      <w:bookmarkEnd w:id="176"/>
      <w:bookmarkEnd w:id="1519"/>
    </w:p>
    <w:p>
      <w:pPr>
        <w:pStyle w:val="5"/>
        <w:keepNext/>
        <w:numPr>
          <w:numId w:val="0"/>
        </w:numPr>
        <w:spacing w:line="390" w:lineRule="exact" w:before="160" w:after="120"/>
        <w:ind w:firstLine="0"/>
      </w:pPr>
      <w:bookmarkStart w:id="177" w:name="主变增容及扩建方案"/>
      <w:r>
        <w:rPr>
          <w:rFonts w:ascii="Times New Roman" w:hAnsi="Times New Roman" w:eastAsia="方正仿宋_GBK"/>
          <w:b/>
          <w:sz w:val="26"/>
        </w:rPr>
        <w:t xml:space="preserve">5.2.1 主变增容及扩建方案</w:t>
      </w:r>
      <w:bookmarkEnd w:id="177"/>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在后续年份维持或升档。更换主变按新购整台容量计费，新增容量用于更新在役容量，两者分别统计。储能柜数为整数，后续在役数量不得低于前一年。新增联络投运后持续可用，既有联络建设费用不重复计取。</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（5-3）</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78" w:name="利用既有10-kv联络能力"/>
      <w:r>
        <w:rPr>
          <w:rFonts w:ascii="Times New Roman" w:hAnsi="Times New Roman" w:eastAsia="方正仿宋_GBK"/>
          <w:b/>
          <w:sz w:val="26"/>
        </w:rPr>
        <w:t xml:space="preserve">5.2.2 利用既有10 kV联络能力</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既有网络按地区转供资料和逐站MW上限建模，统计计算见第3.6节。既有通道转出功率之和按每站预算约束，共用馈线的多条通道共用源端负荷和接收余量。</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（5-4）</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的转出功率，</w:t>
      </w:r>
      <m:oMath>
        <m:sSub>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为既有网络标定预算，</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为补充资料所列站外最大可供负荷，单位均为MW。正常和故障工况分别安排转供，既有能力以固定MW预算使用。</w:t>
      </w:r>
    </w:p>
    <w:p>
      <w:pPr>
        <w:pStyle w:val="5"/>
        <w:keepNext/>
        <w:numPr>
          <w:numId w:val="0"/>
        </w:numPr>
        <w:spacing w:line="390" w:lineRule="exact" w:before="160" w:after="120"/>
        <w:ind w:firstLine="0"/>
      </w:pPr>
      <w:bookmarkStart w:id="179" w:name="新建10-kv联络提升转供能力"/>
      <w:r>
        <w:rPr>
          <w:rFonts w:ascii="Times New Roman" w:hAnsi="Times New Roman" w:eastAsia="方正仿宋_GBK"/>
          <w:b/>
          <w:sz w:val="26"/>
        </w:rPr>
        <w:t xml:space="preserve">5.2.3 新建10 kV联络提升转供能力</w:t>
      </w:r>
      <w:bookmarkEnd w:id="179"/>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（5-5）</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80" w:name="负荷转接与容量衔接"/>
      <w:r>
        <w:rPr>
          <w:rFonts w:ascii="Times New Roman" w:hAnsi="Times New Roman" w:eastAsia="方正仿宋_GBK"/>
          <w:b/>
          <w:sz w:val="26"/>
        </w:rPr>
        <w:t xml:space="preserve">5.2.4 负荷转接与容量衔接</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（5-6）</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为转出及承接负荷，单位均为MW。正向为受电，负向为反送；电源仍归属原站，转出用电负荷可能加重本地反向功率。每个工况使用自身源荷分布，分别校核两方向容量。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81" w:name="储能有效支撑功率"/>
      <w:r>
        <w:rPr>
          <w:rFonts w:ascii="Times New Roman" w:hAnsi="Times New Roman" w:eastAsia="方正仿宋_GBK"/>
          <w:b/>
          <w:sz w:val="26"/>
        </w:rPr>
        <w:t xml:space="preserve">5.2.5 储能有效支撑功率</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（5-7）</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为相应有效功率，单位MW。4 h条件下每柜可提供0.04085 MW的静态支撑。工程应用条件见第4.4.4节。</w:t>
      </w:r>
    </w:p>
    <w:p>
      <w:pPr>
        <w:pStyle w:val="4"/>
        <w:keepNext/>
        <w:numPr>
          <w:numId w:val="0"/>
        </w:numPr>
        <w:spacing w:line="480" w:lineRule="exact" w:before="160" w:after="120"/>
        <w:ind w:firstLine="0"/>
      </w:pPr>
      <w:bookmarkStart w:id="1539" w:name="h539"/>
      <w:bookmarkStart w:id="182" w:name="约束条件与求解流程"/>
      <w:r>
        <w:rPr>
          <w:rFonts w:ascii="Times New Roman" w:hAnsi="Times New Roman" w:eastAsia="方正仿宋_GBK"/>
          <w:b/>
          <w:sz w:val="32"/>
        </w:rPr>
        <w:t xml:space="preserve">5.3 约束条件与求解流程</w:t>
      </w:r>
      <w:bookmarkEnd w:id="182"/>
      <w:bookmarkEnd w:id="1539"/>
    </w:p>
    <w:p>
      <w:pPr>
        <w:pStyle w:val="5"/>
        <w:keepNext/>
        <w:numPr>
          <w:numId w:val="0"/>
        </w:numPr>
        <w:spacing w:line="390" w:lineRule="exact" w:before="160" w:after="120"/>
        <w:ind w:firstLine="0"/>
      </w:pPr>
      <w:bookmarkStart w:id="183" w:name="正常运行与主变n-1"/>
      <w:r>
        <w:rPr>
          <w:rFonts w:ascii="Times New Roman" w:hAnsi="Times New Roman" w:eastAsia="方正仿宋_GBK"/>
          <w:b/>
          <w:sz w:val="26"/>
        </w:rPr>
        <w:t xml:space="preserve">5.3.1 正常运行与主变N-1</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市区45个、邳州26个同期静态截面分别校核正常运行及各站最大单台主变N-1。故障站按剩余主变容量计算，健康邻站保留全部主变，允许通过已投运线路重新安排负荷。</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（5-8）</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为工况下可用主变容量。正常及N-1场景共用同一建设方案，分别校核馈线和接收站能力。区县内部转出、转入功率合计相等，区域网供峰值的统计定义保持不变。</w:t>
      </w:r>
    </w:p>
    <w:p>
      <w:pPr>
        <w:pStyle w:val="5"/>
        <w:keepNext/>
        <w:numPr>
          <w:numId w:val="0"/>
        </w:numPr>
        <w:spacing w:line="390" w:lineRule="exact" w:before="160" w:after="120"/>
        <w:ind w:firstLine="0"/>
      </w:pPr>
      <w:bookmarkStart w:id="184" w:name="评价期费用目标"/>
      <w:r>
        <w:rPr>
          <w:rFonts w:ascii="Times New Roman" w:hAnsi="Times New Roman" w:eastAsia="方正仿宋_GBK"/>
          <w:b/>
          <w:sz w:val="26"/>
        </w:rPr>
        <w:t xml:space="preserve">5.3.2 评价期费用目标</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目标为共同评价期内新增措施费用现值最小。工程投运当年计建设投资，次年起计固定运维，评价期内达到设定寿命的设备按统一规则更新。价格、寿命、维护费率和折现率采用第四章参数。</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（5-9）</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85" w:name="三类措施的约束寻优流程"/>
      <w:r>
        <w:rPr>
          <w:rFonts w:ascii="Times New Roman" w:hAnsi="Times New Roman" w:eastAsia="方正仿宋_GBK"/>
          <w:b/>
          <w:sz w:val="26"/>
        </w:rPr>
        <w:t xml:space="preserve">5.3.3 三类措施的约束寻优流程</w:t>
      </w:r>
      <w:bookmarkEnd w:id="185"/>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计算结果按设备状态、容量非减、功率平衡、馈线共享余量、接收站容量及费用分项逐项复核，并以独立网络算法检查各静态工况的可行性。</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正文比较通过设备与网络约束校核的可行方案，费用对应所列建设配置。求解精度及经济比较核验记录见配套资料。</w:t>
      </w:r>
    </w:p>
    <w:p>
      <w:pPr>
        <w:pStyle w:val="2"/>
        <w:widowControl/>
        <w:spacing w:line="348" w:lineRule="exact" w:before="0" w:after="0"/>
        <w:ind w:firstLine="480"/>
        <w:jc w:val="both"/>
      </w:pPr>
      <w:r>
        <w:rPr>
          <w:rFonts w:ascii="Times New Roman" w:hAnsi="Times New Roman" w:eastAsia="方正仿宋_GBK"/>
          <w:b w:val="0"/>
          <w:sz w:val="24"/>
        </w:rPr>
        <w:t xml:space="preserve">逐年寻优先载入共同初始设备和实际年度负荷，再建立允许的主变规格、扩建位置、储能柜数与联络投运状态。正常和各站最大单台主变N-1分别使用同一套建设状态，运行转接变量随工况变化。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和投运状态采用整数变量，转供功率采用连续变量。费用最小是唯一经济目标；容量储备通过规划约束体现。取得候选后，将年度容量、采购容量、储能和线路工程分别汇总，再按第四章现金流复算费用，检查所列工程与经济结论是否对应。</w:t>
      </w:r>
    </w:p>
    <w:p>
      <w:pPr>
        <w:pStyle w:val="4"/>
        <w:keepNext/>
        <w:numPr>
          <w:numId w:val="0"/>
        </w:numPr>
        <w:spacing w:line="480" w:lineRule="exact" w:before="160" w:after="120"/>
        <w:ind w:firstLine="0"/>
      </w:pPr>
      <w:bookmarkStart w:id="1551" w:name="h551"/>
      <w:bookmarkStart w:id="186" w:name="寻优结果"/>
      <w:r>
        <w:rPr>
          <w:rFonts w:ascii="Times New Roman" w:hAnsi="Times New Roman" w:eastAsia="方正仿宋_GBK"/>
          <w:b/>
          <w:sz w:val="32"/>
        </w:rPr>
        <w:t xml:space="preserve">5.4 寻优结果</w:t>
      </w:r>
      <w:bookmarkEnd w:id="186"/>
      <w:bookmarkEnd w:id="1551"/>
    </w:p>
    <w:p>
      <w:pPr>
        <w:pStyle w:val="5"/>
        <w:keepNext/>
        <w:numPr>
          <w:numId w:val="0"/>
        </w:numPr>
        <w:spacing w:line="390" w:lineRule="exact" w:before="160" w:after="120"/>
        <w:ind w:firstLine="0"/>
      </w:pPr>
      <w:bookmarkStart w:id="187" w:name="邳州逐年方案"/>
      <w:r>
        <w:rPr>
          <w:rFonts w:ascii="Times New Roman" w:hAnsi="Times New Roman" w:eastAsia="方正仿宋_GBK"/>
          <w:b/>
          <w:sz w:val="26"/>
        </w:rPr>
        <w:t xml:space="preserve">5.4.1 邳州逐年方案</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邳州弹性方案2022年完成240.50 MVA净增容量，主变总容量达到1704.00 MVA，之后三年保持该容量。各年储能和联络工程按当年供电需求安排，具体在役规模及新增建设分别列于下表。</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825.00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1642.50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1.99</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16.80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761.23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1642.50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2.16</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16.80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862.66</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1.98</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1.78</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22.70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825.00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2.07</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761.23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862.66</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1.98</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1704.00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1.78</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3.60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w:t>
            </w:r>
          </w:p>
        </w:tc>
      </w:tr>
    </w:tbl>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179.00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402.00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36.12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14588.04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2.58</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2653.89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10.11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1891.08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483.50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12553.76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265.26</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7.74</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1527.82</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邳州两类方案的主要差异出现在建设时序。2022年弹性方案完成240.50 MVA净增容量，主变总容量达到1704.00 MVA；刚性方案当年受容量上限约束，形成1642.50 MVA，并以储能及联络共同补足局部供电需求。2024年刚性方案再增加61.50 MVA，两类方案此后总容量相同。前期主变建设规模的差异改变了后续补充措施的选择，年度主变采购与储能、联络增量共同解释方案费用。</w:t>
      </w:r>
    </w:p>
    <w:p>
      <w:pPr>
        <w:pStyle w:val="2"/>
        <w:widowControl/>
        <w:spacing w:line="348" w:lineRule="exact" w:before="0" w:after="0"/>
        <w:ind w:firstLine="480"/>
        <w:jc w:val="both"/>
      </w:pPr>
      <w:r>
        <w:rPr>
          <w:rFonts w:ascii="Times New Roman" w:hAnsi="Times New Roman" w:eastAsia="方正仿宋_GBK"/>
          <w:b w:val="0"/>
          <w:sz w:val="24"/>
        </w:rPr>
        <w:t xml:space="preserve">2023年负荷较2022年回落约8%，两类方案均保持当年设备状态，容载比分别升至2.16和2.24。该年的比值上升由负荷变化形成。2024年负荷恢复后，刚性方案同时增容，弹性方案利用已投运容量并新增2项联络；2025年负荷进一步增加，两类方案主变容量均保持1704.00 MVA，容载比均为1.78。此时刚性方案继续增加储能及联络，弹性方案新增7.74 MWh储能和6项联络，反映出相同区域总容量下的站内设备结构和网络任务差异。</w:t>
      </w:r>
    </w:p>
    <w:p>
      <w:pPr>
        <w:pStyle w:val="2"/>
        <w:widowControl/>
        <w:spacing w:line="348" w:lineRule="exact" w:before="0" w:after="0"/>
        <w:ind w:firstLine="480"/>
        <w:jc w:val="both"/>
      </w:pPr>
      <w:r>
        <w:rPr>
          <w:rFonts w:ascii="Times New Roman" w:hAnsi="Times New Roman" w:eastAsia="方正仿宋_GBK"/>
          <w:b w:val="0"/>
          <w:sz w:val="24"/>
        </w:rPr>
        <w:t xml:space="preserve">邳州的年度表同时列出在役容量与当年新增工程。净增容量说明容量储备增加多少，新购容量说明更换和扩建所需采购多少设备。负荷回落年份即使不新增主变，容载比也可能升高；后续负荷恢复时，前期投运设备继续满足相应需求。</w:t>
      </w:r>
    </w:p>
    <w:p>
      <w:pPr>
        <w:pStyle w:val="5"/>
        <w:keepNext/>
        <w:numPr>
          <w:numId w:val="0"/>
        </w:numPr>
        <w:spacing w:line="390" w:lineRule="exact" w:before="160" w:after="120"/>
        <w:ind w:firstLine="0"/>
      </w:pPr>
      <w:bookmarkStart w:id="188" w:name="市区逐年方案"/>
      <w:r>
        <w:rPr>
          <w:rFonts w:ascii="Times New Roman" w:hAnsi="Times New Roman" w:eastAsia="方正仿宋_GBK"/>
          <w:b/>
          <w:sz w:val="26"/>
        </w:rPr>
        <w:t xml:space="preserve">5.4.2 市区逐年方案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市区弹性方案2022年完成23.00 MVA净增容量，主变总容量达到2923.00 MVA，之后三年保持该容量。各年储能和联络工程按当年供电需求安排，具体在役规模及新增建设分别列于下表。</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1432.37</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1542.22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1.88</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1449.40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1528.82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1432.37</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1542.22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1449.40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2923.00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9636"/>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189"/>
                    <a:stretch>
                      <a:fillRect/>
                    </a:stretch>
                  </pic:blipFill>
                  <pic:spPr bwMode="auto">
                    <a:xfrm>
                      <a:off x="0" y="0"/>
                      <a:ext cx="5120640" cy="25196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2657.80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1446.64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市区实际年度负荷在2022年、2024年回落。刚性方案的被动超限由保留既有设备形成。年度建设表同时列出实际负荷、在役容量和当年新增规模，用于解释容载比变化。</w:t>
      </w:r>
    </w:p>
    <w:p>
      <w:pPr>
        <w:pStyle w:val="2"/>
        <w:widowControl/>
        <w:spacing w:line="348" w:lineRule="exact" w:before="0" w:after="0"/>
        <w:ind w:firstLine="480"/>
        <w:jc w:val="both"/>
      </w:pPr>
      <w:r>
        <w:rPr>
          <w:rFonts w:ascii="Times New Roman" w:hAnsi="Times New Roman" w:eastAsia="方正仿宋_GBK"/>
          <w:b w:val="0"/>
          <w:sz w:val="24"/>
        </w:rPr>
        <w:t xml:space="preserve">市区四年中2023年的年度负荷最高，为1542.22 MW。两类方案首年建设完成后，后续主变总容量均保持不变，因此2023年的容载比低于2022年和2024年。到2025年，年度负荷为1528.82 MW，仍略低于2023年。以四年复合平均增长率描述增长阶段时，还需保留这类年际波动，逐年容量安排才能与实际供电任务对应。</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市区弹性方案选择在翟山变将一台40 MVA主变更换为63 MVA，既增加23 MVA区域容量，也将该站最大80 MVA主变停运后的剩余容量从40 MVA提高至63 MVA。刚性方案保留原主变容量，首年增加5项联络，借助网络重新安排负荷。两类方案分别以站内补强和新增通道满足同一组供电约束，费用差主要由这两类措施的工程费用形成；既有逐站转供能力在两类方案中共同参与支援。</w:t>
      </w:r>
    </w:p>
    <w:p>
      <w:pPr>
        <w:pStyle w:val="5"/>
        <w:keepNext/>
        <w:numPr>
          <w:numId w:val="0"/>
        </w:numPr>
        <w:spacing w:line="390" w:lineRule="exact" w:before="160" w:after="120"/>
        <w:ind w:firstLine="0"/>
      </w:pPr>
      <w:bookmarkStart w:id="190" w:name="弹性方案与导则建议范围的逐年对照"/>
      <w:r>
        <w:rPr>
          <w:rFonts w:ascii="Times New Roman" w:hAnsi="Times New Roman" w:eastAsia="方正仿宋_GBK"/>
          <w:b/>
          <w:sz w:val="26"/>
        </w:rPr>
        <w:t xml:space="preserve">5.4.3 弹性方案与导则建议范围的逐年对照</w:t>
      </w:r>
      <w:bookmarkEnd w:id="190"/>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2025年4月《配电网规划设计技术导则（修订稿）》第6.2.2.1条及表2按年最大净负荷平均增长率划分发展阶段，并提出容载比总体控制在1.5～2.0[7]。本节沿用建模采用的2021—2025年复合平均增长率，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MW，平均增长率约7%，属于</w:t>
      </w:r>
      <m:oMath>
        <m:r>
          <m:rPr>
            <m:nor m:val="1"/>
          </m:rPr>
          <w:rPr>
            <w:rFonts w:ascii="Times New Roman" w:hAnsi="Times New Roman" w:cs="Times New Roman" w:eastAsia="方正仿宋_GBK"/>
            <w:i w:val="0"/>
            <w:iCs w:val="0"/>
          </w:rPr>
          <m:t>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&lt;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的中等增长阶段，对应建议范围1.7～1.9；市区由1449.77 MW增至1528.82 MW，平均增长率约1%，属于</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的饱和期，对应建议范围1.5～1.7[7]。</w:t>
      </w:r>
    </w:p>
    <w:p>
      <w:pPr>
        <w:pStyle w:val="2"/>
        <w:widowControl/>
        <w:spacing w:line="348" w:lineRule="exact" w:before="0" w:after="0"/>
        <w:ind w:firstLine="480"/>
        <w:jc w:val="both"/>
      </w:pPr>
      <w:r>
        <w:rPr>
          <w:rFonts w:ascii="Times New Roman" w:hAnsi="Times New Roman" w:eastAsia="方正仿宋_GBK"/>
          <w:b w:val="0"/>
          <w:sz w:val="24"/>
        </w:rPr>
        <w:t xml:space="preserve">前述年度表为共同压缩起点下、正常允许调整供区的弹性无下限方案规划回算结果。按上述增长率统一分档，邳州2022—2024年均高于分档建议上限1.9，2025年降至1.78，进入建议范围；市区四年均高于分档建议上限1.7，其中2025年为1.91，高出约0.21。两地区各年结果均高于对应建议下限。按条文总体范围比较，邳州2022、2023年和市区2022、2024年超过2.0，其余年度位于1.5～2.0内[7]。年度负荷回落解释了部分年份容载比的上升：邳州2023年、市区2024年容量保持不变，负荷下降使比值升高；后续负荷恢复又使比值回落。</w:t>
      </w:r>
    </w:p>
    <w:p>
      <w:pPr>
        <w:pStyle w:val="2"/>
        <w:widowControl/>
        <w:spacing w:line="348" w:lineRule="exact" w:before="0" w:after="0"/>
        <w:ind w:firstLine="480"/>
        <w:jc w:val="both"/>
      </w:pPr>
      <w:r>
        <w:rPr>
          <w:rFonts w:ascii="Times New Roman" w:hAnsi="Times New Roman" w:eastAsia="方正仿宋_GBK"/>
          <w:b w:val="0"/>
          <w:sz w:val="24"/>
        </w:rPr>
        <w:t xml:space="preserve">市区连续高于分档建议上限，还与共同初始容量有关。以2025年为例，1528.82 MW负荷按容载比1.7折算容量为2598.99 MVA，而共同初始容量已为2900.00 MVA，高出301.01 MVA。容量保持非减的条件下，初始设备对应当年容载比约1.90；弹性方案2022年将翟山变一台40 MVA主变更换为63 MVA，净增23.00 MVA，四年均保持2923.00 MVA，2025年容载比为1.91。初始容量与新增补强分别贡献了超出分档建议上限的主要部分和增量部分。翟山变更换后，在最大80 MVA主变停运时保留63 MVA容量，并结合既有转供满足本次工况约束；这项设备补强与既定初始容量应分别解释。</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[7]。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191" w:name="建设规模与费用比较"/>
      <w:r>
        <w:rPr>
          <w:rFonts w:ascii="Times New Roman" w:hAnsi="Times New Roman" w:eastAsia="方正仿宋_GBK"/>
          <w:b/>
          <w:sz w:val="26"/>
        </w:rPr>
        <w:t xml:space="preserve">5.4.4 建设规模与费用比较</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两地区刚性可行方案费用现值合计21790.82万元，弹性为15793.49万元，减少5997.33万元，降幅约28%。</w:t>
      </w:r>
    </w:p>
    <w:p>
      <w:pPr>
        <w:pStyle w:val="2"/>
        <w:keepNext/>
        <w:spacing w:line="280" w:lineRule="exact" w:before="120" w:after="80"/>
        <w:ind w:firstLine="0"/>
        <w:jc w:val="center"/>
      </w:pPr>
      <w:r>
        <w:rPr>
          <w:rFonts w:ascii="Times New Roman" w:hAnsi="Times New Roman" w:eastAsia="宋体"/>
          <w:b w:val="0"/>
          <w:sz w:val="21"/>
        </w:rPr>
        <w:t xml:space="preserve">表5-8 两地区方案费用比较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19133.01</w:t>
            </w:r>
          </w:p>
        </w:tc>
      </w:tr>
      <w:tr>
        <w:trPr>
          <w:cantSplit/>
        </w:trPr>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14346.85</w:t>
            </w:r>
          </w:p>
        </w:tc>
      </w:tr>
      <w:tr>
        <w:trPr>
          <w:cantSplit/>
        </w:trPr>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2657.80</w:t>
            </w:r>
          </w:p>
        </w:tc>
      </w:tr>
      <w:tr>
        <w:trPr>
          <w:cantSplit/>
        </w:trPr>
        <w:tc>
          <w:tcPr>
            <w:tcW w:type="dxa" w:w="277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1446.64</w:t>
            </w:r>
          </w:p>
        </w:tc>
      </w:tr>
    </w:tbl>
    <w:p>
      <w:pPr>
        <w:pStyle w:val="2"/>
        <w:keepNext/>
        <w:spacing w:line="280" w:lineRule="exact" w:before="120" w:after="80"/>
        <w:ind w:firstLine="0"/>
        <w:jc w:val="center"/>
      </w:pPr>
      <w:r>
        <w:rPr>
          <w:rFonts w:ascii="Times New Roman" w:hAnsi="Times New Roman" w:eastAsia="宋体"/>
          <w:b w:val="0"/>
          <w:sz w:val="21"/>
        </w:rPr>
        <w:t xml:space="preserve">表5-9 2025年在役措施及累计建设规模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483.50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22.70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48.80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483.50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3.60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7.74</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2923.00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4261"/>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192"/>
                    <a:stretch>
                      <a:fillRect/>
                    </a:stretch>
                  </pic:blipFill>
                  <pic:spPr bwMode="auto">
                    <a:xfrm>
                      <a:off x="0" y="0"/>
                      <a:ext cx="5120640" cy="25142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232012"/>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193"/>
                    <a:stretch>
                      <a:fillRect/>
                    </a:stretch>
                  </pic:blipFill>
                  <pic:spPr bwMode="auto">
                    <a:xfrm>
                      <a:off x="0" y="0"/>
                      <a:ext cx="5120640" cy="223201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两地区均以共同压缩起点开展规划回算，首年必要补强计入建设投资。既有转供采用逐站资料上限，新增联络按地区电缆长度占比计价。费用比较采用通过全部静态工况校核的具体可行方案。</w:t>
      </w:r>
    </w:p>
    <w:p>
      <w:pPr>
        <w:pStyle w:val="2"/>
        <w:keepNext/>
        <w:spacing w:line="280" w:lineRule="exact" w:before="120" w:after="80"/>
        <w:ind w:firstLine="0"/>
        <w:jc w:val="center"/>
      </w:pPr>
      <w:r>
        <w:rPr>
          <w:rFonts w:ascii="Times New Roman" w:hAnsi="Times New Roman" w:eastAsia="宋体"/>
          <w:b w:val="0"/>
          <w:sz w:val="21"/>
        </w:rPr>
        <w:t xml:space="preserve">表5-10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11340.87</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5751.81</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2040.34</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19133.01</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11648.73</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782.07</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1916.05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14346.85</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2657.80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2657.80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1446.64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1446.64</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主变费用现值增加307.86万元，储能和联络分别减少4969.74万元、124.29万元，合计减少4786.17万元。首年较充分的主变补强降低了后续配储需求，储能费用减少是该地区费用差的主要来源。两类方案2024年起总容量相同，但主变采购及配套措施的时序不同。</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以1446.64万元主变费用现值替代刚性方案2657.80万元联络费用，合计减少1211.17万元。既有转供在两类方案中均提供支援，费用优势来自新增补强方式的不同。两地区合计降幅由上述分项变化形成，区域容量变化与费用变化分别按设备及工程项目解释。</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（5-10）</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表5-11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-0.19</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-0.19</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-0.10</w:t>
            </w:r>
          </w:p>
        </w:tc>
      </w:tr>
    </w:tbl>
    <w:p>
      <w:pPr>
        <w:pStyle w:val="5"/>
        <w:keepNext/>
        <w:numPr>
          <w:numId w:val="0"/>
        </w:numPr>
        <w:spacing w:line="390" w:lineRule="exact" w:before="160" w:after="120"/>
        <w:ind w:firstLine="0"/>
      </w:pPr>
      <w:bookmarkStart w:id="194" w:name="邳州逐站规划方案"/>
      <w:r>
        <w:rPr>
          <w:rFonts w:ascii="Times New Roman" w:hAnsi="Times New Roman" w:eastAsia="方正仿宋_GBK"/>
          <w:b/>
          <w:sz w:val="26"/>
        </w:rPr>
        <w:t xml:space="preserve">5.4.5 邳州逐站规划方案</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逐站表格列示区域正向峰值和最低净负荷两个代表工况的转接量，完整校核同时覆盖各站局部极值截面。主变N-1按本站最大单台容量扣除，健康邻站保留正常可用容量，转供使用已投运线路。</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列示两类方案的四年设备状态及区域正向峰值正常转接，随后结合2025年两代表工况和四年中本站绝对功率最大的校核工况，解释主变N-1后的站间支援。表中储能均为在役额定功率，支撑能力另按邳州2 h及可用电量折算。</w:t>
      </w:r>
    </w:p>
    <w:p>
      <w:pPr>
        <w:pStyle w:val="7"/>
        <w:keepNext/>
        <w:numPr>
          <w:numId w:val="0"/>
        </w:numPr>
        <w:spacing w:line="360" w:lineRule="exact" w:before="160" w:after="120"/>
        <w:ind w:firstLine="0"/>
      </w:pPr>
      <w:bookmarkStart w:id="195" w:name="八义集变规划分析"/>
      <w:r>
        <w:rPr>
          <w:rFonts w:ascii="Times New Roman" w:hAnsi="Times New Roman" w:eastAsia="方正仿宋_GBK"/>
          <w:b/>
          <w:sz w:val="24"/>
        </w:rPr>
        <w:t xml:space="preserve">八义集变规划分析</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MVA。四年保留初始主变组合。2025年新增0.60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2025年本站最大正向、反向净负荷分别为37.23 MW、19.12 MW。刚性方案当年主变容量为70.00 MVA、储能额定功率0.60 MW；弹性方案分别为70.00 MVA和0.60 MW。两类方案本站主变总容量相同。弹性方案按当年各站局部极值计算的站级负载率为56%。</w:t>
      </w:r>
    </w:p>
    <w:p>
      <w:pPr>
        <w:pStyle w:val="2"/>
        <w:keepNext/>
        <w:spacing w:line="280" w:lineRule="exact" w:before="120" w:after="80"/>
        <w:ind w:firstLine="0"/>
        <w:jc w:val="center"/>
      </w:pPr>
      <w:r>
        <w:rPr>
          <w:rFonts w:ascii="Times New Roman" w:hAnsi="Times New Roman" w:eastAsia="宋体"/>
          <w:b w:val="0"/>
          <w:sz w:val="21"/>
        </w:rPr>
        <w:t xml:space="preserve">表5-12 八义集变年度配置与正向峰值正常转接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26.13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24.11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27.32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26.13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24.11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27.32</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0.60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MW，转接后净负荷为30.29 MW；区域最低净负荷工况下为-6.39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本站最大单台主变停运后剩余容量为20.00 MVA。两代表工况重新转供后的本站净负荷分别为19.49 MW、-6.39 MW，两方向最小容量余量为0.00 MW，正向储能有效支撑功率为0.49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四年校核截面中，本站绝对功率最大的工况出现在2025年，转接前为37.23 MW，主要表现为正向受电需求。按该年设备扣除最大单台主变后，剩余容量20.00 MVA。故障方式下本站转出17.74 MW、承接0.00 MW，其中与土山变之间的主要转出功率为14.46 MW，转接后净负荷为19.49 MW。这一工况通过邻站分担本站故障后的正向负荷。</w:t>
      </w:r>
    </w:p>
    <w:p>
      <w:pPr>
        <w:pStyle w:val="7"/>
        <w:keepNext/>
        <w:numPr>
          <w:numId w:val="0"/>
        </w:numPr>
        <w:spacing w:line="360" w:lineRule="exact" w:before="160" w:after="120"/>
        <w:ind w:firstLine="0"/>
      </w:pPr>
      <w:bookmarkStart w:id="196" w:name="大宋变规划分析"/>
      <w:r>
        <w:rPr>
          <w:rFonts w:ascii="Times New Roman" w:hAnsi="Times New Roman" w:eastAsia="方正仿宋_GBK"/>
          <w:b/>
          <w:sz w:val="24"/>
        </w:rPr>
        <w:t xml:space="preserve">大宋变规划分析</w:t>
      </w:r>
      <w:bookmarkEnd w:id="19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2025年本站最大正向、反向净负荷分别为69.44 MW、31.77 MW。刚性方案当年主变容量为103.00 MVA、储能额定功率0.00 MW；弹性方案分别为103.00 MVA和0.00 MW。两类方案本站主变总容量相同。弹性方案按当年各站局部极值计算的站级负载率为71%。</w:t>
      </w:r>
    </w:p>
    <w:p>
      <w:pPr>
        <w:pStyle w:val="2"/>
        <w:keepNext/>
        <w:spacing w:line="280" w:lineRule="exact" w:before="120" w:after="80"/>
        <w:ind w:firstLine="0"/>
        <w:jc w:val="center"/>
      </w:pPr>
      <w:r>
        <w:rPr>
          <w:rFonts w:ascii="Times New Roman" w:hAnsi="Times New Roman" w:eastAsia="宋体"/>
          <w:b w:val="0"/>
          <w:sz w:val="21"/>
        </w:rPr>
        <w:t xml:space="preserve">表5-13 大宋变年度配置与正向峰值正常转接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59.89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55.27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62.63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59.89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55.27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62.63</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69.44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MW，转接后净负荷为69.44 MW；区域最低净负荷工况下为-31.77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MW、-31.77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四年校核截面中，本站绝对功率最大的工况出现在2025年，转接前为69.44 MW，主要表现为正向受电需求。按该年设备扣除最大单台主变后，剩余容量40.00 MVA。故障方式下本站转出31.44 MW、承接0.00 MW，其中与宿羊山变之间的主要转出功率为12.15 MW，转接后净负荷为38.00 MW。这一工况通过邻站分担本站故障后的正向负荷。</w:t>
      </w:r>
    </w:p>
    <w:p>
      <w:pPr>
        <w:pStyle w:val="7"/>
        <w:keepNext/>
        <w:numPr>
          <w:numId w:val="0"/>
        </w:numPr>
        <w:spacing w:line="360" w:lineRule="exact" w:before="160" w:after="120"/>
        <w:ind w:firstLine="0"/>
      </w:pPr>
      <w:bookmarkStart w:id="197" w:name="戴圩变规划分析"/>
      <w:r>
        <w:rPr>
          <w:rFonts w:ascii="Times New Roman" w:hAnsi="Times New Roman" w:eastAsia="方正仿宋_GBK"/>
          <w:b/>
          <w:sz w:val="24"/>
        </w:rPr>
        <w:t xml:space="preserve">戴圩变规划分析</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2025年本站最大正向、反向净负荷分别为30.30 MW、24.46 MW。刚性方案当年主变容量为70.00 MVA、储能额定功率0.00 MW；弹性方案分别为70.00 MVA和0.00 MW。两类方案本站主变总容量相同。弹性方案按当年各站局部极值计算的站级负载率为46%。</w:t>
      </w:r>
    </w:p>
    <w:p>
      <w:pPr>
        <w:pStyle w:val="2"/>
        <w:keepNext/>
        <w:spacing w:line="280" w:lineRule="exact" w:before="120" w:after="80"/>
        <w:ind w:firstLine="0"/>
        <w:jc w:val="center"/>
      </w:pPr>
      <w:r>
        <w:rPr>
          <w:rFonts w:ascii="Times New Roman" w:hAnsi="Times New Roman" w:eastAsia="宋体"/>
          <w:b w:val="0"/>
          <w:sz w:val="21"/>
        </w:rPr>
        <w:t xml:space="preserve">表5-14 戴圩变年度配置与正向峰值正常转接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23.58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21.76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24.66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23.58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21.76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24.66</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MW，转接后净负荷为27.34 MW；区域最低净负荷工况下为-24.10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四年校核截面中，本站绝对功率最大的工况出现在2025年，转接前为30.30 MW，主要表现为正向受电需求。按该年设备扣除最大单台主变后，剩余容量20.00 MVA。故障方式下本站转出11.30 MW、承接0.00 MW，其中与坊上变之间的主要转出功率为11.30 MW，转接后净负荷为19.00 MW。这一工况通过邻站分担本站故障后的正向负荷。</w:t>
      </w:r>
    </w:p>
    <w:p>
      <w:pPr>
        <w:pStyle w:val="7"/>
        <w:keepNext/>
        <w:numPr>
          <w:numId w:val="0"/>
        </w:numPr>
        <w:spacing w:line="360" w:lineRule="exact" w:before="160" w:after="120"/>
        <w:ind w:firstLine="0"/>
      </w:pPr>
      <w:bookmarkStart w:id="198" w:name="戴庄变规划分析"/>
      <w:r>
        <w:rPr>
          <w:rFonts w:ascii="Times New Roman" w:hAnsi="Times New Roman" w:eastAsia="方正仿宋_GBK"/>
          <w:b/>
          <w:sz w:val="24"/>
        </w:rPr>
        <w:t xml:space="preserve">戴庄变规划分析</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该站初始主变组合为20+31.5 MVA。2022年20 MVA更换为50 MVA，31.5 MVA更换为50 MVA。弹性方案四年均由主变及网络承担供电任务。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2025年本站最大正向、反向净负荷分别为30.59 MW、47.47 MW。刚性方案当年主变容量为100.00 MVA、储能额定功率0.00 MW；弹性方案分别为100.00 MVA和0.00 MW。两类方案本站主变总容量相同。弹性方案按当年各站局部极值计算的站级负载率为50%。</w:t>
      </w:r>
    </w:p>
    <w:p>
      <w:pPr>
        <w:pStyle w:val="2"/>
        <w:keepNext/>
        <w:spacing w:line="280" w:lineRule="exact" w:before="120" w:after="80"/>
        <w:ind w:firstLine="0"/>
        <w:jc w:val="center"/>
      </w:pPr>
      <w:r>
        <w:rPr>
          <w:rFonts w:ascii="Times New Roman" w:hAnsi="Times New Roman" w:eastAsia="宋体"/>
          <w:b w:val="0"/>
          <w:sz w:val="21"/>
        </w:rPr>
        <w:t xml:space="preserve">表5-15 戴庄变年度配置与正向峰值正常转接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26.39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24.35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27.59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26.39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24.35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27.59</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MW，转接后净负荷为30.59 MW；区域最低净负荷工况下为-46.10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本站最大单台主变停运后剩余容量为50.00 MVA。两代表工况重新转供后的本站净负荷分别为30.59 MW、-46.10 MW，两方向最小容量余量为1.40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四年校核截面中，本站绝对功率最大的工况出现在2025年，转接前为-47.47 MW，主要表现为反向输送需求。按该年设备扣除最大单台主变后，剩余容量50.00 MVA。该工况本站由剩余主变满足承载要求。</w:t>
      </w:r>
    </w:p>
    <w:p>
      <w:pPr>
        <w:pStyle w:val="7"/>
        <w:keepNext/>
        <w:numPr>
          <w:numId w:val="0"/>
        </w:numPr>
        <w:spacing w:line="360" w:lineRule="exact" w:before="160" w:after="120"/>
        <w:ind w:firstLine="0"/>
      </w:pPr>
      <w:bookmarkStart w:id="199" w:name="杜村变规划分析"/>
      <w:r>
        <w:rPr>
          <w:rFonts w:ascii="Times New Roman" w:hAnsi="Times New Roman" w:eastAsia="方正仿宋_GBK"/>
          <w:b/>
          <w:sz w:val="24"/>
        </w:rPr>
        <w:t xml:space="preserve">杜村变规划分析</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2025年本站最大正向、反向净负荷分别为92.06 MW、18.13 MW。刚性方案当年主变容量为80.00 MVA、储能额定功率0.00 MW；弹性方案分别为80.00 MVA和0.00 MW。两类方案本站主变总容量相同。弹性方案按当年各站局部极值计算的站级负载率为121%。</w:t>
      </w:r>
    </w:p>
    <w:p>
      <w:pPr>
        <w:pStyle w:val="2"/>
        <w:keepNext/>
        <w:spacing w:line="280" w:lineRule="exact" w:before="120" w:after="80"/>
        <w:ind w:firstLine="0"/>
        <w:jc w:val="center"/>
      </w:pPr>
      <w:r>
        <w:rPr>
          <w:rFonts w:ascii="Times New Roman" w:hAnsi="Times New Roman" w:eastAsia="宋体"/>
          <w:b w:val="0"/>
          <w:sz w:val="21"/>
        </w:rPr>
        <w:t xml:space="preserve">表5-16 杜村变年度配置与正向峰值正常转接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72.15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66.58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75.45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72.15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66.58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75.45</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2025年区域正向峰值正常工况下，本站转出7.65 MW、承接0.00 MW，转接后净负荷为76.00 MW；区域最低净负荷工况下为1.66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MW、1.66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四年校核截面中，本站绝对功率最大的工况出现在2025年，转接前为92.06 MW，主要表现为正向受电需求。按该年设备扣除最大单台主变后，剩余容量40.00 MVA。故障方式下本站转出54.06 MW、承接0.00 MW，其中与河湾变之间的主要转出功率为25.59 MW，转接后净负荷为38.00 MW。这一工况通过邻站分担本站故障后的正向负荷。</w:t>
      </w:r>
    </w:p>
    <w:p>
      <w:pPr>
        <w:pStyle w:val="7"/>
        <w:keepNext/>
        <w:numPr>
          <w:numId w:val="0"/>
        </w:numPr>
        <w:spacing w:line="360" w:lineRule="exact" w:before="160" w:after="120"/>
        <w:ind w:firstLine="0"/>
      </w:pPr>
      <w:bookmarkStart w:id="200" w:name="墩集变规划分析"/>
      <w:r>
        <w:rPr>
          <w:rFonts w:ascii="Times New Roman" w:hAnsi="Times New Roman" w:eastAsia="方正仿宋_GBK"/>
          <w:b/>
          <w:sz w:val="24"/>
        </w:rPr>
        <w:t xml:space="preserve">墩集变规划分析</w:t>
      </w:r>
      <w:bookmarkEnd w:id="20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2025年本站最大正向、反向净负荷分别为59.52 MW、35.45 MW。刚性方案当年主变容量为70.00 MVA、储能额定功率0.00 MW；弹性方案分别为70.00 MVA和0.00 MW。两类方案本站主变总容量相同。弹性方案按当年各站局部极值计算的站级负载率为90%。</w:t>
      </w:r>
    </w:p>
    <w:p>
      <w:pPr>
        <w:pStyle w:val="2"/>
        <w:keepNext/>
        <w:spacing w:line="280" w:lineRule="exact" w:before="120" w:after="80"/>
        <w:ind w:firstLine="0"/>
        <w:jc w:val="center"/>
      </w:pPr>
      <w:r>
        <w:rPr>
          <w:rFonts w:ascii="Times New Roman" w:hAnsi="Times New Roman" w:eastAsia="宋体"/>
          <w:b w:val="0"/>
          <w:sz w:val="21"/>
        </w:rPr>
        <w:t xml:space="preserve">表5-17 墩集变年度配置与正向峰值正常转接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47.48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43.81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49.65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47.48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43.81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49.65</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MW，转接后净负荷为55.05 MW；区域最低净负荷工况下为-35.45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四年校核截面中，本站绝对功率最大的工况出现在2025年，转接前为59.52 MW，主要表现为正向受电需求。按该年设备扣除最大单台主变后，剩余容量20.00 MVA。故障方式下本站转出40.52 MW、承接0.00 MW，其中与议堂变之间的主要转出功率为12.49 MW，转接后净负荷为19.00 MW。这一工况通过邻站分担本站故障后的正向负荷。</w:t>
      </w:r>
    </w:p>
    <w:p>
      <w:pPr>
        <w:pStyle w:val="7"/>
        <w:keepNext/>
        <w:numPr>
          <w:numId w:val="0"/>
        </w:numPr>
        <w:spacing w:line="360" w:lineRule="exact" w:before="160" w:after="120"/>
        <w:ind w:firstLine="0"/>
      </w:pPr>
      <w:bookmarkStart w:id="201" w:name="二庙变规划分析"/>
      <w:r>
        <w:rPr>
          <w:rFonts w:ascii="Times New Roman" w:hAnsi="Times New Roman" w:eastAsia="方正仿宋_GBK"/>
          <w:b/>
          <w:sz w:val="24"/>
        </w:rPr>
        <w:t xml:space="preserve">二庙变规划分析</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该站初始主变组合为31.5+80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2025年本站最大正向、反向净负荷分别为103.56 MW、0.00 MW。刚性方案当年主变容量为111.50 MVA、储能额定功率0.00 MW；弹性方案分别为111.50 MVA和0.00 MW。两类方案本站主变总容量相同。弹性方案按当年各站局部极值计算的站级负载率为98%。</w:t>
      </w:r>
    </w:p>
    <w:p>
      <w:pPr>
        <w:pStyle w:val="2"/>
        <w:keepNext/>
        <w:spacing w:line="280" w:lineRule="exact" w:before="120" w:after="80"/>
        <w:ind w:firstLine="0"/>
        <w:jc w:val="center"/>
      </w:pPr>
      <w:r>
        <w:rPr>
          <w:rFonts w:ascii="Times New Roman" w:hAnsi="Times New Roman" w:eastAsia="宋体"/>
          <w:b w:val="0"/>
          <w:sz w:val="21"/>
        </w:rPr>
        <w:t xml:space="preserve">表5-18 二庙变年度配置与正向峰值正常转接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77.42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71.43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80.95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77.42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71.43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80.95</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89.75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MW，转接后净负荷为89.75 MW；区域最低净负荷工况下为31.86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本站最大单台主变停运后剩余容量为31.50 MVA。两代表工况重新转供后的本站净负荷分别为29.93 MW、29.92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四年校核截面中，本站绝对功率最大的工况出现在2025年，转接前为103.56 MW，主要表现为正向受电需求。按该年设备扣除最大单台主变后，剩余容量31.50 MVA。故障方式下本站转出73.63 MW、承接0.00 MW，其中与吴闸变之间的主要转出功率为17.47 MW，转接后净负荷为29.93 MW。这一工况通过邻站分担本站故障后的正向负荷。</w:t>
      </w:r>
    </w:p>
    <w:p>
      <w:pPr>
        <w:pStyle w:val="7"/>
        <w:keepNext/>
        <w:numPr>
          <w:numId w:val="0"/>
        </w:numPr>
        <w:spacing w:line="360" w:lineRule="exact" w:before="160" w:after="120"/>
        <w:ind w:firstLine="0"/>
      </w:pPr>
      <w:bookmarkStart w:id="202" w:name="坊上变规划分析"/>
      <w:r>
        <w:rPr>
          <w:rFonts w:ascii="Times New Roman" w:hAnsi="Times New Roman" w:eastAsia="方正仿宋_GBK"/>
          <w:b/>
          <w:sz w:val="24"/>
        </w:rPr>
        <w:t xml:space="preserve">坊上变规划分析</w:t>
      </w:r>
      <w:bookmarkEnd w:id="20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2025年本站最大正向、反向净负荷分别为39.89 MW、29.68 MW。刚性方案当年主变容量为71.50 MVA、储能额定功率0.00 MW；弹性方案分别为71.50 MVA和0.00 MW。两类方案本站主变总容量相同。弹性方案按当年各站局部极值计算的站级负载率为59%。</w:t>
      </w:r>
    </w:p>
    <w:p>
      <w:pPr>
        <w:pStyle w:val="2"/>
        <w:keepNext/>
        <w:spacing w:line="280" w:lineRule="exact" w:before="120" w:after="80"/>
        <w:ind w:firstLine="0"/>
        <w:jc w:val="center"/>
      </w:pPr>
      <w:r>
        <w:rPr>
          <w:rFonts w:ascii="Times New Roman" w:hAnsi="Times New Roman" w:eastAsia="宋体"/>
          <w:b w:val="0"/>
          <w:sz w:val="21"/>
        </w:rPr>
        <w:t xml:space="preserve">表5-19 坊上变年度配置与正向峰值正常转接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32.67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30.14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34.16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32.67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30.14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34.16</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37.87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MW，转接后净负荷为37.87 MW；区域最低净负荷工况下为-29.68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本站最大单台主变停运后剩余容量为31.50 MVA。两代表工况重新转供后的本站净负荷分别为29.92 MW、-29.68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四年校核截面中，本站绝对功率最大的工况出现在2025年，转接前为39.89 MW，主要表现为正向受电需求。按该年设备扣除最大单台主变后，剩余容量31.50 MVA。故障方式下本站转出9.96 MW、承接0.00 MW，其中与杜村变之间的主要转出功率为9.96 MW，转接后净负荷为29.92 MW。这一工况通过邻站分担本站故障后的正向负荷。</w:t>
      </w:r>
    </w:p>
    <w:p>
      <w:pPr>
        <w:pStyle w:val="7"/>
        <w:keepNext/>
        <w:numPr>
          <w:numId w:val="0"/>
        </w:numPr>
        <w:spacing w:line="360" w:lineRule="exact" w:before="160" w:after="120"/>
        <w:ind w:firstLine="0"/>
      </w:pPr>
      <w:bookmarkStart w:id="203" w:name="富山变规划分析"/>
      <w:r>
        <w:rPr>
          <w:rFonts w:ascii="Times New Roman" w:hAnsi="Times New Roman" w:eastAsia="方正仿宋_GBK"/>
          <w:b/>
          <w:sz w:val="24"/>
        </w:rPr>
        <w:t xml:space="preserve">富山变规划分析</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MVA。2022年20 MVA更换为31.5 MVA。弹性方案四年均由主变及网络承担供电任务。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2025年本站最大正向、反向净负荷分别为27.54 MW、27.00 MW。刚性方案当年主变容量为81.50 MVA、储能额定功率0.00 MW；弹性方案分别为81.50 MVA和0.00 MW。两类方案本站主变总容量相同。弹性方案按当年各站局部极值计算的站级负载率为36%。</w:t>
      </w:r>
    </w:p>
    <w:p>
      <w:pPr>
        <w:pStyle w:val="2"/>
        <w:keepNext/>
        <w:spacing w:line="280" w:lineRule="exact" w:before="120" w:after="80"/>
        <w:ind w:firstLine="0"/>
        <w:jc w:val="center"/>
      </w:pPr>
      <w:r>
        <w:rPr>
          <w:rFonts w:ascii="Times New Roman" w:hAnsi="Times New Roman" w:eastAsia="宋体"/>
          <w:b w:val="0"/>
          <w:sz w:val="21"/>
        </w:rPr>
        <w:t xml:space="preserve">表5-20 富山变年度配置与正向峰值正常转接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22.94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21.17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23.99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22.94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21.17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23.99</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MW，转接后净负荷为26.59 MW；区域最低净负荷工况下为-19.32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本站最大单台主变停运后剩余容量为31.50 MVA。两代表工况重新转供后的本站净负荷分别为26.59 MW、-19.32 MW，两方向最小容量余量为3.33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四年校核截面中，本站绝对功率最大的工况出现在2025年，转接前为27.54 MW，主要表现为正向受电需求。按该年设备扣除最大单台主变后，剩余容量31.50 MVA。该工况本站由剩余主变满足承载要求。</w:t>
      </w:r>
    </w:p>
    <w:p>
      <w:pPr>
        <w:pStyle w:val="7"/>
        <w:keepNext/>
        <w:numPr>
          <w:numId w:val="0"/>
        </w:numPr>
        <w:spacing w:line="360" w:lineRule="exact" w:before="160" w:after="120"/>
        <w:ind w:firstLine="0"/>
      </w:pPr>
      <w:bookmarkStart w:id="204" w:name="河湾变规划分析"/>
      <w:r>
        <w:rPr>
          <w:rFonts w:ascii="Times New Roman" w:hAnsi="Times New Roman" w:eastAsia="方正仿宋_GBK"/>
          <w:b/>
          <w:sz w:val="24"/>
        </w:rPr>
        <w:t xml:space="preserve">河湾变规划分析</w:t>
      </w:r>
      <w:bookmarkEnd w:id="20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该站初始主变组合为20+80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2025年本站最大正向、反向净负荷分别为73.11 MW、4.58 MW。刚性方案当年主变容量为100.00 MVA、储能额定功率0.00 MW；弹性方案分别为100.00 MVA和0.00 MW。两类方案本站主变总容量相同。弹性方案按当年各站局部极值计算的站级负载率为77%。</w:t>
      </w:r>
    </w:p>
    <w:p>
      <w:pPr>
        <w:pStyle w:val="2"/>
        <w:keepNext/>
        <w:spacing w:line="280" w:lineRule="exact" w:before="120" w:after="80"/>
        <w:ind w:firstLine="0"/>
        <w:jc w:val="center"/>
      </w:pPr>
      <w:r>
        <w:rPr>
          <w:rFonts w:ascii="Times New Roman" w:hAnsi="Times New Roman" w:eastAsia="宋体"/>
          <w:b w:val="0"/>
          <w:sz w:val="21"/>
        </w:rPr>
        <w:t xml:space="preserve">表5-21 河湾变年度配置与正向峰值正常转接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61.49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56.74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64.30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61.49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56.74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64.30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71.29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MW，转接后净负荷为71.29 MW；区域最低净负荷工况下为-3.50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本站最大单台主变停运后剩余容量为20.00 MVA。两代表工况重新转供后的本站净负荷分别为19.00 MW、-3.50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四年校核截面中，本站绝对功率最大的工况出现在2025年，转接前为73.11 MW，主要表现为正向受电需求。按该年设备扣除最大单台主变后，剩余容量20.00 MVA。故障方式下本站转出54.11 MW、承接0.00 MW，其中与吴闸变之间的主要转出功率为16.29 MW，转接后净负荷为19.00 MW。这一工况通过邻站分担本站故障后的正向负荷。</w:t>
      </w:r>
    </w:p>
    <w:p>
      <w:pPr>
        <w:pStyle w:val="7"/>
        <w:keepNext/>
        <w:numPr>
          <w:numId w:val="0"/>
        </w:numPr>
        <w:spacing w:line="360" w:lineRule="exact" w:before="160" w:after="120"/>
        <w:ind w:firstLine="0"/>
      </w:pPr>
      <w:bookmarkStart w:id="205" w:name="邳城变规划分析"/>
      <w:r>
        <w:rPr>
          <w:rFonts w:ascii="Times New Roman" w:hAnsi="Times New Roman" w:eastAsia="方正仿宋_GBK"/>
          <w:b/>
          <w:sz w:val="24"/>
        </w:rPr>
        <w:t xml:space="preserve">邳城变规划分析</w:t>
      </w:r>
      <w:bookmarkEnd w:id="20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MVA。2022年20 MVA更换为31.5 MVA。2025年新增1.10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2025年本站最大正向、反向净负荷分别为22.90 MW、30.97 MW。刚性方案当年主变容量为81.50 MVA、储能额定功率8.20 MW；弹性方案分别为81.50 MVA和1.10 MW。两类方案本站主变总容量相同。弹性方案按当年各站局部极值计算的站级负载率为40%。</w:t>
      </w:r>
    </w:p>
    <w:p>
      <w:pPr>
        <w:pStyle w:val="2"/>
        <w:keepNext/>
        <w:spacing w:line="280" w:lineRule="exact" w:before="120" w:after="80"/>
        <w:ind w:firstLine="0"/>
        <w:jc w:val="center"/>
      </w:pPr>
      <w:r>
        <w:rPr>
          <w:rFonts w:ascii="Times New Roman" w:hAnsi="Times New Roman" w:eastAsia="宋体"/>
          <w:b w:val="0"/>
          <w:sz w:val="21"/>
        </w:rPr>
        <w:t xml:space="preserve">表5-22 邳城变年度配置与正向峰值正常转接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19.76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18.23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20.66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19.76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18.23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20.66</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31.5+50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MW，转接后净负荷为22.90 MW；区域最低净负荷工况下为-28.74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本站最大单台主变停运后剩余容量为31.50 MVA。两代表工况重新转供后的本站净负荷分别为22.90 MW、-28.74 MW，两方向最小容量余量为2.28 MW，正向储能有效支撑功率为0.90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四年校核截面中，本站绝对功率最大的工况出现在2025年，转接前为-30.97 MW，主要表现为反向输送需求。按该年设备扣除最大单台主变后，剩余容量31.50 MVA。该工况本站未发生站间转接，储能相应方向有效支撑1.10 MW，与剩余主变共同满足承载要求。</w:t>
      </w:r>
    </w:p>
    <w:p>
      <w:pPr>
        <w:pStyle w:val="7"/>
        <w:keepNext/>
        <w:numPr>
          <w:numId w:val="0"/>
        </w:numPr>
        <w:spacing w:line="360" w:lineRule="exact" w:before="160" w:after="120"/>
        <w:ind w:firstLine="0"/>
      </w:pPr>
      <w:bookmarkStart w:id="206" w:name="邳州变规划分析"/>
      <w:r>
        <w:rPr>
          <w:rFonts w:ascii="Times New Roman" w:hAnsi="Times New Roman" w:eastAsia="方正仿宋_GBK"/>
          <w:b/>
          <w:sz w:val="24"/>
        </w:rPr>
        <w:t xml:space="preserve">邳州变规划分析</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该站初始主变组合为31.5+80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2025年本站最大正向、反向净负荷分别为69.39 MW、0.00 MW。刚性方案当年主变容量为111.50 MVA、储能额定功率0.00 MW；弹性方案分别为111.50 MVA和0.00 MW。两类方案本站主变总容量相同。弹性方案按当年各站局部极值计算的站级负载率为66%。</w:t>
      </w:r>
    </w:p>
    <w:p>
      <w:pPr>
        <w:pStyle w:val="2"/>
        <w:keepNext/>
        <w:spacing w:line="280" w:lineRule="exact" w:before="120" w:after="80"/>
        <w:ind w:firstLine="0"/>
        <w:jc w:val="center"/>
      </w:pPr>
      <w:r>
        <w:rPr>
          <w:rFonts w:ascii="Times New Roman" w:hAnsi="Times New Roman" w:eastAsia="宋体"/>
          <w:b w:val="0"/>
          <w:sz w:val="21"/>
        </w:rPr>
        <w:t xml:space="preserve">表5-23 邳州变年度配置与正向峰值正常转接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58.63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54.10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61.31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75.62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58.63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54.10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61.31</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31.5+80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75.62</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MW、承接7.65 MW，转接后净负荷为75.62 MW；区域最低净负荷工况下为11.99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本站最大单台主变停运后剩余容量为31.50 MVA。两代表工况重新转供后的本站净负荷分别为29.92 MW、11.99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四年校核截面中，本站绝对功率最大的工况出现在2025年，转接前为69.39 MW，主要表现为正向受电需求。按该年设备扣除最大单台主变后，剩余容量31.50 MVA。故障方式下本站转出39.46 MW、承接0.00 MW，其中与河湾变之间的主要转出功率为17.96 MW，转接后净负荷为29.92 MW。这一工况通过邻站分担本站故障后的正向负荷。</w:t>
      </w:r>
    </w:p>
    <w:p>
      <w:pPr>
        <w:pStyle w:val="7"/>
        <w:keepNext/>
        <w:numPr>
          <w:numId w:val="0"/>
        </w:numPr>
        <w:spacing w:line="360" w:lineRule="exact" w:before="160" w:after="120"/>
        <w:ind w:firstLine="0"/>
      </w:pPr>
      <w:bookmarkStart w:id="207" w:name="宿羊山变规划分析"/>
      <w:r>
        <w:rPr>
          <w:rFonts w:ascii="Times New Roman" w:hAnsi="Times New Roman" w:eastAsia="方正仿宋_GBK"/>
          <w:b/>
          <w:sz w:val="24"/>
        </w:rPr>
        <w:t xml:space="preserve">宿羊山变规划分析</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MVA。四年保留初始主变组合。2025年新增1.10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2025年本站最大正向、反向净负荷分别为61.43 MW、30.80 MW。刚性方案当年主变容量为71.50 MVA、储能额定功率1.10 MW；弹性方案分别为71.50 MVA和1.10 MW。两类方案本站主变总容量相同。弹性方案按当年各站局部极值计算的站级负载率为90%。</w:t>
      </w:r>
    </w:p>
    <w:p>
      <w:pPr>
        <w:pStyle w:val="2"/>
        <w:keepNext/>
        <w:spacing w:line="280" w:lineRule="exact" w:before="120" w:after="80"/>
        <w:ind w:firstLine="0"/>
        <w:jc w:val="center"/>
      </w:pPr>
      <w:r>
        <w:rPr>
          <w:rFonts w:ascii="Times New Roman" w:hAnsi="Times New Roman" w:eastAsia="宋体"/>
          <w:b w:val="0"/>
          <w:sz w:val="21"/>
        </w:rPr>
        <w:t xml:space="preserve">表5-24 宿羊山变年度配置与正向峰值正常转接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52.99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48.89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55.40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52.99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48.89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55.40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31.5+40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61.43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MW，转接后净负荷为61.43 MW；区域最低净负荷工况下为-22.13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本站最大单台主变停运后剩余容量为31.50 MVA。两代表工况重新转供后的本站净负荷分别为30.82 MW、-22.13 MW，两方向最小容量余量为0.00 MW，正向储能有效支撑功率为0.90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四年校核截面中，本站绝对功率最大的工况出现在2025年，转接前为61.43 MW，主要表现为正向受电需求。按该年设备扣除最大单台主变后，剩余容量31.50 MVA。故障方式下本站转出30.60 MW、承接0.00 MW，其中与兴塘变之间的主要转出功率为14.20 MW，转接后净负荷为30.82 MW。这一工况通过邻站分担本站故障后的正向负荷。</w:t>
      </w:r>
    </w:p>
    <w:p>
      <w:pPr>
        <w:pStyle w:val="7"/>
        <w:keepNext/>
        <w:numPr>
          <w:numId w:val="0"/>
        </w:numPr>
        <w:spacing w:line="360" w:lineRule="exact" w:before="160" w:after="120"/>
        <w:ind w:firstLine="0"/>
      </w:pPr>
      <w:bookmarkStart w:id="208" w:name="铁富变规划分析"/>
      <w:r>
        <w:rPr>
          <w:rFonts w:ascii="Times New Roman" w:hAnsi="Times New Roman" w:eastAsia="方正仿宋_GBK"/>
          <w:b/>
          <w:sz w:val="24"/>
        </w:rPr>
        <w:t xml:space="preserve">铁富变规划分析</w:t>
      </w:r>
      <w:bookmarkEnd w:id="20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MVA。2022年31.5 MVA更换为63 MVA，40 MVA更换为63 MVA。弹性方案四年均由主变及网络承担供电任务。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2025年本站最大正向、反向净负荷分别为84.82 MW、57.21 MW。刚性方案当年主变容量为126.00 MVA、储能额定功率0.00 MW；弹性方案分别为126.00 MVA和0.00 MW。两类方案本站主变总容量相同。弹性方案按当年各站局部极值计算的站级负载率为71%。</w:t>
      </w:r>
    </w:p>
    <w:p>
      <w:pPr>
        <w:pStyle w:val="2"/>
        <w:keepNext/>
        <w:spacing w:line="280" w:lineRule="exact" w:before="120" w:after="80"/>
        <w:ind w:firstLine="0"/>
        <w:jc w:val="center"/>
      </w:pPr>
      <w:r>
        <w:rPr>
          <w:rFonts w:ascii="Times New Roman" w:hAnsi="Times New Roman" w:eastAsia="宋体"/>
          <w:b w:val="0"/>
          <w:sz w:val="21"/>
        </w:rPr>
        <w:t xml:space="preserve">表5-25 铁富变年度配置与正向峰值正常转接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70.88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65.40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74.11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70.88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65.40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74.11</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82.17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MW，转接后净负荷为82.17 MW；区域最低净负荷工况下为-52.21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本站最大单台主变停运后剩余容量为63.00 MVA。两代表工况重新转供后的本站净负荷分别为59.85 MW、-52.21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四年校核截面中，本站绝对功率最大的工况出现在2025年，转接前为84.82 MW，主要表现为正向受电需求。按该年设备扣除最大单台主变后，剩余容量63.00 MVA。故障方式下本站转出24.97 MW、承接0.00 MW，其中与汶河变之间的主要转出功率为8.27 MW，转接后净负荷为59.85 MW。这一工况通过邻站分担本站故障后的正向负荷。</w:t>
      </w:r>
    </w:p>
    <w:p>
      <w:pPr>
        <w:pStyle w:val="7"/>
        <w:keepNext/>
        <w:numPr>
          <w:numId w:val="0"/>
        </w:numPr>
        <w:spacing w:line="360" w:lineRule="exact" w:before="160" w:after="120"/>
        <w:ind w:firstLine="0"/>
      </w:pPr>
      <w:bookmarkStart w:id="209" w:name="土山变规划分析"/>
      <w:r>
        <w:rPr>
          <w:rFonts w:ascii="Times New Roman" w:hAnsi="Times New Roman" w:eastAsia="方正仿宋_GBK"/>
          <w:b/>
          <w:sz w:val="24"/>
        </w:rPr>
        <w:t xml:space="preserve">土山变规划分析</w:t>
      </w:r>
      <w:bookmarkEnd w:id="20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MVA。2022年20 MVA更换为50 MVA。弹性方案四年均由主变及网络承担供电任务。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2025年本站最大正向、反向净负荷分别为39.87 MW、37.65 MW。刚性方案当年主变容量为100.00 MVA、储能额定功率0.00 MW；弹性方案分别为100.00 MVA和0.00 MW。两类方案本站主变总容量相同。弹性方案按当年各站局部极值计算的站级负载率为42%。</w:t>
      </w:r>
    </w:p>
    <w:p>
      <w:pPr>
        <w:pStyle w:val="2"/>
        <w:keepNext/>
        <w:spacing w:line="280" w:lineRule="exact" w:before="120" w:after="80"/>
        <w:ind w:firstLine="0"/>
        <w:jc w:val="center"/>
      </w:pPr>
      <w:r>
        <w:rPr>
          <w:rFonts w:ascii="Times New Roman" w:hAnsi="Times New Roman" w:eastAsia="宋体"/>
          <w:b w:val="0"/>
          <w:sz w:val="21"/>
        </w:rPr>
        <w:t xml:space="preserve">表5-26 土山变年度配置与正向峰值正常转接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34.39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31.73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35.96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34.39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31.73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35.96</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39.87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MW，转接后净负荷为39.87 MW；区域最低净负荷工况下为-36.41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本站最大单台主变停运后剩余容量为50.00 MVA。两代表工况重新转供后的本站净负荷分别为39.87 MW、-36.41 MW，两方向最小容量余量为7.63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四年校核截面中，本站绝对功率最大的工况出现在2025年，转接前为39.87 MW，主要表现为正向受电需求。按该年设备扣除最大单台主变后，剩余容量50.00 MVA。该工况本站由剩余主变满足承载要求。</w:t>
      </w:r>
    </w:p>
    <w:p>
      <w:pPr>
        <w:pStyle w:val="7"/>
        <w:keepNext/>
        <w:numPr>
          <w:numId w:val="0"/>
        </w:numPr>
        <w:spacing w:line="360" w:lineRule="exact" w:before="160" w:after="120"/>
        <w:ind w:firstLine="0"/>
      </w:pPr>
      <w:bookmarkStart w:id="210" w:name="汶河变规划分析"/>
      <w:r>
        <w:rPr>
          <w:rFonts w:ascii="Times New Roman" w:hAnsi="Times New Roman" w:eastAsia="方正仿宋_GBK"/>
          <w:b/>
          <w:sz w:val="24"/>
        </w:rPr>
        <w:t xml:space="preserve">汶河变规划分析</w:t>
      </w:r>
      <w:bookmarkEnd w:id="21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该站初始主变组合为20+31.5 MVA。2022年20 MVA更换为31.5 MVA。弹性方案四年均由主变及网络承担供电任务。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2025年本站最大正向、反向净负荷分别为25.93 MW、28.94 MW。刚性方案当年主变容量为63.00 MVA、储能额定功率0.00 MW；弹性方案分别为63.00 MVA和0.00 MW。两类方案本站主变总容量相同。弹性方案按当年各站局部极值计算的站级负载率为48%。</w:t>
      </w:r>
    </w:p>
    <w:p>
      <w:pPr>
        <w:pStyle w:val="2"/>
        <w:keepNext/>
        <w:spacing w:line="280" w:lineRule="exact" w:before="120" w:after="80"/>
        <w:ind w:firstLine="0"/>
        <w:jc w:val="center"/>
      </w:pPr>
      <w:r>
        <w:rPr>
          <w:rFonts w:ascii="Times New Roman" w:hAnsi="Times New Roman" w:eastAsia="宋体"/>
          <w:b w:val="0"/>
          <w:sz w:val="21"/>
        </w:rPr>
        <w:t xml:space="preserve">表5-27 汶河变年度配置与正向峰值正常转接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19.68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18.16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22.81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19.68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18.16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20.58</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22.81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MW，转接后净负荷为22.81 MW；区域最低净负荷工况下为-27.24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本站最大单台主变停运后剩余容量为31.50 MVA。两代表工况重新转供后的本站净负荷分别为22.81 MW、-27.24 MW，两方向最小容量余量为2.69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四年校核截面中，本站绝对功率最大的工况出现在2025年，转接前为-28.94 MW，主要表现为反向输送需求。按该年设备扣除最大单台主变后，剩余容量31.50 MVA。该工况本站由剩余主变满足承载要求。</w:t>
      </w:r>
    </w:p>
    <w:p>
      <w:pPr>
        <w:pStyle w:val="7"/>
        <w:keepNext/>
        <w:numPr>
          <w:numId w:val="0"/>
        </w:numPr>
        <w:spacing w:line="360" w:lineRule="exact" w:before="160" w:after="120"/>
        <w:ind w:firstLine="0"/>
      </w:pPr>
      <w:bookmarkStart w:id="211" w:name="吴闸变规划分析"/>
      <w:r>
        <w:rPr>
          <w:rFonts w:ascii="Times New Roman" w:hAnsi="Times New Roman" w:eastAsia="方正仿宋_GBK"/>
          <w:b/>
          <w:sz w:val="24"/>
        </w:rPr>
        <w:t xml:space="preserve">吴闸变规划分析</w:t>
      </w:r>
      <w:bookmarkEnd w:id="21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2025年本站最大正向、反向净负荷分别为50.21 MW、0.00 MW。刚性方案当年主变容量为70.00 MVA、储能额定功率0.00 MW；弹性方案分别为70.00 MVA和0.00 MW。两类方案本站主变总容量相同。弹性方案按当年各站局部极值计算的站级负载率为76%。</w:t>
      </w:r>
    </w:p>
    <w:p>
      <w:pPr>
        <w:pStyle w:val="2"/>
        <w:keepNext/>
        <w:spacing w:line="280" w:lineRule="exact" w:before="120" w:after="80"/>
        <w:ind w:firstLine="0"/>
        <w:jc w:val="center"/>
      </w:pPr>
      <w:r>
        <w:rPr>
          <w:rFonts w:ascii="Times New Roman" w:hAnsi="Times New Roman" w:eastAsia="宋体"/>
          <w:b w:val="0"/>
          <w:sz w:val="21"/>
        </w:rPr>
        <w:t xml:space="preserve">表5-28 吴闸变年度配置与正向峰值正常转接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41.56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38.35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43.46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41.56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38.35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43.46</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48.18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MW，转接后净负荷为48.18 MW；区域最低净负荷工况下为2.19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本站最大单台主变停运后剩余容量为20.00 MVA。两代表工况重新转供后的本站净负荷分别为19.00 MW、2.19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四年校核截面中，本站绝对功率最大的工况出现在2025年，转接前为50.21 MW，主要表现为正向受电需求。按该年设备扣除最大单台主变后，剩余容量20.00 MVA。故障方式下本站转出31.21 MW、承接0.00 MW，其中与议堂变之间的主要转出功率为12.49 MW，转接后净负荷为19.00 MW。这一工况通过邻站分担本站故障后的正向负荷。</w:t>
      </w:r>
    </w:p>
    <w:p>
      <w:pPr>
        <w:pStyle w:val="7"/>
        <w:keepNext/>
        <w:numPr>
          <w:numId w:val="0"/>
        </w:numPr>
        <w:spacing w:line="360" w:lineRule="exact" w:before="160" w:after="120"/>
        <w:ind w:firstLine="0"/>
      </w:pPr>
      <w:bookmarkStart w:id="212" w:name="邢楼变规划分析"/>
      <w:r>
        <w:rPr>
          <w:rFonts w:ascii="Times New Roman" w:hAnsi="Times New Roman" w:eastAsia="方正仿宋_GBK"/>
          <w:b/>
          <w:sz w:val="24"/>
        </w:rPr>
        <w:t xml:space="preserve">邢楼变规划分析</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该站初始主变组合为20+20 MVA。2022年扩建第三台50 MVA主变。弹性方案四年均由主变及网络承担供电任务。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2025年本站最大正向、反向净负荷分别为19.20 MW、35.38 MW。刚性方案当年主变容量为113.00 MVA、储能额定功率1.10 MW；弹性方案分别为90.00 MVA和0.00 MW。弹性方案本站容量减少23.00 MVA。弹性方案按当年各站局部极值计算的站级负载率为41%。</w:t>
      </w:r>
    </w:p>
    <w:p>
      <w:pPr>
        <w:pStyle w:val="2"/>
        <w:keepNext/>
        <w:spacing w:line="280" w:lineRule="exact" w:before="120" w:after="80"/>
        <w:ind w:firstLine="0"/>
        <w:jc w:val="center"/>
      </w:pPr>
      <w:r>
        <w:rPr>
          <w:rFonts w:ascii="Times New Roman" w:hAnsi="Times New Roman" w:eastAsia="宋体"/>
          <w:b w:val="0"/>
          <w:sz w:val="21"/>
        </w:rPr>
        <w:t xml:space="preserve">表5-29 邢楼变年度配置与正向峰值正常转接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13.52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12.48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14.14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13.52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12.48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14.14</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15.68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MW，转接后净负荷为15.68 MW；区域最低净负荷工况下为-29.65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MVA。两代表工况重新转供后的本站净负荷分别为15.68 MW、-29.65 MW，两方向最小容量余量为8.35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四年校核截面中，本站绝对功率最大的工况出现在2025年，转接前为-35.38 MW，主要表现为反向输送需求。按该年设备扣除最大单台主变后，剩余容量40.00 MVA。该工况本站由剩余主变满足承载要求。</w:t>
      </w:r>
    </w:p>
    <w:p>
      <w:pPr>
        <w:pStyle w:val="7"/>
        <w:keepNext/>
        <w:numPr>
          <w:numId w:val="0"/>
        </w:numPr>
        <w:spacing w:line="360" w:lineRule="exact" w:before="160" w:after="120"/>
        <w:ind w:firstLine="0"/>
      </w:pPr>
      <w:bookmarkStart w:id="213" w:name="兴塘变规划分析"/>
      <w:r>
        <w:rPr>
          <w:rFonts w:ascii="Times New Roman" w:hAnsi="Times New Roman" w:eastAsia="方正仿宋_GBK"/>
          <w:b/>
          <w:sz w:val="24"/>
        </w:rPr>
        <w:t xml:space="preserve">兴塘变规划分析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该站初始主变组合为20+20 MVA。2022年20 MVA更换为31.5 MVA，20 MVA更换为31.5 MVA。2025年新增0.80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2025年本站最大正向、反向净负荷分别为39.15 MW、30.66 MW。刚性方案当年主变容量为40.00 MVA、储能额定功率11.70 MW；弹性方案分别为63.00 MVA和0.80 MW。弹性方案本站增加23.00 MVA容量。弹性方案按当年各站局部极值计算的站级负载率为65%。</w:t>
      </w:r>
    </w:p>
    <w:p>
      <w:pPr>
        <w:pStyle w:val="2"/>
        <w:keepNext/>
        <w:spacing w:line="280" w:lineRule="exact" w:before="120" w:after="80"/>
        <w:ind w:firstLine="0"/>
        <w:jc w:val="center"/>
      </w:pPr>
      <w:r>
        <w:rPr>
          <w:rFonts w:ascii="Times New Roman" w:hAnsi="Times New Roman" w:eastAsia="宋体"/>
          <w:b w:val="0"/>
          <w:sz w:val="21"/>
        </w:rPr>
        <w:t xml:space="preserve">表5-30 兴塘变年度配置与正向峰值正常转接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33.77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31.16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8.70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35.31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11.70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33.77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31.16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35.31</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31.5+31.5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39.15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MW，转接后净负荷为39.15 MW；区域最低净负荷工况下为-30.66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本站最大单台主变停运后剩余容量为31.50 MVA。两代表工况重新转供后的本站净负荷分别为30.58 MW、-30.66 MW，两方向最小容量余量为0.00 MW，正向储能有效支撑功率为0.65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四年校核截面中，本站绝对功率最大的工况出现在2025年，转接前为39.15 MW，主要表现为正向受电需求。按该年设备扣除最大单台主变后，剩余容量31.50 MVA。故障方式下本站转出8.57 MW、承接0.00 MW，其中与宿羊山变之间的主要转出功率为7.40 MW，转接后净负荷为30.58 MW。这一工况通过邻站分担本站故障后的正向负荷。</w:t>
      </w:r>
    </w:p>
    <w:p>
      <w:pPr>
        <w:pStyle w:val="7"/>
        <w:keepNext/>
        <w:numPr>
          <w:numId w:val="0"/>
        </w:numPr>
        <w:spacing w:line="360" w:lineRule="exact" w:before="160" w:after="120"/>
        <w:ind w:firstLine="0"/>
      </w:pPr>
      <w:bookmarkStart w:id="214" w:name="议堂变规划分析"/>
      <w:r>
        <w:rPr>
          <w:rFonts w:ascii="Times New Roman" w:hAnsi="Times New Roman" w:eastAsia="方正仿宋_GBK"/>
          <w:b/>
          <w:sz w:val="24"/>
        </w:rPr>
        <w:t xml:space="preserve">议堂变规划分析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2025年本站最大正向、反向净负荷分别为34.43 MW、22.89 MW。刚性方案当年主变容量为70.00 MVA、储能额定功率0.00 MW；弹性方案分别为70.00 MVA和0.00 MW。两类方案本站主变总容量相同。弹性方案按当年各站局部极值计算的站级负载率为52%。</w:t>
      </w:r>
    </w:p>
    <w:p>
      <w:pPr>
        <w:pStyle w:val="2"/>
        <w:keepNext/>
        <w:spacing w:line="280" w:lineRule="exact" w:before="120" w:after="80"/>
        <w:ind w:firstLine="0"/>
        <w:jc w:val="center"/>
      </w:pPr>
      <w:r>
        <w:rPr>
          <w:rFonts w:ascii="Times New Roman" w:hAnsi="Times New Roman" w:eastAsia="宋体"/>
          <w:b w:val="0"/>
          <w:sz w:val="21"/>
        </w:rPr>
        <w:t xml:space="preserve">表5-31 议堂变年度配置与正向峰值正常转接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27.40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31.06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27.40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31.06</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34.43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MW，转接后净负荷为34.43 MW；区域最低净负荷工况下为-21.58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四年校核截面中，本站绝对功率最大的工况出现在2025年，转接前为34.43 MW，主要表现为正向受电需求。按该年设备扣除最大单台主变后，剩余容量20.00 MVA。故障方式下本站转出15.43 MW、承接0.00 MW，其中与吴闸变之间的主要转出功率为15.43 MW，转接后净负荷为19.00 MW。这一工况通过邻站分担本站故障后的正向负荷。</w:t>
      </w:r>
    </w:p>
    <w:p>
      <w:pPr>
        <w:pStyle w:val="5"/>
        <w:keepNext/>
        <w:numPr>
          <w:numId w:val="0"/>
        </w:numPr>
        <w:spacing w:line="390" w:lineRule="exact" w:before="160" w:after="120"/>
        <w:ind w:firstLine="0"/>
      </w:pPr>
      <w:bookmarkStart w:id="215" w:name="市区逐站规划方案"/>
      <w:r>
        <w:rPr>
          <w:rFonts w:ascii="Times New Roman" w:hAnsi="Times New Roman" w:eastAsia="方正仿宋_GBK"/>
          <w:b/>
          <w:sz w:val="26"/>
        </w:rPr>
        <w:t xml:space="preserve">5.4.6 市区逐站规划方案</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16" w:name="大黄山变规划分析"/>
      <w:r>
        <w:rPr>
          <w:rFonts w:ascii="Times New Roman" w:hAnsi="Times New Roman" w:eastAsia="方正仿宋_GBK"/>
          <w:b/>
          <w:sz w:val="24"/>
        </w:rPr>
        <w:t xml:space="preserve">大黄山变规划分析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2025年本站最大正向、反向净负荷分别为32.29 MW、35.73 MW。刚性方案当年主变容量为103.00 MVA、储能额定功率0.00 MW；弹性方案分别为103.00 MVA和0.00 MW。两类方案本站主变总容量相同。弹性方案按当年各站局部极值计算的站级负载率为37%。</w:t>
      </w:r>
    </w:p>
    <w:p>
      <w:pPr>
        <w:pStyle w:val="2"/>
        <w:keepNext/>
        <w:spacing w:line="280" w:lineRule="exact" w:before="120" w:after="80"/>
        <w:ind w:firstLine="0"/>
        <w:jc w:val="center"/>
      </w:pPr>
      <w:r>
        <w:rPr>
          <w:rFonts w:ascii="Times New Roman" w:hAnsi="Times New Roman" w:eastAsia="宋体"/>
          <w:b w:val="0"/>
          <w:sz w:val="21"/>
        </w:rPr>
        <w:t xml:space="preserve">表5-32 大黄山变年度配置与正向峰值正常转接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28.66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30.86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28.66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30.86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29.00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MW，转接后净负荷为30.59 MW；区域最低净负荷工况下为-32.17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MVA。两代表工况重新转供后的本站净负荷分别为30.59 MW、-32.17 MW，两方向最小容量余量为5.83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四年校核截面中，本站绝对功率最大的工况出现在2023年，转接前为-36.05 MW，主要表现为反向输送需求。按该年设备扣除最大单台主变后，剩余容量40.00 MVA。该工况本站由剩余主变满足承载要求。</w:t>
      </w:r>
    </w:p>
    <w:p>
      <w:pPr>
        <w:pStyle w:val="7"/>
        <w:keepNext/>
        <w:numPr>
          <w:numId w:val="0"/>
        </w:numPr>
        <w:spacing w:line="360" w:lineRule="exact" w:before="160" w:after="120"/>
        <w:ind w:firstLine="0"/>
      </w:pPr>
      <w:bookmarkStart w:id="217" w:name="大庙变规划分析"/>
      <w:r>
        <w:rPr>
          <w:rFonts w:ascii="Times New Roman" w:hAnsi="Times New Roman" w:eastAsia="方正仿宋_GBK"/>
          <w:b/>
          <w:sz w:val="24"/>
        </w:rPr>
        <w:t xml:space="preserve">大庙变规划分析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2025年本站最大正向、反向净负荷分别为70.32 MW、8.70 MW。刚性方案当年主变容量为90.00 MVA、储能额定功率0.00 MW；弹性方案分别为90.00 MVA和0.00 MW。两类方案本站主变总容量相同。弹性方案按当年各站局部极值计算的站级负载率为82%。</w:t>
      </w:r>
    </w:p>
    <w:p>
      <w:pPr>
        <w:pStyle w:val="2"/>
        <w:keepNext/>
        <w:spacing w:line="280" w:lineRule="exact" w:before="120" w:after="80"/>
        <w:ind w:firstLine="0"/>
        <w:jc w:val="center"/>
      </w:pPr>
      <w:r>
        <w:rPr>
          <w:rFonts w:ascii="Times New Roman" w:hAnsi="Times New Roman" w:eastAsia="宋体"/>
          <w:b w:val="0"/>
          <w:sz w:val="21"/>
        </w:rPr>
        <w:t xml:space="preserve">表5-33 大庙变年度配置与正向峰值正常转接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65.33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70.34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66.11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65.33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70.34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66.11</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69.73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MW，转接后净负荷为69.73 MW；区域最低净负荷工况下为1.68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MW、1.68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四年校核截面中，本站绝对功率最大的工况出现在2023年，转接前为70.93 MW，主要表现为正向受电需求。按该年设备扣除最大单台主变后，剩余容量40.00 MVA。故障方式下本站转出32.93 MW、承接0.00 MW，其中与龙湖变之间的主要转出功率为13.08 MW，转接后净负荷为38.00 MW。这一工况通过邻站分担本站故障后的正向负荷。</w:t>
      </w:r>
    </w:p>
    <w:p>
      <w:pPr>
        <w:pStyle w:val="7"/>
        <w:keepNext/>
        <w:numPr>
          <w:numId w:val="0"/>
        </w:numPr>
        <w:spacing w:line="360" w:lineRule="exact" w:before="160" w:after="120"/>
        <w:ind w:firstLine="0"/>
      </w:pPr>
      <w:bookmarkStart w:id="218" w:name="堤北变规划分析"/>
      <w:r>
        <w:rPr>
          <w:rFonts w:ascii="Times New Roman" w:hAnsi="Times New Roman" w:eastAsia="方正仿宋_GBK"/>
          <w:b/>
          <w:sz w:val="24"/>
        </w:rPr>
        <w:t xml:space="preserve">堤北变规划分析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2025年本站最大正向、反向净负荷分别为102.93 MW、0.00 MW。刚性方案当年主变容量为126.00 MVA、储能额定功率0.00 MW；弹性方案分别为126.00 MVA和0.00 MW。两类方案本站主变总容量相同。弹性方案按当年各站局部极值计算的站级负载率为86%。</w:t>
      </w:r>
    </w:p>
    <w:p>
      <w:pPr>
        <w:pStyle w:val="2"/>
        <w:keepNext/>
        <w:spacing w:line="280" w:lineRule="exact" w:before="120" w:after="80"/>
        <w:ind w:firstLine="0"/>
        <w:jc w:val="center"/>
      </w:pPr>
      <w:r>
        <w:rPr>
          <w:rFonts w:ascii="Times New Roman" w:hAnsi="Times New Roman" w:eastAsia="宋体"/>
          <w:b w:val="0"/>
          <w:sz w:val="21"/>
        </w:rPr>
        <w:t xml:space="preserve">表5-34 堤北变年度配置与正向峰值正常转接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94.14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101.35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95.25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94.14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101.35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95.25</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100.47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MW，转接后净负荷为100.47 MW；区域最低净负荷工况下为32.89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本站最大单台主变停运后剩余容量为63.00 MVA。两代表工况重新转供后的本站净负荷分别为59.85 MW、32.89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四年校核截面中，本站绝对功率最大的工况出现在2023年，转接前为103.83 MW，主要表现为正向受电需求。按该年设备扣除最大单台主变后，剩余容量63.00 MVA。故障方式下本站转出43.98 MW、承接0.00 MW，其中与刘湾变之间的主要转出功率为25.46 MW，转接后净负荷为59.85 MW。这一工况通过邻站分担本站故障后的正向负荷。</w:t>
      </w:r>
    </w:p>
    <w:p>
      <w:pPr>
        <w:pStyle w:val="7"/>
        <w:keepNext/>
        <w:numPr>
          <w:numId w:val="0"/>
        </w:numPr>
        <w:spacing w:line="360" w:lineRule="exact" w:before="160" w:after="120"/>
        <w:ind w:firstLine="0"/>
      </w:pPr>
      <w:bookmarkStart w:id="219" w:name="翟山变规划分析"/>
      <w:r>
        <w:rPr>
          <w:rFonts w:ascii="Times New Roman" w:hAnsi="Times New Roman" w:eastAsia="方正仿宋_GBK"/>
          <w:b/>
          <w:sz w:val="24"/>
        </w:rPr>
        <w:t xml:space="preserve">翟山变规划分析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该站初始主变组合为40+80 MVA。2022年40 MVA更换为63 MVA。弹性方案四年均由主变及网络承担供电任务。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2025年本站最大正向、反向净负荷分别为95.63 MW、0.00 MW。刚性方案当年主变容量为120.00 MVA、储能额定功率0.00 MW；弹性方案分别为143.00 MVA和0.00 MW。弹性方案本站增加23.00 MVA容量。弹性方案按当年各站局部极值计算的站级负载率为70%。</w:t>
      </w:r>
    </w:p>
    <w:p>
      <w:pPr>
        <w:pStyle w:val="2"/>
        <w:keepNext/>
        <w:spacing w:line="280" w:lineRule="exact" w:before="120" w:after="80"/>
        <w:ind w:firstLine="0"/>
        <w:jc w:val="center"/>
      </w:pPr>
      <w:r>
        <w:rPr>
          <w:rFonts w:ascii="Times New Roman" w:hAnsi="Times New Roman" w:eastAsia="宋体"/>
          <w:b w:val="0"/>
          <w:sz w:val="21"/>
        </w:rPr>
        <w:t xml:space="preserve">表5-35 翟山变年度配置与正向峰值正常转接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91.30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104.13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93.29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15.55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102.56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81.52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87.77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82.49</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87.01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MW，转接后净负荷为87.01 MW；区域最低净负荷工况下为26.76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本站最大单台主变停运后剩余容量为63.00 MVA。两代表工况重新转供后的本站净负荷分别为59.85 MW、26.76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四年校核截面中，本站绝对功率最大的工况出现在2023年，转接前为96.46 MW，主要表现为正向受电需求。按该年设备扣除最大单台主变后，剩余容量63.00 MVA。故障方式下本站转出36.61 MW、承接0.00 MW，其中与开元变之间的主要转出功率为23.53 MW，转接后净负荷为59.85 MW。这一工况通过邻站分担本站故障后的正向负荷。</w:t>
      </w:r>
    </w:p>
    <w:p>
      <w:pPr>
        <w:pStyle w:val="7"/>
        <w:keepNext/>
        <w:numPr>
          <w:numId w:val="0"/>
        </w:numPr>
        <w:spacing w:line="360" w:lineRule="exact" w:before="160" w:after="120"/>
        <w:ind w:firstLine="0"/>
      </w:pPr>
      <w:bookmarkStart w:id="220" w:name="古彭变规划分析"/>
      <w:r>
        <w:rPr>
          <w:rFonts w:ascii="Times New Roman" w:hAnsi="Times New Roman" w:eastAsia="方正仿宋_GBK"/>
          <w:b/>
          <w:sz w:val="24"/>
        </w:rPr>
        <w:t xml:space="preserve">古彭变规划分析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2025年本站最大正向、反向净负荷分别为84.10 MW、0.00 MW。刚性方案当年主变容量为130.00 MVA、储能额定功率0.00 MW；弹性方案分别为130.00 MVA和0.00 MW。两类方案本站主变总容量相同。弹性方案按当年各站局部极值计算的站级负载率为68%。</w:t>
      </w:r>
    </w:p>
    <w:p>
      <w:pPr>
        <w:pStyle w:val="2"/>
        <w:keepNext/>
        <w:spacing w:line="280" w:lineRule="exact" w:before="120" w:after="80"/>
        <w:ind w:firstLine="0"/>
        <w:jc w:val="center"/>
      </w:pPr>
      <w:r>
        <w:rPr>
          <w:rFonts w:ascii="Times New Roman" w:hAnsi="Times New Roman" w:eastAsia="宋体"/>
          <w:b w:val="0"/>
          <w:sz w:val="21"/>
        </w:rPr>
        <w:t xml:space="preserve">表5-36 古彭变年度配置与正向峰值正常转接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60.56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56.91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56.72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60.56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58.82</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60.03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MW，转接后净负荷为60.03 MW；区域最低净负荷工况下为24.10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本站最大单台主变停运后剩余容量为50.00 MVA。两代表工况重新转供后的本站净负荷分别为47.50 MW、24.10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四年校核截面中，本站绝对功率最大的工况出现在2023年，转接前为84.84 MW，主要表现为正向受电需求。按该年设备扣除最大单台主变后，剩余容量50.00 MVA。故障方式下本站转出37.34 MW、承接0.00 MW，其中与吴庄变之间的主要转出功率为19.58 MW，转接后净负荷为47.50 MW。这一工况通过邻站分担本站故障后的正向负荷。</w:t>
      </w:r>
    </w:p>
    <w:p>
      <w:pPr>
        <w:pStyle w:val="7"/>
        <w:keepNext/>
        <w:numPr>
          <w:numId w:val="0"/>
        </w:numPr>
        <w:spacing w:line="360" w:lineRule="exact" w:before="160" w:after="120"/>
        <w:ind w:firstLine="0"/>
      </w:pPr>
      <w:bookmarkStart w:id="221" w:name="花园变规划分析"/>
      <w:r>
        <w:rPr>
          <w:rFonts w:ascii="Times New Roman" w:hAnsi="Times New Roman" w:eastAsia="方正仿宋_GBK"/>
          <w:b/>
          <w:sz w:val="24"/>
        </w:rPr>
        <w:t xml:space="preserve">花园变规划分析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2025年本站最大正向、反向净负荷分别为63.57 MW、0.00 MW。刚性方案当年主变容量为80.00 MVA、储能额定功率0.00 MW；弹性方案分别为80.00 MVA和0.00 MW。两类方案本站主变总容量相同。弹性方案按当年各站局部极值计算的站级负载率为84%。</w:t>
      </w:r>
    </w:p>
    <w:p>
      <w:pPr>
        <w:pStyle w:val="2"/>
        <w:keepNext/>
        <w:spacing w:line="280" w:lineRule="exact" w:before="120" w:after="80"/>
        <w:ind w:firstLine="0"/>
        <w:jc w:val="center"/>
      </w:pPr>
      <w:r>
        <w:rPr>
          <w:rFonts w:ascii="Times New Roman" w:hAnsi="Times New Roman" w:eastAsia="宋体"/>
          <w:b w:val="0"/>
          <w:sz w:val="21"/>
        </w:rPr>
        <w:t xml:space="preserve">表5-37 花园变年度配置与正向峰值正常转接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50.03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47.02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50.03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47.02</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49.60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MW，转接后净负荷为49.60 MW；区域最低净负荷工况下为19.62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MW、19.62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四年校核截面中，本站绝对功率最大的工况出现在2023年，转接前为64.13 MW，主要表现为正向受电需求。按该年设备扣除最大单台主变后，剩余容量40.00 MVA。故障方式下本站转出26.13 MW、承接0.00 MW，其中与庆云桥变之间的主要转出功率为10.59 MW，转接后净负荷为38.00 MW。这一工况通过邻站分担本站故障后的正向负荷。</w:t>
      </w:r>
    </w:p>
    <w:p>
      <w:pPr>
        <w:pStyle w:val="7"/>
        <w:keepNext/>
        <w:numPr>
          <w:numId w:val="0"/>
        </w:numPr>
        <w:spacing w:line="360" w:lineRule="exact" w:before="160" w:after="120"/>
        <w:ind w:firstLine="0"/>
      </w:pPr>
      <w:bookmarkStart w:id="222" w:name="惠民变规划分析"/>
      <w:r>
        <w:rPr>
          <w:rFonts w:ascii="Times New Roman" w:hAnsi="Times New Roman" w:eastAsia="方正仿宋_GBK"/>
          <w:b/>
          <w:sz w:val="24"/>
        </w:rPr>
        <w:t xml:space="preserve">惠民变规划分析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2025年本站最大正向、反向净负荷分别为85.29 MW、0.00 MW。刚性方案当年主变容量为103.00 MVA、储能额定功率0.00 MW；弹性方案分别为103.00 MVA和0.00 MW。两类方案本站主变总容量相同。弹性方案按当年各站局部极值计算的站级负载率为87%。</w:t>
      </w:r>
    </w:p>
    <w:p>
      <w:pPr>
        <w:pStyle w:val="2"/>
        <w:keepNext/>
        <w:spacing w:line="280" w:lineRule="exact" w:before="120" w:after="80"/>
        <w:ind w:firstLine="0"/>
        <w:jc w:val="center"/>
      </w:pPr>
      <w:r>
        <w:rPr>
          <w:rFonts w:ascii="Times New Roman" w:hAnsi="Times New Roman" w:eastAsia="宋体"/>
          <w:b w:val="0"/>
          <w:sz w:val="21"/>
        </w:rPr>
        <w:t xml:space="preserve">表5-38 惠民变年度配置与正向峰值正常转接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69.69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75.03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70.51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69.69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75.03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70.51</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74.38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MW，转接后净负荷为74.38 MW；区域最低净负荷工况下为24.04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MW、24.04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四年校核截面中，本站绝对功率最大的工况出现在2023年，转接前为86.03 MW，主要表现为正向受电需求。按该年设备扣除最大单台主变后，剩余容量40.00 MVA。故障方式下本站转出48.03 MW、承接0.00 MW，其中与大庙变之间的主要转出功率为28.84 MW，转接后净负荷为38.00 MW。这一工况通过邻站分担本站故障后的正向负荷。</w:t>
      </w:r>
    </w:p>
    <w:p>
      <w:pPr>
        <w:pStyle w:val="7"/>
        <w:keepNext/>
        <w:numPr>
          <w:numId w:val="0"/>
        </w:numPr>
        <w:spacing w:line="360" w:lineRule="exact" w:before="160" w:after="120"/>
        <w:ind w:firstLine="0"/>
      </w:pPr>
      <w:bookmarkStart w:id="223" w:name="夹河变规划分析"/>
      <w:r>
        <w:rPr>
          <w:rFonts w:ascii="Times New Roman" w:hAnsi="Times New Roman" w:eastAsia="方正仿宋_GBK"/>
          <w:b/>
          <w:sz w:val="24"/>
        </w:rPr>
        <w:t xml:space="preserve">夹河变规划分析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2025年本站最大正向、反向净负荷分别为46.06 MW、6.81 MW。刚性方案当年主变容量为80.00 MVA、储能额定功率0.00 MW；弹性方案分别为80.00 MVA和0.00 MW。两类方案本站主变总容量相同。弹性方案按当年各站局部极值计算的站级负载率为61%。</w:t>
      </w:r>
    </w:p>
    <w:p>
      <w:pPr>
        <w:pStyle w:val="2"/>
        <w:keepNext/>
        <w:spacing w:line="280" w:lineRule="exact" w:before="120" w:after="80"/>
        <w:ind w:firstLine="0"/>
        <w:jc w:val="center"/>
      </w:pPr>
      <w:r>
        <w:rPr>
          <w:rFonts w:ascii="Times New Roman" w:hAnsi="Times New Roman" w:eastAsia="宋体"/>
          <w:b w:val="0"/>
          <w:sz w:val="21"/>
        </w:rPr>
        <w:t xml:space="preserve">表5-39 夹河变年度配置与正向峰值正常转接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43.16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43.67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43.16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43.67</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46.06</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MW，转接后净负荷为46.06 MW；区域最低净负荷工况下为-6.81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MW、-6.81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四年校核截面中，本站绝对功率最大的工况出现在2023年，转接前为46.47 MW，主要表现为正向受电需求。按该年设备扣除最大单台主变后，剩余容量40.00 MVA。故障方式下本站转出8.47 MW、承接0.00 MW，其中与开元变之间的主要转出功率为8.47 MW，转接后净负荷为38.00 MW。这一工况通过邻站分担本站故障后的正向负荷。</w:t>
      </w:r>
    </w:p>
    <w:p>
      <w:pPr>
        <w:pStyle w:val="7"/>
        <w:keepNext/>
        <w:numPr>
          <w:numId w:val="0"/>
        </w:numPr>
        <w:spacing w:line="360" w:lineRule="exact" w:before="160" w:after="120"/>
        <w:ind w:firstLine="0"/>
      </w:pPr>
      <w:bookmarkStart w:id="224" w:name="开元变规划分析"/>
      <w:r>
        <w:rPr>
          <w:rFonts w:ascii="Times New Roman" w:hAnsi="Times New Roman" w:eastAsia="方正仿宋_GBK"/>
          <w:b/>
          <w:sz w:val="24"/>
        </w:rPr>
        <w:t xml:space="preserve">开元变规划分析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2025年本站最大正向、反向净负荷分别为56.24 MW、0.00 MW。刚性方案当年主变容量为103.00 MVA、储能额定功率0.00 MW；弹性方案分别为103.00 MVA和0.00 MW。两类方案本站主变总容量相同。弹性方案按当年各站局部极值计算的站级负载率为57%。</w:t>
      </w:r>
    </w:p>
    <w:p>
      <w:pPr>
        <w:pStyle w:val="2"/>
        <w:keepNext/>
        <w:spacing w:line="280" w:lineRule="exact" w:before="120" w:after="80"/>
        <w:ind w:firstLine="0"/>
        <w:jc w:val="center"/>
      </w:pPr>
      <w:r>
        <w:rPr>
          <w:rFonts w:ascii="Times New Roman" w:hAnsi="Times New Roman" w:eastAsia="宋体"/>
          <w:b w:val="0"/>
          <w:sz w:val="21"/>
        </w:rPr>
        <w:t xml:space="preserve">表5-40 开元变年度配置与正向峰值正常转接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53.17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56.73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55.22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52.69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56.73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53.32</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56.24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MW，转接后净负荷为56.24 MW；区域最低净负荷工况下为13.51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MW、13.51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四年校核截面中，本站绝对功率最大的工况出现在2023年，转接前为56.73 MW，主要表现为正向受电需求。按该年设备扣除最大单台主变后，剩余容量40.00 MVA。故障方式下本站转出18.73 MW、承接0.00 MW，其中与吴庄变之间的主要转出功率为18.73 MW，转接后净负荷为38.00 MW。这一工况通过邻站分担本站故障后的正向负荷。</w:t>
      </w:r>
    </w:p>
    <w:p>
      <w:pPr>
        <w:pStyle w:val="7"/>
        <w:keepNext/>
        <w:numPr>
          <w:numId w:val="0"/>
        </w:numPr>
        <w:spacing w:line="360" w:lineRule="exact" w:before="160" w:after="120"/>
        <w:ind w:firstLine="0"/>
      </w:pPr>
      <w:bookmarkStart w:id="225" w:name="奎山变规划分析"/>
      <w:r>
        <w:rPr>
          <w:rFonts w:ascii="Times New Roman" w:hAnsi="Times New Roman" w:eastAsia="方正仿宋_GBK"/>
          <w:b/>
          <w:sz w:val="24"/>
        </w:rPr>
        <w:t xml:space="preserve">奎山变规划分析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2025年本站最大正向、反向净负荷分别为83.73 MW、0.00 MW。刚性方案当年主变容量为130.00 MVA、储能额定功率0.00 MW；弹性方案分别为130.00 MVA和0.00 MW。两类方案本站主变总容量相同。弹性方案按当年各站局部极值计算的站级负载率为68%。</w:t>
      </w:r>
    </w:p>
    <w:p>
      <w:pPr>
        <w:pStyle w:val="2"/>
        <w:keepNext/>
        <w:spacing w:line="280" w:lineRule="exact" w:before="120" w:after="80"/>
        <w:ind w:firstLine="0"/>
        <w:jc w:val="center"/>
      </w:pPr>
      <w:r>
        <w:rPr>
          <w:rFonts w:ascii="Times New Roman" w:hAnsi="Times New Roman" w:eastAsia="宋体"/>
          <w:b w:val="0"/>
          <w:sz w:val="21"/>
        </w:rPr>
        <w:t xml:space="preserve">表5-41 奎山变年度配置与正向峰值正常转接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66.93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72.06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67.73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76.71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88.42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78.52</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15.55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86.99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MW、承接15.55 MW，转接后净负荷为86.99 MW；区域最低净负荷工况下为22.48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本站最大单台主变停运后剩余容量为50.00 MVA。两代表工况重新转供后的本站净负荷分别为47.50 MW、22.48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四年校核截面中，本站绝对功率最大的工况出现在2023年，转接前为84.47 MW，主要表现为正向受电需求。按该年设备扣除最大单台主变后，剩余容量50.00 MVA。故障方式下本站转出36.97 MW、承接0.00 MW，其中与翟山变之间的主要转出功率为36.97 MW，转接后净负荷为47.50 MW。这一工况通过邻站分担本站故障后的正向负荷。</w:t>
      </w:r>
    </w:p>
    <w:p>
      <w:pPr>
        <w:pStyle w:val="7"/>
        <w:keepNext/>
        <w:numPr>
          <w:numId w:val="0"/>
        </w:numPr>
        <w:spacing w:line="360" w:lineRule="exact" w:before="160" w:after="120"/>
        <w:ind w:firstLine="0"/>
      </w:pPr>
      <w:bookmarkStart w:id="226" w:name="刘湾变规划分析"/>
      <w:r>
        <w:rPr>
          <w:rFonts w:ascii="Times New Roman" w:hAnsi="Times New Roman" w:eastAsia="方正仿宋_GBK"/>
          <w:b/>
          <w:sz w:val="24"/>
        </w:rPr>
        <w:t xml:space="preserve">刘湾变规划分析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2025年本站最大正向、反向净负荷分别为71.22 MW、13.31 MW。刚性方案当年主变容量为90.00 MVA、储能额定功率0.00 MW；弹性方案分别为90.00 MVA和0.00 MW。两类方案本站主变总容量相同。弹性方案按当年各站局部极值计算的站级负载率为83%。</w:t>
      </w:r>
    </w:p>
    <w:p>
      <w:pPr>
        <w:pStyle w:val="2"/>
        <w:keepNext/>
        <w:spacing w:line="280" w:lineRule="exact" w:before="120" w:after="80"/>
        <w:ind w:firstLine="0"/>
        <w:jc w:val="center"/>
      </w:pPr>
      <w:r>
        <w:rPr>
          <w:rFonts w:ascii="Times New Roman" w:hAnsi="Times New Roman" w:eastAsia="宋体"/>
          <w:b w:val="0"/>
          <w:sz w:val="21"/>
        </w:rPr>
        <w:t xml:space="preserve">表5-42 刘湾变年度配置与正向峰值正常转接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56.62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60.96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57.30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56.62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60.96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57.30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60.43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MW，转接后净负荷为60.43 MW；区域最低净负荷工况下为2.04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MW、2.04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四年校核截面中，本站绝对功率最大的工况出现在2023年，转接前为71.84 MW，主要表现为正向受电需求。按该年设备扣除最大单台主变后，剩余容量40.00 MVA。故障方式下本站转出33.84 MW、承接0.00 MW，其中与拾屯变之间的主要转出功率为33.11 MW，转接后净负荷为38.00 MW。这一工况通过邻站分担本站故障后的正向负荷。</w:t>
      </w:r>
    </w:p>
    <w:p>
      <w:pPr>
        <w:pStyle w:val="7"/>
        <w:keepNext/>
        <w:numPr>
          <w:numId w:val="0"/>
        </w:numPr>
        <w:spacing w:line="360" w:lineRule="exact" w:before="160" w:after="120"/>
        <w:ind w:firstLine="0"/>
      </w:pPr>
      <w:bookmarkStart w:id="227" w:name="龙湖变规划分析"/>
      <w:r>
        <w:rPr>
          <w:rFonts w:ascii="Times New Roman" w:hAnsi="Times New Roman" w:eastAsia="方正仿宋_GBK"/>
          <w:b/>
          <w:sz w:val="24"/>
        </w:rPr>
        <w:t xml:space="preserve">龙湖变规划分析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2025年本站最大正向、反向净负荷分别为31.83 MW、0.00 MW。刚性方案当年主变容量为80.00 MVA、储能额定功率0.00 MW；弹性方案分别为80.00 MVA和0.00 MW。两类方案本站主变总容量相同。弹性方案按当年各站局部极值计算的站级负载率为42%。</w:t>
      </w:r>
    </w:p>
    <w:p>
      <w:pPr>
        <w:pStyle w:val="2"/>
        <w:keepNext/>
        <w:spacing w:line="280" w:lineRule="exact" w:before="120" w:after="80"/>
        <w:ind w:firstLine="0"/>
        <w:jc w:val="center"/>
      </w:pPr>
      <w:r>
        <w:rPr>
          <w:rFonts w:ascii="Times New Roman" w:hAnsi="Times New Roman" w:eastAsia="宋体"/>
          <w:b w:val="0"/>
          <w:sz w:val="21"/>
        </w:rPr>
        <w:t xml:space="preserve">表5-43 龙湖变年度配置与正向峰值正常转接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26.73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28.78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27.05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26.73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28.78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27.05</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28.53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MW，转接后净负荷为28.53 MW；区域最低净负荷工况下为9.38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MVA。两代表工况重新转供后的本站净负荷分别为28.53 MW、9.38 MW，两方向最小容量余量为9.47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四年校核截面中，本站绝对功率最大的工况出现在2023年，转接前为32.11 MW，主要表现为正向受电需求。按该年设备扣除最大单台主变后，剩余容量40.00 MVA。该工况本站由剩余主变满足承载要求。</w:t>
      </w:r>
    </w:p>
    <w:p>
      <w:pPr>
        <w:pStyle w:val="7"/>
        <w:keepNext/>
        <w:numPr>
          <w:numId w:val="0"/>
        </w:numPr>
        <w:spacing w:line="360" w:lineRule="exact" w:before="160" w:after="120"/>
        <w:ind w:firstLine="0"/>
      </w:pPr>
      <w:bookmarkStart w:id="228" w:name="庞庄变规划分析"/>
      <w:r>
        <w:rPr>
          <w:rFonts w:ascii="Times New Roman" w:hAnsi="Times New Roman" w:eastAsia="方正仿宋_GBK"/>
          <w:b/>
          <w:sz w:val="24"/>
        </w:rPr>
        <w:t xml:space="preserve">庞庄变规划分析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2025年本站最大正向、反向净负荷分别为11.20 MW、7.08 MW。刚性方案当年主变容量为80.00 MVA、储能额定功率0.00 MW；弹性方案分别为80.00 MVA和0.00 MW。两类方案本站主变总容量相同。弹性方案按当年各站局部极值计算的站级负载率为15%。</w:t>
      </w:r>
    </w:p>
    <w:p>
      <w:pPr>
        <w:pStyle w:val="2"/>
        <w:keepNext/>
        <w:spacing w:line="280" w:lineRule="exact" w:before="120" w:after="80"/>
        <w:ind w:firstLine="0"/>
        <w:jc w:val="center"/>
      </w:pPr>
      <w:r>
        <w:rPr>
          <w:rFonts w:ascii="Times New Roman" w:hAnsi="Times New Roman" w:eastAsia="宋体"/>
          <w:b w:val="0"/>
          <w:sz w:val="21"/>
        </w:rPr>
        <w:t xml:space="preserve">表5-44 庞庄变年度配置与正向峰值正常转接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8.91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13.94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13.90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8.91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4.36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13.94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9.01</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13.90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MW、承接4.40 MW，转接后净负荷为13.90 MW；区域最低净负荷工况下为-6.87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MVA。两代表工况重新转供后的本站净负荷分别为13.90 MW、-6.87 MW，两方向最小容量余量为24.10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四年校核截面中，本站绝对功率最大的工况出现在2023年，转接前为11.30 MW，主要表现为正向受电需求。按该年设备扣除最大单台主变后，剩余容量40.00 MVA。该工况本站由剩余主变满足承载要求。</w:t>
      </w:r>
    </w:p>
    <w:p>
      <w:pPr>
        <w:pStyle w:val="7"/>
        <w:keepNext/>
        <w:numPr>
          <w:numId w:val="0"/>
        </w:numPr>
        <w:spacing w:line="360" w:lineRule="exact" w:before="160" w:after="120"/>
        <w:ind w:firstLine="0"/>
      </w:pPr>
      <w:bookmarkStart w:id="229" w:name="彭场变规划分析"/>
      <w:r>
        <w:rPr>
          <w:rFonts w:ascii="Times New Roman" w:hAnsi="Times New Roman" w:eastAsia="方正仿宋_GBK"/>
          <w:b/>
          <w:sz w:val="24"/>
        </w:rPr>
        <w:t xml:space="preserve">彭场变规划分析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2025年本站最大正向、反向净负荷分别为64.92 MW、0.00 MW。刚性方案当年主变容量为90.00 MVA、储能额定功率0.00 MW；弹性方案分别为90.00 MVA和0.00 MW。两类方案本站主变总容量相同。弹性方案按当年各站局部极值计算的站级负载率为76%。</w:t>
      </w:r>
    </w:p>
    <w:p>
      <w:pPr>
        <w:pStyle w:val="2"/>
        <w:keepNext/>
        <w:spacing w:line="280" w:lineRule="exact" w:before="120" w:after="80"/>
        <w:ind w:firstLine="0"/>
        <w:jc w:val="center"/>
      </w:pPr>
      <w:r>
        <w:rPr>
          <w:rFonts w:ascii="Times New Roman" w:hAnsi="Times New Roman" w:eastAsia="宋体"/>
          <w:b w:val="0"/>
          <w:sz w:val="21"/>
        </w:rPr>
        <w:t xml:space="preserve">表5-45 彭场变年度配置与正向峰值正常转接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52.15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56.15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52.77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52.15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56.15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52.77</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55.66</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MW，转接后净负荷为55.66 MW；区域最低净负荷工况下为7.76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MW、7.76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四年校核截面中，本站绝对功率最大的工况出现在2023年，转接前为65.49 MW，主要表现为正向受电需求。按该年设备扣除最大单台主变后，剩余容量40.00 MVA。故障方式下本站转出27.49 MW、承接0.00 MW，其中与庆云桥变之间的主要转出功率为12.88 MW，转接后净负荷为38.00 MW。这一工况通过邻站分担本站故障后的正向负荷。</w:t>
      </w:r>
    </w:p>
    <w:p>
      <w:pPr>
        <w:pStyle w:val="7"/>
        <w:keepNext/>
        <w:numPr>
          <w:numId w:val="0"/>
        </w:numPr>
        <w:spacing w:line="360" w:lineRule="exact" w:before="160" w:after="120"/>
        <w:ind w:firstLine="0"/>
      </w:pPr>
      <w:bookmarkStart w:id="230" w:name="庆云桥变规划分析"/>
      <w:r>
        <w:rPr>
          <w:rFonts w:ascii="Times New Roman" w:hAnsi="Times New Roman" w:eastAsia="方正仿宋_GBK"/>
          <w:b/>
          <w:sz w:val="24"/>
        </w:rPr>
        <w:t xml:space="preserve">庆云桥变规划分析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2025年本站最大正向、反向净负荷分别为65.76 MW、0.00 MW。刚性方案当年主变容量为80.00 MVA、储能额定功率0.00 MW；弹性方案分别为80.00 MVA和0.00 MW。两类方案本站主变总容量相同。弹性方案按当年各站局部极值计算的站级负载率为87%。</w:t>
      </w:r>
    </w:p>
    <w:p>
      <w:pPr>
        <w:pStyle w:val="2"/>
        <w:keepNext/>
        <w:spacing w:line="280" w:lineRule="exact" w:before="120" w:after="80"/>
        <w:ind w:firstLine="0"/>
        <w:jc w:val="center"/>
      </w:pPr>
      <w:r>
        <w:rPr>
          <w:rFonts w:ascii="Times New Roman" w:hAnsi="Times New Roman" w:eastAsia="宋体"/>
          <w:b w:val="0"/>
          <w:sz w:val="21"/>
        </w:rPr>
        <w:t xml:space="preserve">表5-46 庆云桥变年度配置与正向峰值正常转接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54.76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61.19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55.41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58.87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54.76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58.96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55.41</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58.45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MW，转接后净负荷为58.45 MW；区域最低净负荷工况下为17.85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MW、17.85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四年校核截面中，本站绝对功率最大的工况出现在2023年，转接前为66.34 MW，主要表现为正向受电需求。按该年设备扣除最大单台主变后，剩余容量40.00 MVA。故障方式下本站转出28.34 MW、承接0.00 MW，其中与开元变之间的主要转出功率为19.47 MW，转接后净负荷为38.00 MW。这一工况通过邻站分担本站故障后的正向负荷。</w:t>
      </w:r>
    </w:p>
    <w:p>
      <w:pPr>
        <w:pStyle w:val="7"/>
        <w:keepNext/>
        <w:numPr>
          <w:numId w:val="0"/>
        </w:numPr>
        <w:spacing w:line="360" w:lineRule="exact" w:before="160" w:after="120"/>
        <w:ind w:firstLine="0"/>
      </w:pPr>
      <w:bookmarkStart w:id="231" w:name="山南变规划分析"/>
      <w:r>
        <w:rPr>
          <w:rFonts w:ascii="Times New Roman" w:hAnsi="Times New Roman" w:eastAsia="方正仿宋_GBK"/>
          <w:b/>
          <w:sz w:val="24"/>
        </w:rPr>
        <w:t xml:space="preserve">山南变规划分析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2025年本站最大正向、反向净负荷分别为5.80 MW、0.00 MW。刚性方案当年主变容量为80.00 MVA、储能额定功率0.00 MW；弹性方案分别为80.00 MVA和0.00 MW。两类方案本站主变总容量相同。弹性方案按当年各站局部极值计算的站级负载率为8%。</w:t>
      </w:r>
    </w:p>
    <w:p>
      <w:pPr>
        <w:pStyle w:val="2"/>
        <w:keepNext/>
        <w:spacing w:line="280" w:lineRule="exact" w:before="120" w:after="80"/>
        <w:ind w:firstLine="0"/>
        <w:jc w:val="center"/>
      </w:pPr>
      <w:r>
        <w:rPr>
          <w:rFonts w:ascii="Times New Roman" w:hAnsi="Times New Roman" w:eastAsia="宋体"/>
          <w:b w:val="0"/>
          <w:sz w:val="21"/>
        </w:rPr>
        <w:t xml:space="preserve">表5-47 山南变年度配置与正向峰值正常转接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5.44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5.85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5.44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5.85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5.80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MW，转接后净负荷为5.80 MW；区域最低净负荷工况下为0.64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MVA。两代表工况重新转供后的本站净负荷分别为5.80 MW、0.64 MW，两方向最小容量余量为32.20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四年校核截面中，本站绝对功率最大的工况出现在2023年，转接前为5.85 MW，主要表现为正向受电需求。按该年设备扣除最大单台主变后，剩余容量40.00 MVA。该工况本站由剩余主变满足承载要求。</w:t>
      </w:r>
    </w:p>
    <w:p>
      <w:pPr>
        <w:pStyle w:val="7"/>
        <w:keepNext/>
        <w:numPr>
          <w:numId w:val="0"/>
        </w:numPr>
        <w:spacing w:line="360" w:lineRule="exact" w:before="160" w:after="120"/>
        <w:ind w:firstLine="0"/>
      </w:pPr>
      <w:bookmarkStart w:id="232" w:name="升辉变规划分析"/>
      <w:r>
        <w:rPr>
          <w:rFonts w:ascii="Times New Roman" w:hAnsi="Times New Roman" w:eastAsia="方正仿宋_GBK"/>
          <w:b/>
          <w:sz w:val="24"/>
        </w:rPr>
        <w:t xml:space="preserve">升辉变规划分析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该站初始主变组合为80+80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2025年本站最大正向、反向净负荷分别为38.35 MW、0.00 MW。刚性方案当年主变容量为160.00 MVA、储能额定功率0.00 MW；弹性方案分别为160.00 MVA和0.00 MW。两类方案本站主变总容量相同。弹性方案按当年各站局部极值计算的站级负载率为25%。</w:t>
      </w:r>
    </w:p>
    <w:p>
      <w:pPr>
        <w:pStyle w:val="2"/>
        <w:keepNext/>
        <w:spacing w:line="280" w:lineRule="exact" w:before="120" w:after="80"/>
        <w:ind w:firstLine="0"/>
        <w:jc w:val="center"/>
      </w:pPr>
      <w:r>
        <w:rPr>
          <w:rFonts w:ascii="Times New Roman" w:hAnsi="Times New Roman" w:eastAsia="宋体"/>
          <w:b w:val="0"/>
          <w:sz w:val="21"/>
        </w:rPr>
        <w:t xml:space="preserve">表5-48 升辉变年度配置与正向峰值正常转接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26.75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28.80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27.07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28.55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26.75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28.80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27.07</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28.55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MW，转接后净负荷为28.55 MW；区域最低净负荷工况下为11.59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本站最大单台主变停运后剩余容量为80.00 MVA。两代表工况重新转供后的本站净负荷分别为28.55 MW、11.59 MW，两方向最小容量余量为47.45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四年校核截面中，本站绝对功率最大的工况出现在2023年，转接前为38.68 MW，主要表现为正向受电需求。按该年设备扣除最大单台主变后，剩余容量80.00 MVA。该工况本站由剩余主变满足承载要求。</w:t>
      </w:r>
    </w:p>
    <w:p>
      <w:pPr>
        <w:pStyle w:val="7"/>
        <w:keepNext/>
        <w:numPr>
          <w:numId w:val="0"/>
        </w:numPr>
        <w:spacing w:line="360" w:lineRule="exact" w:before="160" w:after="120"/>
        <w:ind w:firstLine="0"/>
      </w:pPr>
      <w:bookmarkStart w:id="233" w:name="石桥变规划分析"/>
      <w:r>
        <w:rPr>
          <w:rFonts w:ascii="Times New Roman" w:hAnsi="Times New Roman" w:eastAsia="方正仿宋_GBK"/>
          <w:b/>
          <w:sz w:val="24"/>
        </w:rPr>
        <w:t xml:space="preserve">石桥变规划分析</w:t>
      </w:r>
      <w:bookmarkEnd w:id="23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该站初始主变组合为63+80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2025年本站最大正向、反向净负荷分别为110.02 MW、10.95 MW。刚性方案当年主变容量为143.00 MVA、储能额定功率0.00 MW；弹性方案分别为143.00 MVA和0.00 MW。两类方案本站主变总容量相同。弹性方案按当年各站局部极值计算的站级负载率为81%。</w:t>
      </w:r>
    </w:p>
    <w:p>
      <w:pPr>
        <w:pStyle w:val="2"/>
        <w:keepNext/>
        <w:spacing w:line="280" w:lineRule="exact" w:before="120" w:after="80"/>
        <w:ind w:firstLine="0"/>
        <w:jc w:val="center"/>
      </w:pPr>
      <w:r>
        <w:rPr>
          <w:rFonts w:ascii="Times New Roman" w:hAnsi="Times New Roman" w:eastAsia="宋体"/>
          <w:b w:val="0"/>
          <w:sz w:val="21"/>
        </w:rPr>
        <w:t xml:space="preserve">表5-49 石桥变年度配置与正向峰值正常转接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97.17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104.62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98.32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97.17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104.62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98.32</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MW，转接后净负荷为103.71 MW；区域最低净负荷工况下为2.91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本站最大单台主变停运后剩余容量为63.00 MVA。两代表工况重新转供后的本站净负荷分别为59.85 MW、2.91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四年校核截面中，本站绝对功率最大的工况出现在2023年，转接前为110.98 MW，主要表现为正向受电需求。按该年设备扣除最大单台主变后，剩余容量63.00 MVA。故障方式下本站转出51.13 MW、承接0.00 MW，其中与响山变之间的主要转出功率为24.34 MW，转接后净负荷为59.85 MW。这一工况通过邻站分担本站故障后的正向负荷。</w:t>
      </w:r>
    </w:p>
    <w:p>
      <w:pPr>
        <w:pStyle w:val="7"/>
        <w:keepNext/>
        <w:numPr>
          <w:numId w:val="0"/>
        </w:numPr>
        <w:spacing w:line="360" w:lineRule="exact" w:before="160" w:after="120"/>
        <w:ind w:firstLine="0"/>
      </w:pPr>
      <w:bookmarkStart w:id="234" w:name="拾屯变规划分析"/>
      <w:r>
        <w:rPr>
          <w:rFonts w:ascii="Times New Roman" w:hAnsi="Times New Roman" w:eastAsia="方正仿宋_GBK"/>
          <w:b/>
          <w:sz w:val="24"/>
        </w:rPr>
        <w:t xml:space="preserve">拾屯变规划分析</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2025年本站最大正向、反向净负荷分别为73.47 MW、0.00 MW。刚性方案当年主变容量为80.00 MVA、储能额定功率0.00 MW；弹性方案分别为80.00 MVA和0.00 MW。两类方案本站主变总容量相同。弹性方案按当年各站局部极值计算的站级负载率为97%。</w:t>
      </w:r>
    </w:p>
    <w:p>
      <w:pPr>
        <w:pStyle w:val="2"/>
        <w:keepNext/>
        <w:spacing w:line="280" w:lineRule="exact" w:before="120" w:after="80"/>
        <w:ind w:firstLine="0"/>
        <w:jc w:val="center"/>
      </w:pPr>
      <w:r>
        <w:rPr>
          <w:rFonts w:ascii="Times New Roman" w:hAnsi="Times New Roman" w:eastAsia="宋体"/>
          <w:b w:val="0"/>
          <w:sz w:val="21"/>
        </w:rPr>
        <w:t xml:space="preserve">表5-50 拾屯变年度配置与正向峰值正常转接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67.70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68.50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3.74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67.70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3.11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68.50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3.74</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MW、承接3.74 MW，转接后净负荷为76.00 MW；区域最低净负荷工况下为4.74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MW、4.74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四年校核截面中，本站绝对功率最大的工况出现在2023年，转接前为74.11 MW，主要表现为正向受电需求。按该年设备扣除最大单台主变后，剩余容量40.00 MVA。故障方式下本站转出36.11 MW、承接0.00 MW，其中与花园变之间的主要转出功率为22.73 MW，转接后净负荷为38.00 MW。这一工况通过邻站分担本站故障后的正向负荷。</w:t>
      </w:r>
    </w:p>
    <w:p>
      <w:pPr>
        <w:pStyle w:val="7"/>
        <w:keepNext/>
        <w:numPr>
          <w:numId w:val="0"/>
        </w:numPr>
        <w:spacing w:line="360" w:lineRule="exact" w:before="160" w:after="120"/>
        <w:ind w:firstLine="0"/>
      </w:pPr>
      <w:bookmarkStart w:id="235" w:name="统一变规划分析"/>
      <w:r>
        <w:rPr>
          <w:rFonts w:ascii="Times New Roman" w:hAnsi="Times New Roman" w:eastAsia="方正仿宋_GBK"/>
          <w:b/>
          <w:sz w:val="24"/>
        </w:rPr>
        <w:t xml:space="preserve">统一变规划分析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2025年本站最大正向、反向净负荷分别为92.94 MW、0.00 MW。刚性方案当年主变容量为80.00 MVA、储能额定功率0.00 MW；弹性方案分别为80.00 MVA和0.00 MW。两类方案本站主变总容量相同。弹性方案按当年各站局部极值计算的站级负载率为122%。</w:t>
      </w:r>
    </w:p>
    <w:p>
      <w:pPr>
        <w:pStyle w:val="2"/>
        <w:keepNext/>
        <w:spacing w:line="280" w:lineRule="exact" w:before="120" w:after="80"/>
        <w:ind w:firstLine="0"/>
        <w:jc w:val="center"/>
      </w:pPr>
      <w:r>
        <w:rPr>
          <w:rFonts w:ascii="Times New Roman" w:hAnsi="Times New Roman" w:eastAsia="宋体"/>
          <w:b w:val="0"/>
          <w:sz w:val="21"/>
        </w:rPr>
        <w:t xml:space="preserve">表5-51 统一变年度配置与正向峰值正常转接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15.55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15.55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2025年区域正向峰值正常工况下，本站转出15.55 MW、承接0.00 MW，转接后净负荷为76.00 MW；区域最低净负荷工况下为14.84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MW、14.84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四年校核截面中，本站绝对功率最大的工况出现在2023年，转接前为93.76 MW，主要表现为正向受电需求。按该年设备扣除最大单台主变后，剩余容量40.00 MVA。故障方式下本站转出55.76 MW、承接0.00 MW，其中与奎山变之间的主要转出功率为32.73 MW，转接后净负荷为38.00 MW。这一工况通过邻站分担本站故障后的正向负荷。</w:t>
      </w:r>
    </w:p>
    <w:p>
      <w:pPr>
        <w:pStyle w:val="7"/>
        <w:keepNext/>
        <w:numPr>
          <w:numId w:val="0"/>
        </w:numPr>
        <w:spacing w:line="360" w:lineRule="exact" w:before="160" w:after="120"/>
        <w:ind w:firstLine="0"/>
      </w:pPr>
      <w:bookmarkStart w:id="236" w:name="吴庄变规划分析"/>
      <w:r>
        <w:rPr>
          <w:rFonts w:ascii="Times New Roman" w:hAnsi="Times New Roman" w:eastAsia="方正仿宋_GBK"/>
          <w:b/>
          <w:sz w:val="24"/>
        </w:rPr>
        <w:t xml:space="preserve">吴庄变规划分析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2025年本站最大正向、反向净负荷分别为103.02 MW、0.00 MW。刚性方案当年主变容量为130.00 MVA、储能额定功率0.00 MW；弹性方案分别为130.00 MVA和0.00 MW。两类方案本站主变总容量相同。弹性方案按当年各站局部极值计算的站级负载率为83%。</w:t>
      </w:r>
    </w:p>
    <w:p>
      <w:pPr>
        <w:pStyle w:val="2"/>
        <w:keepNext/>
        <w:spacing w:line="280" w:lineRule="exact" w:before="120" w:after="80"/>
        <w:ind w:firstLine="0"/>
        <w:jc w:val="center"/>
      </w:pPr>
      <w:r>
        <w:rPr>
          <w:rFonts w:ascii="Times New Roman" w:hAnsi="Times New Roman" w:eastAsia="宋体"/>
          <w:b w:val="0"/>
          <w:sz w:val="21"/>
        </w:rPr>
        <w:t xml:space="preserve">表5-52 吴庄变年度配置与正向峰值正常转接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90.39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97.32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91.46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90.39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97.32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91.46</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96.47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MW，转接后净负荷为96.47 MW；区域最低净负荷工况下为31.10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本站最大单台主变停运后剩余容量为50.00 MVA。两代表工况重新转供后的本站净负荷分别为47.50 MW、31.10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四年校核截面中，本站绝对功率最大的工况出现在2023年，转接前为103.92 MW，主要表现为正向受电需求。按该年设备扣除最大单台主变后，剩余容量50.00 MVA。故障方式下本站转出56.42 MW、承接0.00 MW，其中与翟山变之间的主要转出功率为39.78 MW，转接后净负荷为47.50 MW。这一工况通过邻站分担本站故障后的正向负荷。</w:t>
      </w:r>
    </w:p>
    <w:p>
      <w:pPr>
        <w:pStyle w:val="7"/>
        <w:keepNext/>
        <w:numPr>
          <w:numId w:val="0"/>
        </w:numPr>
        <w:spacing w:line="360" w:lineRule="exact" w:before="160" w:after="120"/>
        <w:ind w:firstLine="0"/>
      </w:pPr>
      <w:bookmarkStart w:id="237" w:name="西郊变规划分析"/>
      <w:r>
        <w:rPr>
          <w:rFonts w:ascii="Times New Roman" w:hAnsi="Times New Roman" w:eastAsia="方正仿宋_GBK"/>
          <w:b/>
          <w:sz w:val="24"/>
        </w:rPr>
        <w:t xml:space="preserve">西郊变规划分析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2025年本站最大正向、反向净负荷分别为128.27 MW、0.00 MW。刚性方案当年主变容量为126.00 MVA、储能额定功率0.00 MW；弹性方案分别为126.00 MVA和0.00 MW。两类方案本站主变总容量相同。弹性方案按当年各站局部极值计算的站级负载率为107%。</w:t>
      </w:r>
    </w:p>
    <w:p>
      <w:pPr>
        <w:pStyle w:val="2"/>
        <w:keepNext/>
        <w:spacing w:line="280" w:lineRule="exact" w:before="120" w:after="80"/>
        <w:ind w:firstLine="0"/>
        <w:jc w:val="center"/>
      </w:pPr>
      <w:r>
        <w:rPr>
          <w:rFonts w:ascii="Times New Roman" w:hAnsi="Times New Roman" w:eastAsia="宋体"/>
          <w:b w:val="0"/>
          <w:sz w:val="21"/>
        </w:rPr>
        <w:t xml:space="preserve">表5-53 西郊变年度配置与正向峰值正常转接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8.57</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8.57</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119.70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2025年区域正向峰值正常工况下，本站转出8.57 MW、承接0.00 MW，转接后净负荷为119.70 MW；区域最低净负荷工况下为32.04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本站最大单台主变停运后剩余容量为63.00 MVA。两代表工况重新转供后的本站净负荷分别为59.85 MW、32.04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四年校核截面中，本站绝对功率最大的工况出现在2023年，转接前为129.39 MW，主要表现为正向受电需求。按该年设备扣除最大单台主变后，剩余容量63.00 MVA。故障方式下本站转出69.54 MW、承接0.00 MW，其中与古彭变之间的主要转出功率为27.51 MW，转接后净负荷为59.85 MW。这一工况通过邻站分担本站故障后的正向负荷。</w:t>
      </w:r>
    </w:p>
    <w:p>
      <w:pPr>
        <w:pStyle w:val="7"/>
        <w:keepNext/>
        <w:numPr>
          <w:numId w:val="0"/>
        </w:numPr>
        <w:spacing w:line="360" w:lineRule="exact" w:before="160" w:after="120"/>
        <w:ind w:firstLine="0"/>
      </w:pPr>
      <w:bookmarkStart w:id="238" w:name="祥和变规划分析"/>
      <w:r>
        <w:rPr>
          <w:rFonts w:ascii="Times New Roman" w:hAnsi="Times New Roman" w:eastAsia="方正仿宋_GBK"/>
          <w:b/>
          <w:sz w:val="24"/>
        </w:rPr>
        <w:t xml:space="preserve">祥和变规划分析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2025年本站最大正向、反向净负荷分别为19.37 MW、0.00 MW。刚性方案当年主变容量为90.00 MVA、储能额定功率0.00 MW；弹性方案分别为90.00 MVA和0.00 MW。两类方案本站主变总容量相同。弹性方案按当年各站局部极值计算的站级负载率为23%。</w:t>
      </w:r>
    </w:p>
    <w:p>
      <w:pPr>
        <w:pStyle w:val="2"/>
        <w:keepNext/>
        <w:spacing w:line="280" w:lineRule="exact" w:before="120" w:after="80"/>
        <w:ind w:firstLine="0"/>
        <w:jc w:val="center"/>
      </w:pPr>
      <w:r>
        <w:rPr>
          <w:rFonts w:ascii="Times New Roman" w:hAnsi="Times New Roman" w:eastAsia="宋体"/>
          <w:b w:val="0"/>
          <w:sz w:val="21"/>
        </w:rPr>
        <w:t xml:space="preserve">表5-54 祥和变年度配置与正向峰值正常转接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18.12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19.51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18.34</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18.12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19.51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18.34</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MW，转接后净负荷为19.35 MW；区域最低净负荷工况下为5.17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MVA。两代表工况重新转供后的本站净负荷分别为19.35 MW、5.17 MW，两方向最小容量余量为18.65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四年校核截面中，本站绝对功率最大的工况出现在2023年，转接前为19.54 MW，主要表现为正向受电需求。按该年设备扣除最大单台主变后，剩余容量40.00 MVA。该工况本站由剩余主变满足承载要求。</w:t>
      </w:r>
    </w:p>
    <w:p>
      <w:pPr>
        <w:pStyle w:val="7"/>
        <w:keepNext/>
        <w:numPr>
          <w:numId w:val="0"/>
        </w:numPr>
        <w:spacing w:line="360" w:lineRule="exact" w:before="160" w:after="120"/>
        <w:ind w:firstLine="0"/>
      </w:pPr>
      <w:bookmarkStart w:id="239" w:name="响山变规划分析"/>
      <w:r>
        <w:rPr>
          <w:rFonts w:ascii="Times New Roman" w:hAnsi="Times New Roman" w:eastAsia="方正仿宋_GBK"/>
          <w:b/>
          <w:sz w:val="24"/>
        </w:rPr>
        <w:t xml:space="preserve">响山变规划分析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2025年本站最大正向、反向净负荷分别为53.11 MW、0.00 MW。刚性方案当年主变容量为80.00 MVA、储能额定功率0.00 MW；弹性方案分别为80.00 MVA和0.00 MW。两类方案本站主变总容量相同。弹性方案按当年各站局部极值计算的站级负载率为70%。</w:t>
      </w:r>
    </w:p>
    <w:p>
      <w:pPr>
        <w:pStyle w:val="2"/>
        <w:keepNext/>
        <w:spacing w:line="280" w:lineRule="exact" w:before="120" w:after="80"/>
        <w:ind w:firstLine="0"/>
        <w:jc w:val="center"/>
      </w:pPr>
      <w:r>
        <w:rPr>
          <w:rFonts w:ascii="Times New Roman" w:hAnsi="Times New Roman" w:eastAsia="宋体"/>
          <w:b w:val="0"/>
          <w:sz w:val="21"/>
        </w:rPr>
        <w:t xml:space="preserve">表5-55 响山变年度配置与正向峰值正常转接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49.76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53.58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50.35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49.76</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53.58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50.35</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53.11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MW，转接后净负荷为53.11 MW；区域最低净负荷工况下为11.38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MVA。两代表工况重新转供后的本站净负荷分别为38.00 MW、11.38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四年校核截面中，本站绝对功率最大的工况出现在2023年，转接前为53.58 MW，主要表现为正向受电需求。按该年设备扣除最大单台主变后，剩余容量40.00 MVA。故障方式下本站转出15.58 MW、承接0.00 MW，其中与刘湾变之间的主要转出功率为15.58 MW，转接后净负荷为38.00 MW。这一工况通过邻站分担本站故障后的正向负荷。</w:t>
      </w:r>
    </w:p>
    <w:p>
      <w:pPr>
        <w:pStyle w:val="7"/>
        <w:keepNext/>
        <w:numPr>
          <w:numId w:val="0"/>
        </w:numPr>
        <w:spacing w:line="360" w:lineRule="exact" w:before="160" w:after="120"/>
        <w:ind w:firstLine="0"/>
      </w:pPr>
      <w:bookmarkStart w:id="240" w:name="玉潭变规划分析"/>
      <w:r>
        <w:rPr>
          <w:rFonts w:ascii="Times New Roman" w:hAnsi="Times New Roman" w:eastAsia="方正仿宋_GBK"/>
          <w:b/>
          <w:sz w:val="24"/>
        </w:rPr>
        <w:t xml:space="preserve">玉潭变规划分析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2025年本站最大正向、反向净负荷分别为45.03 MW、0.00 MW。刚性方案当年主变容量为126.00 MVA、储能额定功率0.00 MW；弹性方案分别为126.00 MVA和0.00 MW。两类方案本站主变总容量相同。弹性方案按当年各站局部极值计算的站级负载率为38%。</w:t>
      </w:r>
    </w:p>
    <w:p>
      <w:pPr>
        <w:pStyle w:val="2"/>
        <w:keepNext/>
        <w:spacing w:line="280" w:lineRule="exact" w:before="120" w:after="80"/>
        <w:ind w:firstLine="0"/>
        <w:jc w:val="center"/>
      </w:pPr>
      <w:r>
        <w:rPr>
          <w:rFonts w:ascii="Times New Roman" w:hAnsi="Times New Roman" w:eastAsia="宋体"/>
          <w:b w:val="0"/>
          <w:sz w:val="21"/>
        </w:rPr>
        <w:t xml:space="preserve">表5-56 玉潭变年度配置与正向峰值正常转接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42.19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45.42</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42.69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42.19</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47.65</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42.69</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0.43</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45.45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MW、承接0.43 MW，转接后净负荷为45.45 MW；区域最低净负荷工况下为9.12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本站最大单台主变停运后剩余容量为63.00 MVA。两代表工况重新转供后的本站净负荷分别为45.45 MW、9.12 MW，两方向最小容量余量为14.40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四年校核截面中，本站绝对功率最大的工况出现在2023年，转接前为45.42 MW，主要表现为正向受电需求。按该年设备扣除最大单台主变后，剩余容量63.00 MVA。故障方式下本站转出0.00 MW、承接2.23 MW，其中与西郊变之间的主要承接功率为2.23 MW，转接后净负荷为47.65 MW。该工况的站间任务随局部功率方向和接收余量安排。</w:t>
      </w:r>
    </w:p>
    <w:p>
      <w:pPr>
        <w:pStyle w:val="7"/>
        <w:keepNext/>
        <w:numPr>
          <w:numId w:val="0"/>
        </w:numPr>
        <w:spacing w:line="360" w:lineRule="exact" w:before="160" w:after="120"/>
        <w:ind w:firstLine="0"/>
      </w:pPr>
      <w:bookmarkStart w:id="241" w:name="茱萸变规划分析"/>
      <w:r>
        <w:rPr>
          <w:rFonts w:ascii="Times New Roman" w:hAnsi="Times New Roman" w:eastAsia="方正仿宋_GBK"/>
          <w:b/>
          <w:sz w:val="24"/>
        </w:rPr>
        <w:t xml:space="preserve">茱萸变规划分析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MVA。四年保留初始主变组合。弹性方案四年均由主变及网络承担供电任务。</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2025年本站最大正向、反向净负荷分别为16.47 MW、5.61 MW。刚性方案当年主变容量为80.00 MVA、储能额定功率0.00 MW；弹性方案分别为80.00 MVA和0.00 MW。两类方案本站主变总容量相同。弹性方案按当年各站局部极值计算的站级负载率为22%。</w:t>
      </w:r>
    </w:p>
    <w:p>
      <w:pPr>
        <w:pStyle w:val="2"/>
        <w:keepNext/>
        <w:spacing w:line="280" w:lineRule="exact" w:before="120" w:after="80"/>
        <w:ind w:firstLine="0"/>
        <w:jc w:val="center"/>
      </w:pPr>
      <w:r>
        <w:rPr>
          <w:rFonts w:ascii="Times New Roman" w:hAnsi="Times New Roman" w:eastAsia="宋体"/>
          <w:b w:val="0"/>
          <w:sz w:val="21"/>
        </w:rPr>
        <w:t xml:space="preserve">表5-57 茱萸变年度配置与正向峰值正常转接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10.78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11.61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10.91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10.78</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11.61</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10.91</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11.51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MW，转接后净负荷为11.51 MW；区域最低净负荷工况下为-4.81 MW。</w:t>
      </w:r>
    </w:p>
    <w:p>
      <w:pPr>
        <w:pStyle w:val="2"/>
        <w:widowControl/>
        <w:spacing w:line="348" w:lineRule="exact" w:before="0" w:after="0"/>
        <w:ind w:firstLine="480"/>
        <w:jc w:val="both"/>
      </w:pPr>
      <w:r>
        <w:rPr>
          <w:rFonts w:ascii="Times New Roman" w:hAnsi="Times New Roman" w:eastAsia="方正仿宋_GBK"/>
          <w:b w:val="0"/>
          <w:sz w:val="24"/>
        </w:rPr>
        <w:t xml:space="preserve">本站最大单台主变停运后剩余容量为40.00 MVA。两代表工况重新转供后的本站净负荷分别为11.51 MW、-4.81 MW，两方向最小容量余量为26.49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四年校核截面中，本站绝对功率最大的工况出现在2023年，转接前为16.61 MW，主要表现为正向受电需求。按该年设备扣除最大单台主变后，剩余容量40.00 MVA。该工况本站由剩余主变满足承载要求。</w:t>
      </w:r>
    </w:p>
    <w:p>
      <w:pPr>
        <w:pStyle w:val="5"/>
        <w:keepNext/>
        <w:numPr>
          <w:numId w:val="0"/>
        </w:numPr>
        <w:spacing w:line="390" w:lineRule="exact" w:before="160" w:after="120"/>
        <w:ind w:firstLine="0"/>
      </w:pPr>
      <w:bookmarkStart w:id="242" w:name="年度设备配置与站间差异"/>
      <w:r>
        <w:rPr>
          <w:rFonts w:ascii="Times New Roman" w:hAnsi="Times New Roman" w:eastAsia="方正仿宋_GBK"/>
          <w:b/>
          <w:sz w:val="26"/>
        </w:rPr>
        <w:t xml:space="preserve">5.4.7 年度设备配置与站间差异</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表5-58 2025年站级展示范围内主变台数与配储站数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22.70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3.60</w:t>
            </w:r>
          </w:p>
        </w:tc>
      </w:tr>
      <w:tr>
        <w:trPr>
          <w:cantSplit/>
        </w:trPr>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邳州两类方案均有1座三台主变站，但配储站数及储能规模不同；市区两类方案均保持两台主变的站内结构，弹性方案通过翟山变单台升档提高故障后剩余容量。主变台数只反映设备结构的一部分，同样为两台主变的站，额定规格和最大单台停运后的可用容量仍有差异。各年的具体组合、支援方向和投运变化需结合逐站表确定。</w:t>
      </w:r>
    </w:p>
    <w:p>
      <w:pPr>
        <w:pStyle w:val="2"/>
        <w:widowControl/>
        <w:spacing w:line="348" w:lineRule="exact" w:before="0" w:after="0"/>
        <w:ind w:firstLine="480"/>
        <w:jc w:val="both"/>
      </w:pPr>
      <w:r>
        <w:rPr>
          <w:rFonts w:ascii="Times New Roman" w:hAnsi="Times New Roman" w:eastAsia="方正仿宋_GBK"/>
          <w:b w:val="0"/>
          <w:sz w:val="24"/>
        </w:rPr>
        <w:t xml:space="preserve">这些设备结果为区域推荐区间提供了具体工程含义：同一容载比可以由不同站内设备结构构成，区间选择需要与主变台数、规格及站间任务相对应。先比较各站需求，再归纳区域指标，能够解释新增容量用于哪些站点，以及费用变化来自哪些建设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4"/>
        <w:keepNext/>
        <w:numPr>
          <w:numId w:val="0"/>
        </w:numPr>
        <w:spacing w:line="480" w:lineRule="exact" w:before="160" w:after="120"/>
        <w:ind w:firstLine="0"/>
      </w:pPr>
      <w:bookmarkStart w:id="1921" w:name="h921"/>
      <w:bookmarkStart w:id="243" w:name="措施作用与工程衔接"/>
      <w:r>
        <w:rPr>
          <w:rFonts w:ascii="Times New Roman" w:hAnsi="Times New Roman" w:eastAsia="方正仿宋_GBK"/>
          <w:b/>
          <w:sz w:val="32"/>
        </w:rPr>
        <w:t xml:space="preserve">5.5 措施作用与工程衔接</w:t>
      </w:r>
      <w:bookmarkEnd w:id="243"/>
      <w:bookmarkEnd w:id="1921"/>
    </w:p>
    <w:p>
      <w:pPr>
        <w:pStyle w:val="5"/>
        <w:keepNext/>
        <w:numPr>
          <w:numId w:val="0"/>
        </w:numPr>
        <w:spacing w:line="390" w:lineRule="exact" w:before="160" w:after="120"/>
        <w:ind w:firstLine="0"/>
      </w:pPr>
      <w:bookmarkStart w:id="244" w:name="逐年负荷转接与站间任务"/>
      <w:r>
        <w:rPr>
          <w:rFonts w:ascii="Times New Roman" w:hAnsi="Times New Roman" w:eastAsia="方正仿宋_GBK"/>
          <w:b/>
          <w:sz w:val="26"/>
        </w:rPr>
        <w:t xml:space="preserve">5.5.1 逐年负荷转接与站间任务</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联络建设数量、线路允许转供能力和实际转接功率是不同量。新增线路按建设数量计投资，可转能力受线路及两端设备限制，实际转接功率则按具体运行工况确定。下面分别列示区域正向峰值与最低净负荷两种正常工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7.65</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bl>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9.78</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9.78</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16.36</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16.36</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10.80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10.80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15.55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15.55</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9.78</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9.78</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16.36</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16.36</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10.80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10.80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15.55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15.55</w:t>
            </w:r>
          </w:p>
        </w:tc>
      </w:tr>
      <w:tr>
        <w:trPr>
          <w:cantSplit/>
        </w:trPr>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45" w:name="主变储能与联络的共同作用"/>
      <w:r>
        <w:rPr>
          <w:rFonts w:ascii="Times New Roman" w:hAnsi="Times New Roman" w:eastAsia="方正仿宋_GBK"/>
          <w:b/>
          <w:sz w:val="26"/>
        </w:rPr>
        <w:t xml:space="preserve">5.5.2 主变、储能与联络的共同作用</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设备选择与站间任务相互衔接。翟山变的更换直接增加最大单台主变停运后的剩余容量；邢楼变的第三台主变建设改变原有两台小容量主变的组合；保持原设备的站点则结合既有通道安排故障负荷。各站的建设方式由本地源荷、相邻站能力、可扩建位置与工程费用共同确定，区域费用下降最终对应这些具体措施的差异。</w:t>
      </w:r>
    </w:p>
    <w:p>
      <w:pPr>
        <w:pStyle w:val="5"/>
        <w:keepNext/>
        <w:numPr>
          <w:numId w:val="0"/>
        </w:numPr>
        <w:spacing w:line="390" w:lineRule="exact" w:before="160" w:after="120"/>
        <w:ind w:firstLine="0"/>
      </w:pPr>
      <w:bookmarkStart w:id="246" w:name="储能支撑与必要转供量"/>
      <w:r>
        <w:rPr>
          <w:rFonts w:ascii="Times New Roman" w:hAnsi="Times New Roman" w:eastAsia="方正仿宋_GBK"/>
          <w:b/>
          <w:sz w:val="26"/>
        </w:rPr>
        <w:t xml:space="preserve">5.5.3 储能支撑与必要转供量</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邳州正向支撑持续时间为2 h，每柜有效功率0.08170 MW；市区为6 h，每柜约0.02723 MW。邳州弹性方案2025年储能额定功率3.60 MW、额定能量7.74 MWh，刚性方案分别为22.70 MW、48.81 MWh。市区两类方案均通过主变和网络满足本次静态支撑要求。</w:t>
      </w:r>
    </w:p>
    <w:p>
      <w:pPr>
        <w:pStyle w:val="2"/>
        <w:keepNext/>
        <w:spacing w:line="280" w:lineRule="exact" w:before="120" w:after="80"/>
        <w:ind w:firstLine="0"/>
        <w:jc w:val="center"/>
      </w:pPr>
      <w:r>
        <w:rPr>
          <w:rFonts w:ascii="Times New Roman" w:hAnsi="Times New Roman" w:eastAsia="宋体"/>
          <w:b w:val="0"/>
          <w:sz w:val="21"/>
        </w:rPr>
        <w:t xml:space="preserve">表5-61 逐年最大必要既有转供功率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方案</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正常最大/MW</w:t>
            </w:r>
          </w:p>
        </w:tc>
        <w:tc>
          <w:tcPr>
            <w:tcW w:type="dxa" w:w="1662"/>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N-1最大/MW</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11.08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70.10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26.05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85.90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12.70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72.55</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24.12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83.97</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11.08</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70.10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26.05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85.90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12.70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72.55</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24.12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83.97</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3.41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50.17</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46.76</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53.79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16.06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62.82</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3.41</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50.17</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46.50</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7.03</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53.79</w:t>
            </w:r>
          </w:p>
        </w:tc>
      </w:tr>
      <w:tr>
        <w:trPr>
          <w:cantSplit/>
        </w:trPr>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16.06</w:t>
            </w:r>
          </w:p>
        </w:tc>
        <w:tc>
          <w:tcPr>
            <w:tcW w:type="dxa" w:w="1662"/>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62.82</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表中固定设备方案后，以最小总通道转供功率计算必要转供，并分别列出正常和N-1工况中的最大既有转供量。既有网络支援在正常及故障工况下共同参与容量平衡，新增联络费用由实际建设项目计取。</w:t>
      </w:r>
    </w:p>
    <w:p>
      <w:pPr>
        <w:pStyle w:val="2"/>
        <w:widowControl/>
        <w:spacing w:line="348" w:lineRule="exact" w:before="0" w:after="0"/>
        <w:ind w:firstLine="480"/>
        <w:jc w:val="both"/>
      </w:pPr>
      <w:r>
        <w:rPr>
          <w:rFonts w:ascii="Times New Roman" w:hAnsi="Times New Roman" w:eastAsia="方正仿宋_GBK"/>
          <w:b w:val="0"/>
          <w:sz w:val="24"/>
        </w:rPr>
        <w:t xml:space="preserve">必要转供功率还说明既有网络的作用。市区弹性方案没有新增联络，仍需要在既有逐站额度和通道内安排正常及故障支援；刚性方案的5项新增工程是在相同既有网络基础上增加可用路径。邳州两类方案均建设联络，但储能和主变的站内分布不同，各年的必要转供任务随负荷及投运状态变化。比较新增工程时，应将已有网络提供的支援与新建通道形成的增量分别对应到方案。</w:t>
      </w:r>
    </w:p>
    <w:p>
      <w:pPr>
        <w:pStyle w:val="4"/>
        <w:keepNext/>
        <w:numPr>
          <w:numId w:val="0"/>
        </w:numPr>
        <w:spacing w:line="480" w:lineRule="exact" w:before="160" w:after="120"/>
        <w:ind w:firstLine="0"/>
      </w:pPr>
      <w:bookmarkStart w:id="1937" w:name="h937"/>
      <w:bookmarkStart w:id="247" w:name="六参数推广矩阵"/>
      <w:r>
        <w:rPr>
          <w:rFonts w:ascii="Times New Roman" w:hAnsi="Times New Roman" w:eastAsia="方正仿宋_GBK"/>
          <w:b/>
          <w:sz w:val="32"/>
        </w:rPr>
        <w:t xml:space="preserve">5.6 六参数推广矩阵</w:t>
      </w:r>
      <w:bookmarkEnd w:id="247"/>
      <w:bookmarkEnd w:id="1937"/>
    </w:p>
    <w:p>
      <w:pPr>
        <w:pStyle w:val="5"/>
        <w:keepNext/>
        <w:numPr>
          <w:numId w:val="0"/>
        </w:numPr>
        <w:spacing w:line="390" w:lineRule="exact" w:before="160" w:after="120"/>
        <w:ind w:firstLine="0"/>
      </w:pPr>
      <w:bookmarkStart w:id="248" w:name="参数组织与推广模型"/>
      <w:r>
        <w:rPr>
          <w:rFonts w:ascii="Times New Roman" w:hAnsi="Times New Roman" w:eastAsia="方正仿宋_GBK"/>
          <w:b/>
          <w:sz w:val="26"/>
        </w:rPr>
        <w:t xml:space="preserve">5.6.1 参数组织与推广模型</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推广采用第3.5节全部六项参数：分布式电源装机渗透率、年最大净负荷平均增长率、电缆长度占比、初始转供率、储能支撑持续时间和负荷分散系数。参数的政策依据、采样节点和相关系数见第3.5节，本节将同一有效结果库归纳为容载比矩阵。</w:t>
      </w:r>
    </w:p>
    <w:p>
      <w:pPr>
        <w:pStyle w:val="2"/>
        <w:widowControl/>
        <w:spacing w:line="348" w:lineRule="exact" w:before="0" w:after="0"/>
        <w:ind w:firstLine="480"/>
        <w:jc w:val="both"/>
      </w:pPr>
      <w:r>
        <w:rPr>
          <w:rFonts w:ascii="Times New Roman" w:hAnsi="Times New Roman" w:eastAsia="方正仿宋_GBK"/>
          <w:b w:val="0"/>
          <w:sz w:val="24"/>
        </w:rPr>
        <w:t xml:space="preserve">五站模板每站初始两台50 MVA主变，基期网供峰值250 MW，目标时点为基期后第4年。主变允许规格、扩建位置、馈线和间隔条件进入承载约束，主变、储能和新增联络按共同评价期费用比选。</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keepNext/>
              <w:spacing w:before="0" w:after="0"/>
              <w:ind w:firstLine="0" w:firstLineChars="0" w:left="0" w:right="0"/>
            </w:pPr>
          </w:p>
        </w:tc>
        <w:tc>
          <w:tcPr>
            <w:tcW w:type="dxa" w:w="6838"/>
            <w:vAlign w:val="center"/>
            <w:tcMar>
              <w:left w:w="0" w:type="dxa"/>
              <w:right w:w="0" w:type="dxa"/>
            </w:tcMar>
          </w:tcPr>
          <w:p>
            <w:pPr>
              <w:pStyle w:val="2"/>
              <w:keepNext/>
              <w:spacing w:line="276" w:lineRule="auto" w:before="100" w:after="100"/>
              <w:ind w:firstLine="0" w:firstLineChars="0" w:left="0" w:right="0"/>
              <w:jc w:val="center"/>
            </w:pPr>
            <m:oMathPara>
              <m:oMathParaPr>
                <m:jc m:val="center"/>
              </m:oMathPara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m:oMathPara>
          </w:p>
        </w:tc>
        <w:tc>
          <w:tcPr>
            <w:tcW w:type="dxa" w:w="737"/>
            <w:vAlign w:val="center"/>
            <w:tcMar>
              <w:left w:w="0" w:type="dxa"/>
              <w:right w:w="0" w:type="dxa"/>
            </w:tcMar>
          </w:tcPr>
          <w:p>
            <w:pPr>
              <w:keepNext/>
              <w:spacing w:before="0" w:after="0"/>
              <w:ind w:firstLine="0" w:firstLineChars="0" w:left="0" w:right="0"/>
              <w:jc w:val="right"/>
            </w:pPr>
            <w:r>
              <w:rPr>
                <w:rFonts w:ascii="Times New Roman" w:hAnsi="Times New Roman" w:eastAsia="方正仿宋_GBK"/>
                <w:b w:val="0"/>
                <w:sz w:val="18"/>
              </w:rPr>
              <w:t>（5-11）</w:t>
            </w:r>
          </w:p>
        </w:tc>
      </w:tr>
    </w:tbl>
    <w:p>
      <w:pPr>
        <w:pStyle w:val="FirstParagraph"/>
        <w:widowControl/>
        <w:spacing w:line="348" w:lineRule="exact" w:before="0" w:after="0"/>
        <w:ind w:left="0" w:right="0" w:firstLine="0" w:firstLine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初始设备</w:t>
            </w:r>
          </w:p>
        </w:tc>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5站，每站2×50 MVA；按位置允许升档和扩建第三台50 MVA</w:t>
            </w:r>
          </w:p>
        </w:tc>
      </w:tr>
      <w:tr>
        <w:trPr>
          <w:cantSplit/>
        </w:trPr>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49" w:name="矩阵结果与查表方法"/>
      <w:r>
        <w:rPr>
          <w:rFonts w:ascii="Times New Roman" w:hAnsi="Times New Roman" w:eastAsia="方正仿宋_GBK"/>
          <w:b/>
          <w:sz w:val="26"/>
        </w:rPr>
        <w:t xml:space="preserve">5.6.2 矩阵结果与查表方法</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六项参数共设置34686个组合，其中32112个有效组合形成容载比区间。按电缆长度占比三档、储能支撑持续时间三个定值和负荷分散系数三个定值分为27张表，每表以平均增长率和装机渗透率构成12行、初始转供率构成4列，共1296个单元。每个单元包含2～60个有效样本，容载比区间总体为1.36～3.15。</w:t>
      </w:r>
    </w:p>
    <w:p>
      <w:pPr>
        <w:pStyle w:val="2"/>
        <w:widowControl/>
        <w:spacing w:line="348" w:lineRule="exact" w:before="0" w:after="0"/>
        <w:ind w:firstLine="480"/>
        <w:jc w:val="both"/>
      </w:pPr>
      <w:r>
        <w:rPr>
          <w:rFonts w:ascii="Times New Roman" w:hAnsi="Times New Roman" w:eastAsia="方正仿宋_GBK"/>
          <w:b w:val="0"/>
          <w:sz w:val="24"/>
        </w:rPr>
        <w:t xml:space="preserve">查表先确定电缆长度占比档、储能支撑持续时间和负荷分散系数，再按平均增长率、装机渗透率选行，按初始转供率选列。表内为对应有效节点的容载比有限范围，源荷与转供参数采用首尾开口分类，时间及分散系数按表题所列定值使用。</w:t>
      </w:r>
    </w:p>
    <w:p>
      <w:pPr>
        <w:pStyle w:val="2"/>
        <w:keepNext/>
        <w:spacing w:line="280" w:lineRule="exact" w:before="120" w:after="80"/>
        <w:ind w:firstLine="0"/>
        <w:jc w:val="center"/>
      </w:pPr>
      <w:r>
        <w:rPr>
          <w:rFonts w:ascii="Times New Roman" w:hAnsi="Times New Roman" w:eastAsia="宋体"/>
          <w:b w:val="0"/>
          <w:sz w:val="21"/>
        </w:rPr>
        <w:t xml:space="preserve">表5-63 电缆长度占比≤10%，储能支撑2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2.20～3.04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2.25～2.60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2.25～2.60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电缆长度占比≤10%，储能支撑2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2.25～2.60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2.25～2.60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1.52～1.94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电缆长度占比≤10%，储能支撑2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2.25～2.69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2.25～2.60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电缆长度占比≤10%，储能支撑4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2.31～3.04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电缆长度占比≤10%，储能支撑4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电缆长度占比≤10%，储能支撑4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电缆长度占比≤10%，储能支撑6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2.31～3.04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1.47～1.51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电缆长度占比≤10%，储能支撑6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电缆长度占比≤10%，储能支撑6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1.95～2.32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2.06～2.10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2.06～2.30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电缆长度占比(10%,30%]，储能支撑2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2.20～3.04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1.47～1.51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表5-73 电缆长度占比(10%,30%]，储能支撑2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表5-74 电缆长度占比(10%,30%]，储能支撑2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表5-75 电缆长度占比(10%,30%]，储能支撑4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1.47～1.51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表5-76 电缆长度占比(10%,30%]，储能支撑4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2.30～2.91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表5-77 电缆长度占比(10%,30%]，储能支撑4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2.30～2.91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1.52～1.87</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表5-78 电缆长度占比(10%,30%]，储能支撑6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1.47～1.51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表5-79 电缆长度占比(10%,30%]，储能支撑6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表5-80 电缆长度占比(10%,30%]，储能支撑6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1.95～2.32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2.06～2.10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2.06～2.30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表5-81 电缆长度占比&gt;30%，储能支撑2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2.20～3.04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1.50～1.62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表5-82 电缆长度占比&gt;30%，储能支撑2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表5-83 电缆长度占比&gt;30%，储能支撑2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1.94～1.98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表5-84 电缆长度占比&gt;30%，储能支撑4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1.50～1.62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表5-85 电缆长度占比&gt;30%，储能支撑4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表5-86 电缆长度占比&gt;30%，储能支撑4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1.67～1.94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1.97～2.03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2.24～2.59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表5-87 电缆长度占比&gt;30%，储能支撑6 h，负荷分散系数1.00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1.77～2.26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1.50～1.62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表5-88 电缆长度占比&gt;30%，储能支撑6 h，负荷分散系数1.10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1.77～1.94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1.61～2.17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2.31～2.49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2.16～2.49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表5-89 电缆长度占比&gt;30%，储能支撑6 h，负荷分散系数1.15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2.03～2.40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2.03～2.40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2.43～3.15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2.43～2.91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2.43～2.84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2.13～2.32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1.70～1.89</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2.13～2.43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2.06～2.10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1.77～2.07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1.67～1.94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2.06～2.30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2.39～2.65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1.61～1.92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2.02～2.06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1.91～2.24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1.47～1.95</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2.24～2.59</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1.80～2.42</w:t>
            </w:r>
          </w:p>
        </w:tc>
      </w:tr>
    </w:tbl>
    <w:p>
      <w:pPr>
        <w:pStyle w:val="5"/>
        <w:keepNext/>
        <w:numPr>
          <w:numId w:val="0"/>
        </w:numPr>
        <w:spacing w:line="390" w:lineRule="exact" w:before="160" w:after="120"/>
        <w:ind w:firstLine="0"/>
      </w:pPr>
      <w:bookmarkStart w:id="250" w:name="参数关联对应的设备变化"/>
      <w:r>
        <w:rPr>
          <w:rFonts w:ascii="Times New Roman" w:hAnsi="Times New Roman" w:eastAsia="方正仿宋_GBK"/>
          <w:b/>
          <w:sz w:val="26"/>
        </w:rPr>
        <w:t xml:space="preserve">5.6.3 参数关联对应的设备变化</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平均增长率同时改变规划时点负荷和设备配置，容载比随容量离散投运呈阶段变化。电缆长度占比、支撑时间及负荷分散系数则在部分组合中触发设备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51"/>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图中固定电缆长度占比10%、初始转供率40%、储能支撑持续时间4 h和负荷分散系数1.10，显示同一组背景下源荷条件的作用。具体参数组合与设备结果见配套工作簿。</w:t>
      </w:r>
    </w:p>
    <w:p>
      <w:pPr>
        <w:pStyle w:val="5"/>
        <w:keepNext/>
        <w:numPr>
          <w:numId w:val="0"/>
        </w:numPr>
        <w:spacing w:line="390" w:lineRule="exact" w:before="160" w:after="120"/>
        <w:ind w:firstLine="0"/>
      </w:pPr>
      <w:bookmarkStart w:id="252" w:name="固定源荷条件下的转供序列"/>
      <w:r>
        <w:rPr>
          <w:rFonts w:ascii="Times New Roman" w:hAnsi="Times New Roman" w:eastAsia="方正仿宋_GBK"/>
          <w:b/>
          <w:sz w:val="26"/>
        </w:rPr>
        <w:t xml:space="preserve">5.6.4 固定源荷条件下的转供序列</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固定装机渗透率1.50、平均增长率4%、电缆长度占比10%、储能支撑持续时间4 h和负荷分散系数1.10，比较10%～90%的完整初始转供率序列。</w:t>
      </w:r>
    </w:p>
    <w:p>
      <w:pPr>
        <w:pStyle w:val="2"/>
        <w:keepNext/>
        <w:spacing w:line="280" w:lineRule="exact" w:before="120" w:after="80"/>
        <w:ind w:firstLine="0"/>
        <w:jc w:val="center"/>
      </w:pPr>
      <w:r>
        <w:rPr>
          <w:rFonts w:ascii="Times New Roman" w:hAnsi="Times New Roman" w:eastAsia="宋体"/>
          <w:b w:val="0"/>
          <w:sz w:val="21"/>
        </w:rPr>
        <w:t xml:space="preserve">表5-90 固定源荷和线路条件下的转供率比较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储能/MW</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2.22</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5348.03</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4.60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4967.43</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2104.89</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1500.74</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70%、80%、90%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1379.91</w:t>
            </w:r>
          </w:p>
        </w:tc>
      </w:tr>
    </w:tbl>
    <w:p>
      <w:pPr>
        <w:pStyle w:val="2"/>
        <w:widowControl/>
        <w:spacing w:line="348" w:lineRule="exact" w:before="0" w:after="0"/>
        <w:ind w:firstLine="480"/>
        <w:jc w:val="both"/>
      </w:pPr>
      <w:r>
        <w:rPr>
          <w:rFonts w:ascii="Times New Roman" w:hAnsi="Times New Roman" w:eastAsia="方正仿宋_GBK"/>
          <w:b w:val="0"/>
          <w:sz w:val="24"/>
        </w:rPr>
        <w:t xml:space="preserve">10%～30%转供率之间发生主变配置切换，其中20%节点以储能补充局部缺口。30%及以上节点保持550.00 MVA、无储能的配置，新增联络随既有转供能力提高而减少，70%及以上节点采用相同设备方案。对应的容量变化集中于低转供阶段，后续改善主要表现为联络建设费用下降。</w:t>
      </w:r>
    </w:p>
    <w:p>
      <w:pPr>
        <w:pStyle w:val="5"/>
        <w:keepNext/>
        <w:numPr>
          <w:numId w:val="0"/>
        </w:numPr>
        <w:spacing w:line="390" w:lineRule="exact" w:before="160" w:after="120"/>
        <w:ind w:firstLine="0"/>
      </w:pPr>
      <w:bookmarkStart w:id="253" w:name="装机渗透率与双向容量需求"/>
      <w:r>
        <w:rPr>
          <w:rFonts w:ascii="Times New Roman" w:hAnsi="Times New Roman" w:eastAsia="方正仿宋_GBK"/>
          <w:b/>
          <w:sz w:val="26"/>
        </w:rPr>
        <w:t xml:space="preserve">5.6.5 装机渗透率与双向容量需求</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固定平均增长率4%、电缆长度占比10%、初始转供率40%、储能支撑持续时间4 h和负荷分散系数1.10，读取装机渗透率0～3.00、步长0.25的完整序列。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表5-91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[7]。</w:t>
      </w:r>
    </w:p>
    <w:p>
      <w:pPr>
        <w:pStyle w:val="5"/>
        <w:keepNext/>
        <w:numPr>
          <w:numId w:val="0"/>
        </w:numPr>
        <w:spacing w:line="390" w:lineRule="exact" w:before="160" w:after="120"/>
        <w:ind w:firstLine="0"/>
      </w:pPr>
      <w:bookmarkStart w:id="254" w:name="平均增长率与容量储备消耗"/>
      <w:r>
        <w:rPr>
          <w:rFonts w:ascii="Times New Roman" w:hAnsi="Times New Roman" w:eastAsia="方正仿宋_GBK"/>
          <w:b/>
          <w:sz w:val="26"/>
        </w:rPr>
        <w:t xml:space="preserve">5.6.6 平均增长率与容量储备消耗</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固定装机渗透率1.50、电缆长度占比10%、初始转供率40%、支撑持续时间4 h及负荷分散系数1.10，比较锁定库中相应的八个增长节点。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表5-92 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MVA，容载比出现回升。8%、10%节点继续采用不同主变组合，表明容量以整台设备离散投运，容载比在连续增长条件下可以呈阶段波动。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5"/>
        <w:keepNext/>
        <w:numPr>
          <w:numId w:val="0"/>
        </w:numPr>
        <w:spacing w:line="390" w:lineRule="exact" w:before="160" w:after="120"/>
        <w:ind w:firstLine="0"/>
      </w:pPr>
      <w:bookmarkStart w:id="255" w:name="电缆长度占比与联络主变替代"/>
      <w:r>
        <w:rPr>
          <w:rFonts w:ascii="Times New Roman" w:hAnsi="Times New Roman" w:eastAsia="方正仿宋_GBK"/>
          <w:b/>
          <w:sz w:val="26"/>
        </w:rPr>
        <w:t xml:space="preserve">5.6.7 电缆长度占比与联络、主变替代</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固定装机渗透率2.50、平均增长率4%、初始转供率70%、支撑持续时间4 h和负荷分散系数1.10，读取10%、30%、50%、80%、90%电缆长度占比节点。全部节点采用相同的单位线路能力和候选网络，费用按第四章长度加权关系计算。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表5-93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10%、30%、50%、80%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28.00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12680.32～14900.59</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710.00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2.43</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28.00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4</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15147.71</w:t>
            </w:r>
          </w:p>
        </w:tc>
      </w:tr>
    </w:tbl>
    <w:p>
      <w:pPr>
        <w:pStyle w:val="2"/>
        <w:widowControl/>
        <w:spacing w:line="348" w:lineRule="exact" w:before="0" w:after="0"/>
        <w:ind w:firstLine="480"/>
        <w:jc w:val="both"/>
      </w:pPr>
      <w:r>
        <w:rPr>
          <w:rFonts w:ascii="Times New Roman" w:hAnsi="Times New Roman" w:eastAsia="方正仿宋_GBK"/>
          <w:b w:val="0"/>
          <w:sz w:val="24"/>
        </w:rPr>
        <w:t xml:space="preserve">注：首行四个节点配置相同，费用范围对应四个已计算节点。</w:t>
      </w:r>
    </w:p>
    <w:p>
      <w:pPr>
        <w:pStyle w:val="2"/>
        <w:widowControl/>
        <w:spacing w:line="348" w:lineRule="exact" w:before="0" w:after="0"/>
        <w:ind w:firstLine="480"/>
        <w:jc w:val="both"/>
      </w:pPr>
      <w:r>
        <w:rPr>
          <w:rFonts w:ascii="Times New Roman" w:hAnsi="Times New Roman" w:eastAsia="方正仿宋_GBK"/>
          <w:b w:val="0"/>
          <w:sz w:val="24"/>
        </w:rPr>
        <w:t xml:space="preserve">10%～80%范围内的四个已采样节点采用相同设备，费用增加来自同一组新增联络的造价变化；90%节点则将主变由660.00 MVA提高至710.00 MVA，新增联络由7项减少为4项，储能配置保持28.00 MW。高电缆占比下新增联络较贵，费用比选转向更多站内容量，形成主变与联络的替代。该变化具有明确的项目费用依据。</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本次库中相关系数为0.28，两者的工程作用仍分别对应造价和既有网络能力。上述比较固定转供率，显示造价自身引起的设备切换；第5.6.4节固定线路条件，显示既有能力改善带来的新增工程减少。两组结果共同说明参数间统计关联与各自规划作用应分别报告，全部六项结果保留供甲方判断。</w:t>
      </w:r>
    </w:p>
    <w:p>
      <w:pPr>
        <w:pStyle w:val="5"/>
        <w:keepNext/>
        <w:numPr>
          <w:numId w:val="0"/>
        </w:numPr>
        <w:spacing w:line="390" w:lineRule="exact" w:before="160" w:after="120"/>
        <w:ind w:firstLine="0"/>
      </w:pPr>
      <w:bookmarkStart w:id="256" w:name="储能持续时间与有效功率配置"/>
      <w:r>
        <w:rPr>
          <w:rFonts w:ascii="Times New Roman" w:hAnsi="Times New Roman" w:eastAsia="方正仿宋_GBK"/>
          <w:b/>
          <w:sz w:val="26"/>
        </w:rPr>
        <w:t xml:space="preserve">5.6.8 储能持续时间与有效功率配置</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固定装机渗透率2.50、平均增长率4%、电缆长度占比10%、初始转供率40%和负荷分散系数1.10，分别读取2、4、6 h三个定值。三组主变均为710.00 MVA，新增联络均为8项，储能有效支撑功率约14.38 MW。</w:t>
      </w:r>
    </w:p>
    <w:p>
      <w:pPr>
        <w:pStyle w:val="2"/>
        <w:keepNext/>
        <w:spacing w:line="280" w:lineRule="exact" w:before="120" w:after="80"/>
        <w:ind w:firstLine="0"/>
        <w:jc w:val="center"/>
      </w:pPr>
      <w:r>
        <w:rPr>
          <w:rFonts w:ascii="Times New Roman" w:hAnsi="Times New Roman" w:eastAsia="宋体"/>
          <w:b w:val="0"/>
          <w:sz w:val="21"/>
        </w:rPr>
        <w:t xml:space="preserve">表5-94 固定主变及联络配置下的储能持续时间比较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储能支撑持续时间/h</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储能额定能量/MWh</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费用现值/万元</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2</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17.60</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37.84</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11921.75</w:t>
            </w:r>
          </w:p>
        </w:tc>
      </w:tr>
      <w:tr>
        <w:trPr>
          <w:cantSplit/>
        </w:trPr>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35.20</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75.68</w:t>
            </w:r>
          </w:p>
        </w:tc>
        <w:tc>
          <w:tcPr>
            <w:tcW w:type="dxa" w:w="2078"/>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15745.19</w:t>
            </w:r>
          </w:p>
        </w:tc>
      </w:tr>
      <w:tr>
        <w:trPr>
          <w:cantSplit/>
        </w:trPr>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6</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52.80</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113.52</w:t>
            </w:r>
          </w:p>
        </w:tc>
        <w:tc>
          <w:tcPr>
            <w:tcW w:type="dxa" w:w="2078"/>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19568.63</w:t>
            </w:r>
          </w:p>
        </w:tc>
      </w:tr>
    </w:tbl>
    <w:p>
      <w:pPr>
        <w:pStyle w:val="2"/>
        <w:widowControl/>
        <w:spacing w:line="348" w:lineRule="exact" w:before="0" w:after="0"/>
        <w:ind w:firstLine="480"/>
        <w:jc w:val="both"/>
      </w:pPr>
      <w:r>
        <w:rPr>
          <w:rFonts w:ascii="Times New Roman" w:hAnsi="Times New Roman" w:eastAsia="方正仿宋_GBK"/>
          <w:b w:val="0"/>
          <w:sz w:val="24"/>
        </w:rPr>
        <w:t xml:space="preserve">该组设备所需补充的有效功率接近一致，持续时间由2 h延长至4 h和6 h时，储能额定功率及额定能量按所需柜数增加，费用相应提高。主变及联络没有切换，说明这一组背景下增加柜数仍是相应可行组合的选择。其工程含义是：持续时间控制为同一功率缺口准备多少可用电量，铭牌功率变化还需结合有效支撑功率解释。</w:t>
      </w:r>
    </w:p>
    <w:p>
      <w:pPr>
        <w:pStyle w:val="2"/>
        <w:widowControl/>
        <w:spacing w:line="348" w:lineRule="exact" w:before="0" w:after="0"/>
        <w:ind w:firstLine="480"/>
        <w:jc w:val="both"/>
      </w:pPr>
      <w:r>
        <w:rPr>
          <w:rFonts w:ascii="Times New Roman" w:hAnsi="Times New Roman" w:eastAsia="方正仿宋_GBK"/>
          <w:b w:val="0"/>
          <w:sz w:val="24"/>
        </w:rPr>
        <w:t xml:space="preserve">第3.5节统计中，支撑时间仅在12%的受控组触发主变容量变化，其余组可能保持主变并调整储能，也可能由主变和网络满足全部需求。时间参数因此按2、4、6 h分别展示，便于将地区近峰特征与具体设备配置对应。实际项目的支撑时长还需结合故障恢复过程和功率缺口持续时间核定[28][10]。</w:t>
      </w:r>
    </w:p>
    <w:p>
      <w:pPr>
        <w:pStyle w:val="5"/>
        <w:keepNext/>
        <w:numPr>
          <w:numId w:val="0"/>
        </w:numPr>
        <w:spacing w:line="390" w:lineRule="exact" w:before="160" w:after="120"/>
        <w:ind w:firstLine="0"/>
      </w:pPr>
      <w:bookmarkStart w:id="257" w:name="负荷分散系数与局部高峰承载"/>
      <w:r>
        <w:rPr>
          <w:rFonts w:ascii="Times New Roman" w:hAnsi="Times New Roman" w:eastAsia="方正仿宋_GBK"/>
          <w:b/>
          <w:sz w:val="26"/>
        </w:rPr>
        <w:t xml:space="preserve">5.6.9 负荷分散系数与局部高峰承载</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固定装机渗透率0、平均增长率4%、电缆长度占比10%、初始转供率40%和储能支撑持续时间4 h，分别比较负荷分散系数1.00、1.10、1.15。各工况区域负荷合计相同，分散系数改变局部高峰在各站之间的分布。</w:t>
      </w:r>
    </w:p>
    <w:p>
      <w:pPr>
        <w:pStyle w:val="2"/>
        <w:keepNext/>
        <w:spacing w:line="280" w:lineRule="exact" w:before="120" w:after="80"/>
        <w:ind w:firstLine="0"/>
        <w:jc w:val="center"/>
      </w:pPr>
      <w:r>
        <w:rPr>
          <w:rFonts w:ascii="Times New Roman" w:hAnsi="Times New Roman" w:eastAsia="宋体"/>
          <w:b w:val="0"/>
          <w:sz w:val="21"/>
        </w:rPr>
        <w:t xml:space="preserve">表5-95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500.00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1.71</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0.50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591.95</w:t>
            </w:r>
          </w:p>
        </w:tc>
      </w:tr>
      <w:tr>
        <w:trPr>
          <w:cantSplit/>
        </w:trPr>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left="0" w:right="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550.00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1.88</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left="0" w:right="0"/>
              <w:jc w:val="center"/>
            </w:pPr>
            <w:r>
              <w:rPr>
                <w:rFonts w:ascii="Times New Roman" w:hAnsi="Times New Roman" w:eastAsia="宋体"/>
                <w:b w:val="0"/>
                <w:sz w:val="18"/>
              </w:rPr>
              <w:t>2225.73</w:t>
            </w:r>
          </w:p>
        </w:tc>
      </w:tr>
    </w:tbl>
    <w:p>
      <w:pPr>
        <w:pStyle w:val="2"/>
        <w:widowControl/>
        <w:spacing w:line="348" w:lineRule="exact" w:before="0" w:after="0"/>
        <w:ind w:firstLine="480"/>
        <w:jc w:val="both"/>
      </w:pPr>
      <w:r>
        <w:rPr>
          <w:rFonts w:ascii="Times New Roman" w:hAnsi="Times New Roman" w:eastAsia="方正仿宋_GBK"/>
          <w:b w:val="0"/>
          <w:sz w:val="24"/>
        </w:rPr>
        <w:t xml:space="preserve">由1.00至1.10时，主变增加50.00 MVA，原少量储能退出，并增加联络；由1.10至1.15时，主变容量保持550.00 MVA，进一步增加2项联络。前一段体现局部高峰任务触发主变补强，后一段通过更多转接路径利用已有容量。区域同时峰值相同，仍可以形成不同的站级设备需求。</w:t>
      </w:r>
    </w:p>
    <w:p>
      <w:pPr>
        <w:pStyle w:val="2"/>
        <w:widowControl/>
        <w:spacing w:line="348" w:lineRule="exact" w:before="0" w:after="0"/>
        <w:ind w:firstLine="480"/>
        <w:jc w:val="both"/>
      </w:pPr>
      <w:r>
        <w:rPr>
          <w:rFonts w:ascii="Times New Roman" w:hAnsi="Times New Roman" w:eastAsia="方正仿宋_GBK"/>
          <w:b w:val="0"/>
          <w:sz w:val="24"/>
        </w:rPr>
        <w:t xml:space="preserve">在装机渗透率2.50、其余背景相同的另一组节点中，三种分散系数均采用710.00 MVA主变，但储能额定功率分别为28.40、35.20、45.90 MW，新增联络也有调整。反向容量和局部高峰共同影响配置时，分散程度的作用可以更多体现为储能与线路组合。矩阵将三个定值分别列示，可保留这些设备差异，后续查表应与片区各站峰值及实际联络条件衔接。</w:t>
      </w:r>
    </w:p>
    <w:p>
      <w:pPr>
        <w:pStyle w:val="4"/>
        <w:keepNext/>
        <w:numPr>
          <w:numId w:val="0"/>
        </w:numPr>
        <w:spacing w:line="480" w:lineRule="exact" w:before="160" w:after="120"/>
        <w:ind w:firstLine="0"/>
      </w:pPr>
      <w:bookmarkStart w:id="2010" w:name="h1010"/>
      <w:bookmarkStart w:id="258" w:name="规划建议"/>
      <w:r>
        <w:rPr>
          <w:rFonts w:ascii="Times New Roman" w:hAnsi="Times New Roman" w:eastAsia="方正仿宋_GBK"/>
          <w:b/>
          <w:sz w:val="32"/>
        </w:rPr>
        <w:t xml:space="preserve">5.7 规划建议</w:t>
      </w:r>
      <w:bookmarkEnd w:id="258"/>
      <w:bookmarkEnd w:id="2010"/>
    </w:p>
    <w:p>
      <w:pPr>
        <w:pStyle w:val="5"/>
        <w:keepNext/>
        <w:numPr>
          <w:numId w:val="0"/>
        </w:numPr>
        <w:spacing w:line="390" w:lineRule="exact" w:before="160" w:after="120"/>
        <w:ind w:firstLine="0"/>
      </w:pPr>
      <w:bookmarkStart w:id="259" w:name="按源荷条件和网络能力选取容量"/>
      <w:r>
        <w:rPr>
          <w:rFonts w:ascii="Times New Roman" w:hAnsi="Times New Roman" w:eastAsia="方正仿宋_GBK"/>
          <w:b/>
          <w:sz w:val="26"/>
        </w:rPr>
        <w:t xml:space="preserve">5.7.1 按源荷条件和网络能力选取容量</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kV案例时落实为逐站MW能力和具体网络约束。推广矩阵保留全部六项参数，规划应用根据片区实际取值查表。</w:t>
      </w:r>
    </w:p>
    <w:p>
      <w:pPr>
        <w:pStyle w:val="5"/>
        <w:keepNext/>
        <w:numPr>
          <w:numId w:val="0"/>
        </w:numPr>
        <w:spacing w:line="390" w:lineRule="exact" w:before="160" w:after="120"/>
        <w:ind w:firstLine="0"/>
      </w:pPr>
      <w:bookmarkStart w:id="260" w:name="统筹主变储能及联络建设"/>
      <w:r>
        <w:rPr>
          <w:rFonts w:ascii="Times New Roman" w:hAnsi="Times New Roman" w:eastAsia="方正仿宋_GBK"/>
          <w:b/>
          <w:sz w:val="26"/>
        </w:rPr>
        <w:t xml:space="preserve">5.7.2 统筹主变、储能及联络建设</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61" w:name="保留参数区间滚动更新计算依据"/>
      <w:r>
        <w:rPr>
          <w:rFonts w:ascii="Times New Roman" w:hAnsi="Times New Roman" w:eastAsia="方正仿宋_GBK"/>
          <w:b/>
          <w:sz w:val="26"/>
        </w:rPr>
        <w:t xml:space="preserve">5.7.3 保留参数区间，滚动更新计算依据</w:t>
      </w:r>
      <w:bookmarkEnd w:id="261"/>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62" w:name="推荐区间与具体设备的衔接"/>
      <w:r>
        <w:rPr>
          <w:rFonts w:ascii="Times New Roman" w:hAnsi="Times New Roman" w:eastAsia="方正仿宋_GBK"/>
          <w:b/>
          <w:sz w:val="26"/>
        </w:rPr>
        <w:t xml:space="preserve">5.7.4 推荐区间与具体设备的衔接</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63" w:name="邳州与市区建设措施的综合比较"/>
      <w:r>
        <w:rPr>
          <w:rFonts w:ascii="Times New Roman" w:hAnsi="Times New Roman" w:eastAsia="方正仿宋_GBK"/>
          <w:b/>
          <w:sz w:val="26"/>
        </w:rPr>
        <w:t xml:space="preserve">5.7.5 邳州与市区建设措施的综合比较</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两地区的弹性方案均增加了区域主变容量，逐站采用不同的建设方式。部分站更换既有主变，部分站扩建第三台，部分站保持原有设备并利用邻站支援。地区比值反映总容量与负荷的关系，逐站年度表反映设备和转供任务，两者共同说明新增容量的具体用途。</w:t>
      </w:r>
    </w:p>
    <w:p>
      <w:pPr>
        <w:pStyle w:val="2"/>
        <w:widowControl/>
        <w:spacing w:line="348" w:lineRule="exact" w:before="0" w:after="0"/>
        <w:ind w:firstLine="480"/>
        <w:jc w:val="both"/>
      </w:pPr>
      <w:r>
        <w:rPr>
          <w:rFonts w:ascii="Times New Roman" w:hAnsi="Times New Roman" w:eastAsia="方正仿宋_GBK"/>
          <w:b w:val="0"/>
          <w:sz w:val="24"/>
        </w:rPr>
        <w:t xml:space="preserve">邳州两类方案2025年主变容量均为1704.00 MVA、容载比1.78。弹性方案在首年完成较多主变建设，2025年储能额定能量为7.74 MWh，累计新增联络14条；刚性方案受首年容量上限限制，2025年储能为48.81 MWh，累计新增联络15条。最终主变容量相同，建设时序和替代措施不同。</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市区弹性方案首年更换一台40 MVA主变为63 MVA，四年容量保持2923.00 MVA，2025年容载比1.91；刚性方案容量保持2900.00 MVA，首年新增5条联络，2025年容载比1.90。两地区刚性可行方案费用合计21790.82万元，弹性为15793.49万元，减少约28%。</w:t>
      </w:r>
    </w:p>
    <w:p>
      <w:pPr>
        <w:pStyle w:val="2"/>
        <w:widowControl/>
        <w:spacing w:line="348" w:lineRule="exact" w:before="0" w:after="0"/>
        <w:ind w:firstLine="480"/>
        <w:jc w:val="both"/>
      </w:pPr>
      <w:r>
        <w:rPr>
          <w:rFonts w:ascii="Times New Roman" w:hAnsi="Times New Roman" w:eastAsia="方正仿宋_GBK"/>
          <w:b w:val="0"/>
          <w:sz w:val="24"/>
        </w:rPr>
        <w:t xml:space="preserve">年度建设需先满足当年需求，再利用后续在役容量。实际负荷回落可以增加同一容量下的比值，负荷恢复可以消耗已有储备；整台主变的离散投运又使容量按项目变化。推荐区间提供前期比选范围，逐站工程和建设时点用于落实</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的规划方案。</w:t>
      </w:r>
    </w:p>
    <w:p>
      <w:pPr>
        <w:pStyle w:val="3"/>
        <w:keepNext/>
        <w:pageBreakBefore/>
        <w:numPr>
          <w:numId w:val="0"/>
        </w:numPr>
        <w:spacing w:line="540" w:lineRule="exact" w:before="0" w:after="120"/>
        <w:ind w:firstLine="0"/>
      </w:pPr>
      <w:bookmarkStart w:id="2025" w:name="h1025"/>
      <w:bookmarkStart w:id="264" w:name="第六章-结论与建议"/>
      <w:r>
        <w:rPr>
          <w:rFonts w:ascii="Times New Roman" w:hAnsi="Times New Roman" w:eastAsia="方正仿宋_GBK"/>
          <w:b/>
          <w:sz w:val="36"/>
        </w:rPr>
        <w:t xml:space="preserve">第六章 结论与建议</w:t>
      </w:r>
      <w:bookmarkEnd w:id="264"/>
      <w:bookmarkEnd w:id="2025"/>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027" w:name="h1027"/>
      <w:bookmarkStart w:id="265" w:name="主要研究结论"/>
      <w:r>
        <w:rPr>
          <w:rFonts w:ascii="Times New Roman" w:hAnsi="Times New Roman" w:eastAsia="方正仿宋_GBK"/>
          <w:b/>
          <w:sz w:val="32"/>
        </w:rPr>
        <w:t xml:space="preserve">6.1 主要研究结论</w:t>
      </w:r>
      <w:bookmarkEnd w:id="265"/>
      <w:bookmarkEnd w:id="2027"/>
    </w:p>
    <w:p>
      <w:pPr>
        <w:pStyle w:val="5"/>
        <w:keepNext/>
        <w:numPr>
          <w:numId w:val="0"/>
        </w:numPr>
        <w:spacing w:line="390" w:lineRule="exact" w:before="160" w:after="120"/>
        <w:ind w:firstLine="0"/>
      </w:pPr>
      <w:bookmarkStart w:id="266" w:name="容载比与局部容量压力应结合分析"/>
      <w:r>
        <w:rPr>
          <w:rFonts w:ascii="Times New Roman" w:hAnsi="Times New Roman" w:eastAsia="方正仿宋_GBK"/>
          <w:b/>
          <w:sz w:val="26"/>
        </w:rPr>
        <w:t xml:space="preserve">6.1.1 容载比与局部容量压力应结合分析</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67" w:name="弹性容量配置降低了所设条件下的方案费用"/>
      <w:r>
        <w:rPr>
          <w:rFonts w:ascii="Times New Roman" w:hAnsi="Times New Roman" w:eastAsia="方正仿宋_GBK"/>
          <w:b/>
          <w:sz w:val="26"/>
        </w:rPr>
        <w:t xml:space="preserve">6.1.2 弹性容量配置降低了所设条件下的方案费用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在相同初始设备、实际年度负荷及逐站转供约束下，邳州两类方案2025年主变容量均为1704.00 MVA、容载比1.78；市区弹性方案为2923.00 MVA、1.91，刚性为2900.00 MVA、1.90。弹性配置由承载需求和费用确定，容量随年度建设保持非减。</w:t>
      </w:r>
    </w:p>
    <w:p>
      <w:pPr>
        <w:pStyle w:val="2"/>
        <w:widowControl/>
        <w:spacing w:line="348" w:lineRule="exact" w:before="0" w:after="0"/>
        <w:ind w:firstLine="480"/>
        <w:jc w:val="both"/>
      </w:pPr>
      <w:r>
        <w:rPr>
          <w:rFonts w:ascii="Times New Roman" w:hAnsi="Times New Roman" w:eastAsia="方正仿宋_GBK"/>
          <w:b w:val="0"/>
          <w:sz w:val="24"/>
        </w:rPr>
        <w:t xml:space="preserve">邳州弹性方案首年完成主变补强，减少后期配储，2025年储能额定能量7.74 MWh，刚性为48.81 MWh。市区弹性方案以一台主变更换替代刚性方案的5项新增联络。两地区刚性可行方案费用合计21790.82万元，弹性为15793.49万元，减少5997.33万元，约28%。</w:t>
      </w:r>
    </w:p>
    <w:p>
      <w:pPr>
        <w:pStyle w:val="5"/>
        <w:keepNext/>
        <w:numPr>
          <w:numId w:val="0"/>
        </w:numPr>
        <w:spacing w:line="390" w:lineRule="exact" w:before="160" w:after="120"/>
        <w:ind w:firstLine="0"/>
      </w:pPr>
      <w:bookmarkStart w:id="268"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68"/>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负荷转接改善容量与负荷的空间匹配。送端负荷转出后正向供电需求降低，承接站负荷增加，两端分别按调整后的负荷校核。原站电源保持归属，潜在反向需求同时计入容量分析，转接总量在区县内部保持一致。</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69" w:name="六参数矩阵给出有条件的容载比范围"/>
      <w:r>
        <w:rPr>
          <w:rFonts w:ascii="Times New Roman" w:hAnsi="Times New Roman" w:eastAsia="方正仿宋_GBK"/>
          <w:b/>
          <w:sz w:val="26"/>
        </w:rPr>
        <w:t xml:space="preserve">6.1.4 六参数矩阵给出有条件的容载比范围</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推广矩阵保留装机渗透率、年最大净负荷平均增长率、电缆长度占比、初始转供率、储能支撑持续时间和负荷分散系数全部六项参数。32112个有效节点按时间与分散系数的三个定值分别列示，形成27张表、1296个单元，容载比总体区间为1.36～3.15。</w:t>
      </w:r>
    </w:p>
    <w:p>
      <w:pPr>
        <w:pStyle w:val="2"/>
        <w:widowControl/>
        <w:spacing w:line="348" w:lineRule="exact" w:before="0" w:after="0"/>
        <w:ind w:firstLine="480"/>
        <w:jc w:val="both"/>
      </w:pPr>
      <w:r>
        <w:rPr>
          <w:rFonts w:ascii="Times New Roman" w:hAnsi="Times New Roman" w:eastAsia="方正仿宋_GBK"/>
          <w:b w:val="0"/>
          <w:sz w:val="24"/>
        </w:rPr>
        <w:t xml:space="preserve">固定其余五项后的组内相关系数依次为0.88、－0.80、0.45、－0.74、0.27、0.52。参数间电缆占比与转供率的Pearson系数为0.28，其余配对绝对值不超过0.15。上述统计描述本次有效情景库，六项参数均作为查表条件列示。</w:t>
      </w:r>
    </w:p>
    <w:p>
      <w:pPr>
        <w:pStyle w:val="4"/>
        <w:keepNext/>
        <w:numPr>
          <w:numId w:val="0"/>
        </w:numPr>
        <w:spacing w:line="480" w:lineRule="exact" w:before="160" w:after="120"/>
        <w:ind w:firstLine="0"/>
      </w:pPr>
      <w:bookmarkStart w:id="2041" w:name="h1041"/>
      <w:bookmarkStart w:id="270" w:name="规划应用建议"/>
      <w:r>
        <w:rPr>
          <w:rFonts w:ascii="Times New Roman" w:hAnsi="Times New Roman" w:eastAsia="方正仿宋_GBK"/>
          <w:b/>
          <w:sz w:val="32"/>
        </w:rPr>
        <w:t xml:space="preserve">6.2 规划应用建议</w:t>
      </w:r>
      <w:bookmarkEnd w:id="270"/>
      <w:bookmarkEnd w:id="2041"/>
    </w:p>
    <w:p>
      <w:pPr>
        <w:pStyle w:val="5"/>
        <w:keepNext/>
        <w:numPr>
          <w:numId w:val="0"/>
        </w:numPr>
        <w:spacing w:line="390" w:lineRule="exact" w:before="160" w:after="120"/>
        <w:ind w:firstLine="0"/>
      </w:pPr>
      <w:bookmarkStart w:id="271" w:name="按输入区间查表再落实设备方案"/>
      <w:r>
        <w:rPr>
          <w:rFonts w:ascii="Times New Roman" w:hAnsi="Times New Roman" w:eastAsia="方正仿宋_GBK"/>
          <w:b/>
          <w:sz w:val="26"/>
        </w:rPr>
        <w:t xml:space="preserve">6.2.1 按输入区间查表，再落实设备方案</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先按同一统计范围计算源荷指标和复合增长率，以完整精度判断参数区间；再核对初始主变、负荷分散系数、联络路径及可扩建位置。查表范围用于初步比选，最终容载比应由可实施的设备组合与同年网供峰值计算。最大容量由设备和站址条件确定。</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272" w:name="核实分区转供能力与储能支撑条件"/>
      <w:r>
        <w:rPr>
          <w:rFonts w:ascii="Times New Roman" w:hAnsi="Times New Roman" w:eastAsia="方正仿宋_GBK"/>
          <w:b/>
          <w:sz w:val="26"/>
        </w:rPr>
        <w:t xml:space="preserve">6.2.2 核实分区转供能力与储能支撑条件</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储能正向支撑持续时间采用邳州2 h、市区6 h，推广比较2、4、6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273" w:name="随数据和工程条件更新结果"/>
      <w:r>
        <w:rPr>
          <w:rFonts w:ascii="Times New Roman" w:hAnsi="Times New Roman" w:eastAsia="方正仿宋_GBK"/>
          <w:b/>
          <w:sz w:val="26"/>
        </w:rPr>
        <w:t xml:space="preserve">6.2.3 随数据和工程条件更新结果</w:t>
      </w:r>
      <w:bookmarkEnd w:id="273"/>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053" w:name="h1053"/>
      <w:bookmarkStart w:id="274" w:name="后续研究方向"/>
      <w:r>
        <w:rPr>
          <w:rFonts w:ascii="Times New Roman" w:hAnsi="Times New Roman" w:eastAsia="方正仿宋_GBK"/>
          <w:b/>
          <w:sz w:val="32"/>
        </w:rPr>
        <w:t xml:space="preserve">6.3 后续研究方向</w:t>
      </w:r>
      <w:bookmarkEnd w:id="274"/>
      <w:bookmarkEnd w:id="2053"/>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采用市区45个、邳州26个同期静态截面，覆盖地区和各站局部极值；既有等效通道及部分设备条件采用研究假设，后续结合真实接线补充逐时荷电状态、电压和保护校核。费用包括共同评价期内的建设、固定运维及规定更新，尚未纳入期末残值、储能充电和损耗等科目。研究结果用于当前假定下的技术经济比选，具体建设需以核定网络和工程资料进一步校核。</w:t>
      </w:r>
    </w:p>
    <w:p>
      <w:pPr>
        <w:pStyle w:val="5"/>
        <w:keepNext/>
        <w:numPr>
          <w:numId w:val="0"/>
        </w:numPr>
        <w:spacing w:line="390" w:lineRule="exact" w:before="160" w:after="120"/>
        <w:ind w:firstLine="0"/>
      </w:pPr>
      <w:bookmarkStart w:id="275" w:name="深化储能运行与实际网络校核"/>
      <w:r>
        <w:rPr>
          <w:rFonts w:ascii="Times New Roman" w:hAnsi="Times New Roman" w:eastAsia="方正仿宋_GBK"/>
          <w:b/>
          <w:sz w:val="26"/>
        </w:rPr>
        <w:t xml:space="preserve">6.3.1 深化储能运行与实际网络校核</w:t>
      </w:r>
      <w:bookmarkEnd w:id="275"/>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276" w:name="拓展片区结构和经济参数"/>
      <w:r>
        <w:rPr>
          <w:rFonts w:ascii="Times New Roman" w:hAnsi="Times New Roman" w:eastAsia="方正仿宋_GBK"/>
          <w:b/>
          <w:sz w:val="26"/>
        </w:rPr>
        <w:t xml:space="preserve">6.3.2 拓展片区结构和经济参数</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059" w:name="h1059"/>
      <w:bookmarkStart w:id="277" w:name="参考文献"/>
      <w:r>
        <w:rPr>
          <w:rFonts w:ascii="Times New Roman" w:hAnsi="Times New Roman" w:eastAsia="方正仿宋_GBK"/>
          <w:b/>
          <w:sz w:val="36"/>
        </w:rPr>
        <w:t xml:space="preserve">参考文献</w:t>
      </w:r>
      <w:bookmarkEnd w:id="277"/>
      <w:bookmarkEnd w:id="2059"/>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[8]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[9]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[12]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[13]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[14]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[15]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[16]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[17]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[18]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[19]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[20]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[21]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[22]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[23]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[24]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[25]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[26]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[27]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[28]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[29]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[30]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[31]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[32]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[33]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[34]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[35]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[36]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[37]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[38]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[39]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[40]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[41]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[42]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[43]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[44]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[45]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[46]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[47]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[48]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[49]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[50]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[51]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[52]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[53]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[54]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[55]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[56]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[57]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[58]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[59]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[60]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[61]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[62]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[63]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[64]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[65]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[87]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[88] National Institute of Standards and Technology. Dataplot: Rank Correlation Independence Test[EB/OL]. [2026-10-07]. https://www.itl.nist.gov/div898/software/dataplot/refman1/auxillar/rankcorr.htm.</w:t>
      </w:r>
    </w:p>
    <w:p>
      <w:pPr>
        <w:pStyle w:val="2"/>
        <w:widowControl/>
        <w:spacing w:line="320" w:lineRule="exact" w:before="0" w:after="80"/>
        <w:ind w:firstLine="0"/>
        <w:jc w:val="left"/>
      </w:pPr>
      <w:r>
        <w:rPr>
          <w:rFonts w:ascii="Times New Roman" w:hAnsi="Times New Roman" w:eastAsia="方正仿宋_GBK"/>
          <w:b w:val="0"/>
          <w:sz w:val="21"/>
        </w:rPr>
        <w:t xml:space="preserve">[89]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[90]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[91]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189" Type="http://schemas.openxmlformats.org/officeDocument/2006/relationships/image" Target="media/rId189.png"/><Relationship Id="rId98" Type="http://schemas.openxmlformats.org/officeDocument/2006/relationships/image" Target="media/rId98.png"/><Relationship Id="rId111" Type="http://schemas.openxmlformats.org/officeDocument/2006/relationships/image" Target="media/rId111.png"/><Relationship Id="rId131" Type="http://schemas.openxmlformats.org/officeDocument/2006/relationships/image" Target="media/rId131.png"/><Relationship Id="rId114" Type="http://schemas.openxmlformats.org/officeDocument/2006/relationships/image" Target="media/rId114.png"/><Relationship Id="rId192" Type="http://schemas.openxmlformats.org/officeDocument/2006/relationships/image" Target="media/rId192.png"/><Relationship Id="rId109" Type="http://schemas.openxmlformats.org/officeDocument/2006/relationships/image" Target="media/rId109.png"/><Relationship Id="rId193" Type="http://schemas.openxmlformats.org/officeDocument/2006/relationships/image" Target="media/rId193.png"/><Relationship Id="rId129" Type="http://schemas.openxmlformats.org/officeDocument/2006/relationships/image" Target="media/rId129.png"/><Relationship Id="rId113" Type="http://schemas.openxmlformats.org/officeDocument/2006/relationships/image" Target="media/rId113.png"/><Relationship Id="rId251" Type="http://schemas.openxmlformats.org/officeDocument/2006/relationships/image" Target="media/rId251.png"/><Relationship Id="rId103" Type="http://schemas.openxmlformats.org/officeDocument/2006/relationships/image" Target="media/rId103.png"/><Relationship Id="rId158" Type="http://schemas.openxmlformats.org/officeDocument/2006/relationships/image" Target="media/rId158.png"/><Relationship Id="rId42" Type="http://schemas.openxmlformats.org/officeDocument/2006/relationships/image" Target="media/rId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132</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2026-10-13T07:45:05Z</dcterms:created>
  <dcterms:modified xsi:type="dcterms:W3CDTF">2026-10-13T07:45:05Z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