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keepNext/>
      </w:pPr>
      <w:bookmarkStart w:id="20" w:name="数据来源说明"/>
      <w:r>
        <w:rPr>
          <w:rFonts w:ascii="Times New Roman" w:hAnsi="Times New Roman" w:eastAsia="方正仿宋_GBK"/>
          <w:sz w:val="36"/>
        </w:rPr>
        <w:t xml:space="preserve">数据来源说明</w:t>
      </w:r>
      <w:bookmarkEnd w:id="20"/>
    </w:p>
    <w:p>
      <w:pPr>
        <w:pStyle w:val="Heading2"/>
        <w:keepNext/>
      </w:pPr>
      <w:bookmarkStart w:id="21" w:name="文件用途与报告版本"/>
      <w:r>
        <w:rPr>
          <w:rFonts w:ascii="Times New Roman" w:hAnsi="Times New Roman" w:eastAsia="方正仿宋_GBK"/>
          <w:sz w:val="26"/>
        </w:rPr>
        <w:t xml:space="preserve">1. 文件用途与报告版本</w:t>
      </w:r>
      <w:bookmarkEnd w:id="21"/>
    </w:p>
    <w:p>
      <w:pPr>
        <w:pStyle w:val="FirstParagraph"/>
      </w:pPr>
      <w:r>
        <w:rPr>
          <w:rFonts w:ascii="Times New Roman" w:hAnsi="Times New Roman" w:eastAsia="方正仿宋_GBK"/>
          <w:sz w:val="22"/>
        </w:rPr>
        <w:t xml:space="preserve">本文件为七章研究报告的独立配套资料，登记原始文件、图表取值、模型参数、处理方法和计算依据。研究报告正文截至第七章</w:t>
      </w:r>
      <w:r>
        <w:rPr>
          <w:rFonts w:ascii="Times New Roman" w:hAnsi="Times New Roman" w:eastAsia="方正仿宋_GBK"/>
          <w:sz w:val="22"/>
        </w:rPr>
        <w:t xml:space="preserve">“</w:t>
      </w:r>
      <w:r>
        <w:rPr>
          <w:rFonts w:ascii="Times New Roman" w:hAnsi="Times New Roman" w:eastAsia="方正仿宋_GBK"/>
          <w:sz w:val="22"/>
        </w:rPr>
        <w:t xml:space="preserve">结论与展望</w:t>
      </w:r>
      <w:r>
        <w:rPr>
          <w:rFonts w:ascii="Times New Roman" w:hAnsi="Times New Roman" w:eastAsia="方正仿宋_GBK"/>
          <w:sz w:val="22"/>
        </w:rPr>
        <w:t xml:space="preserve">”</w:t>
      </w:r>
      <w:r>
        <w:rPr>
          <w:rFonts w:ascii="Times New Roman" w:hAnsi="Times New Roman" w:eastAsia="方正仿宋_GBK"/>
          <w:sz w:val="22"/>
        </w:rPr>
        <w:t xml:space="preserve">，文后统一列参考文献；各式变量及单位说明随正文公式展示。</w:t>
      </w:r>
    </w:p>
    <w:p>
      <w:pPr>
        <w:pStyle w:val="BodyText"/>
      </w:pPr>
      <w:r>
        <w:rPr>
          <w:rFonts w:ascii="Times New Roman" w:hAnsi="Times New Roman" w:eastAsia="方正仿宋_GBK"/>
          <w:sz w:val="22"/>
        </w:rPr>
        <w:t xml:space="preserve">正文由03_MD目录内七章Markdown装配为Word和PDF。正式图件使用02图表中的同版PNG，原始数据记录及处理依据保存于逐图逐表JSON。更详细的来源字段和复算记录见数据来源目录中的《当前报告数据来源与计算审查》。</w:t>
      </w:r>
    </w:p>
    <w:p>
      <w:pPr>
        <w:pStyle w:val="Heading2"/>
        <w:keepNext/>
      </w:pPr>
      <w:bookmarkStart w:id="22" w:name="原始资料及处理边界"/>
      <w:r>
        <w:rPr>
          <w:rFonts w:ascii="Times New Roman" w:hAnsi="Times New Roman" w:eastAsia="方正仿宋_GBK"/>
          <w:sz w:val="26"/>
        </w:rPr>
        <w:t xml:space="preserve">2. 原始资料及处理边界</w:t>
      </w:r>
      <w:bookmarkEnd w:id="22"/>
    </w:p>
    <w:tbl>
      <w:tblPr>
        <w:tblStyle w:val="Table"/>
        <w:tblW w:type="pct" w:w="5000.0"/>
        <w:tblLayout w:type="fixed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757"/>
        <w:gridCol w:w="3969"/>
        <w:gridCol w:w="3912"/>
      </w:tblGrid>
      <w:tr>
        <w:trPr>
          <w:cnfStyle w:firstRow="1"/>
          <w:tblHeader/>
        </w:trPr>
        <w:tc>
          <w:tcPr>
            <w:tcW w:type="dxa" w:w="1757"/>
            <w:tcBorders>
              <w:bottom w:val="single"/>
            </w:tcBorders>
            <w:vAlign w:val="bottom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b/>
                <w:sz w:val="18"/>
              </w:rPr>
              <w:t xml:space="preserve">数据类别</w:t>
            </w:r>
          </w:p>
        </w:tc>
        <w:tc>
          <w:tcPr>
            <w:tcW w:type="dxa" w:w="3969"/>
            <w:tcBorders>
              <w:bottom w:val="single"/>
            </w:tcBorders>
            <w:vAlign w:val="bottom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b/>
                <w:sz w:val="18"/>
              </w:rPr>
              <w:t xml:space="preserve">原始资料或当前定位</w:t>
            </w:r>
          </w:p>
        </w:tc>
        <w:tc>
          <w:tcPr>
            <w:tcW w:type="dxa" w:w="3912"/>
            <w:tcBorders>
              <w:bottom w:val="single"/>
            </w:tcBorders>
            <w:vAlign w:val="bottom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b/>
                <w:sz w:val="18"/>
              </w:rPr>
              <w:t xml:space="preserve">处理及应用</w:t>
            </w:r>
          </w:p>
        </w:tc>
      </w:tr>
      <w:tr>
        <w:tc>
          <w:tcPr>
            <w:tcW w:type="dxa" w:w="1757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任务与框架</w:t>
            </w:r>
          </w:p>
        </w:tc>
        <w:tc>
          <w:tcPr>
            <w:tcW w:type="dxa" w:w="3969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研究报告/开题报告/0707 国网徐州公司徐州地区分布式新能源高渗透率地区110kV电网容载比弹性指标优化研究-开题报告0707.md；课题前期资料中的可研与项目建议书</w:t>
            </w:r>
          </w:p>
        </w:tc>
        <w:tc>
          <w:tcPr>
            <w:tcW w:type="dxa" w:w="3912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第一章背景及任务；不将预期方法写成已经完成</w:t>
            </w:r>
          </w:p>
        </w:tc>
      </w:tr>
      <w:tr>
        <w:tc>
          <w:tcPr>
            <w:tcW w:type="dxa" w:w="1757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国内外研究现状</w:t>
            </w:r>
          </w:p>
        </w:tc>
        <w:tc>
          <w:tcPr>
            <w:tcW w:type="dxa" w:w="3969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研究报告/服务报告-国内外研究现状分析.md</w:t>
            </w:r>
          </w:p>
        </w:tc>
        <w:tc>
          <w:tcPr>
            <w:tcW w:type="dxa" w:w="3912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保留原研究主题，按核定的原始出处重构；本版只列实际引用条目，原文件保留供追溯</w:t>
            </w:r>
          </w:p>
        </w:tc>
      </w:tr>
      <w:tr>
        <w:tc>
          <w:tcPr>
            <w:tcW w:type="dxa" w:w="1757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年度容量及负荷</w:t>
            </w:r>
          </w:p>
        </w:tc>
        <w:tc>
          <w:tcPr>
            <w:tcW w:type="dxa" w:w="3969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实验/研究/data/tuomin/中的《近5年容载比.xlsx》</w:t>
            </w:r>
          </w:p>
        </w:tc>
        <w:tc>
          <w:tcPr>
            <w:tcW w:type="dxa" w:w="3912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邳州年度降压负荷由万千瓦乘10转MW；原表比值与容量／峰值计算值分别保存</w:t>
            </w:r>
          </w:p>
        </w:tc>
      </w:tr>
      <w:tr>
        <w:tc>
          <w:tcPr>
            <w:tcW w:type="dxa" w:w="1757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区县光伏装机</w:t>
            </w:r>
          </w:p>
        </w:tc>
        <w:tc>
          <w:tcPr>
            <w:tcW w:type="dxa" w:w="3969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同原始交付目录《逐月分县分布式光伏.xlsx》（精确原表定位见逐图JSON）</w:t>
            </w:r>
          </w:p>
        </w:tc>
        <w:tc>
          <w:tcPr>
            <w:tcW w:type="dxa" w:w="3912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2023至2025年12月值；万千瓦乘10转MW；24条区县年度背景，不补2022年实测装机</w:t>
            </w:r>
          </w:p>
        </w:tc>
      </w:tr>
      <w:tr>
        <w:tc>
          <w:tcPr>
            <w:tcW w:type="dxa" w:w="1757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站级设备与时序</w:t>
            </w:r>
          </w:p>
        </w:tc>
        <w:tc>
          <w:tcPr>
            <w:tcW w:type="dxa" w:w="3969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原始交付目录的2025年设备和负荷工作簿；当前映射见rebuild_2026/source_audit/</w:t>
            </w:r>
          </w:p>
        </w:tc>
        <w:tc>
          <w:tcPr>
            <w:tcW w:type="dxa" w:w="3912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邳州20座110 kV、8座35 kV，市区29站；2021逐站容量按总量代理分配，非历史实测台账</w:t>
            </w:r>
          </w:p>
        </w:tc>
      </w:tr>
      <w:tr>
        <w:tc>
          <w:tcPr>
            <w:tcW w:type="dxa" w:w="1757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市区净负荷单位</w:t>
            </w:r>
          </w:p>
        </w:tc>
        <w:tc>
          <w:tcPr>
            <w:tcW w:type="dxa" w:w="3969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原表第二列</w:t>
            </w:r>
            <w:r>
              <w:rPr>
                <w:rFonts w:ascii="Times New Roman" w:hAnsi="Times New Roman" w:eastAsia="方正仿宋_GBK"/>
                <w:sz w:val="18"/>
              </w:rPr>
              <w:t xml:space="preserve">“</w:t>
            </w:r>
            <w:r>
              <w:rPr>
                <w:rFonts w:ascii="Times New Roman" w:hAnsi="Times New Roman" w:eastAsia="方正仿宋_GBK"/>
                <w:sz w:val="18"/>
              </w:rPr>
              <w:t xml:space="preserve">值(kV)</w:t>
            </w:r>
            <w:r>
              <w:rPr>
                <w:rFonts w:ascii="Times New Roman" w:hAnsi="Times New Roman" w:eastAsia="方正仿宋_GBK"/>
                <w:sz w:val="18"/>
              </w:rPr>
              <w:t xml:space="preserve">”</w:t>
            </w:r>
            <w:r>
              <w:rPr>
                <w:rFonts w:ascii="Times New Roman" w:hAnsi="Times New Roman" w:eastAsia="方正仿宋_GBK"/>
                <w:sz w:val="18"/>
              </w:rPr>
              <w:t xml:space="preserve">；memory/current.md第87行的2026-09-21确认记录</w:t>
            </w:r>
          </w:p>
        </w:tc>
        <w:tc>
          <w:tcPr>
            <w:tcW w:type="dxa" w:w="3912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按有功净负荷MW解释；正值用电、负值反送，不修改原表</w:t>
            </w:r>
          </w:p>
        </w:tc>
      </w:tr>
      <w:tr>
        <w:tc>
          <w:tcPr>
            <w:tcW w:type="dxa" w:w="1757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市区时序覆盖</w:t>
            </w:r>
          </w:p>
        </w:tc>
        <w:tc>
          <w:tcPr>
            <w:tcW w:type="dxa" w:w="3969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最终模型说明及市区映射／时序审查文件</w:t>
            </w:r>
          </w:p>
        </w:tc>
        <w:tc>
          <w:tcPr>
            <w:tcW w:type="dxa" w:w="3912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29站共同观测8339 h、缺421 h；持续时间用登记的周类比均值补值场景</w:t>
            </w:r>
          </w:p>
        </w:tc>
      </w:tr>
      <w:tr>
        <w:tc>
          <w:tcPr>
            <w:tcW w:type="dxa" w:w="1757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局部联络</w:t>
            </w:r>
          </w:p>
        </w:tc>
        <w:tc>
          <w:tcPr>
            <w:tcW w:type="dxa" w:w="3969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邳州馈线、区段及旧局部案例；tie_section_audit.py、new_line_section_audit.py</w:t>
            </w:r>
          </w:p>
        </w:tc>
        <w:tc>
          <w:tcPr>
            <w:tcW w:type="dxa" w:w="3912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静态包络、区段整体转供、年度负荷比例缩放；非历史操作记录或完整潮流</w:t>
            </w:r>
          </w:p>
        </w:tc>
      </w:tr>
      <w:tr>
        <w:tc>
          <w:tcPr>
            <w:tcW w:type="dxa" w:w="1757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主变工程价格</w:t>
            </w:r>
          </w:p>
        </w:tc>
        <w:tc>
          <w:tcPr>
            <w:tcW w:type="dxa" w:w="3969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《江苏徐州邢楼110千伏变电站主变扩建等工程建设规模及投资汇总表(1).xlsx》Sheet1</w:t>
            </w:r>
          </w:p>
        </w:tc>
        <w:tc>
          <w:tcPr>
            <w:tcW w:type="dxa" w:w="3912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35 kV第43、45、48、54行；110 kV第21、36行；P列静态投资、C列工程规模；完整新购容量计价</w:t>
            </w:r>
          </w:p>
        </w:tc>
      </w:tr>
      <w:tr>
        <w:tc>
          <w:tcPr>
            <w:tcW w:type="dxa" w:w="1757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储能采购价格</w:t>
            </w:r>
          </w:p>
        </w:tc>
        <w:tc>
          <w:tcPr>
            <w:tcW w:type="dxa" w:w="3969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参考政策/储能成本依据/sources.csv：SZ_TENDER、LY_AWARD及配套材料</w:t>
            </w:r>
          </w:p>
        </w:tc>
        <w:tc>
          <w:tcPr>
            <w:tcW w:type="dxa" w:w="3912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苏州单柜最高限价27.2万元；浏阳十柜等效中标价210.456262万元；不称同年同地成交价</w:t>
            </w:r>
          </w:p>
        </w:tc>
      </w:tr>
      <w:tr>
        <w:tc>
          <w:tcPr>
            <w:tcW w:type="dxa" w:w="1757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线路价格与尺寸</w:t>
            </w:r>
          </w:p>
        </w:tc>
        <w:tc>
          <w:tcPr>
            <w:tcW w:type="dxa" w:w="3969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joint_lifecycle_optimizer.py及incremental_cost.py的当前调用参数</w:t>
            </w:r>
          </w:p>
        </w:tc>
        <w:tc>
          <w:tcPr>
            <w:tcW w:type="dxa" w:w="3912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当前3 km、44.543万元/km；原函数其他入口的2.52 km不能混用；未计全部辅助工程</w:t>
            </w:r>
          </w:p>
        </w:tc>
      </w:tr>
      <w:tr>
        <w:tc>
          <w:tcPr>
            <w:tcW w:type="dxa" w:w="1757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标准依据</w:t>
            </w:r>
          </w:p>
        </w:tc>
        <w:tc>
          <w:tcPr>
            <w:tcW w:type="dxa" w:w="3969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参考政策中的DL/T 2041-2025扫描原件；研究报告/00审查/公式与术语审查.md</w:t>
            </w:r>
          </w:p>
        </w:tc>
        <w:tc>
          <w:tcPr>
            <w:tcW w:type="dxa" w:w="3912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第6.3、7.2、8.3、8.5原式；第6.4反向运行方式条件；未形成完整标准评估结果</w:t>
            </w:r>
          </w:p>
        </w:tc>
      </w:tr>
      <w:tr>
        <w:tc>
          <w:tcPr>
            <w:tcW w:type="dxa" w:w="1757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规划指标概念</w:t>
            </w:r>
          </w:p>
        </w:tc>
        <w:tc>
          <w:tcPr>
            <w:tcW w:type="dxa" w:w="3969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分析/md_cache/参考政策/《配电网规划设计技术导则（修订稿）》.md及原件</w:t>
            </w:r>
          </w:p>
        </w:tc>
        <w:tc>
          <w:tcPr>
            <w:tcW w:type="dxa" w:w="3912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2025年4月修订稿，不能替代现行DL/T 5729-2023全文</w:t>
            </w:r>
          </w:p>
        </w:tc>
      </w:tr>
    </w:tbl>
    <w:p>
      <w:pPr>
        <w:pStyle w:val="BodyText"/>
      </w:pPr>
      <w:r>
        <w:rPr>
          <w:rFonts w:ascii="Times New Roman" w:hAnsi="Times New Roman" w:eastAsia="方正仿宋_GBK"/>
          <w:sz w:val="22"/>
        </w:rPr>
        <w:t xml:space="preserve">上述原始文件的真实路径、单元格／行号和SHA256以阶段0数据来源登记及阶段1逐图逐表JSON为准，不根据简写名称重新猜测来源。</w:t>
      </w:r>
    </w:p>
    <w:p>
      <w:pPr>
        <w:pStyle w:val="Heading2"/>
        <w:keepNext/>
      </w:pPr>
      <w:bookmarkStart w:id="23" w:name="模型结果与公式入口"/>
      <w:r>
        <w:rPr>
          <w:rFonts w:ascii="Times New Roman" w:hAnsi="Times New Roman" w:eastAsia="方正仿宋_GBK"/>
          <w:sz w:val="26"/>
        </w:rPr>
        <w:t xml:space="preserve">3. 模型、结果与公式入口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方正仿宋_GBK"/>
          <w:sz w:val="22"/>
        </w:rPr>
        <w:t xml:space="preserve">实际模型入口：实验/研究/rebuild_2026/simulation_reserve_policy.py。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方正仿宋_GBK"/>
          <w:sz w:val="22"/>
        </w:rPr>
        <w:t xml:space="preserve">约束和分阶段目标：实验/研究/rebuild_2026/joint_lifecycle_optimizer.py。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方正仿宋_GBK"/>
          <w:sz w:val="22"/>
        </w:rPr>
        <w:t xml:space="preserve">投资及现金流：实验/研究/rebuild_2026/incremental_cost.py。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方正仿宋_GBK"/>
          <w:sz w:val="22"/>
        </w:rPr>
        <w:t xml:space="preserve">基础结果：实验/研究/rebuild_2026/source_audit/capacity_release_simulation/reserve_policy_v4/，含六路径逐站、年度、转供及annual_matrix.csv、summary.csv。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方正仿宋_GBK"/>
          <w:sz w:val="22"/>
        </w:rPr>
        <w:t xml:space="preserve">价格完整路径：上述目录recommendation_matrix/cost_sensitivity/，基准加三组独立价格变化，八路径、16条年度推荐。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方正仿宋_GBK"/>
          <w:sz w:val="22"/>
        </w:rPr>
        <w:t xml:space="preserve">区县指标更新：研究报告/01研究推荐/研究推荐数据.json、研究型推荐方案.md、区县口径更新说明.md及原版替换与校验记录.json；它只更新源荷背景与研究类别，不改变原容量动作和费用。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方正仿宋_GBK"/>
          <w:sz w:val="22"/>
        </w:rPr>
        <w:t xml:space="preserve">准入字典：研究报告/00审查/data_source.json；阶段1引用准入记录及原始精度见02图表/source_data/。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方正仿宋_GBK"/>
          <w:sz w:val="22"/>
        </w:rPr>
        <w:t xml:space="preserve">公式对应：第四章式（4-1）至（4-29），变量、单位和使用条件在对应正文中说明；损耗及其他费用式（4-26）、（4-27）是未计算的补充框架。</w:t>
      </w:r>
    </w:p>
    <w:p>
      <w:pPr>
        <w:pStyle w:val="FirstParagraph"/>
      </w:pPr>
      <w:r>
        <w:rPr>
          <w:rFonts w:ascii="Times New Roman" w:hAnsi="Times New Roman" w:eastAsia="方正仿宋_GBK"/>
          <w:sz w:val="22"/>
        </w:rPr>
        <w:t xml:space="preserve">费用主目标采用2022至2041年增量费用现值，折现至2021年。计算沿用当前模型与原始结果。逐式来源、原始文件哈希及文献对应关系分别保存在核验记录中。</w:t>
      </w:r>
    </w:p>
    <w:p>
      <w:pPr>
        <w:pStyle w:val="BodyText"/>
      </w:pPr>
      <w:r>
        <w:rPr>
          <w:rFonts w:ascii="Times New Roman" w:hAnsi="Times New Roman" w:eastAsia="方正仿宋_GBK"/>
          <w:sz w:val="22"/>
        </w:rPr>
        <w:t xml:space="preserve">求解采用HiGHS，相对间隙设为</w:t>
      </w:r>
      <m:oMath>
        <m:sSup>
          <m:e>
            <m:r>
              <m:t>10</m:t>
            </m:r>
          </m:e>
          <m:sup>
            <m:r>
              <m:t>−</m:t>
            </m:r>
            <m:r>
              <m:t>7</m:t>
            </m:r>
          </m:sup>
        </m:sSup>
      </m:oMath>
      <w:r>
        <w:rPr>
          <w:rFonts w:ascii="Times New Roman" w:hAnsi="Times New Roman" w:eastAsia="方正仿宋_GBK"/>
          <w:sz w:val="22"/>
        </w:rPr>
        <w:t xml:space="preserve">，每阶段限时120 s。复现环境采用Python 3.13、NumPy 2.1.3、SciPy 1.18.0，价格情景接口为highspy 1.15.1。最优、超时和不可行状态分别登记。</w:t>
      </w:r>
    </w:p>
    <w:p>
      <w:pPr>
        <w:pStyle w:val="Heading2"/>
        <w:keepNext/>
      </w:pPr>
      <w:bookmarkStart w:id="24" w:name="文献与引文编号"/>
      <w:r>
        <w:rPr>
          <w:rFonts w:ascii="Times New Roman" w:hAnsi="Times New Roman" w:eastAsia="方正仿宋_GBK"/>
          <w:sz w:val="26"/>
        </w:rPr>
        <w:t xml:space="preserve">4. 文献与引文编号</w:t>
      </w:r>
      <w:bookmarkEnd w:id="24"/>
    </w:p>
    <w:p>
      <w:pPr>
        <w:pStyle w:val="FirstParagraph"/>
      </w:pPr>
      <w:r>
        <w:rPr>
          <w:rFonts w:ascii="Times New Roman" w:hAnsi="Times New Roman" w:eastAsia="方正仿宋_GBK"/>
          <w:sz w:val="22"/>
        </w:rPr>
        <w:t xml:space="preserve">本版按原综述的国外四类、国内九类主题补充研究内容，并结合项目保存的论文全文、期刊页面和官方材料核对书目及方法。正文引文按全报告首次出现顺序连续编号，文后参考文献与其一一对应。原综述编号仅在核验文件中作为来源身份保存。</w:t>
      </w:r>
    </w:p>
    <w:p>
      <w:pPr>
        <w:pStyle w:val="BodyText"/>
      </w:pPr>
      <w:r>
        <w:rPr>
          <w:rFonts w:ascii="Times New Roman" w:hAnsi="Times New Roman" w:eastAsia="方正仿宋_GBK"/>
          <w:sz w:val="22"/>
        </w:rPr>
        <w:t xml:space="preserve">文献编号映射、书目修正及逐条依据见03_MD/检查证据/第二章文献核定.json和文献编号对应.json。原综述保持原样，便于核对研究主题和资料来源。</w:t>
      </w:r>
    </w:p>
    <w:p>
      <w:pPr>
        <w:pStyle w:val="Heading2"/>
        <w:keepNext/>
      </w:pPr>
      <w:bookmarkStart w:id="25" w:name="图表编号与显示精度"/>
      <w:r>
        <w:rPr>
          <w:rFonts w:ascii="Times New Roman" w:hAnsi="Times New Roman" w:eastAsia="方正仿宋_GBK"/>
          <w:sz w:val="26"/>
        </w:rPr>
        <w:t xml:space="preserve">5. 图表编号与显示精度</w:t>
      </w:r>
      <w:bookmarkEnd w:id="25"/>
    </w:p>
    <w:p>
      <w:pPr>
        <w:pStyle w:val="FirstParagraph"/>
      </w:pPr>
      <w:r>
        <w:rPr>
          <w:rFonts w:ascii="Times New Roman" w:hAnsi="Times New Roman" w:eastAsia="方正仿宋_GBK"/>
          <w:sz w:val="22"/>
        </w:rPr>
        <w:t xml:space="preserve">本版共32项正式材料，17图、15表，按照各章首次正式展示的顺序编号。图内题名、正文引用、相对链接和登记同步调整；原题号与新题号关系见检查证据/图表改号对应.json。正式图统一保存于../02图表/final_figures，原图及原始定位仍在阶段1目录。表2-1</w:t>
      </w:r>
      <w:r>
        <w:rPr>
          <w:rFonts w:ascii="Times New Roman" w:hAnsi="Times New Roman" w:eastAsia="方正仿宋_GBK"/>
          <w:sz w:val="22"/>
        </w:rPr>
        <w:t xml:space="preserve">“</w:t>
      </w:r>
      <w:r>
        <w:rPr>
          <w:rFonts w:ascii="Times New Roman" w:hAnsi="Times New Roman" w:eastAsia="方正仿宋_GBK"/>
          <w:sz w:val="22"/>
        </w:rPr>
        <w:t xml:space="preserve">现有综述位置</w:t>
      </w:r>
      <w:r>
        <w:rPr>
          <w:rFonts w:ascii="Times New Roman" w:hAnsi="Times New Roman" w:eastAsia="方正仿宋_GBK"/>
          <w:sz w:val="22"/>
        </w:rPr>
        <w:t xml:space="preserve">”</w:t>
      </w:r>
      <w:r>
        <w:rPr>
          <w:rFonts w:ascii="Times New Roman" w:hAnsi="Times New Roman" w:eastAsia="方正仿宋_GBK"/>
          <w:sz w:val="22"/>
        </w:rPr>
        <w:t xml:space="preserve">列用于定位原服务报告，因此保留原综述章节号。</w:t>
      </w:r>
    </w:p>
    <w:p>
      <w:pPr>
        <w:pStyle w:val="BodyText"/>
      </w:pPr>
      <w:r>
        <w:rPr>
          <w:rFonts w:ascii="Times New Roman" w:hAnsi="Times New Roman" w:eastAsia="方正仿宋_GBK"/>
          <w:sz w:val="22"/>
        </w:rPr>
        <w:t xml:space="preserve">17张图使用阶段1绘图程序读取相同准入记录重新输出，逐项核对底层数据一致和图内题号；没有重求模型。15张表由原CSV转为Markdown，逐单元格显示值不变。图1-1在第一章展示、第四章引用，图4-1说明费用流程；三阶段求解过程由第四章公式和文字展开。</w:t>
      </w:r>
    </w:p>
    <w:p>
      <w:pPr>
        <w:pStyle w:val="BodyText"/>
      </w:pPr>
      <w:r>
        <w:rPr>
          <w:rFonts w:ascii="Times New Roman" w:hAnsi="Times New Roman" w:eastAsia="方正仿宋_GBK"/>
          <w:sz w:val="22"/>
        </w:rPr>
        <w:t xml:space="preserve">样本包络表5-4采用向外舍入，年度点值表5-2采用普通舍入，二者保留各自原精度。分项独立舍入可产生0.01万元尾差，不调整原总量。SVG及PDF为可单独使用的图件，整篇报告中的图片读取同一版PNG。</w:t>
      </w:r>
    </w:p>
    <w:p>
      <w:pPr>
        <w:pStyle w:val="Heading2"/>
        <w:keepNext/>
      </w:pPr>
      <w:bookmarkStart w:id="26" w:name="逐图逐表来源与正文位置"/>
      <w:r>
        <w:rPr>
          <w:rFonts w:ascii="Times New Roman" w:hAnsi="Times New Roman" w:eastAsia="方正仿宋_GBK"/>
          <w:sz w:val="26"/>
        </w:rPr>
        <w:t xml:space="preserve">6. 逐图逐表来源与正文位置</w:t>
      </w:r>
      <w:bookmarkEnd w:id="26"/>
    </w:p>
    <w:tbl>
      <w:tblPr>
        <w:tblStyle w:val="Table"/>
        <w:tblW w:type="pct" w:w="5000.0"/>
        <w:tblLayout w:type="fixed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835"/>
        <w:gridCol w:w="964"/>
        <w:gridCol w:w="2268"/>
        <w:gridCol w:w="3572"/>
      </w:tblGrid>
      <w:tr>
        <w:trPr>
          <w:cnfStyle w:firstRow="1"/>
          <w:tblHeader/>
        </w:trPr>
        <w:tc>
          <w:tcPr>
            <w:tcW w:type="dxa" w:w="2835"/>
            <w:tcBorders>
              <w:bottom w:val="single"/>
            </w:tcBorders>
            <w:vAlign w:val="bottom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b/>
                <w:sz w:val="18"/>
              </w:rPr>
              <w:t xml:space="preserve">编号与名称</w:t>
            </w:r>
          </w:p>
        </w:tc>
        <w:tc>
          <w:tcPr>
            <w:tcW w:type="dxa" w:w="964"/>
            <w:tcBorders>
              <w:bottom w:val="single"/>
            </w:tcBorders>
            <w:vAlign w:val="bottom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b/>
                <w:sz w:val="18"/>
              </w:rPr>
              <w:t xml:space="preserve">实际首次展示章节</w:t>
            </w:r>
          </w:p>
        </w:tc>
        <w:tc>
          <w:tcPr>
            <w:tcW w:type="dxa" w:w="2268"/>
            <w:tcBorders>
              <w:bottom w:val="single"/>
            </w:tcBorders>
            <w:vAlign w:val="bottom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b/>
                <w:sz w:val="18"/>
              </w:rPr>
              <w:t xml:space="preserve">原始精度与来源定位</w:t>
            </w:r>
          </w:p>
        </w:tc>
        <w:tc>
          <w:tcPr>
            <w:tcW w:type="dxa" w:w="3572"/>
            <w:tcBorders>
              <w:bottom w:val="single"/>
            </w:tcBorders>
            <w:vAlign w:val="bottom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b/>
                <w:sz w:val="18"/>
              </w:rPr>
              <w:t xml:space="preserve">阶段1源数据SHA256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图1-1 研究技术路线</w:t>
            </w:r>
          </w:p>
        </w:tc>
        <w:tc>
          <w:tcPr>
            <w:tcW w:type="dxa" w:w="964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01</w:t>
            </w:r>
          </w:p>
        </w:tc>
        <w:tc>
          <w:tcPr>
            <w:tcW w:type="dxa" w:w="2268"/>
          </w:tcPr>
          <w:p>
            <w:pPr>
              <w:pStyle w:val="Compact"/>
              <w:spacing w:line="264" w:lineRule="auto" w:after="60"/>
              <w:jc w:val="left"/>
            </w:pPr>
            <w:hyperlink r:id="rId27">
              <w:r>
                <w:rPr>
                  <w:rStyle w:val="Hyperlink"/>
                </w:rPr>
                <w:t xml:space="preserve">阶段1原始定位</w:t>
              </w:r>
            </w:hyperlink>
          </w:p>
        </w:tc>
        <w:tc>
          <w:tcPr>
            <w:tcW w:type="dxa" w:w="3572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122f9a6954b645b0431d7584cfc05b3acbc4aa10bca584bbec2bd19b3a527e23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表2-1 国内外研究主题与工程应用关注点</w:t>
            </w:r>
          </w:p>
        </w:tc>
        <w:tc>
          <w:tcPr>
            <w:tcW w:type="dxa" w:w="964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02</w:t>
            </w:r>
          </w:p>
        </w:tc>
        <w:tc>
          <w:tcPr>
            <w:tcW w:type="dxa" w:w="2268"/>
          </w:tcPr>
          <w:p>
            <w:pPr>
              <w:pStyle w:val="Compact"/>
              <w:spacing w:line="264" w:lineRule="auto" w:after="60"/>
              <w:jc w:val="left"/>
            </w:pPr>
            <w:hyperlink r:id="rId28">
              <w:r>
                <w:rPr>
                  <w:rStyle w:val="Hyperlink"/>
                </w:rPr>
                <w:t xml:space="preserve">阶段1原始定位</w:t>
              </w:r>
            </w:hyperlink>
          </w:p>
        </w:tc>
        <w:tc>
          <w:tcPr>
            <w:tcW w:type="dxa" w:w="3572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6966310d147c43919b1f85cb678c30e751b76ef53a0ff94a223a1400f5464d57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表3-1 研究单元与基期容量</w:t>
            </w:r>
          </w:p>
        </w:tc>
        <w:tc>
          <w:tcPr>
            <w:tcW w:type="dxa" w:w="964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03</w:t>
            </w:r>
          </w:p>
        </w:tc>
        <w:tc>
          <w:tcPr>
            <w:tcW w:type="dxa" w:w="2268"/>
          </w:tcPr>
          <w:p>
            <w:pPr>
              <w:pStyle w:val="Compact"/>
              <w:spacing w:line="264" w:lineRule="auto" w:after="60"/>
              <w:jc w:val="left"/>
            </w:pPr>
            <w:hyperlink r:id="rId29">
              <w:r>
                <w:rPr>
                  <w:rStyle w:val="Hyperlink"/>
                </w:rPr>
                <w:t xml:space="preserve">阶段1原始定位</w:t>
              </w:r>
            </w:hyperlink>
          </w:p>
        </w:tc>
        <w:tc>
          <w:tcPr>
            <w:tcW w:type="dxa" w:w="3572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c5fd48dadd7652635fac2d28a5d5c51367faead6257fbf9faabfe10fd6e3e65a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表3-2 各区域110 kV基础指标（2025年）</w:t>
            </w:r>
          </w:p>
        </w:tc>
        <w:tc>
          <w:tcPr>
            <w:tcW w:type="dxa" w:w="964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03</w:t>
            </w:r>
          </w:p>
        </w:tc>
        <w:tc>
          <w:tcPr>
            <w:tcW w:type="dxa" w:w="2268"/>
          </w:tcPr>
          <w:p>
            <w:pPr>
              <w:pStyle w:val="Compact"/>
              <w:spacing w:line="264" w:lineRule="auto" w:after="60"/>
              <w:jc w:val="left"/>
            </w:pPr>
            <w:hyperlink r:id="rId30">
              <w:r>
                <w:rPr>
                  <w:rStyle w:val="Hyperlink"/>
                </w:rPr>
                <w:t xml:space="preserve">阶段1原始定位</w:t>
              </w:r>
            </w:hyperlink>
          </w:p>
        </w:tc>
        <w:tc>
          <w:tcPr>
            <w:tcW w:type="dxa" w:w="3572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cfafa320ed044ead488e82f23732aa1fec749404f675aaa9470a2d2f54c882cd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图3-1 各区县年末分布式光伏装机（2023至2025年）</w:t>
            </w:r>
          </w:p>
        </w:tc>
        <w:tc>
          <w:tcPr>
            <w:tcW w:type="dxa" w:w="964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03</w:t>
            </w:r>
          </w:p>
        </w:tc>
        <w:tc>
          <w:tcPr>
            <w:tcW w:type="dxa" w:w="2268"/>
          </w:tcPr>
          <w:p>
            <w:pPr>
              <w:pStyle w:val="Compact"/>
              <w:spacing w:line="264" w:lineRule="auto" w:after="60"/>
              <w:jc w:val="left"/>
            </w:pPr>
            <w:hyperlink r:id="rId31">
              <w:r>
                <w:rPr>
                  <w:rStyle w:val="Hyperlink"/>
                </w:rPr>
                <w:t xml:space="preserve">阶段1原始定位</w:t>
              </w:r>
            </w:hyperlink>
          </w:p>
        </w:tc>
        <w:tc>
          <w:tcPr>
            <w:tcW w:type="dxa" w:w="3572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94010d6c536a57d1c3f4fdb7065fe588281050bef01721e270db8c63bf75e9b8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图3-2 区县源荷比对比（2025年，降压峰近似）</w:t>
            </w:r>
          </w:p>
        </w:tc>
        <w:tc>
          <w:tcPr>
            <w:tcW w:type="dxa" w:w="964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03</w:t>
            </w:r>
          </w:p>
        </w:tc>
        <w:tc>
          <w:tcPr>
            <w:tcW w:type="dxa" w:w="2268"/>
          </w:tcPr>
          <w:p>
            <w:pPr>
              <w:pStyle w:val="Compact"/>
              <w:spacing w:line="264" w:lineRule="auto" w:after="60"/>
              <w:jc w:val="left"/>
            </w:pPr>
            <w:hyperlink r:id="rId32">
              <w:r>
                <w:rPr>
                  <w:rStyle w:val="Hyperlink"/>
                </w:rPr>
                <w:t xml:space="preserve">阶段1原始定位</w:t>
              </w:r>
            </w:hyperlink>
          </w:p>
        </w:tc>
        <w:tc>
          <w:tcPr>
            <w:tcW w:type="dxa" w:w="3572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f1132c6643adb34c5fe15fe3d7b6249e3e3effac06cbe96f12ad700047efa084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图3-3 研究单元年度正向参考净峰（2021至2025年）</w:t>
            </w:r>
          </w:p>
        </w:tc>
        <w:tc>
          <w:tcPr>
            <w:tcW w:type="dxa" w:w="964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03</w:t>
            </w:r>
          </w:p>
        </w:tc>
        <w:tc>
          <w:tcPr>
            <w:tcW w:type="dxa" w:w="2268"/>
          </w:tcPr>
          <w:p>
            <w:pPr>
              <w:pStyle w:val="Compact"/>
              <w:spacing w:line="264" w:lineRule="auto" w:after="60"/>
              <w:jc w:val="left"/>
            </w:pPr>
            <w:hyperlink r:id="rId33">
              <w:r>
                <w:rPr>
                  <w:rStyle w:val="Hyperlink"/>
                </w:rPr>
                <w:t xml:space="preserve">阶段1原始定位</w:t>
              </w:r>
            </w:hyperlink>
          </w:p>
        </w:tc>
        <w:tc>
          <w:tcPr>
            <w:tcW w:type="dxa" w:w="3572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4c349dfb072a4430c75448991631206efbb2418c021e596a78cb2af93d9d3e90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图3-4 研究单元正向参考净峰与最大站反向峰（2025年）</w:t>
            </w:r>
          </w:p>
        </w:tc>
        <w:tc>
          <w:tcPr>
            <w:tcW w:type="dxa" w:w="964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03</w:t>
            </w:r>
          </w:p>
        </w:tc>
        <w:tc>
          <w:tcPr>
            <w:tcW w:type="dxa" w:w="2268"/>
          </w:tcPr>
          <w:p>
            <w:pPr>
              <w:pStyle w:val="Compact"/>
              <w:spacing w:line="264" w:lineRule="auto" w:after="60"/>
              <w:jc w:val="left"/>
            </w:pPr>
            <w:hyperlink r:id="rId34">
              <w:r>
                <w:rPr>
                  <w:rStyle w:val="Hyperlink"/>
                </w:rPr>
                <w:t xml:space="preserve">阶段1原始定位</w:t>
              </w:r>
            </w:hyperlink>
          </w:p>
        </w:tc>
        <w:tc>
          <w:tcPr>
            <w:tcW w:type="dxa" w:w="3572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819eaef1a25eca13aea476b666724fb7ebf92299fa01fe852d5fa88c57e2c0d3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表3-3 研究单元运行特征指标（2025年）</w:t>
            </w:r>
          </w:p>
        </w:tc>
        <w:tc>
          <w:tcPr>
            <w:tcW w:type="dxa" w:w="964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03</w:t>
            </w:r>
          </w:p>
        </w:tc>
        <w:tc>
          <w:tcPr>
            <w:tcW w:type="dxa" w:w="2268"/>
          </w:tcPr>
          <w:p>
            <w:pPr>
              <w:pStyle w:val="Compact"/>
              <w:spacing w:line="264" w:lineRule="auto" w:after="60"/>
              <w:jc w:val="left"/>
            </w:pPr>
            <w:hyperlink r:id="rId35">
              <w:r>
                <w:rPr>
                  <w:rStyle w:val="Hyperlink"/>
                </w:rPr>
                <w:t xml:space="preserve">阶段1原始定位</w:t>
              </w:r>
            </w:hyperlink>
          </w:p>
        </w:tc>
        <w:tc>
          <w:tcPr>
            <w:tcW w:type="dxa" w:w="3572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eb17615982be038836208a4a297c9818bcfd5f5b9188d76b6d562c1708edcae4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图3-5 弹性规划评价指标体系</w:t>
            </w:r>
          </w:p>
        </w:tc>
        <w:tc>
          <w:tcPr>
            <w:tcW w:type="dxa" w:w="964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03</w:t>
            </w:r>
          </w:p>
        </w:tc>
        <w:tc>
          <w:tcPr>
            <w:tcW w:type="dxa" w:w="2268"/>
          </w:tcPr>
          <w:p>
            <w:pPr>
              <w:pStyle w:val="Compact"/>
              <w:spacing w:line="264" w:lineRule="auto" w:after="60"/>
              <w:jc w:val="left"/>
            </w:pPr>
            <w:hyperlink r:id="rId36">
              <w:r>
                <w:rPr>
                  <w:rStyle w:val="Hyperlink"/>
                </w:rPr>
                <w:t xml:space="preserve">阶段1原始定位</w:t>
              </w:r>
            </w:hyperlink>
          </w:p>
        </w:tc>
        <w:tc>
          <w:tcPr>
            <w:tcW w:type="dxa" w:w="3572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8b80f41e7e1272e16ec78a6c77b005ad31fc49688f15ca7b0ff433a3f9a0d085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图3-6 区县源荷背景与年度推荐比值</w:t>
            </w:r>
          </w:p>
        </w:tc>
        <w:tc>
          <w:tcPr>
            <w:tcW w:type="dxa" w:w="964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03</w:t>
            </w:r>
          </w:p>
        </w:tc>
        <w:tc>
          <w:tcPr>
            <w:tcW w:type="dxa" w:w="2268"/>
          </w:tcPr>
          <w:p>
            <w:pPr>
              <w:pStyle w:val="Compact"/>
              <w:spacing w:line="264" w:lineRule="auto" w:after="60"/>
              <w:jc w:val="left"/>
            </w:pPr>
            <w:hyperlink r:id="rId37">
              <w:r>
                <w:rPr>
                  <w:rStyle w:val="Hyperlink"/>
                </w:rPr>
                <w:t xml:space="preserve">阶段1原始定位</w:t>
              </w:r>
            </w:hyperlink>
          </w:p>
        </w:tc>
        <w:tc>
          <w:tcPr>
            <w:tcW w:type="dxa" w:w="3572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9e0be940af8b8f58e02e60fd48510901726b3b790426805df2ff16a1297eec7c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表4-1 刚性与弹性规划方案设置</w:t>
            </w:r>
          </w:p>
        </w:tc>
        <w:tc>
          <w:tcPr>
            <w:tcW w:type="dxa" w:w="964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04</w:t>
            </w:r>
          </w:p>
        </w:tc>
        <w:tc>
          <w:tcPr>
            <w:tcW w:type="dxa" w:w="2268"/>
          </w:tcPr>
          <w:p>
            <w:pPr>
              <w:pStyle w:val="Compact"/>
              <w:spacing w:line="264" w:lineRule="auto" w:after="60"/>
              <w:jc w:val="left"/>
            </w:pPr>
            <w:hyperlink r:id="rId38">
              <w:r>
                <w:rPr>
                  <w:rStyle w:val="Hyperlink"/>
                </w:rPr>
                <w:t xml:space="preserve">阶段1原始定位</w:t>
              </w:r>
            </w:hyperlink>
          </w:p>
        </w:tc>
        <w:tc>
          <w:tcPr>
            <w:tcW w:type="dxa" w:w="3572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277b778be4250390eac18b1e4059289d610baab3d464073e7c7b7cda76ea93ba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图4-1 工程措施与全寿命周期费用构成</w:t>
            </w:r>
          </w:p>
        </w:tc>
        <w:tc>
          <w:tcPr>
            <w:tcW w:type="dxa" w:w="964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04</w:t>
            </w:r>
          </w:p>
        </w:tc>
        <w:tc>
          <w:tcPr>
            <w:tcW w:type="dxa" w:w="2268"/>
          </w:tcPr>
          <w:p>
            <w:pPr>
              <w:pStyle w:val="Compact"/>
              <w:spacing w:line="264" w:lineRule="auto" w:after="60"/>
              <w:jc w:val="left"/>
            </w:pPr>
            <w:hyperlink r:id="rId39">
              <w:r>
                <w:rPr>
                  <w:rStyle w:val="Hyperlink"/>
                </w:rPr>
                <w:t xml:space="preserve">阶段1原始定位</w:t>
              </w:r>
            </w:hyperlink>
          </w:p>
        </w:tc>
        <w:tc>
          <w:tcPr>
            <w:tcW w:type="dxa" w:w="3572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b8f54b67ea88cd6a1d34f3e0992609569b6c4ccd3eed3b179dd13e1207f661b7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表4-2 主要参数及来源性质</w:t>
            </w:r>
          </w:p>
        </w:tc>
        <w:tc>
          <w:tcPr>
            <w:tcW w:type="dxa" w:w="964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04</w:t>
            </w:r>
          </w:p>
        </w:tc>
        <w:tc>
          <w:tcPr>
            <w:tcW w:type="dxa" w:w="2268"/>
          </w:tcPr>
          <w:p>
            <w:pPr>
              <w:pStyle w:val="Compact"/>
              <w:spacing w:line="264" w:lineRule="auto" w:after="60"/>
              <w:jc w:val="left"/>
            </w:pPr>
            <w:hyperlink r:id="rId40">
              <w:r>
                <w:rPr>
                  <w:rStyle w:val="Hyperlink"/>
                </w:rPr>
                <w:t xml:space="preserve">阶段1原始定位</w:t>
              </w:r>
            </w:hyperlink>
          </w:p>
        </w:tc>
        <w:tc>
          <w:tcPr>
            <w:tcW w:type="dxa" w:w="3572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40101a0ed266f366961d22dde5bfa9f68e677fcdeca4f3d16746cd308af926ae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图5-1 刚性与弹性方案增量费用现值</w:t>
            </w:r>
          </w:p>
        </w:tc>
        <w:tc>
          <w:tcPr>
            <w:tcW w:type="dxa" w:w="964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05</w:t>
            </w:r>
          </w:p>
        </w:tc>
        <w:tc>
          <w:tcPr>
            <w:tcW w:type="dxa" w:w="2268"/>
          </w:tcPr>
          <w:p>
            <w:pPr>
              <w:pStyle w:val="Compact"/>
              <w:spacing w:line="264" w:lineRule="auto" w:after="60"/>
              <w:jc w:val="left"/>
            </w:pPr>
            <w:hyperlink r:id="rId41">
              <w:r>
                <w:rPr>
                  <w:rStyle w:val="Hyperlink"/>
                </w:rPr>
                <w:t xml:space="preserve">阶段1原始定位</w:t>
              </w:r>
            </w:hyperlink>
          </w:p>
        </w:tc>
        <w:tc>
          <w:tcPr>
            <w:tcW w:type="dxa" w:w="3572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b2297d7e06f808baa6d23ba0b09dcd0fe77cd4c4bc885495106b475d77dadcc3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图5-2 两方案增量费用现值分项</w:t>
            </w:r>
          </w:p>
        </w:tc>
        <w:tc>
          <w:tcPr>
            <w:tcW w:type="dxa" w:w="964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05</w:t>
            </w:r>
          </w:p>
        </w:tc>
        <w:tc>
          <w:tcPr>
            <w:tcW w:type="dxa" w:w="2268"/>
          </w:tcPr>
          <w:p>
            <w:pPr>
              <w:pStyle w:val="Compact"/>
              <w:spacing w:line="264" w:lineRule="auto" w:after="60"/>
              <w:jc w:val="left"/>
            </w:pPr>
            <w:hyperlink r:id="rId42">
              <w:r>
                <w:rPr>
                  <w:rStyle w:val="Hyperlink"/>
                </w:rPr>
                <w:t xml:space="preserve">阶段1原始定位</w:t>
              </w:r>
            </w:hyperlink>
          </w:p>
        </w:tc>
        <w:tc>
          <w:tcPr>
            <w:tcW w:type="dxa" w:w="3572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c5cc8d7d49afd641a04b18c2d0a2b9c0828c706454afd710df81be7c011f9916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表5-1 两方案全寿命周期费用分项</w:t>
            </w:r>
          </w:p>
        </w:tc>
        <w:tc>
          <w:tcPr>
            <w:tcW w:type="dxa" w:w="964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05</w:t>
            </w:r>
          </w:p>
        </w:tc>
        <w:tc>
          <w:tcPr>
            <w:tcW w:type="dxa" w:w="2268"/>
          </w:tcPr>
          <w:p>
            <w:pPr>
              <w:pStyle w:val="Compact"/>
              <w:spacing w:line="264" w:lineRule="auto" w:after="60"/>
              <w:jc w:val="left"/>
            </w:pPr>
            <w:hyperlink r:id="rId43">
              <w:r>
                <w:rPr>
                  <w:rStyle w:val="Hyperlink"/>
                </w:rPr>
                <w:t xml:space="preserve">阶段1原始定位</w:t>
              </w:r>
            </w:hyperlink>
          </w:p>
        </w:tc>
        <w:tc>
          <w:tcPr>
            <w:tcW w:type="dxa" w:w="3572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575bb1efe60b7b6822c4c6e70f441f27ec2aad1f25f0e2d5ce9ddfd38941f3c6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图5-3 两方案2025年容量与储能配置</w:t>
            </w:r>
          </w:p>
        </w:tc>
        <w:tc>
          <w:tcPr>
            <w:tcW w:type="dxa" w:w="964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05</w:t>
            </w:r>
          </w:p>
        </w:tc>
        <w:tc>
          <w:tcPr>
            <w:tcW w:type="dxa" w:w="2268"/>
          </w:tcPr>
          <w:p>
            <w:pPr>
              <w:pStyle w:val="Compact"/>
              <w:spacing w:line="264" w:lineRule="auto" w:after="60"/>
              <w:jc w:val="left"/>
            </w:pPr>
            <w:hyperlink r:id="rId44">
              <w:r>
                <w:rPr>
                  <w:rStyle w:val="Hyperlink"/>
                </w:rPr>
                <w:t xml:space="preserve">阶段1原始定位</w:t>
              </w:r>
            </w:hyperlink>
          </w:p>
        </w:tc>
        <w:tc>
          <w:tcPr>
            <w:tcW w:type="dxa" w:w="3572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99ff05fdf64ec54468e19c89b4c8981ceb9c8c4de3433aabd2b29780d93ba9fb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图5-4 刚性与弹性方案年度规划参考容载比</w:t>
            </w:r>
          </w:p>
        </w:tc>
        <w:tc>
          <w:tcPr>
            <w:tcW w:type="dxa" w:w="964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05</w:t>
            </w:r>
          </w:p>
        </w:tc>
        <w:tc>
          <w:tcPr>
            <w:tcW w:type="dxa" w:w="2268"/>
          </w:tcPr>
          <w:p>
            <w:pPr>
              <w:pStyle w:val="Compact"/>
              <w:spacing w:line="264" w:lineRule="auto" w:after="60"/>
              <w:jc w:val="left"/>
            </w:pPr>
            <w:hyperlink r:id="rId45">
              <w:r>
                <w:rPr>
                  <w:rStyle w:val="Hyperlink"/>
                </w:rPr>
                <w:t xml:space="preserve">阶段1原始定位</w:t>
              </w:r>
            </w:hyperlink>
          </w:p>
        </w:tc>
        <w:tc>
          <w:tcPr>
            <w:tcW w:type="dxa" w:w="3572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b5e68b473d0c68d993e8c31dab2c159687f9fef03b5e6b6362bb2795fef4794c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表5-2 各研究单元年度推荐结果</w:t>
            </w:r>
          </w:p>
        </w:tc>
        <w:tc>
          <w:tcPr>
            <w:tcW w:type="dxa" w:w="964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05</w:t>
            </w:r>
          </w:p>
        </w:tc>
        <w:tc>
          <w:tcPr>
            <w:tcW w:type="dxa" w:w="2268"/>
          </w:tcPr>
          <w:p>
            <w:pPr>
              <w:pStyle w:val="Compact"/>
              <w:spacing w:line="264" w:lineRule="auto" w:after="60"/>
              <w:jc w:val="left"/>
            </w:pPr>
            <w:hyperlink r:id="rId46">
              <w:r>
                <w:rPr>
                  <w:rStyle w:val="Hyperlink"/>
                </w:rPr>
                <w:t xml:space="preserve">阶段1原始定位</w:t>
              </w:r>
            </w:hyperlink>
          </w:p>
        </w:tc>
        <w:tc>
          <w:tcPr>
            <w:tcW w:type="dxa" w:w="3572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a0faaae6eee60b2ef98b0fc9c9fbda9478f0ec17503357ce3e5a13041d8e46c1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图5-5 邳州110 kV价格情景的费用现值</w:t>
            </w:r>
          </w:p>
        </w:tc>
        <w:tc>
          <w:tcPr>
            <w:tcW w:type="dxa" w:w="964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05</w:t>
            </w:r>
          </w:p>
        </w:tc>
        <w:tc>
          <w:tcPr>
            <w:tcW w:type="dxa" w:w="2268"/>
          </w:tcPr>
          <w:p>
            <w:pPr>
              <w:pStyle w:val="Compact"/>
              <w:spacing w:line="264" w:lineRule="auto" w:after="60"/>
              <w:jc w:val="left"/>
            </w:pPr>
            <w:hyperlink r:id="rId47">
              <w:r>
                <w:rPr>
                  <w:rStyle w:val="Hyperlink"/>
                </w:rPr>
                <w:t xml:space="preserve">阶段1原始定位</w:t>
              </w:r>
            </w:hyperlink>
          </w:p>
        </w:tc>
        <w:tc>
          <w:tcPr>
            <w:tcW w:type="dxa" w:w="3572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e197a067d1e18df2fe7e1cf7d899854623eb866547cf2e078c9a26c5d27a998e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表5-3 邳州110 kV价格情景与关键结果</w:t>
            </w:r>
          </w:p>
        </w:tc>
        <w:tc>
          <w:tcPr>
            <w:tcW w:type="dxa" w:w="964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05</w:t>
            </w:r>
          </w:p>
        </w:tc>
        <w:tc>
          <w:tcPr>
            <w:tcW w:type="dxa" w:w="2268"/>
          </w:tcPr>
          <w:p>
            <w:pPr>
              <w:pStyle w:val="Compact"/>
              <w:spacing w:line="264" w:lineRule="auto" w:after="60"/>
              <w:jc w:val="left"/>
            </w:pPr>
            <w:hyperlink r:id="rId48">
              <w:r>
                <w:rPr>
                  <w:rStyle w:val="Hyperlink"/>
                </w:rPr>
                <w:t xml:space="preserve">阶段1原始定位</w:t>
              </w:r>
            </w:hyperlink>
          </w:p>
        </w:tc>
        <w:tc>
          <w:tcPr>
            <w:tcW w:type="dxa" w:w="3572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78edd5c50f45c8c162e0848aeafa97f0892c48681805ff84b8e4446e0fb0fabb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图5-6 邳州110 kV价格情景下的2025年配置</w:t>
            </w:r>
          </w:p>
        </w:tc>
        <w:tc>
          <w:tcPr>
            <w:tcW w:type="dxa" w:w="964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05</w:t>
            </w:r>
          </w:p>
        </w:tc>
        <w:tc>
          <w:tcPr>
            <w:tcW w:type="dxa" w:w="2268"/>
          </w:tcPr>
          <w:p>
            <w:pPr>
              <w:pStyle w:val="Compact"/>
              <w:spacing w:line="264" w:lineRule="auto" w:after="60"/>
              <w:jc w:val="left"/>
            </w:pPr>
            <w:hyperlink r:id="rId49">
              <w:r>
                <w:rPr>
                  <w:rStyle w:val="Hyperlink"/>
                </w:rPr>
                <w:t xml:space="preserve">阶段1原始定位</w:t>
              </w:r>
            </w:hyperlink>
          </w:p>
        </w:tc>
        <w:tc>
          <w:tcPr>
            <w:tcW w:type="dxa" w:w="3572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69ee092cf28db46fa1aca800979fcbcdb04240d34b66f791b0ac0aa659f3db05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表5-4 工程条件与容载比样本参考范围</w:t>
            </w:r>
          </w:p>
        </w:tc>
        <w:tc>
          <w:tcPr>
            <w:tcW w:type="dxa" w:w="964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05</w:t>
            </w:r>
          </w:p>
        </w:tc>
        <w:tc>
          <w:tcPr>
            <w:tcW w:type="dxa" w:w="2268"/>
          </w:tcPr>
          <w:p>
            <w:pPr>
              <w:pStyle w:val="Compact"/>
              <w:spacing w:line="264" w:lineRule="auto" w:after="60"/>
              <w:jc w:val="left"/>
            </w:pPr>
            <w:hyperlink r:id="rId50">
              <w:r>
                <w:rPr>
                  <w:rStyle w:val="Hyperlink"/>
                </w:rPr>
                <w:t xml:space="preserve">阶段1原始定位</w:t>
              </w:r>
            </w:hyperlink>
          </w:p>
        </w:tc>
        <w:tc>
          <w:tcPr>
            <w:tcW w:type="dxa" w:w="3572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ea3d14b9b3d41c65c41dca42b59caacf8048142e19bce86314de1d961ef5011f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表5-5 典型工程条件下的应用建议</w:t>
            </w:r>
          </w:p>
        </w:tc>
        <w:tc>
          <w:tcPr>
            <w:tcW w:type="dxa" w:w="964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05</w:t>
            </w:r>
          </w:p>
        </w:tc>
        <w:tc>
          <w:tcPr>
            <w:tcW w:type="dxa" w:w="2268"/>
          </w:tcPr>
          <w:p>
            <w:pPr>
              <w:pStyle w:val="Compact"/>
              <w:spacing w:line="264" w:lineRule="auto" w:after="60"/>
              <w:jc w:val="left"/>
            </w:pPr>
            <w:hyperlink r:id="rId51">
              <w:r>
                <w:rPr>
                  <w:rStyle w:val="Hyperlink"/>
                </w:rPr>
                <w:t xml:space="preserve">阶段1原始定位</w:t>
              </w:r>
            </w:hyperlink>
          </w:p>
        </w:tc>
        <w:tc>
          <w:tcPr>
            <w:tcW w:type="dxa" w:w="3572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e2797976ae1c74602290bb138ab94d00dfb27c70e7e714a97d54976a76082ff3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表6-1 典型区域案例的基础条件</w:t>
            </w:r>
          </w:p>
        </w:tc>
        <w:tc>
          <w:tcPr>
            <w:tcW w:type="dxa" w:w="964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06</w:t>
            </w:r>
          </w:p>
        </w:tc>
        <w:tc>
          <w:tcPr>
            <w:tcW w:type="dxa" w:w="2268"/>
          </w:tcPr>
          <w:p>
            <w:pPr>
              <w:pStyle w:val="Compact"/>
              <w:spacing w:line="264" w:lineRule="auto" w:after="60"/>
              <w:jc w:val="left"/>
            </w:pPr>
            <w:hyperlink r:id="rId52">
              <w:r>
                <w:rPr>
                  <w:rStyle w:val="Hyperlink"/>
                </w:rPr>
                <w:t xml:space="preserve">阶段1原始定位</w:t>
              </w:r>
            </w:hyperlink>
          </w:p>
        </w:tc>
        <w:tc>
          <w:tcPr>
            <w:tcW w:type="dxa" w:w="3572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3982f5c3e6a3c66ee4ceeef2de6797ab4d36d7cff1e836a3a512e234e0275615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图6-1 邳州110 kV候选互济关系</w:t>
            </w:r>
          </w:p>
        </w:tc>
        <w:tc>
          <w:tcPr>
            <w:tcW w:type="dxa" w:w="964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06</w:t>
            </w:r>
          </w:p>
        </w:tc>
        <w:tc>
          <w:tcPr>
            <w:tcW w:type="dxa" w:w="2268"/>
          </w:tcPr>
          <w:p>
            <w:pPr>
              <w:pStyle w:val="Compact"/>
              <w:spacing w:line="264" w:lineRule="auto" w:after="60"/>
              <w:jc w:val="left"/>
            </w:pPr>
            <w:hyperlink r:id="rId53">
              <w:r>
                <w:rPr>
                  <w:rStyle w:val="Hyperlink"/>
                </w:rPr>
                <w:t xml:space="preserve">阶段1原始定位</w:t>
              </w:r>
            </w:hyperlink>
          </w:p>
        </w:tc>
        <w:tc>
          <w:tcPr>
            <w:tcW w:type="dxa" w:w="3572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a24d0507b0cd02d916dfa64790af868069d917ddfb89f8154d78819ea54c78fa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图6-2 邳州110 kV年度措施配置</w:t>
            </w:r>
          </w:p>
        </w:tc>
        <w:tc>
          <w:tcPr>
            <w:tcW w:type="dxa" w:w="964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06</w:t>
            </w:r>
          </w:p>
        </w:tc>
        <w:tc>
          <w:tcPr>
            <w:tcW w:type="dxa" w:w="2268"/>
          </w:tcPr>
          <w:p>
            <w:pPr>
              <w:pStyle w:val="Compact"/>
              <w:spacing w:line="264" w:lineRule="auto" w:after="60"/>
              <w:jc w:val="left"/>
            </w:pPr>
            <w:hyperlink r:id="rId54">
              <w:r>
                <w:rPr>
                  <w:rStyle w:val="Hyperlink"/>
                </w:rPr>
                <w:t xml:space="preserve">阶段1原始定位</w:t>
              </w:r>
            </w:hyperlink>
          </w:p>
        </w:tc>
        <w:tc>
          <w:tcPr>
            <w:tcW w:type="dxa" w:w="3572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7136ec1fb2604a4ec90d6b76a227bfec232742c4139d2548413cafdcb79a1a68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表6-2 邳州110 kV两方案关键结果（2025年）</w:t>
            </w:r>
          </w:p>
        </w:tc>
        <w:tc>
          <w:tcPr>
            <w:tcW w:type="dxa" w:w="964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06</w:t>
            </w:r>
          </w:p>
        </w:tc>
        <w:tc>
          <w:tcPr>
            <w:tcW w:type="dxa" w:w="2268"/>
          </w:tcPr>
          <w:p>
            <w:pPr>
              <w:pStyle w:val="Compact"/>
              <w:spacing w:line="264" w:lineRule="auto" w:after="60"/>
              <w:jc w:val="left"/>
            </w:pPr>
            <w:hyperlink r:id="rId55">
              <w:r>
                <w:rPr>
                  <w:rStyle w:val="Hyperlink"/>
                </w:rPr>
                <w:t xml:space="preserve">阶段1原始定位</w:t>
              </w:r>
            </w:hyperlink>
          </w:p>
        </w:tc>
        <w:tc>
          <w:tcPr>
            <w:tcW w:type="dxa" w:w="3572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ebf7fbb1b2b1d4aa645a1312bc986b252746deb703a9e183b89f86bc43977e29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图6-3 市区29站年度容量与储能配置</w:t>
            </w:r>
          </w:p>
        </w:tc>
        <w:tc>
          <w:tcPr>
            <w:tcW w:type="dxa" w:w="964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06</w:t>
            </w:r>
          </w:p>
        </w:tc>
        <w:tc>
          <w:tcPr>
            <w:tcW w:type="dxa" w:w="2268"/>
          </w:tcPr>
          <w:p>
            <w:pPr>
              <w:pStyle w:val="Compact"/>
              <w:spacing w:line="264" w:lineRule="auto" w:after="60"/>
              <w:jc w:val="left"/>
            </w:pPr>
            <w:hyperlink r:id="rId56">
              <w:r>
                <w:rPr>
                  <w:rStyle w:val="Hyperlink"/>
                </w:rPr>
                <w:t xml:space="preserve">阶段1原始定位</w:t>
              </w:r>
            </w:hyperlink>
          </w:p>
        </w:tc>
        <w:tc>
          <w:tcPr>
            <w:tcW w:type="dxa" w:w="3572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5812f3bb9ea8dc5320a925fc387af5240c385e51a01035d407f49f4bad43c869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表6-3 市区29站两方案关键结果（2025年）</w:t>
            </w:r>
          </w:p>
        </w:tc>
        <w:tc>
          <w:tcPr>
            <w:tcW w:type="dxa" w:w="964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06</w:t>
            </w:r>
          </w:p>
        </w:tc>
        <w:tc>
          <w:tcPr>
            <w:tcW w:type="dxa" w:w="2268"/>
          </w:tcPr>
          <w:p>
            <w:pPr>
              <w:pStyle w:val="Compact"/>
              <w:spacing w:line="264" w:lineRule="auto" w:after="60"/>
              <w:jc w:val="left"/>
            </w:pPr>
            <w:hyperlink r:id="rId57">
              <w:r>
                <w:rPr>
                  <w:rStyle w:val="Hyperlink"/>
                </w:rPr>
                <w:t xml:space="preserve">阶段1原始定位</w:t>
              </w:r>
            </w:hyperlink>
          </w:p>
        </w:tc>
        <w:tc>
          <w:tcPr>
            <w:tcW w:type="dxa" w:w="3572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d9d50aeaa771daac1764729ffd564c23b6946522d81efc2264ae4f4b880e9eed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表7-1 主要研究结论及其依据</w:t>
            </w:r>
          </w:p>
        </w:tc>
        <w:tc>
          <w:tcPr>
            <w:tcW w:type="dxa" w:w="964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07</w:t>
            </w:r>
          </w:p>
        </w:tc>
        <w:tc>
          <w:tcPr>
            <w:tcW w:type="dxa" w:w="2268"/>
          </w:tcPr>
          <w:p>
            <w:pPr>
              <w:pStyle w:val="Compact"/>
              <w:spacing w:line="264" w:lineRule="auto" w:after="60"/>
              <w:jc w:val="left"/>
            </w:pPr>
            <w:hyperlink r:id="rId58">
              <w:r>
                <w:rPr>
                  <w:rStyle w:val="Hyperlink"/>
                </w:rPr>
                <w:t xml:space="preserve">阶段1原始定位</w:t>
              </w:r>
            </w:hyperlink>
          </w:p>
        </w:tc>
        <w:tc>
          <w:tcPr>
            <w:tcW w:type="dxa" w:w="3572"/>
          </w:tcPr>
          <w:p>
            <w:pPr>
              <w:pStyle w:val="Compact"/>
              <w:spacing w:line="264" w:lineRule="auto" w:after="60"/>
              <w:jc w:val="left"/>
            </w:pPr>
            <w:r>
              <w:rPr>
                <w:rFonts w:ascii="Times New Roman" w:hAnsi="Times New Roman" w:eastAsia="方正仿宋_GBK"/>
                <w:sz w:val="18"/>
              </w:rPr>
              <w:t xml:space="preserve">39e60794a6b7cfa3ae0f57ad0ff4a55e9d0b7bd9266a5555a8beac992512453c</w:t>
            </w:r>
          </w:p>
        </w:tc>
      </w:tr>
    </w:tbl>
    <w:p>
      <w:pPr>
        <w:pStyle w:val="BodyText"/>
      </w:pPr>
      <w:r>
        <w:rPr>
          <w:rFonts w:ascii="Times New Roman" w:hAnsi="Times New Roman" w:eastAsia="方正仿宋_GBK"/>
          <w:sz w:val="22"/>
        </w:rPr>
        <w:t xml:space="preserve">原阶段1JSON保留准入D编号、数值原精度、原始文件、行列／字段、处理方式和限制。阶段2图表引用登记.json记录实际章节，检查结果见检查证据/阶段2自动核验.json；图表改号、文献核定及源文件核验分别保存。</w:t>
      </w:r>
    </w:p>
    <w:sectPr>
      <w:footerReference w:type="default" r:id="rId9"/>
      <w:pgMar w:top="1134" w:bottom="1134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00" w:lineRule="auto" w:after="100"/>
    </w:pPr>
    <w:rPr>
      <w:rFonts w:ascii="Times New Roman" w:hAnsi="Times New Roman" w:eastAsia="方正仿宋_GBK"/>
      <w:sz w:val="22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7" Type="http://schemas.openxmlformats.org/officeDocument/2006/relationships/hyperlink" Target="../02&#22270;&#34920;/source_data/&#22270;1-1.json" TargetMode="External"/><Relationship Id="rId32" Type="http://schemas.openxmlformats.org/officeDocument/2006/relationships/hyperlink" Target="../02&#22270;&#34920;/source_data/&#22270;3-1.json" TargetMode="External"/><Relationship Id="rId33" Type="http://schemas.openxmlformats.org/officeDocument/2006/relationships/hyperlink" Target="../02&#22270;&#34920;/source_data/&#22270;3-2.json" TargetMode="External"/><Relationship Id="rId37" Type="http://schemas.openxmlformats.org/officeDocument/2006/relationships/hyperlink" Target="../02&#22270;&#34920;/source_data/&#22270;3-3.json" TargetMode="External"/><Relationship Id="rId31" Type="http://schemas.openxmlformats.org/officeDocument/2006/relationships/hyperlink" Target="../02&#22270;&#34920;/source_data/&#22270;3-4.json" TargetMode="External"/><Relationship Id="rId34" Type="http://schemas.openxmlformats.org/officeDocument/2006/relationships/hyperlink" Target="../02&#22270;&#34920;/source_data/&#22270;3-5.json" TargetMode="External"/><Relationship Id="rId39" Type="http://schemas.openxmlformats.org/officeDocument/2006/relationships/hyperlink" Target="../02&#22270;&#34920;/source_data/&#22270;4-1.json" TargetMode="External"/><Relationship Id="rId41" Type="http://schemas.openxmlformats.org/officeDocument/2006/relationships/hyperlink" Target="../02&#22270;&#34920;/source_data/&#22270;4-2.json" TargetMode="External"/><Relationship Id="rId42" Type="http://schemas.openxmlformats.org/officeDocument/2006/relationships/hyperlink" Target="../02&#22270;&#34920;/source_data/&#22270;4-3.json" TargetMode="External"/><Relationship Id="rId44" Type="http://schemas.openxmlformats.org/officeDocument/2006/relationships/hyperlink" Target="../02&#22270;&#34920;/source_data/&#22270;4-4.json" TargetMode="External"/><Relationship Id="rId47" Type="http://schemas.openxmlformats.org/officeDocument/2006/relationships/hyperlink" Target="../02&#22270;&#34920;/source_data/&#22270;4-5.json" TargetMode="External"/><Relationship Id="rId49" Type="http://schemas.openxmlformats.org/officeDocument/2006/relationships/hyperlink" Target="../02&#22270;&#34920;/source_data/&#22270;4-6.json" TargetMode="External"/><Relationship Id="rId36" Type="http://schemas.openxmlformats.org/officeDocument/2006/relationships/hyperlink" Target="../02&#22270;&#34920;/source_data/&#22270;5-1.json" TargetMode="External"/><Relationship Id="rId45" Type="http://schemas.openxmlformats.org/officeDocument/2006/relationships/hyperlink" Target="../02&#22270;&#34920;/source_data/&#22270;5-2.json" TargetMode="External"/><Relationship Id="rId54" Type="http://schemas.openxmlformats.org/officeDocument/2006/relationships/hyperlink" Target="../02&#22270;&#34920;/source_data/&#22270;6-1.json" TargetMode="External"/><Relationship Id="rId53" Type="http://schemas.openxmlformats.org/officeDocument/2006/relationships/hyperlink" Target="../02&#22270;&#34920;/source_data/&#22270;6-2.json" TargetMode="External"/><Relationship Id="rId56" Type="http://schemas.openxmlformats.org/officeDocument/2006/relationships/hyperlink" Target="../02&#22270;&#34920;/source_data/&#22270;6-3.json" TargetMode="External"/><Relationship Id="rId28" Type="http://schemas.openxmlformats.org/officeDocument/2006/relationships/hyperlink" Target="../02&#22270;&#34920;/source_data/&#34920;2-1.json" TargetMode="External"/><Relationship Id="rId29" Type="http://schemas.openxmlformats.org/officeDocument/2006/relationships/hyperlink" Target="../02&#22270;&#34920;/source_data/&#34920;3-1.json" TargetMode="External"/><Relationship Id="rId30" Type="http://schemas.openxmlformats.org/officeDocument/2006/relationships/hyperlink" Target="../02&#22270;&#34920;/source_data/&#34920;3-2.json" TargetMode="External"/><Relationship Id="rId35" Type="http://schemas.openxmlformats.org/officeDocument/2006/relationships/hyperlink" Target="../02&#22270;&#34920;/source_data/&#34920;3-3.json" TargetMode="External"/><Relationship Id="rId40" Type="http://schemas.openxmlformats.org/officeDocument/2006/relationships/hyperlink" Target="../02&#22270;&#34920;/source_data/&#34920;4-1.json" TargetMode="External"/><Relationship Id="rId38" Type="http://schemas.openxmlformats.org/officeDocument/2006/relationships/hyperlink" Target="../02&#22270;&#34920;/source_data/&#34920;4-2.json" TargetMode="External"/><Relationship Id="rId48" Type="http://schemas.openxmlformats.org/officeDocument/2006/relationships/hyperlink" Target="../02&#22270;&#34920;/source_data/&#34920;4-3.json" TargetMode="External"/><Relationship Id="rId43" Type="http://schemas.openxmlformats.org/officeDocument/2006/relationships/hyperlink" Target="../02&#22270;&#34920;/source_data/&#34920;4-4.json" TargetMode="External"/><Relationship Id="rId46" Type="http://schemas.openxmlformats.org/officeDocument/2006/relationships/hyperlink" Target="../02&#22270;&#34920;/source_data/&#34920;5-1.json" TargetMode="External"/><Relationship Id="rId50" Type="http://schemas.openxmlformats.org/officeDocument/2006/relationships/hyperlink" Target="../02&#22270;&#34920;/source_data/&#34920;5-2.json" TargetMode="External"/><Relationship Id="rId51" Type="http://schemas.openxmlformats.org/officeDocument/2006/relationships/hyperlink" Target="../02&#22270;&#34920;/source_data/&#34920;5-3.json" TargetMode="External"/><Relationship Id="rId52" Type="http://schemas.openxmlformats.org/officeDocument/2006/relationships/hyperlink" Target="../02&#22270;&#34920;/source_data/&#34920;6-1.json" TargetMode="External"/><Relationship Id="rId55" Type="http://schemas.openxmlformats.org/officeDocument/2006/relationships/hyperlink" Target="../02&#22270;&#34920;/source_data/&#34920;6-2.json" TargetMode="External"/><Relationship Id="rId57" Type="http://schemas.openxmlformats.org/officeDocument/2006/relationships/hyperlink" Target="../02&#22270;&#34920;/source_data/&#34920;6-3.json" TargetMode="External"/><Relationship Id="rId58" Type="http://schemas.openxmlformats.org/officeDocument/2006/relationships/hyperlink" Target="../02&#22270;&#34920;/source_data/&#34920;7-1.json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../02&#22270;&#34920;/source_data/&#22270;1-1.json" TargetMode="External"/><Relationship Id="rId32" Type="http://schemas.openxmlformats.org/officeDocument/2006/relationships/hyperlink" Target="../02&#22270;&#34920;/source_data/&#22270;3-1.json" TargetMode="External"/><Relationship Id="rId33" Type="http://schemas.openxmlformats.org/officeDocument/2006/relationships/hyperlink" Target="../02&#22270;&#34920;/source_data/&#22270;3-2.json" TargetMode="External"/><Relationship Id="rId37" Type="http://schemas.openxmlformats.org/officeDocument/2006/relationships/hyperlink" Target="../02&#22270;&#34920;/source_data/&#22270;3-3.json" TargetMode="External"/><Relationship Id="rId31" Type="http://schemas.openxmlformats.org/officeDocument/2006/relationships/hyperlink" Target="../02&#22270;&#34920;/source_data/&#22270;3-4.json" TargetMode="External"/><Relationship Id="rId34" Type="http://schemas.openxmlformats.org/officeDocument/2006/relationships/hyperlink" Target="../02&#22270;&#34920;/source_data/&#22270;3-5.json" TargetMode="External"/><Relationship Id="rId39" Type="http://schemas.openxmlformats.org/officeDocument/2006/relationships/hyperlink" Target="../02&#22270;&#34920;/source_data/&#22270;4-1.json" TargetMode="External"/><Relationship Id="rId41" Type="http://schemas.openxmlformats.org/officeDocument/2006/relationships/hyperlink" Target="../02&#22270;&#34920;/source_data/&#22270;4-2.json" TargetMode="External"/><Relationship Id="rId42" Type="http://schemas.openxmlformats.org/officeDocument/2006/relationships/hyperlink" Target="../02&#22270;&#34920;/source_data/&#22270;4-3.json" TargetMode="External"/><Relationship Id="rId44" Type="http://schemas.openxmlformats.org/officeDocument/2006/relationships/hyperlink" Target="../02&#22270;&#34920;/source_data/&#22270;4-4.json" TargetMode="External"/><Relationship Id="rId47" Type="http://schemas.openxmlformats.org/officeDocument/2006/relationships/hyperlink" Target="../02&#22270;&#34920;/source_data/&#22270;4-5.json" TargetMode="External"/><Relationship Id="rId49" Type="http://schemas.openxmlformats.org/officeDocument/2006/relationships/hyperlink" Target="../02&#22270;&#34920;/source_data/&#22270;4-6.json" TargetMode="External"/><Relationship Id="rId36" Type="http://schemas.openxmlformats.org/officeDocument/2006/relationships/hyperlink" Target="../02&#22270;&#34920;/source_data/&#22270;5-1.json" TargetMode="External"/><Relationship Id="rId45" Type="http://schemas.openxmlformats.org/officeDocument/2006/relationships/hyperlink" Target="../02&#22270;&#34920;/source_data/&#22270;5-2.json" TargetMode="External"/><Relationship Id="rId54" Type="http://schemas.openxmlformats.org/officeDocument/2006/relationships/hyperlink" Target="../02&#22270;&#34920;/source_data/&#22270;6-1.json" TargetMode="External"/><Relationship Id="rId53" Type="http://schemas.openxmlformats.org/officeDocument/2006/relationships/hyperlink" Target="../02&#22270;&#34920;/source_data/&#22270;6-2.json" TargetMode="External"/><Relationship Id="rId56" Type="http://schemas.openxmlformats.org/officeDocument/2006/relationships/hyperlink" Target="../02&#22270;&#34920;/source_data/&#22270;6-3.json" TargetMode="External"/><Relationship Id="rId28" Type="http://schemas.openxmlformats.org/officeDocument/2006/relationships/hyperlink" Target="../02&#22270;&#34920;/source_data/&#34920;2-1.json" TargetMode="External"/><Relationship Id="rId29" Type="http://schemas.openxmlformats.org/officeDocument/2006/relationships/hyperlink" Target="../02&#22270;&#34920;/source_data/&#34920;3-1.json" TargetMode="External"/><Relationship Id="rId30" Type="http://schemas.openxmlformats.org/officeDocument/2006/relationships/hyperlink" Target="../02&#22270;&#34920;/source_data/&#34920;3-2.json" TargetMode="External"/><Relationship Id="rId35" Type="http://schemas.openxmlformats.org/officeDocument/2006/relationships/hyperlink" Target="../02&#22270;&#34920;/source_data/&#34920;3-3.json" TargetMode="External"/><Relationship Id="rId40" Type="http://schemas.openxmlformats.org/officeDocument/2006/relationships/hyperlink" Target="../02&#22270;&#34920;/source_data/&#34920;4-1.json" TargetMode="External"/><Relationship Id="rId38" Type="http://schemas.openxmlformats.org/officeDocument/2006/relationships/hyperlink" Target="../02&#22270;&#34920;/source_data/&#34920;4-2.json" TargetMode="External"/><Relationship Id="rId48" Type="http://schemas.openxmlformats.org/officeDocument/2006/relationships/hyperlink" Target="../02&#22270;&#34920;/source_data/&#34920;4-3.json" TargetMode="External"/><Relationship Id="rId43" Type="http://schemas.openxmlformats.org/officeDocument/2006/relationships/hyperlink" Target="../02&#22270;&#34920;/source_data/&#34920;4-4.json" TargetMode="External"/><Relationship Id="rId46" Type="http://schemas.openxmlformats.org/officeDocument/2006/relationships/hyperlink" Target="../02&#22270;&#34920;/source_data/&#34920;5-1.json" TargetMode="External"/><Relationship Id="rId50" Type="http://schemas.openxmlformats.org/officeDocument/2006/relationships/hyperlink" Target="../02&#22270;&#34920;/source_data/&#34920;5-2.json" TargetMode="External"/><Relationship Id="rId51" Type="http://schemas.openxmlformats.org/officeDocument/2006/relationships/hyperlink" Target="../02&#22270;&#34920;/source_data/&#34920;5-3.json" TargetMode="External"/><Relationship Id="rId52" Type="http://schemas.openxmlformats.org/officeDocument/2006/relationships/hyperlink" Target="../02&#22270;&#34920;/source_data/&#34920;6-1.json" TargetMode="External"/><Relationship Id="rId55" Type="http://schemas.openxmlformats.org/officeDocument/2006/relationships/hyperlink" Target="../02&#22270;&#34920;/source_data/&#34920;6-2.json" TargetMode="External"/><Relationship Id="rId57" Type="http://schemas.openxmlformats.org/officeDocument/2006/relationships/hyperlink" Target="../02&#22270;&#34920;/source_data/&#34920;6-3.json" TargetMode="External"/><Relationship Id="rId58" Type="http://schemas.openxmlformats.org/officeDocument/2006/relationships/hyperlink" Target="../02&#22270;&#34920;/source_data/&#34920;7-1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2026-09-27T08:43:33Z</dcterms:created>
  <dcterms:modified xsi:type="dcterms:W3CDTF">2026-09-27T08:43:33Z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