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
    <w:p/>
    <w:p>
      <w:pPr>
        <w:spacing w:before="0" w:after="360" w:line="640" w:lineRule="exact"/>
        <w:jc w:val="center"/>
        <w:ind w:firstLine="0" w:firstLineChars="0"/>
      </w:pPr>
      <w:r>
        <w:rPr>
          <w:rFonts w:ascii="Times New Roman" w:hAnsi="Times New Roman" w:eastAsia="黑体"/>
          <w:b/>
          <w:sz w:val="44"/>
        </w:rPr>
        <w:t>国网徐州公司徐州地区分布式新能源高渗透率地区110kV电网容载比弹性指标优化研究</w:t>
      </w:r>
    </w:p>
    <w:p>
      <w:pPr>
        <w:spacing w:before="0" w:after="0" w:line="640" w:lineRule="exact"/>
        <w:jc w:val="center"/>
        <w:ind w:firstLine="0" w:firstLineChars="0"/>
      </w:pPr>
      <w:r>
        <w:rPr>
          <w:rFonts w:ascii="Times New Roman" w:hAnsi="Times New Roman" w:eastAsia="黑体"/>
          <w:b/>
          <w:sz w:val="44"/>
        </w:rPr>
        <w:t>研究报告</w:t>
      </w:r>
    </w:p>
    <w:p>
      <w:pPr>
        <w:spacing w:before="5000" w:after="0" w:line="580" w:lineRule="exact"/>
        <w:jc w:val="center"/>
        <w:ind w:firstLine="0" w:firstLineChars="0"/>
      </w:pPr>
      <w:r>
        <w:rPr>
          <w:rFonts w:ascii="Times New Roman" w:hAnsi="Times New Roman" w:eastAsia="宋体"/>
          <w:b/>
          <w:sz w:val="32"/>
        </w:rPr>
        <w:t>国网江苏省电力有限公司徐州供电分公司</w:t>
      </w:r>
    </w:p>
    <w:p>
      <w:pPr>
        <w:spacing w:before="0" w:after="0" w:line="580" w:lineRule="exact"/>
        <w:jc w:val="center"/>
        <w:ind w:firstLine="0" w:firstLineChars="0"/>
      </w:pPr>
      <w:r>
        <w:rPr>
          <w:rFonts w:ascii="Times New Roman" w:hAnsi="Times New Roman" w:eastAsia="宋体"/>
          <w:b/>
          <w:sz w:val="32"/>
        </w:rPr>
        <w:t>2026年9月</w:t>
      </w:r>
    </w:p>
    <w:p>
      <w:r>
        <w:br w:type="page"/>
      </w:r>
    </w:p>
    <w:p>
      <w:pPr>
        <w:spacing w:before="0" w:after="360" w:line="560" w:lineRule="exact"/>
        <w:jc w:val="center"/>
        <w:ind w:firstLine="0" w:firstLineChars="0"/>
      </w:pPr>
      <w:r>
        <w:rPr>
          <w:rFonts w:ascii="Times New Roman" w:hAnsi="Times New Roman" w:eastAsia="黑体"/>
          <w:b/>
          <w:sz w:val="36"/>
        </w:rPr>
        <w:t>目  录</w:t>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第一章 绪论</w:t>
      </w:r>
      <w:r>
        <w:rPr>
          <w:rFonts w:ascii="Times New Roman" w:hAnsi="Times New Roman" w:eastAsia="仿宋_GB2312"/>
          <w:b w:val="0"/>
          <w:sz w:val="28"/>
        </w:rPr>
        <w:tab/>
      </w:r>
      <w:r>
        <w:fldChar w:fldCharType="begin" w:dirty="true"/>
        <w:instrText xml:space="preserve"> PAGEREF _TocReport0001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1.1 研究背景与意义</w:t>
      </w:r>
      <w:r>
        <w:rPr>
          <w:rFonts w:ascii="Times New Roman" w:hAnsi="Times New Roman" w:eastAsia="仿宋_GB2312"/>
          <w:b w:val="0"/>
          <w:sz w:val="28"/>
        </w:rPr>
        <w:tab/>
      </w:r>
      <w:r>
        <w:fldChar w:fldCharType="begin" w:dirty="true"/>
        <w:instrText xml:space="preserve"> PAGEREF _TocReport0002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1.2 研究范围与对象</w:t>
      </w:r>
      <w:r>
        <w:rPr>
          <w:rFonts w:ascii="Times New Roman" w:hAnsi="Times New Roman" w:eastAsia="仿宋_GB2312"/>
          <w:b w:val="0"/>
          <w:sz w:val="28"/>
        </w:rPr>
        <w:tab/>
      </w:r>
      <w:r>
        <w:fldChar w:fldCharType="begin" w:dirty="true"/>
        <w:instrText xml:space="preserve"> PAGEREF _TocReport0003 \h </w:instrText>
        <w:fldChar w:fldCharType="separate"/>
      </w:r>
      <w:r>
        <w:rPr>
          <w:rFonts w:ascii="Times New Roman" w:hAnsi="Times New Roman" w:eastAsia="仿宋_GB2312"/>
          <w:b w:val="0"/>
          <w:sz w:val="28"/>
        </w:rPr>
        <w:t>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1.3 研究目标与内容</w:t>
      </w:r>
      <w:r>
        <w:rPr>
          <w:rFonts w:ascii="Times New Roman" w:hAnsi="Times New Roman" w:eastAsia="仿宋_GB2312"/>
          <w:b w:val="0"/>
          <w:sz w:val="28"/>
        </w:rPr>
        <w:tab/>
      </w:r>
      <w:r>
        <w:fldChar w:fldCharType="begin" w:dirty="true"/>
        <w:instrText xml:space="preserve"> PAGEREF _TocReport0004 \h </w:instrText>
        <w:fldChar w:fldCharType="separate"/>
      </w:r>
      <w:r>
        <w:rPr>
          <w:rFonts w:ascii="Times New Roman" w:hAnsi="Times New Roman" w:eastAsia="仿宋_GB2312"/>
          <w:b w:val="0"/>
          <w:sz w:val="28"/>
        </w:rPr>
        <w:t>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1.4 研究方法与技术路线</w:t>
      </w:r>
      <w:r>
        <w:rPr>
          <w:rFonts w:ascii="Times New Roman" w:hAnsi="Times New Roman" w:eastAsia="仿宋_GB2312"/>
          <w:b w:val="0"/>
          <w:sz w:val="28"/>
        </w:rPr>
        <w:tab/>
      </w:r>
      <w:r>
        <w:fldChar w:fldCharType="begin" w:dirty="true"/>
        <w:instrText xml:space="preserve"> PAGEREF _TocReport0005 \h </w:instrText>
        <w:fldChar w:fldCharType="separate"/>
      </w:r>
      <w:r>
        <w:rPr>
          <w:rFonts w:ascii="Times New Roman" w:hAnsi="Times New Roman" w:eastAsia="仿宋_GB2312"/>
          <w:b w:val="0"/>
          <w:sz w:val="28"/>
        </w:rPr>
        <w:t>3</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第二章 文献综述与理论基础</w:t>
      </w:r>
      <w:r>
        <w:rPr>
          <w:rFonts w:ascii="Times New Roman" w:hAnsi="Times New Roman" w:eastAsia="仿宋_GB2312"/>
          <w:b w:val="0"/>
          <w:sz w:val="28"/>
        </w:rPr>
        <w:tab/>
      </w:r>
      <w:r>
        <w:fldChar w:fldCharType="begin" w:dirty="true"/>
        <w:instrText xml:space="preserve"> PAGEREF _TocReport0006 \h </w:instrText>
        <w:fldChar w:fldCharType="separate"/>
      </w:r>
      <w:r>
        <w:rPr>
          <w:rFonts w:ascii="Times New Roman" w:hAnsi="Times New Roman" w:eastAsia="仿宋_GB2312"/>
          <w:b w:val="0"/>
          <w:sz w:val="28"/>
        </w:rPr>
        <w:t>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2.1 国内外研究现状</w:t>
      </w:r>
      <w:r>
        <w:rPr>
          <w:rFonts w:ascii="Times New Roman" w:hAnsi="Times New Roman" w:eastAsia="仿宋_GB2312"/>
          <w:b w:val="0"/>
          <w:sz w:val="28"/>
        </w:rPr>
        <w:tab/>
      </w:r>
      <w:r>
        <w:fldChar w:fldCharType="begin" w:dirty="true"/>
        <w:instrText xml:space="preserve"> PAGEREF _TocReport0007 \h </w:instrText>
        <w:fldChar w:fldCharType="separate"/>
      </w:r>
      <w:r>
        <w:rPr>
          <w:rFonts w:ascii="Times New Roman" w:hAnsi="Times New Roman" w:eastAsia="仿宋_GB2312"/>
          <w:b w:val="0"/>
          <w:sz w:val="28"/>
        </w:rPr>
        <w:t>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2.2 核心概念与理论基础</w:t>
      </w:r>
      <w:r>
        <w:rPr>
          <w:rFonts w:ascii="Times New Roman" w:hAnsi="Times New Roman" w:eastAsia="仿宋_GB2312"/>
          <w:b w:val="0"/>
          <w:sz w:val="28"/>
        </w:rPr>
        <w:tab/>
      </w:r>
      <w:r>
        <w:fldChar w:fldCharType="begin" w:dirty="true"/>
        <w:instrText xml:space="preserve"> PAGEREF _TocReport0008 \h </w:instrText>
        <w:fldChar w:fldCharType="separate"/>
      </w:r>
      <w:r>
        <w:rPr>
          <w:rFonts w:ascii="Times New Roman" w:hAnsi="Times New Roman" w:eastAsia="仿宋_GB2312"/>
          <w:b w:val="0"/>
          <w:sz w:val="28"/>
        </w:rPr>
        <w:t>5</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第三章 徐州典型地区“新能源—电网”运行特征分析</w:t>
      </w:r>
      <w:r>
        <w:rPr>
          <w:rFonts w:ascii="Times New Roman" w:hAnsi="Times New Roman" w:eastAsia="仿宋_GB2312"/>
          <w:b w:val="0"/>
          <w:sz w:val="28"/>
        </w:rPr>
        <w:tab/>
      </w:r>
      <w:r>
        <w:fldChar w:fldCharType="begin" w:dirty="true"/>
        <w:instrText xml:space="preserve"> PAGEREF _TocReport0009 \h </w:instrText>
        <w:fldChar w:fldCharType="separate"/>
      </w:r>
      <w:r>
        <w:rPr>
          <w:rFonts w:ascii="Times New Roman" w:hAnsi="Times New Roman" w:eastAsia="仿宋_GB2312"/>
          <w:b w:val="0"/>
          <w:sz w:val="28"/>
        </w:rPr>
        <w:t>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3.1 徐州新能源发展与电力负荷概况</w:t>
      </w:r>
      <w:r>
        <w:rPr>
          <w:rFonts w:ascii="Times New Roman" w:hAnsi="Times New Roman" w:eastAsia="仿宋_GB2312"/>
          <w:b w:val="0"/>
          <w:sz w:val="28"/>
        </w:rPr>
        <w:tab/>
      </w:r>
      <w:r>
        <w:fldChar w:fldCharType="begin" w:dirty="true"/>
        <w:instrText xml:space="preserve"> PAGEREF _TocReport0010 \h </w:instrText>
        <w:fldChar w:fldCharType="separate"/>
      </w:r>
      <w:r>
        <w:rPr>
          <w:rFonts w:ascii="Times New Roman" w:hAnsi="Times New Roman" w:eastAsia="仿宋_GB2312"/>
          <w:b w:val="0"/>
          <w:sz w:val="28"/>
        </w:rPr>
        <w:t>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3.2 主变负载率多工况统计分析</w:t>
      </w:r>
      <w:r>
        <w:rPr>
          <w:rFonts w:ascii="Times New Roman" w:hAnsi="Times New Roman" w:eastAsia="仿宋_GB2312"/>
          <w:b w:val="0"/>
          <w:sz w:val="28"/>
        </w:rPr>
        <w:tab/>
      </w:r>
      <w:r>
        <w:fldChar w:fldCharType="begin" w:dirty="true"/>
        <w:instrText xml:space="preserve"> PAGEREF _TocReport0011 \h </w:instrText>
        <w:fldChar w:fldCharType="separate"/>
      </w:r>
      <w:r>
        <w:rPr>
          <w:rFonts w:ascii="Times New Roman" w:hAnsi="Times New Roman" w:eastAsia="仿宋_GB2312"/>
          <w:b w:val="0"/>
          <w:sz w:val="28"/>
        </w:rPr>
        <w:t>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3.3 源荷比、电量渗透率与容载比的关联规律</w:t>
      </w:r>
      <w:r>
        <w:rPr>
          <w:rFonts w:ascii="Times New Roman" w:hAnsi="Times New Roman" w:eastAsia="仿宋_GB2312"/>
          <w:b w:val="0"/>
          <w:sz w:val="28"/>
        </w:rPr>
        <w:tab/>
      </w:r>
      <w:r>
        <w:fldChar w:fldCharType="begin" w:dirty="true"/>
        <w:instrText xml:space="preserve"> PAGEREF _TocReport0012 \h </w:instrText>
        <w:fldChar w:fldCharType="separate"/>
      </w:r>
      <w:r>
        <w:rPr>
          <w:rFonts w:ascii="Times New Roman" w:hAnsi="Times New Roman" w:eastAsia="仿宋_GB2312"/>
          <w:b w:val="0"/>
          <w:sz w:val="28"/>
        </w:rPr>
        <w:t>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3.4 “新能源渗透水平—电网运行状态”数据库的构建</w:t>
      </w:r>
      <w:r>
        <w:rPr>
          <w:rFonts w:ascii="Times New Roman" w:hAnsi="Times New Roman" w:eastAsia="仿宋_GB2312"/>
          <w:b w:val="0"/>
          <w:sz w:val="28"/>
        </w:rPr>
        <w:tab/>
      </w:r>
      <w:r>
        <w:fldChar w:fldCharType="begin" w:dirty="true"/>
        <w:instrText xml:space="preserve"> PAGEREF _TocReport0013 \h </w:instrText>
        <w:fldChar w:fldCharType="separate"/>
      </w:r>
      <w:r>
        <w:rPr>
          <w:rFonts w:ascii="Times New Roman" w:hAnsi="Times New Roman" w:eastAsia="仿宋_GB2312"/>
          <w:b w:val="0"/>
          <w:sz w:val="28"/>
        </w:rPr>
        <w:t>10</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第四章 基于实际工程的电网建设成本模型</w:t>
      </w:r>
      <w:r>
        <w:rPr>
          <w:rFonts w:ascii="Times New Roman" w:hAnsi="Times New Roman" w:eastAsia="仿宋_GB2312"/>
          <w:b w:val="0"/>
          <w:sz w:val="28"/>
        </w:rPr>
        <w:tab/>
      </w:r>
      <w:r>
        <w:fldChar w:fldCharType="begin" w:dirty="true"/>
        <w:instrText xml:space="preserve"> PAGEREF _TocReport0014 \h </w:instrText>
        <w:fldChar w:fldCharType="separate"/>
      </w:r>
      <w:r>
        <w:rPr>
          <w:rFonts w:ascii="Times New Roman" w:hAnsi="Times New Roman" w:eastAsia="仿宋_GB2312"/>
          <w:b w:val="0"/>
          <w:sz w:val="28"/>
        </w:rPr>
        <w:t>12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4.1 分布式新能源配套工程成本数据收集与处理</w:t>
      </w:r>
      <w:r>
        <w:rPr>
          <w:rFonts w:ascii="Times New Roman" w:hAnsi="Times New Roman" w:eastAsia="仿宋_GB2312"/>
          <w:b w:val="0"/>
          <w:sz w:val="28"/>
        </w:rPr>
        <w:tab/>
      </w:r>
      <w:r>
        <w:fldChar w:fldCharType="begin" w:dirty="true"/>
        <w:instrText xml:space="preserve"> PAGEREF _TocReport0015 \h </w:instrText>
        <w:fldChar w:fldCharType="separate"/>
      </w:r>
      <w:r>
        <w:rPr>
          <w:rFonts w:ascii="Times New Roman" w:hAnsi="Times New Roman" w:eastAsia="仿宋_GB2312"/>
          <w:b w:val="0"/>
          <w:sz w:val="28"/>
        </w:rPr>
        <w:t>12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4.2 成本驱动因子识别与参数化模型建立</w:t>
      </w:r>
      <w:r>
        <w:rPr>
          <w:rFonts w:ascii="Times New Roman" w:hAnsi="Times New Roman" w:eastAsia="仿宋_GB2312"/>
          <w:b w:val="0"/>
          <w:sz w:val="28"/>
        </w:rPr>
        <w:tab/>
      </w:r>
      <w:r>
        <w:fldChar w:fldCharType="begin" w:dirty="true"/>
        <w:instrText xml:space="preserve"> PAGEREF _TocReport0016 \h </w:instrText>
        <w:fldChar w:fldCharType="separate"/>
      </w:r>
      <w:r>
        <w:rPr>
          <w:rFonts w:ascii="Times New Roman" w:hAnsi="Times New Roman" w:eastAsia="仿宋_GB2312"/>
          <w:b w:val="0"/>
          <w:sz w:val="28"/>
        </w:rPr>
        <w:t>12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4.3 刚性容载比场景全寿命周期成本测算</w:t>
      </w:r>
      <w:r>
        <w:rPr>
          <w:rFonts w:ascii="Times New Roman" w:hAnsi="Times New Roman" w:eastAsia="仿宋_GB2312"/>
          <w:b w:val="0"/>
          <w:sz w:val="28"/>
        </w:rPr>
        <w:tab/>
      </w:r>
      <w:r>
        <w:fldChar w:fldCharType="begin" w:dirty="true"/>
        <w:instrText xml:space="preserve"> PAGEREF _TocReport0017 \h </w:instrText>
        <w:fldChar w:fldCharType="separate"/>
      </w:r>
      <w:r>
        <w:rPr>
          <w:rFonts w:ascii="Times New Roman" w:hAnsi="Times New Roman" w:eastAsia="仿宋_GB2312"/>
          <w:b w:val="0"/>
          <w:sz w:val="28"/>
        </w:rPr>
        <w:t>13</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4.4 弹性容载比场景全寿命周期成本测算</w:t>
      </w:r>
      <w:r>
        <w:rPr>
          <w:rFonts w:ascii="Times New Roman" w:hAnsi="Times New Roman" w:eastAsia="仿宋_GB2312"/>
          <w:b w:val="0"/>
          <w:sz w:val="28"/>
        </w:rPr>
        <w:tab/>
      </w:r>
      <w:r>
        <w:fldChar w:fldCharType="begin" w:dirty="true"/>
        <w:instrText xml:space="preserve"> PAGEREF _TocReport0018 \h </w:instrText>
        <w:fldChar w:fldCharType="separate"/>
      </w:r>
      <w:r>
        <w:rPr>
          <w:rFonts w:ascii="Times New Roman" w:hAnsi="Times New Roman" w:eastAsia="仿宋_GB2312"/>
          <w:b w:val="0"/>
          <w:sz w:val="28"/>
        </w:rPr>
        <w:t>13</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4.5 两场景经济技术对比与决策案例库形成</w:t>
      </w:r>
      <w:r>
        <w:rPr>
          <w:rFonts w:ascii="Times New Roman" w:hAnsi="Times New Roman" w:eastAsia="仿宋_GB2312"/>
          <w:b w:val="0"/>
          <w:sz w:val="28"/>
        </w:rPr>
        <w:tab/>
      </w:r>
      <w:r>
        <w:fldChar w:fldCharType="begin" w:dirty="true"/>
        <w:instrText xml:space="preserve"> PAGEREF _TocReport0019 \h </w:instrText>
        <w:fldChar w:fldCharType="separate"/>
      </w:r>
      <w:r>
        <w:rPr>
          <w:rFonts w:ascii="Times New Roman" w:hAnsi="Times New Roman" w:eastAsia="仿宋_GB2312"/>
          <w:b w:val="0"/>
          <w:sz w:val="28"/>
        </w:rPr>
        <w:t>15</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第五章 “一片一策”弹性容载比规划建议</w:t>
      </w:r>
      <w:r>
        <w:rPr>
          <w:rFonts w:ascii="Times New Roman" w:hAnsi="Times New Roman" w:eastAsia="仿宋_GB2312"/>
          <w:b w:val="0"/>
          <w:sz w:val="28"/>
        </w:rPr>
        <w:tab/>
      </w:r>
      <w:r>
        <w:fldChar w:fldCharType="begin" w:dirty="true"/>
        <w:instrText xml:space="preserve"> PAGEREF _TocReport0020 \h </w:instrText>
        <w:fldChar w:fldCharType="separate"/>
      </w:r>
      <w:r>
        <w:rPr>
          <w:rFonts w:ascii="Times New Roman" w:hAnsi="Times New Roman" w:eastAsia="仿宋_GB2312"/>
          <w:b w:val="0"/>
          <w:sz w:val="28"/>
        </w:rPr>
        <w:t>17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5.1 历史负荷与分布式光伏接入特征分析典型片区负荷与分布式光伏预测</w:t>
      </w:r>
      <w:r>
        <w:rPr>
          <w:rFonts w:ascii="Times New Roman" w:hAnsi="Times New Roman" w:eastAsia="仿宋_GB2312"/>
          <w:b w:val="0"/>
          <w:sz w:val="28"/>
        </w:rPr>
        <w:tab/>
      </w:r>
      <w:r>
        <w:fldChar w:fldCharType="begin" w:dirty="true"/>
        <w:instrText xml:space="preserve"> PAGEREF _TocReport0021 \h </w:instrText>
        <w:fldChar w:fldCharType="separate"/>
      </w:r>
      <w:r>
        <w:rPr>
          <w:rFonts w:ascii="Times New Roman" w:hAnsi="Times New Roman" w:eastAsia="仿宋_GB2312"/>
          <w:b w:val="0"/>
          <w:sz w:val="28"/>
        </w:rPr>
        <w:t>17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5.2 含正向容载比与反向承载力协同约束的弹性规划评价指标体系设计</w:t>
      </w:r>
      <w:r>
        <w:rPr>
          <w:rFonts w:ascii="Times New Roman" w:hAnsi="Times New Roman" w:eastAsia="仿宋_GB2312"/>
          <w:b w:val="0"/>
          <w:sz w:val="28"/>
        </w:rPr>
        <w:tab/>
      </w:r>
      <w:r>
        <w:fldChar w:fldCharType="begin" w:dirty="true"/>
        <w:instrText xml:space="preserve"> PAGEREF _TocReport0022 \h </w:instrText>
        <w:fldChar w:fldCharType="separate"/>
      </w:r>
      <w:r>
        <w:rPr>
          <w:rFonts w:ascii="Times New Roman" w:hAnsi="Times New Roman" w:eastAsia="仿宋_GB2312"/>
          <w:b w:val="0"/>
          <w:sz w:val="28"/>
        </w:rPr>
        <w:t>17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5.3 基于层次分析法的指标赋权</w:t>
      </w:r>
      <w:r>
        <w:rPr>
          <w:rFonts w:ascii="Times New Roman" w:hAnsi="Times New Roman" w:eastAsia="仿宋_GB2312"/>
          <w:b w:val="0"/>
          <w:sz w:val="28"/>
        </w:rPr>
        <w:tab/>
      </w:r>
      <w:r>
        <w:fldChar w:fldCharType="begin" w:dirty="true"/>
        <w:instrText xml:space="preserve"> PAGEREF _TocReport0023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5.4 不同片区类型的容载比推荐区间及技术方案组合</w:t>
      </w:r>
      <w:r>
        <w:rPr>
          <w:rFonts w:ascii="Times New Roman" w:hAnsi="Times New Roman" w:eastAsia="仿宋_GB2312"/>
          <w:b w:val="0"/>
          <w:sz w:val="28"/>
        </w:rPr>
        <w:tab/>
      </w:r>
      <w:r>
        <w:fldChar w:fldCharType="begin" w:dirty="true"/>
        <w:instrText xml:space="preserve"> PAGEREF _TocReport0024 \h </w:instrText>
        <w:fldChar w:fldCharType="separate"/>
      </w:r>
      <w:r>
        <w:rPr>
          <w:rFonts w:ascii="Times New Roman" w:hAnsi="Times New Roman" w:eastAsia="仿宋_GB2312"/>
          <w:b w:val="0"/>
          <w:sz w:val="28"/>
        </w:rPr>
        <w:t>19</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第六章 典型案例验证</w:t>
      </w:r>
      <w:r>
        <w:rPr>
          <w:rFonts w:ascii="Times New Roman" w:hAnsi="Times New Roman" w:eastAsia="仿宋_GB2312"/>
          <w:b w:val="0"/>
          <w:sz w:val="28"/>
        </w:rPr>
        <w:tab/>
      </w:r>
      <w:r>
        <w:fldChar w:fldCharType="begin" w:dirty="true"/>
        <w:instrText xml:space="preserve"> PAGEREF _TocReport0025 \h </w:instrText>
        <w:fldChar w:fldCharType="separate"/>
      </w:r>
      <w:r>
        <w:rPr>
          <w:rFonts w:ascii="Times New Roman" w:hAnsi="Times New Roman" w:eastAsia="仿宋_GB2312"/>
          <w:b w:val="0"/>
          <w:sz w:val="28"/>
        </w:rPr>
        <w:t>23</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6.1 刚性规划方案复盘（以某高渗透率片区为例）</w:t>
      </w:r>
      <w:r>
        <w:rPr>
          <w:rFonts w:ascii="Times New Roman" w:hAnsi="Times New Roman" w:eastAsia="仿宋_GB2312"/>
          <w:b w:val="0"/>
          <w:sz w:val="28"/>
        </w:rPr>
        <w:tab/>
      </w:r>
      <w:r>
        <w:fldChar w:fldCharType="begin" w:dirty="true"/>
        <w:instrText xml:space="preserve"> PAGEREF _TocReport0026 \h </w:instrText>
        <w:fldChar w:fldCharType="separate"/>
      </w:r>
      <w:r>
        <w:rPr>
          <w:rFonts w:ascii="Times New Roman" w:hAnsi="Times New Roman" w:eastAsia="仿宋_GB2312"/>
          <w:b w:val="0"/>
          <w:sz w:val="28"/>
        </w:rPr>
        <w:t>23</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6.2 含反向承载力校核的弹性容载比方案设计与对比</w:t>
      </w:r>
      <w:r>
        <w:rPr>
          <w:rFonts w:ascii="Times New Roman" w:hAnsi="Times New Roman" w:eastAsia="仿宋_GB2312"/>
          <w:b w:val="0"/>
          <w:sz w:val="28"/>
        </w:rPr>
        <w:tab/>
      </w:r>
      <w:r>
        <w:fldChar w:fldCharType="begin" w:dirty="true"/>
        <w:instrText xml:space="preserve"> PAGEREF _TocReport0027 \h </w:instrText>
        <w:fldChar w:fldCharType="separate"/>
      </w:r>
      <w:r>
        <w:rPr>
          <w:rFonts w:ascii="Times New Roman" w:hAnsi="Times New Roman" w:eastAsia="仿宋_GB2312"/>
          <w:b w:val="0"/>
          <w:sz w:val="28"/>
        </w:rPr>
        <w:t>23</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6.3 效果评估与方法有效性验证</w:t>
      </w:r>
      <w:r>
        <w:rPr>
          <w:rFonts w:ascii="Times New Roman" w:hAnsi="Times New Roman" w:eastAsia="仿宋_GB2312"/>
          <w:b w:val="0"/>
          <w:sz w:val="28"/>
        </w:rPr>
        <w:tab/>
      </w:r>
      <w:r>
        <w:fldChar w:fldCharType="begin" w:dirty="true"/>
        <w:instrText xml:space="preserve"> PAGEREF _TocReport0028 \h </w:instrText>
        <w:fldChar w:fldCharType="separate"/>
      </w:r>
      <w:r>
        <w:rPr>
          <w:rFonts w:ascii="Times New Roman" w:hAnsi="Times New Roman" w:eastAsia="仿宋_GB2312"/>
          <w:b w:val="0"/>
          <w:sz w:val="28"/>
        </w:rPr>
        <w:t>24</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第七章 结论与展望</w:t>
      </w:r>
      <w:r>
        <w:rPr>
          <w:rFonts w:ascii="Times New Roman" w:hAnsi="Times New Roman" w:eastAsia="仿宋_GB2312"/>
          <w:b w:val="0"/>
          <w:sz w:val="28"/>
        </w:rPr>
        <w:tab/>
      </w:r>
      <w:r>
        <w:fldChar w:fldCharType="begin" w:dirty="true"/>
        <w:instrText xml:space="preserve"> PAGEREF _TocReport0029 \h </w:instrText>
        <w:fldChar w:fldCharType="separate"/>
      </w:r>
      <w:r>
        <w:rPr>
          <w:rFonts w:ascii="Times New Roman" w:hAnsi="Times New Roman" w:eastAsia="仿宋_GB2312"/>
          <w:b w:val="0"/>
          <w:sz w:val="28"/>
        </w:rPr>
        <w:t>26</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参考文献</w:t>
      </w:r>
      <w:r>
        <w:rPr>
          <w:rFonts w:ascii="Times New Roman" w:hAnsi="Times New Roman" w:eastAsia="仿宋_GB2312"/>
          <w:b w:val="0"/>
          <w:sz w:val="28"/>
        </w:rPr>
        <w:tab/>
      </w:r>
      <w:r>
        <w:fldChar w:fldCharType="begin" w:dirty="true"/>
        <w:instrText xml:space="preserve"> PAGEREF _TocReport0030 \h </w:instrText>
        <w:fldChar w:fldCharType="separate"/>
      </w:r>
      <w:r>
        <w:rPr>
          <w:rFonts w:ascii="Times New Roman" w:hAnsi="Times New Roman" w:eastAsia="仿宋_GB2312"/>
          <w:b w:val="0"/>
          <w:sz w:val="28"/>
        </w:rPr>
        <w:t>28</w:t>
      </w:r>
      <w:r>
        <w:fldChar w:fldCharType="end"/>
      </w:r>
    </w:p>
    <w:p>
      <w:pPr>
        <w:sectPr>
          <w:footerReference w:type="default" r:id="rId19"/>
          <w:pgSz w:w="11906" w:h="16838"/>
          <w:pgMar w:top="1440" w:right="1797" w:bottom="1440" w:left="1797" w:header="851" w:footer="992" w:gutter="0"/>
          <w:pgNumType w:fmt="numberInDash" w:start="1"/>
          <w:cols w:space="425" w:num="1"/>
          <w:docGrid w:linePitch="435" w:charSpace="0"/>
        </w:sectPr>
      </w:pPr>
    </w:p>
    <w:p>
      <w:pPr>
        <w:pStyle w:val="2"/>
        <w:pageBreakBefore w:val="0"/>
        <w:jc w:val="left"/>
      </w:pPr>
      <w:bookmarkStart w:id="1" w:name="_TocReport0001"/>
      <w:r>
        <w:rPr>
          <w:rFonts w:ascii="Times New Roman" w:hAnsi="Times New Roman" w:eastAsia="仿宋_GB2312"/>
          <w:b/>
          <w:sz w:val="36"/>
        </w:rPr>
        <w:t>第一章 绪论</w:t>
      </w:r>
      <w:bookmarkEnd w:id="1"/>
    </w:p>
    <w:p>
      <w:pPr>
        <w:pStyle w:val="3"/>
        <w:pageBreakBefore w:val="0"/>
        <w:jc w:val="left"/>
      </w:pPr>
      <w:bookmarkStart w:id="2" w:name="_TocReport0002"/>
      <w:r>
        <w:rPr>
          <w:rFonts w:ascii="Times New Roman" w:hAnsi="Times New Roman" w:eastAsia="仿宋_GB2312"/>
          <w:b/>
          <w:sz w:val="28"/>
        </w:rPr>
        <w:t>1.1 研究背景与意义</w:t>
      </w:r>
      <w:bookmarkEnd w:id="2"/>
    </w:p>
    <w:p>
      <w:pPr>
        <w:spacing w:before="0" w:after="0" w:line="560" w:lineRule="exact"/>
        <w:jc w:val="both"/>
        <w:ind w:firstLineChars="200" w:firstLine="200"/>
      </w:pPr>
      <w:r>
        <w:rPr>
          <w:rFonts w:ascii="Times New Roman" w:hAnsi="Times New Roman" w:eastAsia="仿宋_GB2312"/>
          <w:b w:val="0"/>
          <w:sz w:val="28"/>
        </w:rPr>
        <w:t>随着分布式新能源持续接入，110 kV电网既承担负荷供电，又承担新能源汇集以及上下级电网之间的双向功率交换。典型片区可能在光伏高出力时段出现反向潮流，而在晚峰仍承担较高正向供电负荷。正向峰值与反向功率通常不在同一时刻出现，仅依靠单一容载比数值，难以完整描述主变扩建、储能配置、局部网络支撑与新能源接入之间的关系[1-4]。</w:t>
      </w:r>
    </w:p>
    <w:p>
      <w:pPr>
        <w:spacing w:before="0" w:after="0" w:line="560" w:lineRule="exact"/>
        <w:jc w:val="both"/>
        <w:ind w:firstLineChars="200" w:firstLine="200"/>
      </w:pPr>
      <w:r>
        <w:rPr>
          <w:rFonts w:ascii="Times New Roman" w:hAnsi="Times New Roman" w:eastAsia="仿宋_GB2312"/>
          <w:b w:val="0"/>
          <w:sz w:val="28"/>
        </w:rPr>
        <w:t>传统容载比以变电容量与同期正向最大供电负荷之比衡量供电能力，物理含义清晰，是电网规划的重要宏观指标。高比例分布式新能源条件下，如果把统一容载比控制值直接理解为所有既有容量和新增容量的刚性上限，容易产生两类偏差：一是既有设备容量高于控制值时被误解为需要退役或拆除；二是控制值过紧时，合理新增变电容量受到限制，规划方案被迫更多依赖储能承担局部功率调节，进而改变规划期成本与工程措施组合。</w:t>
      </w:r>
    </w:p>
    <w:p>
      <w:pPr>
        <w:spacing w:before="0" w:after="0" w:line="560" w:lineRule="exact"/>
        <w:jc w:val="both"/>
        <w:ind w:firstLineChars="200" w:firstLine="200"/>
      </w:pPr>
      <w:r>
        <w:rPr>
          <w:rFonts w:ascii="Times New Roman" w:hAnsi="Times New Roman" w:eastAsia="仿宋_GB2312"/>
          <w:b w:val="0"/>
          <w:sz w:val="28"/>
        </w:rPr>
        <w:t>本研究保留传统容载比的物理定义，将弹性容载比控制值定位为规划期新增变电容量的控制参数。在真实资产共同起点下，通过正向容量、反向承载、储能时序和局部网络条件联合校核，识别容载比约束在不同片区中的作用类型、经济释放位置及工程适用边界。研究结果可为徐州新能源高渗透片区形成差异化规划策略、提高投资针对性和避免单一指标机械约束提供支撑。</w:t>
      </w:r>
    </w:p>
    <w:p>
      <w:pPr>
        <w:pStyle w:val="3"/>
        <w:pageBreakBefore w:val="0"/>
        <w:jc w:val="left"/>
      </w:pPr>
      <w:bookmarkStart w:id="3" w:name="_TocReport0003"/>
      <w:r>
        <w:rPr>
          <w:rFonts w:ascii="Times New Roman" w:hAnsi="Times New Roman" w:eastAsia="仿宋_GB2312"/>
          <w:b/>
          <w:sz w:val="28"/>
        </w:rPr>
        <w:t>1.2 研究范围与对象</w:t>
      </w:r>
      <w:bookmarkEnd w:id="3"/>
    </w:p>
    <w:p>
      <w:pPr>
        <w:spacing w:before="0" w:after="0" w:line="560" w:lineRule="exact"/>
        <w:jc w:val="both"/>
        <w:ind w:firstLineChars="200" w:firstLine="200"/>
      </w:pPr>
      <w:r>
        <w:rPr>
          <w:rFonts w:ascii="Times New Roman" w:hAnsi="Times New Roman" w:eastAsia="仿宋_GB2312"/>
          <w:b w:val="0"/>
          <w:sz w:val="28"/>
        </w:rPr>
        <w:t>研究对象为徐州地区8个110 kV典型片区，片区名称统一采用QX编号。规划期为2021—2025年，其中2021年实际在役变电容量作为各规划方案的共同资产起点，2022—2025年进行增量规划比较。研究重点包括110 kV变电容量、储能规模、实际物理容载比及规划期累计在役等年成本。</w:t>
      </w:r>
    </w:p>
    <w:p>
      <w:pPr>
        <w:spacing w:before="0" w:after="0" w:line="560" w:lineRule="exact"/>
        <w:jc w:val="both"/>
        <w:ind w:firstLineChars="200" w:firstLine="200"/>
      </w:pPr>
      <w:r>
        <w:rPr>
          <w:rFonts w:ascii="Times New Roman" w:hAnsi="Times New Roman" w:eastAsia="仿宋_GB2312"/>
          <w:b w:val="0"/>
          <w:sz w:val="28"/>
        </w:rPr>
        <w:t>10 kV资料用于识别局部馈线、变电站接入位置、容量缺口和互济条件，辅助解释110 kV片区规划响应，不作为完整交流潮流或精确电压安全计算。部分片区缺少完整阻抗、拓扑和同步源荷时序，因此报告对网络分析、可靠性和新能源消纳结论保持与现有数据能力一致的边界。</w:t>
      </w:r>
    </w:p>
    <w:p>
      <w:pPr>
        <w:pStyle w:val="3"/>
        <w:pageBreakBefore w:val="0"/>
        <w:jc w:val="left"/>
      </w:pPr>
      <w:bookmarkStart w:id="4" w:name="_TocReport0004"/>
      <w:r>
        <w:rPr>
          <w:rFonts w:ascii="Times New Roman" w:hAnsi="Times New Roman" w:eastAsia="仿宋_GB2312"/>
          <w:b/>
          <w:sz w:val="28"/>
        </w:rPr>
        <w:t>1.3 研究目标与内容</w:t>
      </w:r>
      <w:bookmarkEnd w:id="4"/>
    </w:p>
    <w:p>
      <w:pPr>
        <w:spacing w:before="0" w:after="0" w:line="560" w:lineRule="exact"/>
        <w:jc w:val="both"/>
        <w:ind w:firstLineChars="200" w:firstLine="200"/>
      </w:pPr>
      <w:r>
        <w:rPr>
          <w:rFonts w:ascii="Times New Roman" w:hAnsi="Times New Roman" w:eastAsia="仿宋_GB2312"/>
          <w:b w:val="0"/>
          <w:sz w:val="28"/>
        </w:rPr>
        <w:t>研究目标是在不改变既有资产的条件下，建立适用于高比例分布式新能源片区的弹性容载比分析方法，并形成可用于工程规划的“一片一策”建议。主要内容包括：</w:t>
      </w:r>
    </w:p>
    <w:p>
      <w:pPr>
        <w:spacing w:before="0" w:after="0" w:line="560" w:lineRule="exact"/>
        <w:jc w:val="both"/>
        <w:ind w:firstLineChars="200" w:firstLine="200"/>
      </w:pPr>
      <w:r>
        <w:rPr>
          <w:rFonts w:ascii="Times New Roman" w:hAnsi="Times New Roman" w:eastAsia="仿宋_GB2312"/>
          <w:b w:val="0"/>
          <w:sz w:val="28"/>
        </w:rPr>
        <w:t>（1）整理2021—2025年片区负荷、主变容量、反向潮流、线路负载及新能源装机等资料，分析典型片区多工况运行特征，建立“新能源渗透水平—电网运行状态”基础数据库。</w:t>
      </w:r>
    </w:p>
    <w:p>
      <w:pPr>
        <w:spacing w:before="0" w:after="0" w:line="560" w:lineRule="exact"/>
        <w:jc w:val="both"/>
        <w:ind w:firstLineChars="200" w:firstLine="200"/>
      </w:pPr>
      <w:r>
        <w:rPr>
          <w:rFonts w:ascii="Times New Roman" w:hAnsi="Times New Roman" w:eastAsia="仿宋_GB2312"/>
          <w:b w:val="0"/>
          <w:sz w:val="28"/>
        </w:rPr>
        <w:t>（2）建立以实际工程措施为基础的经济模型。不同寿命的变电扩建和储能投资采用等年值方法折算，并在共同资产起点上比较2022—2025年各年度在役措施形成的累计成本。</w:t>
      </w:r>
    </w:p>
    <w:p>
      <w:pPr>
        <w:spacing w:before="0" w:after="0" w:line="560" w:lineRule="exact"/>
        <w:jc w:val="both"/>
        <w:ind w:firstLineChars="200" w:firstLine="200"/>
      </w:pPr>
      <w:r>
        <w:rPr>
          <w:rFonts w:ascii="Times New Roman" w:hAnsi="Times New Roman" w:eastAsia="仿宋_GB2312"/>
          <w:b w:val="0"/>
          <w:sz w:val="28"/>
        </w:rPr>
        <w:t>（3）建立存量容量豁免条件下的弹性容载比规划约束。实际物理容载比与规划控制值分开定义，反向潮流不并入传统容载比分母，而通过独立指标和设备约束处理。</w:t>
      </w:r>
    </w:p>
    <w:p>
      <w:pPr>
        <w:spacing w:before="0" w:after="0" w:line="560" w:lineRule="exact"/>
        <w:jc w:val="both"/>
        <w:ind w:firstLineChars="200" w:firstLine="200"/>
      </w:pPr>
      <w:r>
        <w:rPr>
          <w:rFonts w:ascii="Times New Roman" w:hAnsi="Times New Roman" w:eastAsia="仿宋_GB2312"/>
          <w:b w:val="0"/>
          <w:sz w:val="28"/>
        </w:rPr>
        <w:t>（4）开展Rcap控制值扫描、局部阈值细化及多参数敏感性分析，识别经济释放阈值、稳健近优下限、非主导约束和技术约束优先等不同规划响应。</w:t>
      </w:r>
    </w:p>
    <w:p>
      <w:pPr>
        <w:spacing w:before="0" w:after="0" w:line="560" w:lineRule="exact"/>
        <w:jc w:val="both"/>
        <w:ind w:firstLineChars="200" w:firstLine="200"/>
      </w:pPr>
      <w:r>
        <w:rPr>
          <w:rFonts w:ascii="Times New Roman" w:hAnsi="Times New Roman" w:eastAsia="仿宋_GB2312"/>
          <w:b w:val="0"/>
          <w:sz w:val="28"/>
        </w:rPr>
        <w:t>（5）结合现状源荷规模、局部反向潮流、线路统计负载余度和负荷增长特征形成典型片区参考矩阵，并通过典型案例复盘验证方法的工程解释能力。</w:t>
      </w:r>
    </w:p>
    <w:p>
      <w:pPr>
        <w:spacing w:before="0" w:after="0" w:line="560" w:lineRule="exact"/>
        <w:jc w:val="both"/>
        <w:ind w:firstLineChars="200" w:firstLine="200"/>
      </w:pPr>
      <w:r>
        <w:rPr>
          <w:rFonts w:ascii="Times New Roman" w:hAnsi="Times New Roman" w:eastAsia="仿宋_GB2312"/>
          <w:b w:val="0"/>
          <w:sz w:val="28"/>
        </w:rPr>
        <w:t>按照开题报告确定的研究框架，本研究报告严格分为七章：第一章绪论；第二章文献综述与理论基础；第三章徐州典型地区“新能源—电网”运行特征分析；第四章基于实际工程的电网建设成本模型；第五章“一片一策”弹性容载比规划建议；第六章典型案例验证；第七章结论与展望。</w:t>
      </w:r>
    </w:p>
    <w:p>
      <w:pPr>
        <w:pStyle w:val="3"/>
        <w:pageBreakBefore w:val="0"/>
        <w:jc w:val="left"/>
      </w:pPr>
      <w:bookmarkStart w:id="5" w:name="_TocReport0005"/>
      <w:r>
        <w:rPr>
          <w:rFonts w:ascii="Times New Roman" w:hAnsi="Times New Roman" w:eastAsia="仿宋_GB2312"/>
          <w:b/>
          <w:sz w:val="28"/>
        </w:rPr>
        <w:t>1.4 研究方法与技术路线</w:t>
      </w:r>
      <w:bookmarkEnd w:id="5"/>
    </w:p>
    <w:p>
      <w:pPr>
        <w:spacing w:before="0" w:after="0" w:line="560" w:lineRule="exact"/>
        <w:jc w:val="both"/>
        <w:ind w:firstLineChars="200" w:firstLine="200"/>
      </w:pPr>
      <w:r>
        <w:rPr>
          <w:rFonts w:ascii="Times New Roman" w:hAnsi="Times New Roman" w:eastAsia="仿宋_GB2312"/>
          <w:b w:val="0"/>
          <w:sz w:val="28"/>
        </w:rPr>
        <w:t>本研究综合采用规范分析、数据标准化、同步时序统计、物理约束校核、多年度路径优化、工程经济评价、敏感性分析和案例验证等方法。技术路线遵循“数据可追溯—运行特征识别—工程措施建模—规划方案优化—差异化建议—案例验证”的逻辑。</w:t>
      </w:r>
    </w:p>
    <w:p>
      <w:pPr>
        <w:pStyle w:val="38"/>
        <w:jc w:val="center"/>
        <w:ind w:firstLine="0" w:firstLineChars="0"/>
      </w:pPr>
      <w:r>
        <w:drawing>
          <wp:inline xmlns:a="http://schemas.openxmlformats.org/drawingml/2006/main" xmlns:pic="http://schemas.openxmlformats.org/drawingml/2006/picture">
            <wp:extent cx="4968000" cy="5313726"/>
            <wp:docPr id="1" name="Picture 1"/>
            <wp:cNvGraphicFramePr>
              <a:graphicFrameLocks noChangeAspect="1"/>
            </wp:cNvGraphicFramePr>
            <a:graphic>
              <a:graphicData uri="http://schemas.openxmlformats.org/drawingml/2006/picture">
                <pic:pic>
                  <pic:nvPicPr>
                    <pic:cNvPr id="0" name="图1-1_研究技术路线.png"/>
                    <pic:cNvPicPr/>
                  </pic:nvPicPr>
                  <pic:blipFill>
                    <a:blip r:embed="rId13"/>
                    <a:stretch>
                      <a:fillRect/>
                    </a:stretch>
                  </pic:blipFill>
                  <pic:spPr>
                    <a:xfrm>
                      <a:off x="0" y="0"/>
                      <a:ext cx="4968000" cy="5313726"/>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1-1 研究技术路线</w:t>
      </w:r>
    </w:p>
    <w:p>
      <w:pPr>
        <w:spacing w:before="0" w:after="0" w:line="560" w:lineRule="exact"/>
        <w:jc w:val="both"/>
        <w:ind w:firstLineChars="200" w:firstLine="200"/>
      </w:pPr>
      <w:r>
        <w:rPr>
          <w:rFonts w:ascii="Times New Roman" w:hAnsi="Times New Roman" w:eastAsia="仿宋_GB2312"/>
          <w:b w:val="0"/>
          <w:sz w:val="28"/>
        </w:rPr>
        <w:t>图1-1所示技术路线首先建立真实数据基础并识别片区运行特征，其后比较刚性与弹性规划场景。技术可行性校核先于容载比数值推荐，避免使用单一比例参数替代设备容量、接入位置、储能接入条件和局部互济能力等工程约束。</w:t>
      </w:r>
    </w:p>
    <w:p>
      <w:pPr>
        <w:pStyle w:val="2"/>
        <w:pageBreakBefore/>
        <w:jc w:val="left"/>
      </w:pPr>
      <w:bookmarkStart w:id="6" w:name="_TocReport0006"/>
      <w:r>
        <w:rPr>
          <w:rFonts w:ascii="Times New Roman" w:hAnsi="Times New Roman" w:eastAsia="仿宋_GB2312"/>
          <w:b/>
          <w:sz w:val="36"/>
        </w:rPr>
        <w:t>第二章 文献综述与理论基础</w:t>
      </w:r>
      <w:bookmarkEnd w:id="6"/>
    </w:p>
    <w:p>
      <w:pPr>
        <w:pStyle w:val="3"/>
        <w:pageBreakBefore w:val="0"/>
        <w:jc w:val="left"/>
      </w:pPr>
      <w:bookmarkStart w:id="7" w:name="_TocReport0007"/>
      <w:r>
        <w:rPr>
          <w:rFonts w:ascii="Times New Roman" w:hAnsi="Times New Roman" w:eastAsia="仿宋_GB2312"/>
          <w:b/>
          <w:sz w:val="28"/>
        </w:rPr>
        <w:t>2.1 国内外研究现状</w:t>
      </w:r>
      <w:bookmarkEnd w:id="7"/>
    </w:p>
    <w:p>
      <w:pPr>
        <w:spacing w:before="0" w:after="0" w:line="560" w:lineRule="exact"/>
        <w:jc w:val="both"/>
        <w:ind w:firstLineChars="200" w:firstLine="200"/>
      </w:pPr>
      <w:r>
        <w:rPr>
          <w:rFonts w:ascii="Times New Roman" w:hAnsi="Times New Roman" w:eastAsia="仿宋_GB2312"/>
          <w:b w:val="0"/>
          <w:sz w:val="28"/>
        </w:rPr>
        <w:t>现行电网规划标准仍以供电能力、负荷增长和设备利用效率为重要基础，容载比具有明确的规划统计意义。国内关于多电压等级电网容载比、精细化规划参数和主配协同规划的研究表明，容载比适合进行区域容量水平评价，但其推荐范围需要结合网络结构、供电可靠性和规划颗粒度解释[5-6,13-16]。</w:t>
      </w:r>
    </w:p>
    <w:p>
      <w:pPr>
        <w:spacing w:before="0" w:after="0" w:line="560" w:lineRule="exact"/>
        <w:jc w:val="both"/>
        <w:ind w:firstLineChars="200" w:firstLine="200"/>
      </w:pPr>
      <w:r>
        <w:rPr>
          <w:rFonts w:ascii="Times New Roman" w:hAnsi="Times New Roman" w:eastAsia="仿宋_GB2312"/>
          <w:b w:val="0"/>
          <w:sz w:val="28"/>
        </w:rPr>
        <w:t>随着分布式光伏渗透率提高，新能源承载力研究逐渐从静态装机比例扩展到源荷不确定性、时序潮流和主动管理。相关研究表明，反向潮流、局部接入位置和源荷同步性会显著影响可承载水平，单纯以新能源装机占负荷比例不能替代网络约束分析[7-10,17,19]。</w:t>
      </w:r>
    </w:p>
    <w:p>
      <w:pPr>
        <w:spacing w:before="0" w:after="0" w:line="560" w:lineRule="exact"/>
        <w:jc w:val="both"/>
        <w:ind w:firstLineChars="200" w:firstLine="200"/>
      </w:pPr>
      <w:r>
        <w:rPr>
          <w:rFonts w:ascii="Times New Roman" w:hAnsi="Times New Roman" w:eastAsia="仿宋_GB2312"/>
          <w:b w:val="0"/>
          <w:sz w:val="28"/>
        </w:rPr>
        <w:t>储能与柔性资源能够缓解局部反向送电或推迟网络扩建，但其经济效果取决于负荷增长、持续时间、设备成本和网络约束。现有研究已经形成源—网—储协调规划和储能延缓扩建等方法，但针对地方110 kV片区、真实存量资产、多年度工程措施及弹性容载比联合决策的实证仍相对有限[11-12,18,20]。</w:t>
      </w:r>
    </w:p>
    <w:p>
      <w:pPr>
        <w:spacing w:before="0" w:after="0" w:line="560" w:lineRule="exact"/>
        <w:jc w:val="both"/>
        <w:ind w:firstLineChars="200" w:firstLine="200"/>
      </w:pPr>
      <w:r>
        <w:rPr>
          <w:rFonts w:ascii="Times New Roman" w:hAnsi="Times New Roman" w:eastAsia="仿宋_GB2312"/>
          <w:b w:val="0"/>
          <w:sz w:val="28"/>
        </w:rPr>
        <w:t>本项目因此不重新定义传统容载比的物理分母，而是在真实资产共同起点下区分“物理结果指标”和“规划控制参数”，并把反向承载、储能和网络技术条件作为独立约束纳入工程规划比较。</w:t>
      </w:r>
    </w:p>
    <w:p>
      <w:pPr>
        <w:pStyle w:val="3"/>
        <w:pageBreakBefore w:val="0"/>
        <w:jc w:val="left"/>
      </w:pPr>
      <w:bookmarkStart w:id="8" w:name="_TocReport0008"/>
      <w:r>
        <w:rPr>
          <w:rFonts w:ascii="Times New Roman" w:hAnsi="Times New Roman" w:eastAsia="仿宋_GB2312"/>
          <w:b/>
          <w:sz w:val="28"/>
        </w:rPr>
        <w:t>2.2 核心概念与理论基础</w:t>
      </w:r>
      <w:bookmarkEnd w:id="8"/>
    </w:p>
    <w:p>
      <w:pPr>
        <w:spacing w:before="0" w:after="0" w:line="560" w:lineRule="exact"/>
        <w:jc w:val="both"/>
        <w:ind w:firstLineChars="200" w:firstLine="200"/>
      </w:pPr>
      <w:r>
        <w:rPr>
          <w:rFonts w:ascii="Times New Roman" w:hAnsi="Times New Roman" w:eastAsia="仿宋_GB2312"/>
          <w:b w:val="0"/>
          <w:sz w:val="28"/>
        </w:rPr>
        <w:t>第y年实际物理容载比定义为该规划路径下变电总容量与同期正向年最大供电负荷之比：</w:t>
      </w:r>
    </w:p>
    <w:p>
      <w:pPr>
        <w:keepLines/>
        <w:jc w:val="left"/>
        <w:ind w:firstLine="0" w:firstLineChars="0"/>
        <w:spacing w:line="440" w:lineRule="exact"/>
        <w:tabs>
          <w:tab w:val="center" w:pos="4100"/>
          <w:tab w:val="right" w:pos="8200"/>
        </w:tabs>
      </w:pPr>
      <w:r>
        <w:tab/>
      </w:r>
      <m:oMath>
        <m:sSub>
          <m:e>
            <m:r>
              <m:t>R</m:t>
            </m:r>
          </m:e>
          <m:sub>
            <m:r>
              <m:rPr>
                <m:sty m:val="p"/>
              </m:rPr>
              <m:t>C</m:t>
            </m:r>
            <m:r>
              <m:rPr>
                <m:sty m:val="p"/>
              </m:rPr>
              <m:t>L</m:t>
            </m:r>
            <m:r>
              <m:rPr>
                <m:sty m:val="p"/>
              </m:rPr>
              <m:t>R</m:t>
            </m:r>
            <m:r>
              <m:rPr>
                <m:sty m:val="p"/>
              </m:rPr>
              <m:t>,</m:t>
            </m:r>
            <m:r>
              <m:t>y</m:t>
            </m:r>
          </m:sub>
        </m:sSub>
        <m:r>
          <m:rPr>
            <m:sty m:val="p"/>
          </m:rPr>
          <m:t>=</m:t>
        </m:r>
        <m:f>
          <m:fPr>
            <m:type m:val="bar"/>
          </m:fPr>
          <m:num>
            <m:sSub>
              <m:e>
                <m:r>
                  <m:t>S</m:t>
                </m:r>
              </m:e>
              <m:sub>
                <m:r>
                  <m:t>y</m:t>
                </m:r>
              </m:sub>
            </m:sSub>
          </m:num>
          <m:den>
            <m:sSubSup>
              <m:e>
                <m:r>
                  <m:t>P</m:t>
                </m:r>
              </m:e>
              <m:sub>
                <m:r>
                  <m:t>y</m:t>
                </m:r>
              </m:sub>
              <m:sup>
                <m:r>
                  <m:rPr>
                    <m:sty m:val="p"/>
                  </m:rPr>
                  <m:t>+</m:t>
                </m:r>
              </m:sup>
            </m:sSubSup>
          </m:den>
        </m:f>
      </m:oMath>
      <w:r>
        <w:rPr>
          <w:rFonts w:ascii="Times New Roman" w:hAnsi="Times New Roman" w:eastAsia="仿宋_GB2312"/>
          <w:b w:val="0"/>
          <w:sz w:val="28"/>
        </w:rPr>
        <w:tab/>
        <w:t>（2-1）</w:t>
      </w:r>
    </w:p>
    <w:p>
      <w:pPr>
        <w:spacing w:before="0" w:after="0" w:line="560" w:lineRule="exact"/>
        <w:jc w:val="both"/>
        <w:ind w:firstLineChars="200" w:firstLine="200"/>
      </w:pPr>
      <w:r>
        <w:rPr>
          <w:rFonts w:ascii="Times New Roman" w:hAnsi="Times New Roman" w:eastAsia="仿宋_GB2312"/>
          <w:b w:val="0"/>
          <w:sz w:val="28"/>
        </w:rPr>
        <w:t>其中，正向年最大供电负荷根据规划路径内净负荷重新计算：</w:t>
      </w:r>
    </w:p>
    <w:p>
      <w:pPr>
        <w:keepLines/>
        <w:jc w:val="left"/>
        <w:ind w:firstLine="0" w:firstLineChars="0"/>
        <w:spacing w:line="440" w:lineRule="exact"/>
        <w:tabs>
          <w:tab w:val="center" w:pos="4100"/>
          <w:tab w:val="right" w:pos="8200"/>
        </w:tabs>
      </w:pPr>
      <w:r>
        <w:tab/>
      </w:r>
      <m:oMath>
        <m:sSubSup>
          <m:e>
            <m:r>
              <m:t>P</m:t>
            </m:r>
          </m:e>
          <m:sub>
            <m:r>
              <m:t>y</m:t>
            </m:r>
          </m:sub>
          <m:sup>
            <m:r>
              <m:rPr>
                <m:sty m:val="p"/>
              </m:rPr>
              <m:t>+</m:t>
            </m:r>
          </m:sup>
        </m:sSubSup>
        <m:r>
          <m:rPr>
            <m:sty m:val="p"/>
          </m:rPr>
          <m:t>=</m:t>
        </m:r>
        <m:limLow>
          <m:e>
            <m:r>
              <m:rPr>
                <m:sty m:val="p"/>
              </m:rPr>
              <m:t>max</m:t>
            </m:r>
          </m:e>
          <m:lim>
            <m:r>
              <m:t>t</m:t>
            </m:r>
          </m:lim>
        </m:limLow>
        <m:d>
          <m:dPr>
            <m:begChr m:val="{"/>
            <m:endChr m:val="}"/>
            <m:sepChr m:val=""/>
            <m:grow/>
          </m:dPr>
          <m:e>
            <m:r>
              <m:rPr>
                <m:sty m:val="p"/>
              </m:rPr>
              <m:t>max</m:t>
            </m:r>
            <m:d>
              <m:dPr>
                <m:begChr m:val="["/>
                <m:endChr m:val="]"/>
                <m:sepChr m:val=""/>
                <m:grow/>
              </m:dPr>
              <m:e>
                <m:nary>
                  <m:naryPr>
                    <m:chr m:val="∑"/>
                    <m:limLoc m:val="undOvr"/>
                    <m:subHide m:val="off"/>
                    <m:supHide m:val="on"/>
                  </m:naryPr>
                  <m:sub>
                    <m:r>
                      <m:t>i</m:t>
                    </m:r>
                  </m:sub>
                  <m:sup>
                    <m:r>
                      <m:t>​</m:t>
                    </m:r>
                  </m:sup>
                  <m:e>
                    <m:d>
                      <m:dPr>
                        <m:begChr m:val="("/>
                        <m:endChr m:val=")"/>
                        <m:sepChr m:val=""/>
                        <m:grow/>
                      </m:dPr>
                      <m:e>
                        <m:sSub>
                          <m:e>
                            <m:r>
                              <m:t>P</m:t>
                            </m:r>
                          </m:e>
                          <m:sub>
                            <m:r>
                              <m:rPr>
                                <m:sty m:val="p"/>
                              </m:rPr>
                              <m:t>a</m:t>
                            </m:r>
                            <m:r>
                              <m:rPr>
                                <m:sty m:val="p"/>
                              </m:rPr>
                              <m:t>c</m:t>
                            </m:r>
                            <m:r>
                              <m:rPr>
                                <m:sty m:val="p"/>
                              </m:rPr>
                              <m:t>t</m:t>
                            </m:r>
                            <m:r>
                              <m:rPr>
                                <m:sty m:val="p"/>
                              </m:rPr>
                              <m:t>u</m:t>
                            </m:r>
                            <m:r>
                              <m:rPr>
                                <m:sty m:val="p"/>
                              </m:rPr>
                              <m:t>a</m:t>
                            </m:r>
                            <m:r>
                              <m:rPr>
                                <m:sty m:val="p"/>
                              </m:rPr>
                              <m:t>l</m:t>
                            </m:r>
                            <m:r>
                              <m:rPr>
                                <m:sty m:val="p"/>
                              </m:rPr>
                              <m:t>,</m:t>
                            </m:r>
                            <m:r>
                              <m:t>i</m:t>
                            </m:r>
                            <m:r>
                              <m:rPr>
                                <m:sty m:val="p"/>
                              </m:rPr>
                              <m:t>,</m:t>
                            </m:r>
                            <m:r>
                              <m:t>t</m:t>
                            </m:r>
                          </m:sub>
                        </m:sSub>
                        <m:r>
                          <m:rPr>
                            <m:sty m:val="p"/>
                          </m:rPr>
                          <m:t>+</m:t>
                        </m:r>
                        <m:sSub>
                          <m:e>
                            <m:r>
                              <m:t>P</m:t>
                            </m:r>
                          </m:e>
                          <m:sub>
                            <m:r>
                              <m:rPr>
                                <m:sty m:val="p"/>
                              </m:rPr>
                              <m:t>c</m:t>
                            </m:r>
                            <m:r>
                              <m:rPr>
                                <m:sty m:val="p"/>
                              </m:rPr>
                              <m:t>,</m:t>
                            </m:r>
                            <m:r>
                              <m:t>i</m:t>
                            </m:r>
                            <m:r>
                              <m:rPr>
                                <m:sty m:val="p"/>
                              </m:rPr>
                              <m:t>,</m:t>
                            </m:r>
                            <m:r>
                              <m:t>t</m:t>
                            </m:r>
                          </m:sub>
                        </m:sSub>
                        <m:r>
                          <m:rPr>
                            <m:sty m:val="p"/>
                          </m:rPr>
                          <m:t>−</m:t>
                        </m:r>
                        <m:sSub>
                          <m:e>
                            <m:r>
                              <m:t>P</m:t>
                            </m:r>
                          </m:e>
                          <m:sub>
                            <m:r>
                              <m:rPr>
                                <m:sty m:val="p"/>
                              </m:rPr>
                              <m:t>d</m:t>
                            </m:r>
                            <m:r>
                              <m:rPr>
                                <m:sty m:val="p"/>
                              </m:rPr>
                              <m:t>,</m:t>
                            </m:r>
                            <m:r>
                              <m:t>i</m:t>
                            </m:r>
                            <m:r>
                              <m:rPr>
                                <m:sty m:val="p"/>
                              </m:rPr>
                              <m:t>,</m:t>
                            </m:r>
                            <m:r>
                              <m:t>t</m:t>
                            </m:r>
                          </m:sub>
                        </m:sSub>
                        <m:r>
                          <m:rPr>
                            <m:sty m:val="p"/>
                          </m:rPr>
                          <m:t>+</m:t>
                        </m:r>
                        <m:sSub>
                          <m:e>
                            <m:r>
                              <m:t>P</m:t>
                            </m:r>
                          </m:e>
                          <m:sub>
                            <m:r>
                              <m:rPr>
                                <m:sty m:val="p"/>
                              </m:rPr>
                              <m:t>t</m:t>
                            </m:r>
                            <m:r>
                              <m:rPr>
                                <m:sty m:val="p"/>
                              </m:rPr>
                              <m:t>i</m:t>
                            </m:r>
                            <m:r>
                              <m:rPr>
                                <m:sty m:val="p"/>
                              </m:rPr>
                              <m:t>e</m:t>
                            </m:r>
                            <m:r>
                              <m:rPr>
                                <m:sty m:val="p"/>
                              </m:rPr>
                              <m:t>,</m:t>
                            </m:r>
                            <m:r>
                              <m:t>i</m:t>
                            </m:r>
                            <m:r>
                              <m:rPr>
                                <m:sty m:val="p"/>
                              </m:rPr>
                              <m:t>,</m:t>
                            </m:r>
                            <m:r>
                              <m:t>t</m:t>
                            </m:r>
                          </m:sub>
                        </m:sSub>
                      </m:e>
                    </m:d>
                  </m:e>
                </m:nary>
                <m:r>
                  <m:rPr>
                    <m:sty m:val="p"/>
                  </m:rPr>
                  <m:t>,</m:t>
                </m:r>
                <m:r>
                  <m:t>0</m:t>
                </m:r>
              </m:e>
            </m:d>
          </m:e>
        </m:d>
      </m:oMath>
      <w:r>
        <w:rPr>
          <w:rFonts w:ascii="Times New Roman" w:hAnsi="Times New Roman" w:eastAsia="仿宋_GB2312"/>
          <w:b w:val="0"/>
          <w:sz w:val="28"/>
        </w:rPr>
        <w:tab/>
        <w:t>（2-2）</w:t>
      </w:r>
    </w:p>
    <w:p>
      <w:pPr>
        <w:spacing w:before="0" w:after="0" w:line="560" w:lineRule="exact"/>
        <w:jc w:val="both"/>
        <w:ind w:firstLineChars="200" w:firstLine="200"/>
      </w:pPr>
      <w:r>
        <w:rPr>
          <w:rFonts w:ascii="Times New Roman" w:hAnsi="Times New Roman" w:eastAsia="仿宋_GB2312"/>
          <w:b w:val="0"/>
          <w:sz w:val="28"/>
        </w:rPr>
        <w:t>反向潮流不进入容载比分母，而作为独立指标和设备约束处理。由此，实际物理容载比是规划结果指标，不等同于限制新增容量的Rcap。</w:t>
      </w:r>
    </w:p>
    <w:p>
      <w:pPr>
        <w:spacing w:before="0" w:after="0" w:line="560" w:lineRule="exact"/>
        <w:jc w:val="both"/>
        <w:ind w:firstLineChars="200" w:firstLine="200"/>
      </w:pPr>
      <w:r>
        <w:rPr>
          <w:rFonts w:ascii="Times New Roman" w:hAnsi="Times New Roman" w:eastAsia="仿宋_GB2312"/>
          <w:b w:val="0"/>
          <w:sz w:val="28"/>
        </w:rPr>
        <w:t>各规划方案均以2021年实际在役变电容量为共同起点。存量资产不因控制值变化假设拆除或退役，Rcap只约束规划期新增容量：</w:t>
      </w:r>
    </w:p>
    <w:p>
      <w:pPr>
        <w:keepLines/>
        <w:jc w:val="left"/>
        <w:ind w:firstLine="0" w:firstLineChars="0"/>
        <w:spacing w:line="440" w:lineRule="exact"/>
        <w:tabs>
          <w:tab w:val="center" w:pos="4100"/>
          <w:tab w:val="right" w:pos="8200"/>
        </w:tabs>
      </w:pPr>
      <w:r>
        <w:tab/>
      </w:r>
      <m:oMath>
        <m:r>
          <m:t>Δ</m:t>
        </m:r>
        <m:sSub>
          <m:e>
            <m:r>
              <m:t>S</m:t>
            </m:r>
          </m:e>
          <m:sub>
            <m:r>
              <m:t>y</m:t>
            </m:r>
          </m:sub>
        </m:sSub>
        <m:r>
          <m:rPr>
            <m:sty m:val="p"/>
          </m:rPr>
          <m:t>≤</m:t>
        </m:r>
        <m:r>
          <m:rPr>
            <m:sty m:val="p"/>
          </m:rPr>
          <m:t>max</m:t>
        </m:r>
        <m:d>
          <m:dPr>
            <m:begChr m:val="("/>
            <m:endChr m:val=")"/>
            <m:sepChr m:val=""/>
            <m:grow/>
          </m:dPr>
          <m:e>
            <m:sSub>
              <m:e>
                <m:r>
                  <m:t>R</m:t>
                </m:r>
              </m:e>
              <m:sub>
                <m:r>
                  <m:rPr>
                    <m:sty m:val="p"/>
                  </m:rPr>
                  <m:t>c</m:t>
                </m:r>
                <m:r>
                  <m:rPr>
                    <m:sty m:val="p"/>
                  </m:rPr>
                  <m:t>a</m:t>
                </m:r>
                <m:r>
                  <m:rPr>
                    <m:sty m:val="p"/>
                  </m:rPr>
                  <m:t>p</m:t>
                </m:r>
              </m:sub>
            </m:sSub>
            <m:sSubSup>
              <m:e>
                <m:r>
                  <m:t>P</m:t>
                </m:r>
              </m:e>
              <m:sub>
                <m:r>
                  <m:t>y</m:t>
                </m:r>
              </m:sub>
              <m:sup>
                <m:r>
                  <m:rPr>
                    <m:sty m:val="p"/>
                  </m:rPr>
                  <m:t>+</m:t>
                </m:r>
              </m:sup>
            </m:sSubSup>
            <m:r>
              <m:rPr>
                <m:sty m:val="p"/>
              </m:rPr>
              <m:t>−</m:t>
            </m:r>
            <m:sSub>
              <m:e>
                <m:r>
                  <m:t>S</m:t>
                </m:r>
              </m:e>
              <m:sub>
                <m:r>
                  <m:t>2021</m:t>
                </m:r>
              </m:sub>
            </m:sSub>
            <m:r>
              <m:rPr>
                <m:sty m:val="p"/>
              </m:rPr>
              <m:t>,</m:t>
            </m:r>
            <m:r>
              <m:t>0</m:t>
            </m:r>
          </m:e>
        </m:d>
      </m:oMath>
      <w:r>
        <w:rPr>
          <w:rFonts w:ascii="Times New Roman" w:hAnsi="Times New Roman" w:eastAsia="仿宋_GB2312"/>
          <w:b w:val="0"/>
          <w:sz w:val="28"/>
        </w:rPr>
        <w:tab/>
        <w:t>（2-3）</w:t>
      </w:r>
    </w:p>
    <w:p>
      <w:pPr>
        <w:spacing w:before="0" w:after="0" w:line="560" w:lineRule="exact"/>
        <w:jc w:val="both"/>
        <w:ind w:firstLineChars="200" w:firstLine="200"/>
      </w:pPr>
      <w:r>
        <w:rPr>
          <w:rFonts w:ascii="Times New Roman" w:hAnsi="Times New Roman" w:eastAsia="仿宋_GB2312"/>
          <w:b w:val="0"/>
          <w:sz w:val="28"/>
        </w:rPr>
        <w:t>当既有容量已经高于控制值对应容量时，右端取零，表示该控制值下不允许继续新增容量，而不是要求削减既有容量。因此，存量容量豁免条件下，实际物理容载比高于规划控制值并不必然构成约束违反。</w:t>
      </w:r>
    </w:p>
    <w:p>
      <w:pPr>
        <w:pStyle w:val="38"/>
        <w:jc w:val="center"/>
        <w:ind w:firstLine="0" w:firstLineChars="0"/>
      </w:pPr>
      <w:r>
        <w:drawing>
          <wp:inline xmlns:a="http://schemas.openxmlformats.org/drawingml/2006/main" xmlns:pic="http://schemas.openxmlformats.org/drawingml/2006/picture">
            <wp:extent cx="4968000" cy="3157512"/>
            <wp:docPr id="2" name="Picture 2"/>
            <wp:cNvGraphicFramePr>
              <a:graphicFrameLocks noChangeAspect="1"/>
            </wp:cNvGraphicFramePr>
            <a:graphic>
              <a:graphicData uri="http://schemas.openxmlformats.org/drawingml/2006/picture">
                <pic:pic>
                  <pic:nvPicPr>
                    <pic:cNvPr id="0" name="图3-1_物理容载比与规划控制值.png"/>
                    <pic:cNvPicPr/>
                  </pic:nvPicPr>
                  <pic:blipFill>
                    <a:blip r:embed="rId14"/>
                    <a:stretch>
                      <a:fillRect/>
                    </a:stretch>
                  </pic:blipFill>
                  <pic:spPr>
                    <a:xfrm>
                      <a:off x="0" y="0"/>
                      <a:ext cx="4968000" cy="3157512"/>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2-1 实际物理容载比与规划控制值的关系</w:t>
      </w:r>
    </w:p>
    <w:p>
      <w:pPr>
        <w:spacing w:before="0" w:after="0" w:line="560" w:lineRule="exact"/>
        <w:jc w:val="both"/>
        <w:ind w:firstLineChars="200" w:firstLine="200"/>
      </w:pPr>
      <w:r>
        <w:rPr>
          <w:rFonts w:ascii="Times New Roman" w:hAnsi="Times New Roman" w:eastAsia="仿宋_GB2312"/>
          <w:b w:val="0"/>
          <w:sz w:val="28"/>
        </w:rPr>
        <w:t>图2-1说明了实际物理容载比与Rcap规划控制值的概念边界：前者是结果指标，后者只约束规划期新增容量。</w:t>
      </w:r>
    </w:p>
    <w:p>
      <w:pPr>
        <w:spacing w:before="0" w:after="0" w:line="560" w:lineRule="exact"/>
        <w:jc w:val="both"/>
        <w:ind w:firstLineChars="200" w:firstLine="200"/>
      </w:pPr>
      <w:r>
        <w:rPr>
          <w:rFonts w:ascii="Times New Roman" w:hAnsi="Times New Roman" w:eastAsia="仿宋_GB2312"/>
          <w:b w:val="0"/>
          <w:sz w:val="28"/>
        </w:rPr>
        <w:t>储能按本地功率调节资源建模。单个模块额定功率0.1 MW、额定容量0.215 MWh，SOC运行范围10%～90%，基准充、放电效率均取0.95。储能充电只吸收本地反向或剩余功率，不通过充电使潮流跨越零点；放电只服务本地正向负荷，不因放电形成外送。能量状态满足：</w:t>
      </w:r>
    </w:p>
    <w:p>
      <w:pPr>
        <w:keepLines/>
        <w:jc w:val="left"/>
        <w:ind w:firstLine="0" w:firstLineChars="0"/>
        <w:spacing w:line="440" w:lineRule="exact"/>
        <w:tabs>
          <w:tab w:val="center" w:pos="4100"/>
          <w:tab w:val="right" w:pos="8200"/>
        </w:tabs>
      </w:pPr>
      <w:r>
        <w:tab/>
      </w:r>
      <m:oMath>
        <m:sSub>
          <m:e>
            <m:r>
              <m:t>E</m:t>
            </m:r>
          </m:e>
          <m:sub>
            <m:r>
              <m:t>t</m:t>
            </m:r>
          </m:sub>
        </m:sSub>
        <m:r>
          <m:rPr>
            <m:sty m:val="p"/>
          </m:rPr>
          <m:t>=</m:t>
        </m:r>
        <m:sSub>
          <m:e>
            <m:r>
              <m:t>E</m:t>
            </m:r>
          </m:e>
          <m:sub>
            <m:r>
              <m:t>t</m:t>
            </m:r>
            <m:r>
              <m:rPr>
                <m:sty m:val="p"/>
              </m:rPr>
              <m:t>−</m:t>
            </m:r>
            <m:r>
              <m:t>1</m:t>
            </m:r>
          </m:sub>
        </m:sSub>
        <m:r>
          <m:rPr>
            <m:sty m:val="p"/>
          </m:rPr>
          <m:t>+</m:t>
        </m:r>
        <m:sSub>
          <m:e>
            <m:r>
              <m:t>η</m:t>
            </m:r>
          </m:e>
          <m:sub>
            <m:r>
              <m:rPr>
                <m:sty m:val="p"/>
              </m:rPr>
              <m:t>c</m:t>
            </m:r>
          </m:sub>
        </m:sSub>
        <m:sSub>
          <m:e>
            <m:r>
              <m:t>P</m:t>
            </m:r>
          </m:e>
          <m:sub>
            <m:r>
              <m:rPr>
                <m:sty m:val="p"/>
              </m:rPr>
              <m:t>c</m:t>
            </m:r>
            <m:r>
              <m:rPr>
                <m:sty m:val="p"/>
              </m:rPr>
              <m:t>,</m:t>
            </m:r>
            <m:r>
              <m:t>t</m:t>
            </m:r>
          </m:sub>
        </m:sSub>
        <m:r>
          <m:t>Δ</m:t>
        </m:r>
        <m:r>
          <m:t>t</m:t>
        </m:r>
        <m:r>
          <m:rPr>
            <m:sty m:val="p"/>
          </m:rPr>
          <m:t>−</m:t>
        </m:r>
        <m:f>
          <m:fPr>
            <m:type m:val="bar"/>
          </m:fPr>
          <m:num>
            <m:sSub>
              <m:e>
                <m:r>
                  <m:t>P</m:t>
                </m:r>
              </m:e>
              <m:sub>
                <m:r>
                  <m:rPr>
                    <m:sty m:val="p"/>
                  </m:rPr>
                  <m:t>d</m:t>
                </m:r>
                <m:r>
                  <m:rPr>
                    <m:sty m:val="p"/>
                  </m:rPr>
                  <m:t>,</m:t>
                </m:r>
                <m:r>
                  <m:t>t</m:t>
                </m:r>
              </m:sub>
            </m:sSub>
            <m:r>
              <m:t>Δ</m:t>
            </m:r>
            <m:r>
              <m:t>t</m:t>
            </m:r>
          </m:num>
          <m:den>
            <m:sSub>
              <m:e>
                <m:r>
                  <m:t>η</m:t>
                </m:r>
              </m:e>
              <m:sub>
                <m:r>
                  <m:rPr>
                    <m:sty m:val="p"/>
                  </m:rPr>
                  <m:t>d</m:t>
                </m:r>
              </m:sub>
            </m:sSub>
          </m:den>
        </m:f>
      </m:oMath>
      <w:r>
        <w:rPr>
          <w:rFonts w:ascii="Times New Roman" w:hAnsi="Times New Roman" w:eastAsia="仿宋_GB2312"/>
          <w:b w:val="0"/>
          <w:sz w:val="28"/>
        </w:rPr>
        <w:tab/>
        <w:t>（2-4）</w:t>
      </w:r>
    </w:p>
    <w:p>
      <w:pPr>
        <w:keepLines/>
        <w:jc w:val="left"/>
        <w:ind w:firstLine="0" w:firstLineChars="0"/>
        <w:spacing w:line="440" w:lineRule="exact"/>
        <w:tabs>
          <w:tab w:val="center" w:pos="4100"/>
          <w:tab w:val="right" w:pos="8200"/>
        </w:tabs>
      </w:pPr>
      <w:r>
        <w:tab/>
      </w:r>
      <m:oMath>
        <m:r>
          <m:t>0.10</m:t>
        </m:r>
        <m:sSub>
          <m:e>
            <m:r>
              <m:t>E</m:t>
            </m:r>
          </m:e>
          <m:sub>
            <m:r>
              <m:rPr>
                <m:sty m:val="p"/>
              </m:rPr>
              <m:t>r</m:t>
            </m:r>
            <m:r>
              <m:rPr>
                <m:sty m:val="p"/>
              </m:rPr>
              <m:t>a</m:t>
            </m:r>
            <m:r>
              <m:rPr>
                <m:sty m:val="p"/>
              </m:rPr>
              <m:t>t</m:t>
            </m:r>
            <m:r>
              <m:rPr>
                <m:sty m:val="p"/>
              </m:rPr>
              <m:t>e</m:t>
            </m:r>
            <m:r>
              <m:rPr>
                <m:sty m:val="p"/>
              </m:rPr>
              <m:t>d</m:t>
            </m:r>
          </m:sub>
        </m:sSub>
        <m:r>
          <m:rPr>
            <m:sty m:val="p"/>
          </m:rPr>
          <m:t>≤</m:t>
        </m:r>
        <m:sSub>
          <m:e>
            <m:r>
              <m:t>E</m:t>
            </m:r>
          </m:e>
          <m:sub>
            <m:r>
              <m:t>t</m:t>
            </m:r>
          </m:sub>
        </m:sSub>
        <m:r>
          <m:rPr>
            <m:sty m:val="p"/>
          </m:rPr>
          <m:t>≤</m:t>
        </m:r>
        <m:r>
          <m:t>0.90</m:t>
        </m:r>
        <m:sSub>
          <m:e>
            <m:r>
              <m:t>E</m:t>
            </m:r>
          </m:e>
          <m:sub>
            <m:r>
              <m:rPr>
                <m:sty m:val="p"/>
              </m:rPr>
              <m:t>r</m:t>
            </m:r>
            <m:r>
              <m:rPr>
                <m:sty m:val="p"/>
              </m:rPr>
              <m:t>a</m:t>
            </m:r>
            <m:r>
              <m:rPr>
                <m:sty m:val="p"/>
              </m:rPr>
              <m:t>t</m:t>
            </m:r>
            <m:r>
              <m:rPr>
                <m:sty m:val="p"/>
              </m:rPr>
              <m:t>e</m:t>
            </m:r>
            <m:r>
              <m:rPr>
                <m:sty m:val="p"/>
              </m:rPr>
              <m:t>d</m:t>
            </m:r>
          </m:sub>
        </m:sSub>
      </m:oMath>
      <w:r>
        <w:rPr>
          <w:rFonts w:ascii="Times New Roman" w:hAnsi="Times New Roman" w:eastAsia="仿宋_GB2312"/>
          <w:b w:val="0"/>
          <w:sz w:val="28"/>
        </w:rPr>
        <w:tab/>
        <w:t>（2-5）</w:t>
      </w:r>
    </w:p>
    <w:p>
      <w:pPr>
        <w:spacing w:before="0" w:after="0" w:line="560" w:lineRule="exact"/>
        <w:jc w:val="both"/>
        <w:ind w:firstLineChars="200" w:firstLine="200"/>
      </w:pPr>
      <w:r>
        <w:rPr>
          <w:rFonts w:ascii="Times New Roman" w:hAnsi="Times New Roman" w:eastAsia="仿宋_GB2312"/>
          <w:b w:val="0"/>
          <w:sz w:val="28"/>
        </w:rPr>
        <w:t>QX-00005采用审批后的2025年8760小时连续时序，储能SOC按全年序列连续传递；其余片区采用静态真实数据与经验短、中、长持续时间场景进行可行性校核，因此不同片区的时序证据能力需区别解释。</w:t>
      </w:r>
    </w:p>
    <w:p>
      <w:pPr>
        <w:pStyle w:val="2"/>
        <w:pageBreakBefore/>
        <w:jc w:val="left"/>
      </w:pPr>
      <w:bookmarkStart w:id="9" w:name="_TocReport0009"/>
      <w:r>
        <w:rPr>
          <w:rFonts w:ascii="Times New Roman" w:hAnsi="Times New Roman" w:eastAsia="仿宋_GB2312"/>
          <w:b/>
          <w:sz w:val="36"/>
        </w:rPr>
        <w:t>第三章 徐州典型地区“新能源—电网”运行特征分析</w:t>
      </w:r>
      <w:bookmarkEnd w:id="9"/>
    </w:p>
    <w:p>
      <w:pPr>
        <w:pStyle w:val="3"/>
        <w:pageBreakBefore w:val="0"/>
        <w:jc w:val="left"/>
      </w:pPr>
      <w:bookmarkStart w:id="10" w:name="_TocReport0010"/>
      <w:r>
        <w:rPr>
          <w:rFonts w:ascii="Times New Roman" w:hAnsi="Times New Roman" w:eastAsia="仿宋_GB2312"/>
          <w:b/>
          <w:sz w:val="28"/>
        </w:rPr>
        <w:t>3.1 徐州新能源发展与电力负荷概况</w:t>
      </w:r>
      <w:bookmarkEnd w:id="10"/>
    </w:p>
    <w:p>
      <w:pPr>
        <w:spacing w:before="0" w:after="0" w:line="560" w:lineRule="exact"/>
        <w:jc w:val="both"/>
        <w:ind w:firstLineChars="200" w:firstLine="200"/>
      </w:pPr>
      <w:r>
        <w:rPr>
          <w:rFonts w:ascii="Times New Roman" w:hAnsi="Times New Roman" w:eastAsia="仿宋_GB2312"/>
          <w:b w:val="0"/>
          <w:sz w:val="28"/>
        </w:rPr>
        <w:t>研究使用2021—2025年片区正向最大供电负荷、2021年和2025年在役变电容量、变电站年度最大及最小净负荷、110 kV线路负载水平以及新能源装机资料。新能源采用现有2026年装机快照，用于与2025年最近完整年度负荷进行现状规模比较；该跨年度组合不解释为严格同期运行状态。主要数据及用途见表3-1。</w:t>
      </w:r>
    </w:p>
    <w:p>
      <w:pPr>
        <w:pStyle w:val="12"/>
        <w:keepNext/>
        <w:spacing w:before="120" w:after="60" w:line="400" w:lineRule="exact"/>
        <w:jc w:val="center"/>
        <w:ind w:firstLine="0" w:firstLineChars="0"/>
      </w:pPr>
      <w:r>
        <w:rPr>
          <w:rFonts w:ascii="Times New Roman" w:hAnsi="Times New Roman" w:eastAsia="仿宋_GB2312"/>
          <w:b w:val="0"/>
          <w:sz w:val="24"/>
        </w:rPr>
        <w:t>表 3-1 主要数据及用途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数据类别</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时间范围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主要用途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使用限制</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片区正向最大供电负荷</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容载比、负荷变化率、规划需求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年度峰值不反映全年同步波动</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在役变电容量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2021年、2025年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共同资产起点与容量核验</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按现有台账统计</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变电站年度净负荷极值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现有统计年度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局部反向潮流分析</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各站极值不一定同时发生</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110 kV线路负载水平</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现状资料</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线路统计负载余度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不等同完整AC/DC潮流结果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新能源装机快照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2026年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源荷规模横向比较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与2025年负荷不属于严格同期量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连续运行时序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连续SOC与时序可行性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目前QX-00005具备正式8760小时证据</w:t>
            </w:r>
          </w:p>
        </w:tc>
      </w:tr>
    </w:tbl>
    <w:p>
      <w:pPr>
        <w:spacing w:before="0" w:after="0" w:line="560" w:lineRule="exact"/>
        <w:jc w:val="both"/>
        <w:ind w:firstLineChars="200" w:firstLine="200"/>
      </w:pPr>
      <w:r>
        <w:rPr>
          <w:rFonts w:ascii="Times New Roman" w:hAnsi="Times New Roman" w:eastAsia="仿宋_GB2312"/>
          <w:b w:val="0"/>
          <w:sz w:val="28"/>
        </w:rPr>
        <w:t>8个典型片区在新能源规模、正向负荷、局部反向功率、线路负载和负荷变化方面差异明显。部分片区新能源装机已接近或超过近期正向峰值负荷，部分片区110 kV线路统计最大负载率超过100%，说明高渗透片区的规划问题具有明显空间差异。</w:t>
      </w:r>
    </w:p>
    <w:p>
      <w:pPr>
        <w:pStyle w:val="3"/>
        <w:pageBreakBefore w:val="0"/>
        <w:jc w:val="left"/>
      </w:pPr>
      <w:bookmarkStart w:id="11" w:name="_TocReport0011"/>
      <w:r>
        <w:rPr>
          <w:rFonts w:ascii="Times New Roman" w:hAnsi="Times New Roman" w:eastAsia="仿宋_GB2312"/>
          <w:b/>
          <w:sz w:val="28"/>
        </w:rPr>
        <w:t>3.2 主变负载率多工况统计分析</w:t>
      </w:r>
      <w:bookmarkEnd w:id="11"/>
    </w:p>
    <w:p>
      <w:pPr>
        <w:spacing w:before="0" w:after="0" w:line="560" w:lineRule="exact"/>
        <w:jc w:val="both"/>
        <w:ind w:firstLineChars="200" w:firstLine="200"/>
      </w:pPr>
      <w:r>
        <w:rPr>
          <w:rFonts w:ascii="Times New Roman" w:hAnsi="Times New Roman" w:eastAsia="仿宋_GB2312"/>
          <w:b w:val="0"/>
          <w:sz w:val="28"/>
        </w:rPr>
        <w:t>在正向供电、低负荷和反向送电等不同工况下，主变承担的功率方向和设备压力不同。年度最大正向净负荷用于描述传统供电峰值，年度最小净负荷小于零时，其绝对值用于描述站点统计年度内的最大反向潮流功率。除具有完整连续时序的QX-00005外，不将不同变电站在不同时刻发生的年度极值直接相加为片区同步反向峰值。</w:t>
      </w:r>
    </w:p>
    <w:p>
      <w:pPr>
        <w:spacing w:before="0" w:after="0" w:line="560" w:lineRule="exact"/>
        <w:jc w:val="both"/>
        <w:ind w:firstLineChars="200" w:firstLine="200"/>
      </w:pPr>
      <w:r>
        <w:rPr>
          <w:rFonts w:ascii="Times New Roman" w:hAnsi="Times New Roman" w:eastAsia="仿宋_GB2312"/>
          <w:b w:val="0"/>
          <w:sz w:val="28"/>
        </w:rPr>
        <w:t>线路负载同样只作为统计容量压力使用。当统计最大负载率接近或超过100%时，说明应进一步开展设备允许负载、运行方式和转供能力校核；该统计量不能直接解释为完整交流潮流中的电压或热稳定安全裕度。</w:t>
      </w:r>
    </w:p>
    <w:p>
      <w:pPr>
        <w:pStyle w:val="3"/>
        <w:pageBreakBefore w:val="0"/>
        <w:jc w:val="left"/>
      </w:pPr>
      <w:bookmarkStart w:id="12" w:name="_TocReport0012"/>
      <w:r>
        <w:rPr>
          <w:rFonts w:ascii="Times New Roman" w:hAnsi="Times New Roman" w:eastAsia="仿宋_GB2312"/>
          <w:b/>
          <w:sz w:val="28"/>
        </w:rPr>
        <w:t>3.3 源荷比、电量渗透率与容载比的关联规律</w:t>
      </w:r>
      <w:bookmarkEnd w:id="12"/>
    </w:p>
    <w:p>
      <w:pPr>
        <w:spacing w:before="0" w:after="0" w:line="560" w:lineRule="exact"/>
        <w:jc w:val="both"/>
        <w:ind w:firstLineChars="200" w:firstLine="200"/>
      </w:pPr>
      <w:r>
        <w:rPr>
          <w:rFonts w:ascii="Times New Roman" w:hAnsi="Times New Roman" w:eastAsia="仿宋_GB2312"/>
          <w:b w:val="0"/>
          <w:sz w:val="28"/>
        </w:rPr>
        <w:t>现有样本采用“最新新能源装机快照/最近完整年度正向最大负荷”构造现状源荷规模比：</w:t>
      </w:r>
    </w:p>
    <w:p>
      <w:pPr>
        <w:keepLines/>
        <w:jc w:val="left"/>
        <w:ind w:firstLine="0" w:firstLineChars="0"/>
        <w:spacing w:line="440" w:lineRule="exact"/>
        <w:tabs>
          <w:tab w:val="center" w:pos="4100"/>
          <w:tab w:val="right" w:pos="8200"/>
        </w:tabs>
      </w:pPr>
      <w:r>
        <w:tab/>
      </w:r>
      <m:oMath>
        <m:sSubSup>
          <m:e>
            <m:r>
              <m:t>R</m:t>
            </m:r>
          </m:e>
          <m:sub>
            <m:r>
              <m:rPr>
                <m:sty m:val="p"/>
              </m:rPr>
              <m:t>S</m:t>
            </m:r>
            <m:r>
              <m:rPr>
                <m:sty m:val="p"/>
              </m:rPr>
              <m:t>L</m:t>
            </m:r>
          </m:sub>
          <m:sup>
            <m:r>
              <m:rPr>
                <m:sty m:val="p"/>
              </m:rPr>
              <m:t>*</m:t>
            </m:r>
          </m:sup>
        </m:sSubSup>
        <m:r>
          <m:rPr>
            <m:sty m:val="p"/>
          </m:rPr>
          <m:t>=</m:t>
        </m:r>
        <m:f>
          <m:fPr>
            <m:type m:val="bar"/>
          </m:fPr>
          <m:num>
            <m:sSub>
              <m:e>
                <m:r>
                  <m:t>C</m:t>
                </m:r>
              </m:e>
              <m:sub>
                <m:r>
                  <m:rPr>
                    <m:sty m:val="p"/>
                  </m:rPr>
                  <m:t>R</m:t>
                </m:r>
                <m:r>
                  <m:rPr>
                    <m:sty m:val="p"/>
                  </m:rPr>
                  <m:t>E</m:t>
                </m:r>
                <m:r>
                  <m:rPr>
                    <m:sty m:val="p"/>
                  </m:rPr>
                  <m:t>,</m:t>
                </m:r>
                <m:r>
                  <m:rPr>
                    <m:sty m:val="p"/>
                  </m:rPr>
                  <m:t>s</m:t>
                </m:r>
                <m:r>
                  <m:rPr>
                    <m:sty m:val="p"/>
                  </m:rPr>
                  <m:t>n</m:t>
                </m:r>
                <m:r>
                  <m:rPr>
                    <m:sty m:val="p"/>
                  </m:rPr>
                  <m:t>a</m:t>
                </m:r>
                <m:r>
                  <m:rPr>
                    <m:sty m:val="p"/>
                  </m:rPr>
                  <m:t>p</m:t>
                </m:r>
              </m:sub>
            </m:sSub>
          </m:num>
          <m:den>
            <m:sSubSup>
              <m:e>
                <m:r>
                  <m:t>P</m:t>
                </m:r>
              </m:e>
              <m:sub>
                <m:r>
                  <m:rPr>
                    <m:sty m:val="p"/>
                  </m:rPr>
                  <m:t>l</m:t>
                </m:r>
                <m:r>
                  <m:rPr>
                    <m:sty m:val="p"/>
                  </m:rPr>
                  <m:t>o</m:t>
                </m:r>
                <m:r>
                  <m:rPr>
                    <m:sty m:val="p"/>
                  </m:rPr>
                  <m:t>a</m:t>
                </m:r>
                <m:r>
                  <m:rPr>
                    <m:sty m:val="p"/>
                  </m:rPr>
                  <m:t>d</m:t>
                </m:r>
                <m:r>
                  <m:rPr>
                    <m:sty m:val="p"/>
                  </m:rPr>
                  <m:t>,</m:t>
                </m:r>
                <m:r>
                  <m:rPr>
                    <m:sty m:val="p"/>
                  </m:rPr>
                  <m:t>m</m:t>
                </m:r>
                <m:r>
                  <m:rPr>
                    <m:sty m:val="p"/>
                  </m:rPr>
                  <m:t>a</m:t>
                </m:r>
                <m:r>
                  <m:rPr>
                    <m:sty m:val="p"/>
                  </m:rPr>
                  <m:t>x</m:t>
                </m:r>
                <m:r>
                  <m:rPr>
                    <m:sty m:val="p"/>
                  </m:rPr>
                  <m:t>,</m:t>
                </m:r>
                <m:r>
                  <m:rPr>
                    <m:sty m:val="p"/>
                  </m:rPr>
                  <m:t>b</m:t>
                </m:r>
                <m:r>
                  <m:rPr>
                    <m:sty m:val="p"/>
                  </m:rPr>
                  <m:t>a</m:t>
                </m:r>
                <m:r>
                  <m:rPr>
                    <m:sty m:val="p"/>
                  </m:rPr>
                  <m:t>s</m:t>
                </m:r>
                <m:r>
                  <m:rPr>
                    <m:sty m:val="p"/>
                  </m:rPr>
                  <m:t>e</m:t>
                </m:r>
              </m:sub>
              <m:sup>
                <m:r>
                  <m:rPr>
                    <m:sty m:val="p"/>
                  </m:rPr>
                  <m:t>+</m:t>
                </m:r>
              </m:sup>
            </m:sSubSup>
          </m:den>
        </m:f>
      </m:oMath>
      <w:r>
        <w:rPr>
          <w:rFonts w:ascii="Times New Roman" w:hAnsi="Times New Roman" w:eastAsia="仿宋_GB2312"/>
          <w:b w:val="0"/>
          <w:sz w:val="28"/>
        </w:rPr>
        <w:tab/>
        <w:t>（3-1）</w:t>
      </w:r>
    </w:p>
    <w:p>
      <w:pPr>
        <w:spacing w:before="0" w:after="0" w:line="560" w:lineRule="exact"/>
        <w:jc w:val="both"/>
        <w:ind w:firstLineChars="200" w:firstLine="200"/>
      </w:pPr>
      <w:r>
        <w:rPr>
          <w:rFonts w:ascii="Times New Roman" w:hAnsi="Times New Roman" w:eastAsia="仿宋_GB2312"/>
          <w:b w:val="0"/>
          <w:sz w:val="28"/>
        </w:rPr>
        <w:t>局部最大反向潮流比例定义为片区内各变电站年度最大反向潮流功率的最大值与片区正向最大负荷之比：</w:t>
      </w:r>
    </w:p>
    <w:p>
      <w:pPr>
        <w:keepLines/>
        <w:jc w:val="left"/>
        <w:ind w:firstLine="0" w:firstLineChars="0"/>
        <w:spacing w:line="440" w:lineRule="exact"/>
        <w:tabs>
          <w:tab w:val="center" w:pos="4100"/>
          <w:tab w:val="right" w:pos="8200"/>
        </w:tabs>
      </w:pPr>
      <w:r>
        <w:tab/>
      </w:r>
      <m:oMath>
        <m:sSub>
          <m:e>
            <m:r>
              <m:t>R</m:t>
            </m:r>
          </m:e>
          <m:sub>
            <m:r>
              <m:rPr>
                <m:sty m:val="p"/>
              </m:rPr>
              <m:t>r</m:t>
            </m:r>
            <m:r>
              <m:rPr>
                <m:sty m:val="p"/>
              </m:rPr>
              <m:t>e</m:t>
            </m:r>
            <m:r>
              <m:rPr>
                <m:sty m:val="p"/>
              </m:rPr>
              <m:t>v</m:t>
            </m:r>
          </m:sub>
        </m:sSub>
        <m:r>
          <m:rPr>
            <m:sty m:val="p"/>
          </m:rPr>
          <m:t>=</m:t>
        </m:r>
        <m:f>
          <m:fPr>
            <m:type m:val="bar"/>
          </m:fPr>
          <m:num>
            <m:limLow>
              <m:e>
                <m:r>
                  <m:rPr>
                    <m:sty m:val="p"/>
                  </m:rPr>
                  <m:t>max</m:t>
                </m:r>
              </m:e>
              <m:lim>
                <m:r>
                  <m:t>i</m:t>
                </m:r>
              </m:lim>
            </m:limLow>
            <m:d>
              <m:dPr>
                <m:begChr m:val="("/>
                <m:endChr m:val=")"/>
                <m:sepChr m:val=""/>
                <m:grow/>
              </m:dPr>
              <m:e>
                <m:sSub>
                  <m:e>
                    <m:r>
                      <m:t>P</m:t>
                    </m:r>
                  </m:e>
                  <m:sub>
                    <m:r>
                      <m:rPr>
                        <m:sty m:val="p"/>
                      </m:rPr>
                      <m:t>r</m:t>
                    </m:r>
                    <m:r>
                      <m:rPr>
                        <m:sty m:val="p"/>
                      </m:rPr>
                      <m:t>e</m:t>
                    </m:r>
                    <m:r>
                      <m:rPr>
                        <m:sty m:val="p"/>
                      </m:rPr>
                      <m:t>v</m:t>
                    </m:r>
                    <m:r>
                      <m:rPr>
                        <m:sty m:val="p"/>
                      </m:rPr>
                      <m:t>,</m:t>
                    </m:r>
                    <m:r>
                      <m:rPr>
                        <m:sty m:val="p"/>
                      </m:rPr>
                      <m:t>m</m:t>
                    </m:r>
                    <m:r>
                      <m:rPr>
                        <m:sty m:val="p"/>
                      </m:rPr>
                      <m:t>a</m:t>
                    </m:r>
                    <m:r>
                      <m:rPr>
                        <m:sty m:val="p"/>
                      </m:rPr>
                      <m:t>x</m:t>
                    </m:r>
                    <m:r>
                      <m:rPr>
                        <m:sty m:val="p"/>
                      </m:rPr>
                      <m:t>,</m:t>
                    </m:r>
                    <m:r>
                      <m:t>i</m:t>
                    </m:r>
                  </m:sub>
                </m:sSub>
              </m:e>
            </m:d>
          </m:num>
          <m:den>
            <m:sSubSup>
              <m:e>
                <m:r>
                  <m:t>P</m:t>
                </m:r>
              </m:e>
              <m:sub>
                <m:r>
                  <m:rPr>
                    <m:sty m:val="p"/>
                  </m:rPr>
                  <m:t>l</m:t>
                </m:r>
                <m:r>
                  <m:rPr>
                    <m:sty m:val="p"/>
                  </m:rPr>
                  <m:t>o</m:t>
                </m:r>
                <m:r>
                  <m:rPr>
                    <m:sty m:val="p"/>
                  </m:rPr>
                  <m:t>a</m:t>
                </m:r>
                <m:r>
                  <m:rPr>
                    <m:sty m:val="p"/>
                  </m:rPr>
                  <m:t>d</m:t>
                </m:r>
                <m:r>
                  <m:rPr>
                    <m:sty m:val="p"/>
                  </m:rPr>
                  <m:t>,</m:t>
                </m:r>
                <m:r>
                  <m:rPr>
                    <m:sty m:val="p"/>
                  </m:rPr>
                  <m:t>m</m:t>
                </m:r>
                <m:r>
                  <m:rPr>
                    <m:sty m:val="p"/>
                  </m:rPr>
                  <m:t>a</m:t>
                </m:r>
                <m:r>
                  <m:rPr>
                    <m:sty m:val="p"/>
                  </m:rPr>
                  <m:t>x</m:t>
                </m:r>
              </m:sub>
              <m:sup>
                <m:r>
                  <m:rPr>
                    <m:sty m:val="p"/>
                  </m:rPr>
                  <m:t>+</m:t>
                </m:r>
              </m:sup>
            </m:sSubSup>
          </m:den>
        </m:f>
      </m:oMath>
      <w:r>
        <w:rPr>
          <w:rFonts w:ascii="Times New Roman" w:hAnsi="Times New Roman" w:eastAsia="仿宋_GB2312"/>
          <w:b w:val="0"/>
          <w:sz w:val="28"/>
        </w:rPr>
        <w:tab/>
        <w:t>（3-2）</w:t>
      </w:r>
    </w:p>
    <w:p>
      <w:pPr>
        <w:spacing w:before="0" w:after="0" w:line="560" w:lineRule="exact"/>
        <w:jc w:val="both"/>
        <w:ind w:firstLineChars="200" w:firstLine="200"/>
      </w:pPr>
      <w:r>
        <w:rPr>
          <w:rFonts w:ascii="Times New Roman" w:hAnsi="Times New Roman" w:eastAsia="仿宋_GB2312"/>
          <w:b w:val="0"/>
          <w:sz w:val="28"/>
        </w:rPr>
        <w:t>110 kV线路统计负载余度定义为：</w:t>
      </w:r>
    </w:p>
    <w:p>
      <w:pPr>
        <w:keepLines/>
        <w:jc w:val="left"/>
        <w:ind w:firstLine="0" w:firstLineChars="0"/>
        <w:spacing w:line="440" w:lineRule="exact"/>
        <w:tabs>
          <w:tab w:val="center" w:pos="4100"/>
          <w:tab w:val="right" w:pos="8200"/>
        </w:tabs>
      </w:pPr>
      <w:r>
        <w:tab/>
      </w:r>
      <m:oMath>
        <m:sSub>
          <m:e>
            <m:r>
              <m:t>K</m:t>
            </m:r>
          </m:e>
          <m:sub>
            <m:r>
              <m:rPr>
                <m:sty m:val="p"/>
              </m:rPr>
              <m:t>l</m:t>
            </m:r>
            <m:r>
              <m:rPr>
                <m:sty m:val="p"/>
              </m:rPr>
              <m:t>i</m:t>
            </m:r>
            <m:r>
              <m:rPr>
                <m:sty m:val="p"/>
              </m:rPr>
              <m:t>n</m:t>
            </m:r>
            <m:r>
              <m:rPr>
                <m:sty m:val="p"/>
              </m:rPr>
              <m:t>e</m:t>
            </m:r>
          </m:sub>
        </m:sSub>
        <m:r>
          <m:rPr>
            <m:sty m:val="p"/>
          </m:rPr>
          <m:t>=</m:t>
        </m:r>
        <m:r>
          <m:t>1</m:t>
        </m:r>
        <m:r>
          <m:rPr>
            <m:sty m:val="p"/>
          </m:rPr>
          <m:t>−</m:t>
        </m:r>
        <m:limLow>
          <m:e>
            <m:r>
              <m:rPr>
                <m:sty m:val="p"/>
              </m:rPr>
              <m:t>max</m:t>
            </m:r>
          </m:e>
          <m:lim>
            <m:r>
              <m:t>l</m:t>
            </m:r>
          </m:lim>
        </m:limLow>
        <m:d>
          <m:dPr>
            <m:begChr m:val="("/>
            <m:endChr m:val=")"/>
            <m:sepChr m:val=""/>
            <m:grow/>
          </m:dPr>
          <m:e>
            <m:sSub>
              <m:e>
                <m:r>
                  <m:t>λ</m:t>
                </m:r>
              </m:e>
              <m:sub>
                <m:r>
                  <m:t>l</m:t>
                </m:r>
              </m:sub>
            </m:sSub>
          </m:e>
        </m:d>
      </m:oMath>
      <w:r>
        <w:rPr>
          <w:rFonts w:ascii="Times New Roman" w:hAnsi="Times New Roman" w:eastAsia="仿宋_GB2312"/>
          <w:b w:val="0"/>
          <w:sz w:val="28"/>
        </w:rPr>
        <w:tab/>
        <w:t>（3-3）</w:t>
      </w:r>
    </w:p>
    <w:p>
      <w:pPr>
        <w:spacing w:before="0" w:after="0" w:line="560" w:lineRule="exact"/>
        <w:jc w:val="both"/>
        <w:ind w:firstLineChars="200" w:firstLine="200"/>
      </w:pPr>
      <w:r>
        <w:rPr>
          <w:rFonts w:ascii="Times New Roman" w:hAnsi="Times New Roman" w:eastAsia="仿宋_GB2312"/>
          <w:b w:val="0"/>
          <w:sz w:val="28"/>
        </w:rPr>
        <w:t>正向峰值负荷年均变化率采用2021年和2025年片区正向最大供电负荷计算：</w:t>
      </w:r>
    </w:p>
    <w:p>
      <w:pPr>
        <w:keepLines/>
        <w:jc w:val="left"/>
        <w:ind w:firstLine="0" w:firstLineChars="0"/>
        <w:spacing w:line="440" w:lineRule="exact"/>
        <w:tabs>
          <w:tab w:val="center" w:pos="4100"/>
          <w:tab w:val="right" w:pos="8200"/>
        </w:tabs>
      </w:pPr>
      <w:r>
        <w:tab/>
      </w:r>
      <m:oMath>
        <m:sSub>
          <m:e>
            <m:r>
              <m:t>g</m:t>
            </m:r>
          </m:e>
          <m:sub>
            <m:r>
              <m:t>P</m:t>
            </m:r>
          </m:sub>
        </m:sSub>
        <m:r>
          <m:rPr>
            <m:sty m:val="p"/>
          </m:rPr>
          <m:t>=</m:t>
        </m:r>
        <m:sSup>
          <m:e>
            <m:d>
              <m:dPr>
                <m:begChr m:val="("/>
                <m:endChr m:val=")"/>
                <m:sepChr m:val=""/>
                <m:grow/>
              </m:dPr>
              <m:e>
                <m:f>
                  <m:fPr>
                    <m:type m:val="bar"/>
                  </m:fPr>
                  <m:num>
                    <m:sSubSup>
                      <m:e>
                        <m:r>
                          <m:t>P</m:t>
                        </m:r>
                      </m:e>
                      <m:sub>
                        <m:r>
                          <m:t>2025</m:t>
                        </m:r>
                      </m:sub>
                      <m:sup>
                        <m:r>
                          <m:rPr>
                            <m:sty m:val="p"/>
                          </m:rPr>
                          <m:t>+</m:t>
                        </m:r>
                      </m:sup>
                    </m:sSubSup>
                  </m:num>
                  <m:den>
                    <m:sSubSup>
                      <m:e>
                        <m:r>
                          <m:t>P</m:t>
                        </m:r>
                      </m:e>
                      <m:sub>
                        <m:r>
                          <m:t>2021</m:t>
                        </m:r>
                      </m:sub>
                      <m:sup>
                        <m:r>
                          <m:rPr>
                            <m:sty m:val="p"/>
                          </m:rPr>
                          <m:t>+</m:t>
                        </m:r>
                      </m:sup>
                    </m:sSubSup>
                  </m:den>
                </m:f>
              </m:e>
            </m:d>
          </m:e>
          <m:sup>
            <m:r>
              <m:t>1</m:t>
            </m:r>
            <m:r>
              <m:rPr>
                <m:sty m:val="p"/>
              </m:rPr>
              <m:t>/</m:t>
            </m:r>
            <m:r>
              <m:t>4</m:t>
            </m:r>
          </m:sup>
        </m:sSup>
        <m:r>
          <m:rPr>
            <m:sty m:val="p"/>
          </m:rPr>
          <m:t>−</m:t>
        </m:r>
        <m:r>
          <m:t>1</m:t>
        </m:r>
      </m:oMath>
      <w:r>
        <w:rPr>
          <w:rFonts w:ascii="Times New Roman" w:hAnsi="Times New Roman" w:eastAsia="仿宋_GB2312"/>
          <w:b w:val="0"/>
          <w:sz w:val="28"/>
        </w:rPr>
        <w:tab/>
        <w:t>（3-4）</w:t>
      </w:r>
    </w:p>
    <w:p>
      <w:pPr>
        <w:pStyle w:val="38"/>
        <w:jc w:val="center"/>
        <w:ind w:firstLine="0" w:firstLineChars="0"/>
      </w:pPr>
      <w:r>
        <w:drawing>
          <wp:inline xmlns:a="http://schemas.openxmlformats.org/drawingml/2006/main" xmlns:pic="http://schemas.openxmlformats.org/drawingml/2006/picture">
            <wp:extent cx="4968000" cy="4355675"/>
            <wp:docPr id="3" name="Picture 3"/>
            <wp:cNvGraphicFramePr>
              <a:graphicFrameLocks noChangeAspect="1"/>
            </wp:cNvGraphicFramePr>
            <a:graphic>
              <a:graphicData uri="http://schemas.openxmlformats.org/drawingml/2006/picture">
                <pic:pic>
                  <pic:nvPicPr>
                    <pic:cNvPr id="0" name="图4-1_典型片区核心指标.png"/>
                    <pic:cNvPicPr/>
                  </pic:nvPicPr>
                  <pic:blipFill>
                    <a:blip r:embed="rId15"/>
                    <a:stretch>
                      <a:fillRect/>
                    </a:stretch>
                  </pic:blipFill>
                  <pic:spPr>
                    <a:xfrm>
                      <a:off x="0" y="0"/>
                      <a:ext cx="4968000" cy="4355675"/>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3-1 典型片区四项核心运行指标</w:t>
      </w:r>
    </w:p>
    <w:p>
      <w:pPr>
        <w:spacing w:before="0" w:after="0" w:line="560" w:lineRule="exact"/>
        <w:jc w:val="both"/>
        <w:ind w:firstLineChars="200" w:firstLine="200"/>
      </w:pPr>
      <w:r>
        <w:rPr>
          <w:rFonts w:ascii="Times New Roman" w:hAnsi="Times New Roman" w:eastAsia="仿宋_GB2312"/>
          <w:b w:val="0"/>
          <w:sz w:val="28"/>
        </w:rPr>
        <w:t>图3-1表明，不同规划响应并不能由某一单项指标简单分界。例如QX-00003和QX-00004具有较高源荷规模比或局部反向潮流比例，但Rcap扫描并未改变规划方案；QX-00010的线路统计负载余度仍为正，但局部设备与接入条件使其无上限方案未形成完整可行路径。因此，源荷规模、电量渗透和容载比之间存在关联，但不能据此建立单因素数值映射。</w:t>
      </w:r>
    </w:p>
    <w:p>
      <w:pPr>
        <w:pStyle w:val="3"/>
        <w:pageBreakBefore w:val="0"/>
        <w:jc w:val="left"/>
      </w:pPr>
      <w:bookmarkStart w:id="13" w:name="_TocReport0013"/>
      <w:r>
        <w:rPr>
          <w:rFonts w:ascii="Times New Roman" w:hAnsi="Times New Roman" w:eastAsia="仿宋_GB2312"/>
          <w:b/>
          <w:sz w:val="28"/>
        </w:rPr>
        <w:t>3.4 “新能源渗透水平—电网运行状态”数据库的构建</w:t>
      </w:r>
      <w:bookmarkEnd w:id="13"/>
    </w:p>
    <w:p>
      <w:pPr>
        <w:spacing w:before="0" w:after="0" w:line="560" w:lineRule="exact"/>
        <w:jc w:val="both"/>
        <w:ind w:firstLineChars="200" w:firstLine="200"/>
      </w:pPr>
      <w:r>
        <w:rPr>
          <w:rFonts w:ascii="Times New Roman" w:hAnsi="Times New Roman" w:eastAsia="仿宋_GB2312"/>
          <w:b w:val="0"/>
          <w:sz w:val="28"/>
        </w:rPr>
        <w:t>数据库按片区统一组织负荷、容量、反向潮流、线路负载、新能源装机、储能参数和经济参数。净负荷统一采用正向供电为正、反向送电为负；容量采用MVA，功率采用MW，储能电量采用MWh；缺失数据保持缺失，不以零替代。</w:t>
      </w:r>
    </w:p>
    <w:p>
      <w:pPr>
        <w:spacing w:before="0" w:after="0" w:line="560" w:lineRule="exact"/>
        <w:jc w:val="both"/>
        <w:ind w:firstLineChars="200" w:firstLine="200"/>
      </w:pPr>
      <w:r>
        <w:rPr>
          <w:rFonts w:ascii="Times New Roman" w:hAnsi="Times New Roman" w:eastAsia="仿宋_GB2312"/>
          <w:b w:val="0"/>
          <w:sz w:val="28"/>
        </w:rPr>
        <w:t>候选指标筛选兼顾数据覆盖率、物理含义、信息重复程度和对规划响应的解释能力。表3-2给出筛选结果。</w:t>
      </w:r>
    </w:p>
    <w:p>
      <w:pPr>
        <w:pStyle w:val="12"/>
        <w:keepNext/>
        <w:spacing w:before="120" w:after="60" w:line="400" w:lineRule="exact"/>
        <w:jc w:val="center"/>
        <w:ind w:firstLine="0" w:firstLineChars="0"/>
      </w:pPr>
      <w:r>
        <w:rPr>
          <w:rFonts w:ascii="Times New Roman" w:hAnsi="Times New Roman" w:eastAsia="仿宋_GB2312"/>
          <w:b w:val="0"/>
          <w:sz w:val="24"/>
        </w:rPr>
        <w:t>表 3-2 候选指标筛选结果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候选指标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数据可得性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规划解释作用</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处理结果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现状源荷规模比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7个片区可计算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反映新能源相对规模</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局部最大反向潮流比例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反映最突出接入点反向压力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110 kV线路统计负载余度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反映线路统计容量压力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正向峰值负荷年均变化率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反映持续增长需求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反向承载缺口比例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与源荷规模比信息重复较高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辅助诊断</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反向潮流站点比例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只反映空间覆盖面</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辅助诊断</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年负荷率、峰谷差率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资料不完整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无法统一横向计算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暂不进入主体指标体系</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优化后可得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属于规划响应而非前置指标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用于结果解释</w:t>
            </w:r>
          </w:p>
        </w:tc>
      </w:tr>
    </w:tbl>
    <w:p>
      <w:pPr>
        <w:spacing w:before="0" w:after="0" w:line="560" w:lineRule="exact"/>
        <w:jc w:val="both"/>
        <w:ind w:firstLineChars="200" w:firstLine="200"/>
      </w:pPr>
      <w:r>
        <w:rPr>
          <w:rFonts w:ascii="Times New Roman" w:hAnsi="Times New Roman" w:eastAsia="仿宋_GB2312"/>
          <w:b w:val="0"/>
          <w:sz w:val="28"/>
        </w:rPr>
        <w:t>当前7个源荷规模比完整样本中，源荷规模比与反向承载缺口比例的Spearman秩相关约为0.86。该值仅用于识别信息冗余，不作统计显著性或因果判断。最终保留4项核心运行指标进入后续规划建议分析。</w:t>
      </w:r>
    </w:p>
    <w:p>
      <w:pPr>
        <w:pStyle w:val="2"/>
        <w:pageBreakBefore/>
        <w:jc w:val="left"/>
      </w:pPr>
      <w:bookmarkStart w:id="14" w:name="_TocReport0014"/>
      <w:r>
        <w:rPr>
          <w:rFonts w:ascii="Times New Roman" w:hAnsi="Times New Roman" w:eastAsia="仿宋_GB2312"/>
          <w:b/>
          <w:sz w:val="36"/>
        </w:rPr>
        <w:t>第四章 基于实际工程的电网建设成本模型</w:t>
      </w:r>
      <w:bookmarkEnd w:id="14"/>
    </w:p>
    <w:p>
      <w:pPr>
        <w:pStyle w:val="3"/>
        <w:pageBreakBefore w:val="0"/>
        <w:jc w:val="left"/>
      </w:pPr>
      <w:bookmarkStart w:id="15" w:name="_TocReport0015"/>
      <w:r>
        <w:rPr>
          <w:rFonts w:ascii="Times New Roman" w:hAnsi="Times New Roman" w:eastAsia="仿宋_GB2312"/>
          <w:b/>
          <w:sz w:val="28"/>
        </w:rPr>
        <w:t>4.1 分布式新能源配套工程成本数据收集与处理</w:t>
      </w:r>
      <w:bookmarkEnd w:id="15"/>
    </w:p>
    <w:p>
      <w:pPr>
        <w:spacing w:before="0" w:after="0" w:line="560" w:lineRule="exact"/>
        <w:jc w:val="both"/>
        <w:ind w:firstLineChars="200" w:firstLine="200"/>
      </w:pPr>
      <w:r>
        <w:rPr>
          <w:rFonts w:ascii="Times New Roman" w:hAnsi="Times New Roman" w:eastAsia="仿宋_GB2312"/>
          <w:b w:val="0"/>
          <w:sz w:val="28"/>
        </w:rPr>
        <w:t>成本模型以实际可实施工程措施为对象，重点考虑变电扩建、储能配置及已具备数据基础的网络措施。不同投资寿命通过资本回收系数折算为等年成本，避免直接比较一次性投资额。</w:t>
      </w:r>
    </w:p>
    <w:p>
      <w:pPr>
        <w:spacing w:before="0" w:after="0" w:line="560" w:lineRule="exact"/>
        <w:jc w:val="both"/>
        <w:ind w:firstLineChars="200" w:firstLine="200"/>
      </w:pPr>
      <w:r>
        <w:rPr>
          <w:rFonts w:ascii="Times New Roman" w:hAnsi="Times New Roman" w:eastAsia="仿宋_GB2312"/>
          <w:b w:val="0"/>
          <w:sz w:val="28"/>
        </w:rPr>
        <w:t>资本回收系数为：</w:t>
      </w:r>
    </w:p>
    <w:p>
      <w:pPr>
        <w:keepLines/>
        <w:jc w:val="left"/>
        <w:ind w:firstLine="0" w:firstLineChars="0"/>
        <w:spacing w:line="440" w:lineRule="exact"/>
        <w:tabs>
          <w:tab w:val="center" w:pos="4100"/>
          <w:tab w:val="right" w:pos="8200"/>
        </w:tabs>
      </w:pPr>
      <w:r>
        <w:tab/>
      </w:r>
      <m:oMath>
        <m:r>
          <m:rPr>
            <m:sty m:val="p"/>
          </m:rPr>
          <m:t>C</m:t>
        </m:r>
        <m:r>
          <m:rPr>
            <m:sty m:val="p"/>
          </m:rPr>
          <m:t>R</m:t>
        </m:r>
        <m:r>
          <m:rPr>
            <m:sty m:val="p"/>
          </m:rPr>
          <m:t>F</m:t>
        </m:r>
        <m:d>
          <m:dPr>
            <m:begChr m:val="("/>
            <m:endChr m:val=")"/>
            <m:sepChr m:val=""/>
            <m:grow/>
          </m:dPr>
          <m:e>
            <m:r>
              <m:t>r</m:t>
            </m:r>
            <m:r>
              <m:rPr>
                <m:sty m:val="p"/>
              </m:rPr>
              <m:t>,</m:t>
            </m:r>
            <m:r>
              <m:t>n</m:t>
            </m:r>
          </m:e>
        </m:d>
        <m:r>
          <m:rPr>
            <m:sty m:val="p"/>
          </m:rPr>
          <m:t>=</m:t>
        </m:r>
        <m:f>
          <m:fPr>
            <m:type m:val="bar"/>
          </m:fPr>
          <m:num>
            <m:r>
              <m:t>r</m:t>
            </m:r>
            <m:sSup>
              <m:e>
                <m:d>
                  <m:dPr>
                    <m:begChr m:val="("/>
                    <m:endChr m:val=")"/>
                    <m:sepChr m:val=""/>
                    <m:grow/>
                  </m:dPr>
                  <m:e>
                    <m:r>
                      <m:t>1</m:t>
                    </m:r>
                    <m:r>
                      <m:rPr>
                        <m:sty m:val="p"/>
                      </m:rPr>
                      <m:t>+</m:t>
                    </m:r>
                    <m:r>
                      <m:t>r</m:t>
                    </m:r>
                  </m:e>
                </m:d>
              </m:e>
              <m:sup>
                <m:r>
                  <m:t>n</m:t>
                </m:r>
              </m:sup>
            </m:sSup>
          </m:num>
          <m:den>
            <m:sSup>
              <m:e>
                <m:d>
                  <m:dPr>
                    <m:begChr m:val="("/>
                    <m:endChr m:val=")"/>
                    <m:sepChr m:val=""/>
                    <m:grow/>
                  </m:dPr>
                  <m:e>
                    <m:r>
                      <m:t>1</m:t>
                    </m:r>
                    <m:r>
                      <m:rPr>
                        <m:sty m:val="p"/>
                      </m:rPr>
                      <m:t>+</m:t>
                    </m:r>
                    <m:r>
                      <m:t>r</m:t>
                    </m:r>
                  </m:e>
                </m:d>
              </m:e>
              <m:sup>
                <m:r>
                  <m:t>n</m:t>
                </m:r>
              </m:sup>
            </m:sSup>
            <m:r>
              <m:rPr>
                <m:sty m:val="p"/>
              </m:rPr>
              <m:t>−</m:t>
            </m:r>
            <m:r>
              <m:t>1</m:t>
            </m:r>
          </m:den>
        </m:f>
      </m:oMath>
      <w:r>
        <w:rPr>
          <w:rFonts w:ascii="Times New Roman" w:hAnsi="Times New Roman" w:eastAsia="仿宋_GB2312"/>
          <w:b w:val="0"/>
          <w:sz w:val="28"/>
        </w:rPr>
        <w:tab/>
        <w:t>（4-1）</w:t>
      </w:r>
    </w:p>
    <w:p>
      <w:pPr>
        <w:spacing w:before="0" w:after="0" w:line="560" w:lineRule="exact"/>
        <w:jc w:val="both"/>
        <w:ind w:firstLineChars="200" w:firstLine="200"/>
      </w:pPr>
      <w:r>
        <w:rPr>
          <w:rFonts w:ascii="Times New Roman" w:hAnsi="Times New Roman" w:eastAsia="仿宋_GB2312"/>
          <w:b w:val="0"/>
          <w:sz w:val="28"/>
        </w:rPr>
        <w:t>单项在役措施等年成本为：</w:t>
      </w:r>
    </w:p>
    <w:p>
      <w:pPr>
        <w:keepLines/>
        <w:jc w:val="left"/>
        <w:ind w:firstLine="0" w:firstLineChars="0"/>
        <w:spacing w:line="440" w:lineRule="exact"/>
        <w:tabs>
          <w:tab w:val="center" w:pos="4100"/>
          <w:tab w:val="right" w:pos="8200"/>
        </w:tabs>
      </w:pPr>
      <w:r>
        <w:tab/>
      </w:r>
      <m:oMath>
        <m:sSub>
          <m:e>
            <m:r>
              <m:t>C</m:t>
            </m:r>
          </m:e>
          <m:sub>
            <m:r>
              <m:rPr>
                <m:sty m:val="p"/>
              </m:rPr>
              <m:t>E</m:t>
            </m:r>
            <m:r>
              <m:rPr>
                <m:sty m:val="p"/>
              </m:rPr>
              <m:t>A</m:t>
            </m:r>
            <m:r>
              <m:rPr>
                <m:sty m:val="p"/>
              </m:rPr>
              <m:t>C</m:t>
            </m:r>
          </m:sub>
        </m:sSub>
        <m:r>
          <m:rPr>
            <m:sty m:val="p"/>
          </m:rPr>
          <m:t>=</m:t>
        </m:r>
        <m:sSub>
          <m:e>
            <m:r>
              <m:t>C</m:t>
            </m:r>
          </m:e>
          <m:sub>
            <m:r>
              <m:rPr>
                <m:sty m:val="p"/>
              </m:rPr>
              <m:t>i</m:t>
            </m:r>
            <m:r>
              <m:rPr>
                <m:sty m:val="p"/>
              </m:rPr>
              <m:t>n</m:t>
            </m:r>
            <m:r>
              <m:rPr>
                <m:sty m:val="p"/>
              </m:rPr>
              <m:t>v</m:t>
            </m:r>
          </m:sub>
        </m:sSub>
        <m:r>
          <m:rPr>
            <m:sty m:val="p"/>
          </m:rPr>
          <m:t>C</m:t>
        </m:r>
        <m:r>
          <m:rPr>
            <m:sty m:val="p"/>
          </m:rPr>
          <m:t>R</m:t>
        </m:r>
        <m:r>
          <m:rPr>
            <m:sty m:val="p"/>
          </m:rPr>
          <m:t>F</m:t>
        </m:r>
        <m:d>
          <m:dPr>
            <m:begChr m:val="("/>
            <m:endChr m:val=")"/>
            <m:sepChr m:val=""/>
            <m:grow/>
          </m:dPr>
          <m:e>
            <m:r>
              <m:t>r</m:t>
            </m:r>
            <m:r>
              <m:rPr>
                <m:sty m:val="p"/>
              </m:rPr>
              <m:t>,</m:t>
            </m:r>
            <m:r>
              <m:t>n</m:t>
            </m:r>
          </m:e>
        </m:d>
        <m:r>
          <m:rPr>
            <m:sty m:val="p"/>
          </m:rPr>
          <m:t>+</m:t>
        </m:r>
        <m:sSub>
          <m:e>
            <m:r>
              <m:t>C</m:t>
            </m:r>
          </m:e>
          <m:sub>
            <m:r>
              <m:rPr>
                <m:sty m:val="p"/>
              </m:rPr>
              <m:t>o</m:t>
            </m:r>
            <m:r>
              <m:rPr>
                <m:sty m:val="p"/>
              </m:rPr>
              <m:t>m</m:t>
            </m:r>
          </m:sub>
        </m:sSub>
      </m:oMath>
      <w:r>
        <w:rPr>
          <w:rFonts w:ascii="Times New Roman" w:hAnsi="Times New Roman" w:eastAsia="仿宋_GB2312"/>
          <w:b w:val="0"/>
          <w:sz w:val="28"/>
        </w:rPr>
        <w:tab/>
        <w:t>（4-2）</w:t>
      </w:r>
    </w:p>
    <w:p>
      <w:pPr>
        <w:spacing w:before="0" w:after="0" w:line="560" w:lineRule="exact"/>
        <w:jc w:val="both"/>
        <w:ind w:firstLineChars="200" w:firstLine="200"/>
      </w:pPr>
      <w:r>
        <w:rPr>
          <w:rFonts w:ascii="Times New Roman" w:hAnsi="Times New Roman" w:eastAsia="仿宋_GB2312"/>
          <w:b w:val="0"/>
          <w:sz w:val="28"/>
        </w:rPr>
        <w:t>单项等年成本量纲为万元/年。设备价格、寿命和固定运维费率均作为规划研究参数，并在敏感性分析中检查其对推荐结果的影响。</w:t>
      </w:r>
    </w:p>
    <w:p>
      <w:pPr>
        <w:pStyle w:val="3"/>
        <w:pageBreakBefore w:val="0"/>
        <w:jc w:val="left"/>
      </w:pPr>
      <w:bookmarkStart w:id="16" w:name="_TocReport0016"/>
      <w:r>
        <w:rPr>
          <w:rFonts w:ascii="Times New Roman" w:hAnsi="Times New Roman" w:eastAsia="仿宋_GB2312"/>
          <w:b/>
          <w:sz w:val="28"/>
        </w:rPr>
        <w:t>4.2 成本驱动因子识别与参数化模型建立</w:t>
      </w:r>
      <w:bookmarkEnd w:id="16"/>
    </w:p>
    <w:p>
      <w:pPr>
        <w:spacing w:before="0" w:after="0" w:line="560" w:lineRule="exact"/>
        <w:jc w:val="both"/>
        <w:ind w:firstLineChars="200" w:firstLine="200"/>
      </w:pPr>
      <w:r>
        <w:rPr>
          <w:rFonts w:ascii="Times New Roman" w:hAnsi="Times New Roman" w:eastAsia="仿宋_GB2312"/>
          <w:b w:val="0"/>
          <w:sz w:val="28"/>
        </w:rPr>
        <w:t>本项目正式规划不是只比较2025年单年费用，而是在2021年共同资产起点上，对2022—2025年各年度已投运措施的等年成本进行累计：</w:t>
      </w:r>
    </w:p>
    <w:p>
      <w:pPr>
        <w:keepLines/>
        <w:jc w:val="left"/>
        <w:ind w:firstLine="0" w:firstLineChars="0"/>
        <w:spacing w:line="440" w:lineRule="exact"/>
        <w:tabs>
          <w:tab w:val="center" w:pos="4100"/>
          <w:tab w:val="right" w:pos="8200"/>
        </w:tabs>
      </w:pPr>
      <w:r>
        <w:tab/>
      </w:r>
      <m:oMath>
        <m:r>
          <m:rPr>
            <m:sty m:val="p"/>
          </m:rPr>
          <m:t>min</m:t>
        </m:r>
        <m:r>
          <m:t>J</m:t>
        </m:r>
        <m:r>
          <m:rPr>
            <m:sty m:val="p"/>
          </m:rPr>
          <m:t>=</m:t>
        </m:r>
        <m:nary>
          <m:naryPr>
            <m:chr m:val="∑"/>
            <m:limLoc m:val="undOvr"/>
            <m:subHide m:val="off"/>
            <m:supHide m:val="off"/>
          </m:naryPr>
          <m:sub>
            <m:r>
              <m:t>y</m:t>
            </m:r>
            <m:r>
              <m:rPr>
                <m:sty m:val="p"/>
              </m:rPr>
              <m:t>=</m:t>
            </m:r>
            <m:r>
              <m:t>2022</m:t>
            </m:r>
          </m:sub>
          <m:sup>
            <m:r>
              <m:t>2025</m:t>
            </m:r>
          </m:sup>
          <m:e>
            <m:sSubSup>
              <m:e>
                <m:r>
                  <m:t>C</m:t>
                </m:r>
              </m:e>
              <m:sub>
                <m:r>
                  <m:rPr>
                    <m:sty m:val="p"/>
                  </m:rPr>
                  <m:t>E</m:t>
                </m:r>
                <m:r>
                  <m:rPr>
                    <m:sty m:val="p"/>
                  </m:rPr>
                  <m:t>A</m:t>
                </m:r>
                <m:r>
                  <m:rPr>
                    <m:sty m:val="p"/>
                  </m:rPr>
                  <m:t>C</m:t>
                </m:r>
                <m:r>
                  <m:rPr>
                    <m:sty m:val="p"/>
                  </m:rPr>
                  <m:t>,</m:t>
                </m:r>
                <m:r>
                  <m:t>y</m:t>
                </m:r>
              </m:sub>
              <m:sup>
                <m:r>
                  <m:rPr>
                    <m:sty m:val="p"/>
                  </m:rPr>
                  <m:t>i</m:t>
                </m:r>
                <m:r>
                  <m:rPr>
                    <m:sty m:val="p"/>
                  </m:rPr>
                  <m:t>n</m:t>
                </m:r>
                <m:r>
                  <m:rPr>
                    <m:nor/>
                    <m:sty m:val="p"/>
                  </m:rPr>
                  <m:t>-</m:t>
                </m:r>
                <m:r>
                  <m:rPr>
                    <m:sty m:val="p"/>
                  </m:rPr>
                  <m:t>s</m:t>
                </m:r>
                <m:r>
                  <m:rPr>
                    <m:sty m:val="p"/>
                  </m:rPr>
                  <m:t>e</m:t>
                </m:r>
                <m:r>
                  <m:rPr>
                    <m:sty m:val="p"/>
                  </m:rPr>
                  <m:t>r</m:t>
                </m:r>
                <m:r>
                  <m:rPr>
                    <m:sty m:val="p"/>
                  </m:rPr>
                  <m:t>v</m:t>
                </m:r>
                <m:r>
                  <m:rPr>
                    <m:sty m:val="p"/>
                  </m:rPr>
                  <m:t>i</m:t>
                </m:r>
                <m:r>
                  <m:rPr>
                    <m:sty m:val="p"/>
                  </m:rPr>
                  <m:t>c</m:t>
                </m:r>
                <m:r>
                  <m:rPr>
                    <m:sty m:val="p"/>
                  </m:rPr>
                  <m:t>e</m:t>
                </m:r>
              </m:sup>
            </m:sSubSup>
          </m:e>
        </m:nary>
      </m:oMath>
      <w:r>
        <w:rPr>
          <w:rFonts w:ascii="Times New Roman" w:hAnsi="Times New Roman" w:eastAsia="仿宋_GB2312"/>
          <w:b w:val="0"/>
          <w:sz w:val="28"/>
        </w:rPr>
        <w:tab/>
        <w:t>（4-3）</w:t>
      </w:r>
    </w:p>
    <w:p>
      <w:pPr>
        <w:spacing w:before="0" w:after="0" w:line="560" w:lineRule="exact"/>
        <w:jc w:val="both"/>
        <w:ind w:firstLineChars="200" w:firstLine="200"/>
      </w:pPr>
      <w:r>
        <w:rPr>
          <w:rFonts w:ascii="Times New Roman" w:hAnsi="Times New Roman" w:eastAsia="仿宋_GB2312"/>
          <w:b w:val="0"/>
          <w:sz w:val="28"/>
        </w:rPr>
        <w:t>程序以年度为离散步长对在役等年成本求和，正式报告将该目标统一称为“2022—2025年规划期累计在役等年成本”，单位为万元。该数值不是一次性投资，也不是某一个单独年度的万元/年费用。措施投运年份、储能规模和变电扩建规模共同影响多年度目标。</w:t>
      </w:r>
    </w:p>
    <w:p>
      <w:pPr>
        <w:spacing w:before="0" w:after="0" w:line="560" w:lineRule="exact"/>
        <w:jc w:val="both"/>
        <w:ind w:firstLineChars="200" w:firstLine="200"/>
      </w:pPr>
      <w:r>
        <w:rPr>
          <w:rFonts w:ascii="Times New Roman" w:hAnsi="Times New Roman" w:eastAsia="仿宋_GB2312"/>
          <w:b w:val="0"/>
          <w:sz w:val="28"/>
        </w:rPr>
        <w:t>求解采用确定性的离散状态枚举与动态保留，时序线性可行性校核由HiGHS完成。同一输入可复现相同结果，不依赖随机元启发式搜索。</w:t>
      </w:r>
    </w:p>
    <w:p>
      <w:pPr>
        <w:pStyle w:val="3"/>
        <w:pageBreakBefore w:val="0"/>
        <w:jc w:val="left"/>
      </w:pPr>
      <w:bookmarkStart w:id="17" w:name="_TocReport0017"/>
      <w:r>
        <w:rPr>
          <w:rFonts w:ascii="Times New Roman" w:hAnsi="Times New Roman" w:eastAsia="仿宋_GB2312"/>
          <w:b/>
          <w:sz w:val="28"/>
        </w:rPr>
        <w:t>4.3 刚性容载比场景全寿命周期成本测算</w:t>
      </w:r>
      <w:bookmarkEnd w:id="17"/>
    </w:p>
    <w:p>
      <w:pPr>
        <w:spacing w:before="0" w:after="0" w:line="560" w:lineRule="exact"/>
        <w:jc w:val="both"/>
        <w:ind w:firstLineChars="200" w:firstLine="200"/>
      </w:pPr>
      <w:r>
        <w:rPr>
          <w:rFonts w:ascii="Times New Roman" w:hAnsi="Times New Roman" w:eastAsia="仿宋_GB2312"/>
          <w:b w:val="0"/>
          <w:sz w:val="28"/>
        </w:rPr>
        <w:t>刚性比较场景取Rcap=2.0，并遵循存量容量豁免：既有主变容量保持不变，仅限制规划期新增变电容量。若控制值限制新增主变后仍需满足正向容量与反向承载要求，模型通过储能或其他可用措施补足局部调节需求。</w:t>
      </w:r>
    </w:p>
    <w:p>
      <w:pPr>
        <w:spacing w:before="0" w:after="0" w:line="560" w:lineRule="exact"/>
        <w:jc w:val="both"/>
        <w:ind w:firstLineChars="200" w:firstLine="200"/>
      </w:pPr>
      <w:r>
        <w:rPr>
          <w:rFonts w:ascii="Times New Roman" w:hAnsi="Times New Roman" w:eastAsia="仿宋_GB2312"/>
          <w:b w:val="0"/>
          <w:sz w:val="28"/>
        </w:rPr>
        <w:t>QX-00001在Rcap=2.0时不新增变电容量，2025年配置138个储能模块，即13.8 MW/29.670 MWh，2022—2025年累计在役等年成本为481.9566万元。QX-00005在Rcap=2.0时配置962个储能模块，即96.2 MW/206.830 MWh，累计成本为3359.0522万元。</w:t>
      </w:r>
    </w:p>
    <w:p>
      <w:pPr>
        <w:pStyle w:val="3"/>
        <w:pageBreakBefore w:val="0"/>
        <w:jc w:val="left"/>
      </w:pPr>
      <w:bookmarkStart w:id="18" w:name="_TocReport0018"/>
      <w:r>
        <w:rPr>
          <w:rFonts w:ascii="Times New Roman" w:hAnsi="Times New Roman" w:eastAsia="仿宋_GB2312"/>
          <w:b/>
          <w:sz w:val="28"/>
        </w:rPr>
        <w:t>4.4 弹性容载比场景全寿命周期成本测算</w:t>
      </w:r>
      <w:bookmarkEnd w:id="18"/>
    </w:p>
    <w:p>
      <w:pPr>
        <w:spacing w:before="0" w:after="0" w:line="560" w:lineRule="exact"/>
        <w:jc w:val="both"/>
        <w:ind w:firstLineChars="200" w:firstLine="200"/>
      </w:pPr>
      <w:r>
        <w:rPr>
          <w:rFonts w:ascii="Times New Roman" w:hAnsi="Times New Roman" w:eastAsia="仿宋_GB2312"/>
          <w:b w:val="0"/>
          <w:sz w:val="28"/>
        </w:rPr>
        <w:t>弹性场景在1.5～3.0范围内以0.1步长扫描Rcap，并包含无上限方案；经济释放位置附近进一步以0.001步长细化。以无上限方案成本为基准，将成本上浮5%以内定义为近优集合，并在正式敏感性情景上求Rcap维度稳健交集。</w:t>
      </w:r>
    </w:p>
    <w:p>
      <w:pPr>
        <w:pStyle w:val="38"/>
        <w:jc w:val="center"/>
        <w:ind w:firstLine="0" w:firstLineChars="0"/>
      </w:pPr>
      <w:r>
        <w:drawing>
          <wp:inline xmlns:a="http://schemas.openxmlformats.org/drawingml/2006/main" xmlns:pic="http://schemas.openxmlformats.org/drawingml/2006/picture">
            <wp:extent cx="4968000" cy="4184953"/>
            <wp:docPr id="4" name="Picture 4"/>
            <wp:cNvGraphicFramePr>
              <a:graphicFrameLocks noChangeAspect="1"/>
            </wp:cNvGraphicFramePr>
            <a:graphic>
              <a:graphicData uri="http://schemas.openxmlformats.org/drawingml/2006/picture">
                <pic:pic>
                  <pic:nvPicPr>
                    <pic:cNvPr id="0" name="图5-1_弹性控制值成本前沿.png"/>
                    <pic:cNvPicPr/>
                  </pic:nvPicPr>
                  <pic:blipFill>
                    <a:blip r:embed="rId16"/>
                    <a:stretch>
                      <a:fillRect/>
                    </a:stretch>
                  </pic:blipFill>
                  <pic:spPr>
                    <a:xfrm>
                      <a:off x="0" y="0"/>
                      <a:ext cx="4968000" cy="4184953"/>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4-1 弹性容载比控制值与规划期累计在役等年成本</w:t>
      </w:r>
    </w:p>
    <w:p>
      <w:pPr>
        <w:pStyle w:val="38"/>
        <w:jc w:val="center"/>
        <w:ind w:firstLine="0" w:firstLineChars="0"/>
      </w:pPr>
      <w:r>
        <w:drawing>
          <wp:inline xmlns:a="http://schemas.openxmlformats.org/drawingml/2006/main" xmlns:pic="http://schemas.openxmlformats.org/drawingml/2006/picture">
            <wp:extent cx="4968000" cy="3988279"/>
            <wp:docPr id="5" name="Picture 5"/>
            <wp:cNvGraphicFramePr>
              <a:graphicFrameLocks noChangeAspect="1"/>
            </wp:cNvGraphicFramePr>
            <a:graphic>
              <a:graphicData uri="http://schemas.openxmlformats.org/drawingml/2006/picture">
                <pic:pic>
                  <pic:nvPicPr>
                    <pic:cNvPr id="0" name="图5-2_弹性控制值规划响应.png"/>
                    <pic:cNvPicPr/>
                  </pic:nvPicPr>
                  <pic:blipFill>
                    <a:blip r:embed="rId17"/>
                    <a:stretch>
                      <a:fillRect/>
                    </a:stretch>
                  </pic:blipFill>
                  <pic:spPr>
                    <a:xfrm>
                      <a:off x="0" y="0"/>
                      <a:ext cx="4968000" cy="398827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4-2 弹性容载比控制值与规划措施</w:t>
      </w:r>
    </w:p>
    <w:p>
      <w:pPr>
        <w:spacing w:before="0" w:after="0" w:line="560" w:lineRule="exact"/>
        <w:jc w:val="both"/>
        <w:ind w:firstLineChars="200" w:firstLine="200"/>
      </w:pPr>
      <w:r>
        <w:rPr>
          <w:rFonts w:ascii="Times New Roman" w:hAnsi="Times New Roman" w:eastAsia="仿宋_GB2312"/>
          <w:b w:val="0"/>
          <w:sz w:val="28"/>
        </w:rPr>
        <w:t>图4-1反映Rcap变化对规划期累计在役等年成本的影响，图4-2进一步展示新增变电容量与储能规模随控制值变化形成的措施替代关系。</w:t>
      </w:r>
    </w:p>
    <w:p>
      <w:pPr>
        <w:spacing w:before="0" w:after="0" w:line="560" w:lineRule="exact"/>
        <w:jc w:val="both"/>
        <w:ind w:firstLineChars="200" w:firstLine="200"/>
      </w:pPr>
      <w:r>
        <w:rPr>
          <w:rFonts w:ascii="Times New Roman" w:hAnsi="Times New Roman" w:eastAsia="仿宋_GB2312"/>
          <w:b w:val="0"/>
          <w:sz w:val="28"/>
        </w:rPr>
        <w:t>QX-00001的局部经济释放阈值为2.359～2.360，稳健近优下限为2.50；QX-00005的局部经济释放阈值为2.171～2.172，稳健近优下限为2.30。两者的近优集合均延伸至扫描上界3.0，因此当前只识别推荐下限，不把3.0解释为推荐上限。</w:t>
      </w:r>
    </w:p>
    <w:p>
      <w:pPr>
        <w:pStyle w:val="3"/>
        <w:pageBreakBefore w:val="0"/>
        <w:jc w:val="left"/>
      </w:pPr>
      <w:bookmarkStart w:id="19" w:name="_TocReport0019"/>
      <w:r>
        <w:rPr>
          <w:rFonts w:ascii="Times New Roman" w:hAnsi="Times New Roman" w:eastAsia="仿宋_GB2312"/>
          <w:b/>
          <w:sz w:val="28"/>
        </w:rPr>
        <w:t>4.5 两场景经济技术对比与决策案例库形成</w:t>
      </w:r>
      <w:bookmarkEnd w:id="19"/>
    </w:p>
    <w:p>
      <w:pPr>
        <w:spacing w:before="0" w:after="0" w:line="560" w:lineRule="exact"/>
        <w:jc w:val="both"/>
        <w:ind w:firstLineChars="200" w:firstLine="200"/>
      </w:pPr>
      <w:r>
        <w:rPr>
          <w:rFonts w:ascii="Times New Roman" w:hAnsi="Times New Roman" w:eastAsia="仿宋_GB2312"/>
          <w:b w:val="0"/>
          <w:sz w:val="28"/>
        </w:rPr>
        <w:t>两个阈值型片区的刚性与弹性结果见表4-1。</w:t>
      </w:r>
    </w:p>
    <w:p>
      <w:pPr>
        <w:pStyle w:val="12"/>
        <w:keepNext/>
        <w:spacing w:before="120" w:after="60" w:line="400" w:lineRule="exact"/>
        <w:jc w:val="center"/>
        <w:ind w:firstLine="0" w:firstLineChars="0"/>
      </w:pPr>
      <w:r>
        <w:rPr>
          <w:rFonts w:ascii="Times New Roman" w:hAnsi="Times New Roman" w:eastAsia="仿宋_GB2312"/>
          <w:b w:val="0"/>
          <w:sz w:val="24"/>
        </w:rPr>
        <w:t>表 4-1 两个阈值型片区刚性与弹性场景对比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tblGrid>
      <w:tr>
        <w:trPr>
          <w:cantSplit/>
          <w:tblHeader w:val="true"/>
        </w:trPr>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场景</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2025年实际物理容载比</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新增容量/MVA</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2025年储能模块/个</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储能功率/MW</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储能容量/MWh</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2022—2025年累计在役等年成本/万元</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无上限弹性</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2.3597466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4.085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188.1800</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Rcap=2.0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2.2679276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29.670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481.9566</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无上限弹性</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2.1715720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99.975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1745.5283</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Rcap=2.0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2.1192953</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206.830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3359.0522</w:t>
            </w:r>
          </w:p>
        </w:tc>
      </w:tr>
    </w:tbl>
    <w:p>
      <w:pPr>
        <w:spacing w:before="0" w:after="0" w:line="560" w:lineRule="exact"/>
        <w:jc w:val="both"/>
        <w:ind w:firstLineChars="200" w:firstLine="200"/>
      </w:pPr>
      <w:r>
        <w:rPr>
          <w:rFonts w:ascii="Times New Roman" w:hAnsi="Times New Roman" w:eastAsia="仿宋_GB2312"/>
          <w:b w:val="0"/>
          <w:sz w:val="28"/>
        </w:rPr>
        <w:t>QX-00001较紧控制使累计目标增加293.7765万元；QX-00005增加1613.5239万元。两者均体现出当新增变电容量受到限制后，储能需求大幅增加的措施替代关系。</w:t>
      </w:r>
    </w:p>
    <w:p>
      <w:pPr>
        <w:spacing w:before="0" w:after="0" w:line="560" w:lineRule="exact"/>
        <w:jc w:val="both"/>
        <w:ind w:firstLineChars="200" w:firstLine="200"/>
      </w:pPr>
      <w:r>
        <w:rPr>
          <w:rFonts w:ascii="Times New Roman" w:hAnsi="Times New Roman" w:eastAsia="仿宋_GB2312"/>
          <w:b w:val="0"/>
          <w:sz w:val="28"/>
        </w:rPr>
        <w:t>其余片区形成另外两类决策案例，见表4-2。</w:t>
      </w:r>
    </w:p>
    <w:p>
      <w:pPr>
        <w:pStyle w:val="12"/>
        <w:keepNext/>
        <w:spacing w:before="120" w:after="60" w:line="400" w:lineRule="exact"/>
        <w:jc w:val="center"/>
        <w:ind w:firstLine="0" w:firstLineChars="0"/>
      </w:pPr>
      <w:r>
        <w:rPr>
          <w:rFonts w:ascii="Times New Roman" w:hAnsi="Times New Roman" w:eastAsia="仿宋_GB2312"/>
          <w:b w:val="0"/>
          <w:sz w:val="24"/>
        </w:rPr>
        <w:t>表 4-2 其他片区规划响应及决策类型</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规划响应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2025年储能模块/个</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2022—2025年累计在役等年成本/万元</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决策类型</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173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604.7015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124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433.5391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无明显新增措施</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无上限仍未形成完整可行路径</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无上限仍未形成完整可行路径</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无上限仍未形成完整可行路径</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bl>
    <w:p>
      <w:pPr>
        <w:spacing w:before="0" w:after="0" w:line="560" w:lineRule="exact"/>
        <w:jc w:val="both"/>
        <w:ind w:firstLineChars="200" w:firstLine="200"/>
      </w:pPr>
      <w:r>
        <w:rPr>
          <w:rFonts w:ascii="Times New Roman" w:hAnsi="Times New Roman" w:eastAsia="仿宋_GB2312"/>
          <w:b w:val="0"/>
          <w:sz w:val="28"/>
        </w:rPr>
        <w:t>成本与技术响应共同构成后续“一片一策”建议的决策案例库：既不能将所有片区统一放宽，也不能机械坚持同一数值上限。</w:t>
      </w:r>
    </w:p>
    <w:p>
      <w:pPr>
        <w:pStyle w:val="2"/>
        <w:pageBreakBefore/>
        <w:jc w:val="left"/>
      </w:pPr>
      <w:bookmarkStart w:id="20" w:name="_TocReport0020"/>
      <w:r>
        <w:rPr>
          <w:rFonts w:ascii="Times New Roman" w:hAnsi="Times New Roman" w:eastAsia="仿宋_GB2312"/>
          <w:b/>
          <w:sz w:val="36"/>
        </w:rPr>
        <w:t>第五章 “一片一策”弹性容载比规划建议</w:t>
      </w:r>
      <w:bookmarkEnd w:id="20"/>
    </w:p>
    <w:p>
      <w:pPr>
        <w:pStyle w:val="3"/>
        <w:pageBreakBefore w:val="0"/>
        <w:jc w:val="left"/>
      </w:pPr>
      <w:bookmarkStart w:id="21" w:name="_TocReport0021"/>
      <w:r>
        <w:rPr>
          <w:rFonts w:ascii="Times New Roman" w:hAnsi="Times New Roman" w:eastAsia="仿宋_GB2312"/>
          <w:b/>
          <w:sz w:val="28"/>
        </w:rPr>
        <w:t>5.1 历史负荷与分布式光伏接入特征分析典型片区负荷与分布式光伏预测</w:t>
      </w:r>
      <w:bookmarkEnd w:id="21"/>
    </w:p>
    <w:p>
      <w:pPr>
        <w:spacing w:before="0" w:after="0" w:line="560" w:lineRule="exact"/>
        <w:jc w:val="both"/>
        <w:ind w:firstLineChars="200" w:firstLine="200"/>
      </w:pPr>
      <w:r>
        <w:rPr>
          <w:rFonts w:ascii="Times New Roman" w:hAnsi="Times New Roman" w:eastAsia="仿宋_GB2312"/>
          <w:b w:val="0"/>
          <w:sz w:val="28"/>
        </w:rPr>
        <w:t>本节严格沿用开题报告确定的章节名称。当前正式分析以2021—2025年历史正向最大供电负荷描述负荷变化，以2026年新能源装机快照描述最新接入规模。由于缺少所有片区统一基准年的完整光伏出力—负荷同步预测，报告不把跨年度源荷规模比解释为严格预测结果，而将其作为片区分类的现状背景量。</w:t>
      </w:r>
    </w:p>
    <w:p>
      <w:pPr>
        <w:spacing w:before="0" w:after="0" w:line="560" w:lineRule="exact"/>
        <w:jc w:val="both"/>
        <w:ind w:firstLineChars="200" w:firstLine="200"/>
      </w:pPr>
      <w:r>
        <w:rPr>
          <w:rFonts w:ascii="Times New Roman" w:hAnsi="Times New Roman" w:eastAsia="仿宋_GB2312"/>
          <w:b w:val="0"/>
          <w:sz w:val="28"/>
        </w:rPr>
        <w:t>典型片区中，QX-00001与QX-00005的正向峰值负荷年均变化率分别为6.22%和6.92%，均表现出较明确的正向容量增长需求；QX-00004为-0.51%，其Rcap扫描结果也表现为容载比非主导。后续滚动规划应使用最新负荷预测和新能源接入预测重新计算核心指标，不长期沿用当前历史增长率。</w:t>
      </w:r>
    </w:p>
    <w:p>
      <w:pPr>
        <w:pStyle w:val="3"/>
        <w:pageBreakBefore w:val="0"/>
        <w:jc w:val="left"/>
      </w:pPr>
      <w:bookmarkStart w:id="22" w:name="_TocReport0022"/>
      <w:r>
        <w:rPr>
          <w:rFonts w:ascii="Times New Roman" w:hAnsi="Times New Roman" w:eastAsia="仿宋_GB2312"/>
          <w:b/>
          <w:sz w:val="28"/>
        </w:rPr>
        <w:t>5.2 含正向容载比与反向承载力协同约束的弹性规划评价指标体系设计</w:t>
      </w:r>
      <w:bookmarkEnd w:id="22"/>
    </w:p>
    <w:p>
      <w:pPr>
        <w:spacing w:before="0" w:after="0" w:line="560" w:lineRule="exact"/>
        <w:jc w:val="both"/>
        <w:ind w:firstLineChars="200" w:firstLine="200"/>
      </w:pPr>
      <w:r>
        <w:rPr>
          <w:rFonts w:ascii="Times New Roman" w:hAnsi="Times New Roman" w:eastAsia="仿宋_GB2312"/>
          <w:b w:val="0"/>
          <w:sz w:val="28"/>
        </w:rPr>
        <w:t>评价体系分为两层。第一层是必须满足的技术可行性条件，包括设备容量、接入位置、储能接入条件、局部互济及必要的时序运行约束；该层不采用加权补偿，任何关键技术条件不满足时均应优先处理技术问题。</w:t>
      </w:r>
    </w:p>
    <w:p>
      <w:pPr>
        <w:spacing w:before="0" w:after="0" w:line="560" w:lineRule="exact"/>
        <w:jc w:val="both"/>
        <w:ind w:firstLineChars="200" w:firstLine="200"/>
      </w:pPr>
      <w:r>
        <w:rPr>
          <w:rFonts w:ascii="Times New Roman" w:hAnsi="Times New Roman" w:eastAsia="仿宋_GB2312"/>
          <w:b w:val="0"/>
          <w:sz w:val="28"/>
        </w:rPr>
        <w:t>第二层是用于片区特征描述和规划建议检索的4项核心指标：现状源荷规模比、局部最大反向潮流比例、110 kV线路统计负载余度和正向峰值负荷年均变化率。表5-1汇总当前典型片区指标与正式规划响应。</w:t>
      </w:r>
    </w:p>
    <w:p>
      <w:pPr>
        <w:pStyle w:val="12"/>
        <w:keepNext/>
        <w:spacing w:before="120" w:after="60" w:line="400" w:lineRule="exact"/>
        <w:jc w:val="center"/>
        <w:ind w:firstLine="0" w:firstLineChars="0"/>
      </w:pPr>
      <w:r>
        <w:rPr>
          <w:rFonts w:ascii="Times New Roman" w:hAnsi="Times New Roman" w:eastAsia="仿宋_GB2312"/>
          <w:b w:val="0"/>
          <w:sz w:val="24"/>
        </w:rPr>
        <w:t>表 5-1 典型片区关键指标及正式规划建议</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cantSplit/>
          <w:tblHeader w:val="true"/>
        </w:trPr>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现状源荷规模比</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局部最大反向潮流比例</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110 kV线路统计负载余度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正向峰值负荷年均变化率</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正式建议</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不低于2.50</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1.523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0.126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-2.26%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4.19%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1.161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0.079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24.43%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-0.51%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不低于2.30</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缺失</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0.021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-5.06%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1.34%</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容载比非主导；不外推</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0.673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0.067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-15.67%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5.48%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1.003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0.071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-0.39%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3.78%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1.599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0.109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17.59%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8.76%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bl>
    <w:p>
      <w:pPr>
        <w:spacing w:before="0" w:after="0" w:line="560" w:lineRule="exact"/>
        <w:jc w:val="both"/>
        <w:ind w:firstLineChars="200" w:firstLine="200"/>
      </w:pPr>
      <w:r>
        <w:rPr>
          <w:rFonts w:ascii="Times New Roman" w:hAnsi="Times New Roman" w:eastAsia="仿宋_GB2312"/>
          <w:b w:val="0"/>
          <w:sz w:val="28"/>
        </w:rPr>
        <w:t>该体系保持正向容载比与反向承载力概念分离：Rcap控制新增变电容量，局部反向潮流通过独立指标、储能和设备条件处理；线路统计余度仅用于容量层面的初筛，不替代完整潮流安全校核。</w:t>
      </w:r>
    </w:p>
    <w:p>
      <w:pPr>
        <w:pStyle w:val="3"/>
        <w:pageBreakBefore w:val="0"/>
        <w:jc w:val="left"/>
      </w:pPr>
      <w:bookmarkStart w:id="23" w:name="_TocReport0023"/>
      <w:r>
        <w:rPr>
          <w:rFonts w:ascii="Times New Roman" w:hAnsi="Times New Roman" w:eastAsia="仿宋_GB2312"/>
          <w:b/>
          <w:sz w:val="28"/>
        </w:rPr>
        <w:t>5.3 基于层次分析法的指标赋权</w:t>
      </w:r>
      <w:bookmarkEnd w:id="23"/>
    </w:p>
    <w:p>
      <w:pPr>
        <w:spacing w:before="0" w:after="0" w:line="560" w:lineRule="exact"/>
        <w:jc w:val="both"/>
        <w:ind w:firstLineChars="200" w:firstLine="200"/>
      </w:pPr>
      <w:r>
        <w:rPr>
          <w:rFonts w:ascii="Times New Roman" w:hAnsi="Times New Roman" w:eastAsia="仿宋_GB2312"/>
          <w:b w:val="0"/>
          <w:sz w:val="28"/>
        </w:rPr>
        <w:t>开题报告提出采用层次分析法确定指标权重。二次科学审查表明，正式v3.2优化模型的Rcap建议并非由4项指标加权求和产生，而是由真实工程约束下的规划优化、控制值扫描和敏感性稳健交集得到。若在报告后处理中再用主观权重直接计算2.50或2.30，会改变正式模型的因果链条。</w:t>
      </w:r>
    </w:p>
    <w:p>
      <w:pPr>
        <w:spacing w:before="0" w:after="0" w:line="560" w:lineRule="exact"/>
        <w:jc w:val="both"/>
        <w:ind w:firstLineChars="200" w:firstLine="200"/>
      </w:pPr>
      <w:r>
        <w:rPr>
          <w:rFonts w:ascii="Times New Roman" w:hAnsi="Times New Roman" w:eastAsia="仿宋_GB2312"/>
          <w:b w:val="0"/>
          <w:sz w:val="28"/>
        </w:rPr>
        <w:t>因此，本研究保留AHP作为工程应用阶段的指标层级组织和辅助优先级接口：目标层为“片区弹性容载比规划适用性”，准则层为源荷规模、局部反向压力、线路统计负载余度和正向负荷增长四类信息。实际开展专家赋权时，应由规划、运行和设计专业人员形成两两比较判断矩阵，并按最大特征根法计算权重，同时进行一致性检验：</w:t>
      </w:r>
    </w:p>
    <w:p>
      <w:pPr>
        <w:keepLines/>
        <w:jc w:val="left"/>
        <w:ind w:firstLine="0" w:firstLineChars="0"/>
        <w:spacing w:line="440" w:lineRule="exact"/>
        <w:tabs>
          <w:tab w:val="center" w:pos="4100"/>
          <w:tab w:val="right" w:pos="8200"/>
        </w:tabs>
      </w:pPr>
      <w:r>
        <w:tab/>
      </w:r>
      <m:oMath>
        <m:r>
          <m:t>C</m:t>
        </m:r>
        <m:r>
          <m:t>I</m:t>
        </m:r>
        <m:r>
          <m:rPr>
            <m:sty m:val="p"/>
          </m:rPr>
          <m:t>=</m:t>
        </m:r>
        <m:f>
          <m:fPr>
            <m:type m:val="bar"/>
          </m:fPr>
          <m:num>
            <m:sSub>
              <m:e>
                <m:r>
                  <m:t>λ</m:t>
                </m:r>
              </m:e>
              <m:sub>
                <m:r>
                  <m:rPr>
                    <m:sty m:val="p"/>
                  </m:rPr>
                  <m:t>max</m:t>
                </m:r>
              </m:sub>
            </m:sSub>
            <m:r>
              <m:rPr>
                <m:sty m:val="p"/>
              </m:rPr>
              <m:t>−</m:t>
            </m:r>
            <m:r>
              <m:t>n</m:t>
            </m:r>
          </m:num>
          <m:den>
            <m:r>
              <m:t>n</m:t>
            </m:r>
            <m:r>
              <m:rPr>
                <m:sty m:val="p"/>
              </m:rPr>
              <m:t>−</m:t>
            </m:r>
            <m:r>
              <m:t>1</m:t>
            </m:r>
          </m:den>
        </m:f>
        <m:r>
          <m:rPr>
            <m:sty m:val="p"/>
          </m:rPr>
          <m:t>,</m:t>
        </m:r>
        <m:r>
          <m:t>  </m:t>
        </m:r>
        <m:r>
          <m:t>C</m:t>
        </m:r>
        <m:r>
          <m:t>R</m:t>
        </m:r>
        <m:r>
          <m:rPr>
            <m:sty m:val="p"/>
          </m:rPr>
          <m:t>=</m:t>
        </m:r>
        <m:f>
          <m:fPr>
            <m:type m:val="bar"/>
          </m:fPr>
          <m:num>
            <m:r>
              <m:t>C</m:t>
            </m:r>
            <m:r>
              <m:t>I</m:t>
            </m:r>
          </m:num>
          <m:den>
            <m:r>
              <m:t>R</m:t>
            </m:r>
            <m:r>
              <m:t>I</m:t>
            </m:r>
          </m:den>
        </m:f>
      </m:oMath>
      <w:r>
        <w:rPr>
          <w:rFonts w:ascii="Times New Roman" w:hAnsi="Times New Roman" w:eastAsia="仿宋_GB2312"/>
          <w:b w:val="0"/>
          <w:sz w:val="28"/>
        </w:rPr>
        <w:tab/>
        <w:t>（5-1）</w:t>
      </w:r>
    </w:p>
    <w:p>
      <w:pPr>
        <w:spacing w:before="0" w:after="0" w:line="560" w:lineRule="exact"/>
        <w:jc w:val="both"/>
        <w:ind w:firstLineChars="200" w:firstLine="200"/>
      </w:pPr>
      <w:r>
        <w:rPr>
          <w:rFonts w:ascii="Times New Roman" w:hAnsi="Times New Roman" w:eastAsia="仿宋_GB2312"/>
          <w:b w:val="0"/>
          <w:sz w:val="28"/>
        </w:rPr>
        <w:t>当CR小于0.10时，判断矩阵的一致性可接受。当前项目正式结果中尚无经专家确认的判断矩阵，因此本报告不虚构具体AHP权重值，也不利用未确认权重修改正式Rcap推荐。AHP结果后续可用于新片区指标采集优先级、相似片区筛选和规划人员辅助判断，但最终Rcap仍应由专项优化确认。</w:t>
      </w:r>
    </w:p>
    <w:p>
      <w:pPr>
        <w:pStyle w:val="3"/>
        <w:pageBreakBefore w:val="0"/>
        <w:jc w:val="left"/>
      </w:pPr>
      <w:bookmarkStart w:id="24" w:name="_TocReport0024"/>
      <w:r>
        <w:rPr>
          <w:rFonts w:ascii="Times New Roman" w:hAnsi="Times New Roman" w:eastAsia="仿宋_GB2312"/>
          <w:b/>
          <w:sz w:val="28"/>
        </w:rPr>
        <w:t>5.4 不同片区类型的容载比推荐区间及技术方案组合</w:t>
      </w:r>
      <w:bookmarkEnd w:id="24"/>
    </w:p>
    <w:p>
      <w:pPr>
        <w:spacing w:before="0" w:after="0" w:line="560" w:lineRule="exact"/>
        <w:jc w:val="both"/>
        <w:ind w:firstLineChars="200" w:firstLine="200"/>
      </w:pPr>
      <w:r>
        <w:rPr>
          <w:rFonts w:ascii="Times New Roman" w:hAnsi="Times New Roman" w:eastAsia="仿宋_GB2312"/>
          <w:b w:val="0"/>
          <w:sz w:val="28"/>
        </w:rPr>
        <w:t>正式敏感性分析覆盖17个情景，其中包含6个联合压力角点。对各情景5%近优Rcap集合求稳健交集后，QX-00001稳健近优下限为2.50，QX-00005为2.30；两者近优集合均延伸至扫描上界3.0，故当前不能识别推荐上限。</w:t>
      </w:r>
    </w:p>
    <w:p>
      <w:pPr>
        <w:spacing w:before="0" w:after="0" w:line="560" w:lineRule="exact"/>
        <w:jc w:val="both"/>
        <w:ind w:firstLineChars="200" w:firstLine="200"/>
      </w:pPr>
      <w:r>
        <w:rPr>
          <w:rFonts w:ascii="Times New Roman" w:hAnsi="Times New Roman" w:eastAsia="仿宋_GB2312"/>
          <w:b w:val="0"/>
          <w:sz w:val="28"/>
        </w:rPr>
        <w:t>基于现有样本，片区可分为三类：经济释放阈值型、容载比非主导型和技术约束优先型。当前仅两个样本形成数值推荐，不能据此构造具有统计推广能力的连续四维区间。表5-2因此定位为“样本支持参考矩阵”。</w:t>
      </w:r>
    </w:p>
    <w:p>
      <w:pPr>
        <w:pStyle w:val="12"/>
        <w:keepNext/>
        <w:spacing w:before="120" w:after="60" w:line="400" w:lineRule="exact"/>
        <w:jc w:val="center"/>
        <w:ind w:firstLine="0" w:firstLineChars="0"/>
      </w:pPr>
      <w:r>
        <w:rPr>
          <w:rFonts w:ascii="Times New Roman" w:hAnsi="Times New Roman" w:eastAsia="仿宋_GB2312"/>
          <w:b w:val="0"/>
          <w:sz w:val="24"/>
        </w:rPr>
        <w:t>表 5-2 弹性容载比样本支持参考矩阵</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87"/>
        <w:gridCol w:w="1187"/>
        <w:gridCol w:w="1187"/>
        <w:gridCol w:w="1187"/>
        <w:gridCol w:w="1187"/>
        <w:gridCol w:w="1187"/>
        <w:gridCol w:w="1187"/>
      </w:tblGrid>
      <w:tr>
        <w:trPr>
          <w:cantSplit/>
          <w:tblHeader w:val="true"/>
        </w:trPr>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应用条件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现状源荷规模比</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局部最大反向潮流比例</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线路统计负载余度</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正向峰值负荷年均变化率</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建议与技术方案</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当前样本</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Rcap建议不低于2.50；扩建与储能协同</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QX-00001</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Rcap建议不低于2.30；扩建与储能协同</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QX-00005</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1.523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0.126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-2.26%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4.19%</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Rcap非主导；按常规规划及局部技术条件处理</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QX-00003</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1.161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0.079</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24.43%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-0.51%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Rcap非主导；按常规规划处理</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QX-00004</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核心指标缺失</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缺失</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补充数据或专项优化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QX-00007</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完整技术可行性未满足</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专项校核</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技术约束优先，先解决设备、接入或网络问题</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QX-00008、QX-00009、QX-00010</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未覆盖组合</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开展专项Rcap扫描与工程优化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当前无样本</w:t>
            </w:r>
          </w:p>
        </w:tc>
      </w:tr>
    </w:tbl>
    <w:p>
      <w:pPr>
        <w:pStyle w:val="38"/>
        <w:jc w:val="center"/>
        <w:ind w:firstLine="0" w:firstLineChars="0"/>
      </w:pPr>
      <w:r>
        <w:drawing>
          <wp:inline xmlns:a="http://schemas.openxmlformats.org/drawingml/2006/main" xmlns:pic="http://schemas.openxmlformats.org/drawingml/2006/picture">
            <wp:extent cx="4968000" cy="5851200"/>
            <wp:docPr id="6" name="Picture 6"/>
            <wp:cNvGraphicFramePr>
              <a:graphicFrameLocks noChangeAspect="1"/>
            </wp:cNvGraphicFramePr>
            <a:graphic>
              <a:graphicData uri="http://schemas.openxmlformats.org/drawingml/2006/picture">
                <pic:pic>
                  <pic:nvPicPr>
                    <pic:cNvPr id="0" name="图8-1_工程应用流程.png"/>
                    <pic:cNvPicPr/>
                  </pic:nvPicPr>
                  <pic:blipFill>
                    <a:blip r:embed="rId18"/>
                    <a:stretch>
                      <a:fillRect/>
                    </a:stretch>
                  </pic:blipFill>
                  <pic:spPr>
                    <a:xfrm>
                      <a:off x="0" y="0"/>
                      <a:ext cx="4968000" cy="5851200"/>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5-1 弹性容载比工程应用流程</w:t>
      </w:r>
    </w:p>
    <w:p>
      <w:pPr>
        <w:spacing w:before="0" w:after="0" w:line="560" w:lineRule="exact"/>
        <w:jc w:val="both"/>
        <w:ind w:firstLineChars="200" w:firstLine="200"/>
      </w:pPr>
      <w:r>
        <w:rPr>
          <w:rFonts w:ascii="Times New Roman" w:hAnsi="Times New Roman" w:eastAsia="仿宋_GB2312"/>
          <w:b w:val="0"/>
          <w:sz w:val="28"/>
        </w:rPr>
        <w:t>图5-1给出了从技术可行性检查、核心指标计算、相似样本参考到专项Rcap优化的工程应用顺序。</w:t>
      </w:r>
    </w:p>
    <w:p>
      <w:pPr>
        <w:spacing w:before="0" w:after="0" w:line="560" w:lineRule="exact"/>
        <w:jc w:val="both"/>
        <w:ind w:firstLineChars="200" w:firstLine="200"/>
      </w:pPr>
      <w:r>
        <w:rPr>
          <w:rFonts w:ascii="Times New Roman" w:hAnsi="Times New Roman" w:eastAsia="仿宋_GB2312"/>
          <w:b w:val="0"/>
          <w:sz w:val="28"/>
        </w:rPr>
        <w:t>工程应用时，应先校核技术可行性，再利用4项核心指标查找可比片区。与数值推荐样本相似时，2.50或2.30仅作为Rcap扫描起点，最终控制值仍需专项计算。变电扩建应对正向峰值增长，储能承担局部反向功率调节，10 kV联络和转供改善局部容量分布，三类措施按片区主要矛盾组合。</w:t>
      </w:r>
    </w:p>
    <w:p>
      <w:pPr>
        <w:pStyle w:val="2"/>
        <w:pageBreakBefore/>
        <w:jc w:val="left"/>
      </w:pPr>
      <w:bookmarkStart w:id="25" w:name="_TocReport0025"/>
      <w:r>
        <w:rPr>
          <w:rFonts w:ascii="Times New Roman" w:hAnsi="Times New Roman" w:eastAsia="仿宋_GB2312"/>
          <w:b/>
          <w:sz w:val="36"/>
        </w:rPr>
        <w:t>第六章 典型案例验证</w:t>
      </w:r>
      <w:bookmarkEnd w:id="25"/>
    </w:p>
    <w:p>
      <w:pPr>
        <w:pStyle w:val="3"/>
        <w:pageBreakBefore w:val="0"/>
        <w:jc w:val="left"/>
      </w:pPr>
      <w:bookmarkStart w:id="26" w:name="_TocReport0026"/>
      <w:r>
        <w:rPr>
          <w:rFonts w:ascii="Times New Roman" w:hAnsi="Times New Roman" w:eastAsia="仿宋_GB2312"/>
          <w:b/>
          <w:sz w:val="28"/>
        </w:rPr>
        <w:t>6.1 刚性规划方案复盘（以某高渗透率片区为例）</w:t>
      </w:r>
      <w:bookmarkEnd w:id="26"/>
    </w:p>
    <w:p>
      <w:pPr>
        <w:spacing w:before="0" w:after="0" w:line="560" w:lineRule="exact"/>
        <w:jc w:val="both"/>
        <w:ind w:firstLineChars="200" w:firstLine="200"/>
      </w:pPr>
      <w:r>
        <w:rPr>
          <w:rFonts w:ascii="Times New Roman" w:hAnsi="Times New Roman" w:eastAsia="仿宋_GB2312"/>
          <w:b w:val="0"/>
          <w:sz w:val="28"/>
        </w:rPr>
        <w:t>选取QX-00005作为主要验证案例。该片区现状源荷规模比为1.527，正向峰值负荷年均变化率为6.92%，且具备正式2025年8760小时连续时序资料，是当前样本中时序证据最完整的高渗透片区。</w:t>
      </w:r>
    </w:p>
    <w:p>
      <w:pPr>
        <w:spacing w:before="0" w:after="0" w:line="560" w:lineRule="exact"/>
        <w:jc w:val="both"/>
        <w:ind w:firstLineChars="200" w:firstLine="200"/>
      </w:pPr>
      <w:r>
        <w:rPr>
          <w:rFonts w:ascii="Times New Roman" w:hAnsi="Times New Roman" w:eastAsia="仿宋_GB2312"/>
          <w:b w:val="0"/>
          <w:sz w:val="28"/>
        </w:rPr>
        <w:t>Rcap=2.0时，存量容量豁免后的新增容量上限使规划期不能新增50 MVA变电容量。为满足局部功率调节与时序约束，2025年需配置962个储能模块，即96.2 MW/206.830 MWh，规划期累计在役等年成本达到3359.0522万元。该结果说明刚性控制并不是降低实际物理容载比本身，而是通过限制新增容量改变措施组合。</w:t>
      </w:r>
    </w:p>
    <w:p>
      <w:pPr>
        <w:pStyle w:val="3"/>
        <w:pageBreakBefore w:val="0"/>
        <w:jc w:val="left"/>
      </w:pPr>
      <w:bookmarkStart w:id="27" w:name="_TocReport0027"/>
      <w:r>
        <w:rPr>
          <w:rFonts w:ascii="Times New Roman" w:hAnsi="Times New Roman" w:eastAsia="仿宋_GB2312"/>
          <w:b/>
          <w:sz w:val="28"/>
        </w:rPr>
        <w:t>6.2 含反向承载力校核的弹性容载比方案设计与对比</w:t>
      </w:r>
      <w:bookmarkEnd w:id="27"/>
    </w:p>
    <w:p>
      <w:pPr>
        <w:spacing w:before="0" w:after="0" w:line="560" w:lineRule="exact"/>
        <w:jc w:val="both"/>
        <w:ind w:firstLineChars="200" w:firstLine="200"/>
      </w:pPr>
      <w:r>
        <w:rPr>
          <w:rFonts w:ascii="Times New Roman" w:hAnsi="Times New Roman" w:eastAsia="仿宋_GB2312"/>
          <w:b w:val="0"/>
          <w:sz w:val="28"/>
        </w:rPr>
        <w:t>在无上限弹性方案下，QX-00005新增50 MVA变电容量，储能规模降至465个模块，即46.5 MW/99.975 MWh，2025年实际物理容载比为2.1715720，规划期累计在役等年成本为1745.5283万元。与Rcap=2.0相比，储能减少497个模块，累计成本减少1613.5239万元。</w:t>
      </w:r>
    </w:p>
    <w:p>
      <w:pPr>
        <w:spacing w:before="0" w:after="0" w:line="560" w:lineRule="exact"/>
        <w:jc w:val="both"/>
        <w:ind w:firstLineChars="200" w:firstLine="200"/>
      </w:pPr>
      <w:r>
        <w:rPr>
          <w:rFonts w:ascii="Times New Roman" w:hAnsi="Times New Roman" w:eastAsia="仿宋_GB2312"/>
          <w:b w:val="0"/>
          <w:sz w:val="28"/>
        </w:rPr>
        <w:t>局部细化表明其经济释放阈值为2.171～2.172；在正式敏感性情景5%近优集合上求稳健交集后，推荐下限为2.30。该下限高于单一基准情景的局部释放位置，为经济参数、功率因数、反向允许系数、净负荷尺度和工程成本变化预留了稳健余量。两场景的主要对比结果见表6-1。</w:t>
      </w:r>
    </w:p>
    <w:p>
      <w:pPr>
        <w:pStyle w:val="12"/>
        <w:keepNext/>
        <w:spacing w:before="120" w:after="60" w:line="400" w:lineRule="exact"/>
        <w:jc w:val="center"/>
        <w:ind w:firstLine="0" w:firstLineChars="0"/>
      </w:pPr>
      <w:r>
        <w:rPr>
          <w:rFonts w:ascii="Times New Roman" w:hAnsi="Times New Roman" w:eastAsia="仿宋_GB2312"/>
          <w:b w:val="0"/>
          <w:sz w:val="24"/>
        </w:rPr>
        <w:t>表 6-1 QX-00005刚性与弹性方案验证结果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Rcap=2.0刚性方案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无上限弹性方案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对比结果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2025年实际物理容载比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2.1192953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2.1715720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弹性方案允许合理新增容量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新增变电容量/MVA</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增加50</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储能模块/个</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减少497</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储能功率/MW</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减少49.7</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储能容量/MWh</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206.830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99.975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减少106.855</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2022—2025年累计在役等年成本/万元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3359.0522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1745.5283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减少1613.5239</w:t>
            </w:r>
          </w:p>
        </w:tc>
      </w:tr>
    </w:tbl>
    <w:p>
      <w:pPr>
        <w:pStyle w:val="3"/>
        <w:pageBreakBefore w:val="0"/>
        <w:jc w:val="left"/>
      </w:pPr>
      <w:bookmarkStart w:id="28" w:name="_TocReport0028"/>
      <w:r>
        <w:rPr>
          <w:rFonts w:ascii="Times New Roman" w:hAnsi="Times New Roman" w:eastAsia="仿宋_GB2312"/>
          <w:b/>
          <w:sz w:val="28"/>
        </w:rPr>
        <w:t>6.3 效果评估与方法有效性验证</w:t>
      </w:r>
      <w:bookmarkEnd w:id="28"/>
    </w:p>
    <w:p>
      <w:pPr>
        <w:spacing w:before="0" w:after="0" w:line="560" w:lineRule="exact"/>
        <w:jc w:val="both"/>
        <w:ind w:firstLineChars="200" w:firstLine="200"/>
      </w:pPr>
      <w:r>
        <w:rPr>
          <w:rFonts w:ascii="Times New Roman" w:hAnsi="Times New Roman" w:eastAsia="仿宋_GB2312"/>
          <w:b w:val="0"/>
          <w:sz w:val="28"/>
        </w:rPr>
        <w:t>除QX-00005外，QX-00001形成相同类型的经济释放响应：Rcap=2.0时储能由无上限方案的19个模块增加至138个，累计成本由188.1800万元增至481.9566万元；其局部经济释放阈值为2.359～2.360，稳健近优下限为2.50。两个独立片区均说明，在正向负荷持续增长且技术条件允许扩建时，过紧的新增容量控制可能造成较高的储能替代成本。</w:t>
      </w:r>
    </w:p>
    <w:p>
      <w:pPr>
        <w:spacing w:before="0" w:after="0" w:line="560" w:lineRule="exact"/>
        <w:jc w:val="both"/>
        <w:ind w:firstLineChars="200" w:firstLine="200"/>
      </w:pPr>
      <w:r>
        <w:rPr>
          <w:rFonts w:ascii="Times New Roman" w:hAnsi="Times New Roman" w:eastAsia="仿宋_GB2312"/>
          <w:b w:val="0"/>
          <w:sz w:val="28"/>
        </w:rPr>
        <w:t>与此同时，QX-00003、QX-00004和QX-00007的Rcap扫描没有改变正式规划方案，QX-00008～QX-00010则在无上限条件下仍存在技术可行性问题。这些反例说明本方法并非预设“所有高渗透片区都应放宽容载比”，而是先识别Rcap是否为主导约束，再决定是否讨论数值建议。</w:t>
      </w:r>
    </w:p>
    <w:p>
      <w:pPr>
        <w:spacing w:before="0" w:after="0" w:line="560" w:lineRule="exact"/>
        <w:jc w:val="both"/>
        <w:ind w:firstLineChars="200" w:firstLine="200"/>
      </w:pPr>
      <w:r>
        <w:rPr>
          <w:rFonts w:ascii="Times New Roman" w:hAnsi="Times New Roman" w:eastAsia="仿宋_GB2312"/>
          <w:b w:val="0"/>
          <w:sz w:val="28"/>
        </w:rPr>
        <w:t>表6-2将当前样本重新输入参考矩阵，用于检查报告映射与正式优化结论是否一致。该检查由同一批样本构建并回代，只能称为样本内一致性检查，不属于独立、交叉或外部验证。</w:t>
      </w:r>
    </w:p>
    <w:p>
      <w:pPr>
        <w:pStyle w:val="12"/>
        <w:keepNext/>
        <w:spacing w:before="120" w:after="60" w:line="400" w:lineRule="exact"/>
        <w:jc w:val="center"/>
        <w:ind w:firstLine="0" w:firstLineChars="0"/>
      </w:pPr>
      <w:r>
        <w:rPr>
          <w:rFonts w:ascii="Times New Roman" w:hAnsi="Times New Roman" w:eastAsia="仿宋_GB2312"/>
          <w:b w:val="0"/>
          <w:sz w:val="24"/>
        </w:rPr>
        <w:t>表 6-2 样本回代一致性检查</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参考矩阵输出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正式优化结论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状态</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不低于2.50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稳健近优下限2.50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不低于2.30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稳健近优下限2.30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数据不足，转专项分析</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正式个案为非主导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数据例外</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无上限未形成完整可行路径</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无上限未形成完整可行路径</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无上限未形成完整可行路径</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bl>
    <w:p>
      <w:pPr>
        <w:spacing w:before="0" w:after="0" w:line="560" w:lineRule="exact"/>
        <w:jc w:val="both"/>
        <w:ind w:firstLineChars="200" w:firstLine="200"/>
      </w:pPr>
      <w:r>
        <w:rPr>
          <w:rFonts w:ascii="Times New Roman" w:hAnsi="Times New Roman" w:eastAsia="仿宋_GB2312"/>
          <w:b w:val="0"/>
          <w:sz w:val="28"/>
        </w:rPr>
        <w:t>当前验证支持方法的工程解释能力，但不能证明四项指标到Rcap建议之间已经形成可外推的连续边界。后续应增加独立片区及完整同步源荷时序，采用留出样本或跨片区验证评估推广能力。</w:t>
      </w:r>
    </w:p>
    <w:p>
      <w:pPr>
        <w:pStyle w:val="2"/>
        <w:pageBreakBefore/>
        <w:jc w:val="left"/>
      </w:pPr>
      <w:bookmarkStart w:id="29" w:name="_TocReport0029"/>
      <w:r>
        <w:rPr>
          <w:rFonts w:ascii="Times New Roman" w:hAnsi="Times New Roman" w:eastAsia="仿宋_GB2312"/>
          <w:b/>
          <w:sz w:val="36"/>
        </w:rPr>
        <w:t>第七章 结论与展望</w:t>
      </w:r>
      <w:bookmarkEnd w:id="29"/>
    </w:p>
    <w:p>
      <w:pPr>
        <w:spacing w:before="0" w:after="0" w:line="560" w:lineRule="exact"/>
        <w:jc w:val="both"/>
        <w:ind w:firstLineChars="200" w:firstLine="200"/>
      </w:pPr>
      <w:r>
        <w:rPr>
          <w:rFonts w:ascii="Times New Roman" w:hAnsi="Times New Roman" w:eastAsia="仿宋_GB2312"/>
          <w:b w:val="0"/>
          <w:sz w:val="28"/>
        </w:rPr>
        <w:t>本研究严格围绕开题报告确定的研究框架，在2021年实际在役资产共同起点上开展110 kV片区弹性容载比规划分析，主要结论如下。</w:t>
      </w:r>
    </w:p>
    <w:p>
      <w:pPr>
        <w:spacing w:before="0" w:after="0" w:line="560" w:lineRule="exact"/>
        <w:jc w:val="both"/>
        <w:ind w:firstLineChars="200" w:firstLine="200"/>
      </w:pPr>
      <w:r>
        <w:rPr>
          <w:rFonts w:ascii="Times New Roman" w:hAnsi="Times New Roman" w:eastAsia="仿宋_GB2312"/>
          <w:b w:val="0"/>
          <w:sz w:val="28"/>
        </w:rPr>
        <w:t>（1）实际物理容载比与弹性规划控制值应分开定义。实际物理容载比采用变电总容量除以规划路径内重新计算的同期正向年最大供电负荷；Rcap只约束规划期新增变电容量，既有资产执行存量容量豁免。反向潮流不并入传统容载比分母，而通过独立指标、设备条件与储能功率平衡处理。</w:t>
      </w:r>
    </w:p>
    <w:p>
      <w:pPr>
        <w:spacing w:before="0" w:after="0" w:line="560" w:lineRule="exact"/>
        <w:jc w:val="both"/>
        <w:ind w:firstLineChars="200" w:firstLine="200"/>
      </w:pPr>
      <w:r>
        <w:rPr>
          <w:rFonts w:ascii="Times New Roman" w:hAnsi="Times New Roman" w:eastAsia="仿宋_GB2312"/>
          <w:b w:val="0"/>
          <w:sz w:val="28"/>
        </w:rPr>
        <w:t>（2）正式经济目标为2022—2025年规划期累计在役等年成本，而不是单一年份的“年化规划成本”。QX-00001和QX-00005在Rcap较紧时均因合理扩建受限而显著增加储能配置，说明容载比控制会通过工程措施替代关系影响规划经济性。</w:t>
      </w:r>
    </w:p>
    <w:p>
      <w:pPr>
        <w:spacing w:before="0" w:after="0" w:line="560" w:lineRule="exact"/>
        <w:jc w:val="both"/>
        <w:ind w:firstLineChars="200" w:firstLine="200"/>
      </w:pPr>
      <w:r>
        <w:rPr>
          <w:rFonts w:ascii="Times New Roman" w:hAnsi="Times New Roman" w:eastAsia="仿宋_GB2312"/>
          <w:b w:val="0"/>
          <w:sz w:val="28"/>
        </w:rPr>
        <w:t>（3）QX-00001的局部经济释放阈值为2.359～2.360，正式敏感性情景5%近优集合的稳健下限为2.50；QX-00005的局部阈值为2.171～2.172，稳健下限为2.30。两者扫描至3.0均未识别上限，因此正式建议只给下限，不补造闭区间。</w:t>
      </w:r>
    </w:p>
    <w:p>
      <w:pPr>
        <w:spacing w:before="0" w:after="0" w:line="560" w:lineRule="exact"/>
        <w:jc w:val="both"/>
        <w:ind w:firstLineChars="200" w:firstLine="200"/>
      </w:pPr>
      <w:r>
        <w:rPr>
          <w:rFonts w:ascii="Times New Roman" w:hAnsi="Times New Roman" w:eastAsia="仿宋_GB2312"/>
          <w:b w:val="0"/>
          <w:sz w:val="28"/>
        </w:rPr>
        <w:t>（4）QX-00003、QX-00004和QX-00007在当前研究范围内容载比控制不是主导约束；QX-00008、QX-00009和QX-00010应优先解决设备、网络、接入位置或时序技术条件。由此，“一片一策”的核心不是为所有片区配置不同数值，而是首先识别约束类型，再确定数值控制与工程措施组合。</w:t>
      </w:r>
    </w:p>
    <w:p>
      <w:pPr>
        <w:spacing w:before="0" w:after="0" w:line="560" w:lineRule="exact"/>
        <w:jc w:val="both"/>
        <w:ind w:firstLineChars="200" w:firstLine="200"/>
      </w:pPr>
      <w:r>
        <w:rPr>
          <w:rFonts w:ascii="Times New Roman" w:hAnsi="Times New Roman" w:eastAsia="仿宋_GB2312"/>
          <w:b w:val="0"/>
          <w:sz w:val="28"/>
        </w:rPr>
        <w:t>（5）最终保留现状源荷规模比、局部最大反向潮流比例、110 kV线路统计负载余度和正向峰值负荷年均变化率4项核心指标。当前数值推荐只有2个正式样本，不能形成具有外推能力的连续四维区间；现阶段参考矩阵用于片区特征描述和相似样本检索，最终Rcap仍需由专项规划优化确认。</w:t>
      </w:r>
    </w:p>
    <w:p>
      <w:pPr>
        <w:spacing w:before="0" w:after="0" w:line="560" w:lineRule="exact"/>
        <w:jc w:val="both"/>
        <w:ind w:firstLineChars="200" w:firstLine="200"/>
      </w:pPr>
      <w:r>
        <w:rPr>
          <w:rFonts w:ascii="Times New Roman" w:hAnsi="Times New Roman" w:eastAsia="仿宋_GB2312"/>
          <w:b w:val="0"/>
          <w:sz w:val="28"/>
        </w:rPr>
        <w:t>后续研究重点包括：补充更多片区的统一基准年源荷同步时序和8760小时连续数据；完善10 kV拓扑、阻抗、运行方式和网络互济资料并开展专项交流潮流校核；按照开题框架组织正式专家AHP判断矩阵并完成一致性检验，但保持其辅助决策定位，不用主观权重替代规划优化；随独立样本增加重新识别连续适用边界，并通过留出样本、跨片区回测和年度滚动规划持续检验方法的工程推广性。</w:t>
      </w:r>
    </w:p>
    <w:p>
      <w:pPr>
        <w:pStyle w:val="2"/>
        <w:pageBreakBefore/>
        <w:jc w:val="left"/>
      </w:pPr>
      <w:bookmarkStart w:id="30" w:name="_TocReport0030"/>
      <w:r>
        <w:rPr>
          <w:rFonts w:ascii="Times New Roman" w:hAnsi="Times New Roman" w:eastAsia="仿宋_GB2312"/>
          <w:b/>
          <w:sz w:val="36"/>
        </w:rPr>
        <w:t>参考文献</w:t>
      </w:r>
      <w:bookmarkEnd w:id="30"/>
    </w:p>
    <w:p>
      <w:pPr>
        <w:spacing w:before="0" w:after="0" w:line="560" w:lineRule="exact"/>
        <w:jc w:val="both"/>
        <w:ind w:leftChars="200" w:hangingChars="200" w:left="560" w:hanging="560"/>
      </w:pPr>
      <w:r>
        <w:rPr>
          <w:rFonts w:ascii="Times New Roman" w:hAnsi="Times New Roman" w:eastAsia="仿宋_GB2312"/>
          <w:b w:val="0"/>
          <w:sz w:val="28"/>
        </w:rPr>
        <w:t>[1] 国家能源局. 2025年可再生能源并网运行情况[EB/OL]. 2026-02-12.</w:t>
      </w:r>
    </w:p>
    <w:p>
      <w:pPr>
        <w:spacing w:before="0" w:after="0" w:line="560" w:lineRule="exact"/>
        <w:jc w:val="both"/>
        <w:ind w:leftChars="200" w:hangingChars="200" w:left="560" w:hanging="560"/>
      </w:pPr>
      <w:r>
        <w:rPr>
          <w:rFonts w:ascii="Times New Roman" w:hAnsi="Times New Roman" w:eastAsia="仿宋_GB2312"/>
          <w:b w:val="0"/>
          <w:sz w:val="28"/>
        </w:rPr>
        <w:t>[2] 国家发展改革委, 国家能源局. 关于新形势下配电网高质量发展的指导意见：发改能源〔2024〕187号[Z]. 2024.</w:t>
      </w:r>
    </w:p>
    <w:p>
      <w:pPr>
        <w:spacing w:before="0" w:after="0" w:line="560" w:lineRule="exact"/>
        <w:jc w:val="both"/>
        <w:ind w:leftChars="200" w:hangingChars="200" w:left="560" w:hanging="560"/>
      </w:pPr>
      <w:r>
        <w:rPr>
          <w:rFonts w:ascii="Times New Roman" w:hAnsi="Times New Roman" w:eastAsia="仿宋_GB2312"/>
          <w:b w:val="0"/>
          <w:sz w:val="28"/>
        </w:rPr>
        <w:t>[3] 国家发展改革委, 国家能源局. 加快构建新型电力系统行动方案（2024—2027年）[Z]. 2024.</w:t>
      </w:r>
    </w:p>
    <w:p>
      <w:pPr>
        <w:spacing w:before="0" w:after="0" w:line="560" w:lineRule="exact"/>
        <w:jc w:val="both"/>
        <w:ind w:leftChars="200" w:hangingChars="200" w:left="560" w:hanging="560"/>
      </w:pPr>
      <w:r>
        <w:rPr>
          <w:rFonts w:ascii="Times New Roman" w:hAnsi="Times New Roman" w:eastAsia="仿宋_GB2312"/>
          <w:b w:val="0"/>
          <w:sz w:val="28"/>
        </w:rPr>
        <w:t>[4] 国家能源局. 配电网高质量发展行动实施方案（2024—2027年）[Z]. 2024.</w:t>
      </w:r>
    </w:p>
    <w:p>
      <w:pPr>
        <w:spacing w:before="0" w:after="0" w:line="560" w:lineRule="exact"/>
        <w:jc w:val="both"/>
        <w:ind w:leftChars="200" w:hangingChars="200" w:left="560" w:hanging="560"/>
      </w:pPr>
      <w:r>
        <w:rPr>
          <w:rFonts w:ascii="Times New Roman" w:hAnsi="Times New Roman" w:eastAsia="仿宋_GB2312"/>
          <w:b w:val="0"/>
          <w:sz w:val="28"/>
        </w:rPr>
        <w:t>[5] DL/T 5729—2023 配电网规划设计技术导则[S].</w:t>
      </w:r>
    </w:p>
    <w:p>
      <w:pPr>
        <w:spacing w:before="0" w:after="0" w:line="560" w:lineRule="exact"/>
        <w:jc w:val="both"/>
        <w:ind w:leftChars="200" w:hangingChars="200" w:left="560" w:hanging="560"/>
      </w:pPr>
      <w:r>
        <w:rPr>
          <w:rFonts w:ascii="Times New Roman" w:hAnsi="Times New Roman" w:eastAsia="仿宋_GB2312"/>
          <w:b w:val="0"/>
          <w:sz w:val="28"/>
        </w:rPr>
        <w:t>[6] DL/T 2041—2025 分布式电源接入电力系统承载力评估导则[S].</w:t>
      </w:r>
    </w:p>
    <w:p>
      <w:pPr>
        <w:spacing w:before="0" w:after="0" w:line="560" w:lineRule="exact"/>
        <w:jc w:val="both"/>
        <w:ind w:leftChars="200" w:hangingChars="200" w:left="560" w:hanging="560"/>
      </w:pPr>
      <w:r>
        <w:rPr>
          <w:rFonts w:ascii="Times New Roman" w:hAnsi="Times New Roman" w:eastAsia="仿宋_GB2312"/>
          <w:b w:val="0"/>
          <w:sz w:val="28"/>
        </w:rPr>
        <w:t>[7] LIN T, WU G, LAI S, et al. Calculation of distribution network PV hosting capacity considering source-load uncertainty and active management[J]. Electronics, 2024, 13(20): 4048.</w:t>
      </w:r>
    </w:p>
    <w:p>
      <w:pPr>
        <w:spacing w:before="0" w:after="0" w:line="560" w:lineRule="exact"/>
        <w:jc w:val="both"/>
        <w:ind w:leftChars="200" w:hangingChars="200" w:left="560" w:hanging="560"/>
      </w:pPr>
      <w:r>
        <w:rPr>
          <w:rFonts w:ascii="Times New Roman" w:hAnsi="Times New Roman" w:eastAsia="仿宋_GB2312"/>
          <w:b w:val="0"/>
          <w:sz w:val="28"/>
        </w:rPr>
        <w:t>[8] CHEN C, PENG W, XIE C, et al. Photovoltaic hosting capacity assessment of distribution networks considering source-load uncertainty[J]. Energies, 2025, 18(8): 2134.</w:t>
      </w:r>
    </w:p>
    <w:p>
      <w:pPr>
        <w:spacing w:before="0" w:after="0" w:line="560" w:lineRule="exact"/>
        <w:jc w:val="both"/>
        <w:ind w:leftChars="200" w:hangingChars="200" w:left="560" w:hanging="560"/>
      </w:pPr>
      <w:r>
        <w:rPr>
          <w:rFonts w:ascii="Times New Roman" w:hAnsi="Times New Roman" w:eastAsia="仿宋_GB2312"/>
          <w:b w:val="0"/>
          <w:sz w:val="28"/>
        </w:rPr>
        <w:t>[9] MAJEED I B, NWULU N I. Impact of reverse power flow on distributed transformers in a solar-photovoltaic-integrated low-voltage network[J]. Energies, 2022, 15(23): 9238.</w:t>
      </w:r>
    </w:p>
    <w:p>
      <w:pPr>
        <w:spacing w:before="0" w:after="0" w:line="560" w:lineRule="exact"/>
        <w:jc w:val="both"/>
        <w:ind w:leftChars="200" w:hangingChars="200" w:left="560" w:hanging="560"/>
      </w:pPr>
      <w:r>
        <w:rPr>
          <w:rFonts w:ascii="Times New Roman" w:hAnsi="Times New Roman" w:eastAsia="仿宋_GB2312"/>
          <w:b w:val="0"/>
          <w:sz w:val="28"/>
        </w:rPr>
        <w:t>[10] HOU Q, ZHANG N, DU E, et al. Probabilistic duck curve in high PV penetration power system: concept, modeling, and empirical analysis in China[J]. Applied Energy, 2019, 242: 205-215.</w:t>
      </w:r>
    </w:p>
    <w:p>
      <w:pPr>
        <w:spacing w:before="0" w:after="0" w:line="560" w:lineRule="exact"/>
        <w:jc w:val="both"/>
        <w:ind w:leftChars="200" w:hangingChars="200" w:left="560" w:hanging="560"/>
      </w:pPr>
      <w:r>
        <w:rPr>
          <w:rFonts w:ascii="Times New Roman" w:hAnsi="Times New Roman" w:eastAsia="仿宋_GB2312"/>
          <w:b w:val="0"/>
          <w:sz w:val="28"/>
        </w:rPr>
        <w:t>[11] WANG R, JI H, LI P, et al. Multi-resource dynamic coordinated planning of flexible distribution network[J]. Nature Communications, 2024, 15: 4576.</w:t>
      </w:r>
    </w:p>
    <w:p>
      <w:pPr>
        <w:spacing w:before="0" w:after="0" w:line="560" w:lineRule="exact"/>
        <w:jc w:val="both"/>
        <w:ind w:leftChars="200" w:hangingChars="200" w:left="560" w:hanging="560"/>
      </w:pPr>
      <w:r>
        <w:rPr>
          <w:rFonts w:ascii="Times New Roman" w:hAnsi="Times New Roman" w:eastAsia="仿宋_GB2312"/>
          <w:b w:val="0"/>
          <w:sz w:val="28"/>
        </w:rPr>
        <w:t>[12] MARTÍNEZ M, MATEO C, GÓMEZ T, et al. Distributed battery energy storage systems for deferring distribution network reinforcements under sustained load growth scenarios[J]. Journal of Energy Storage, 2024, 100: 113404.</w:t>
      </w:r>
    </w:p>
    <w:p>
      <w:pPr>
        <w:spacing w:before="0" w:after="0" w:line="560" w:lineRule="exact"/>
        <w:jc w:val="both"/>
        <w:ind w:leftChars="200" w:hangingChars="200" w:left="560" w:hanging="560"/>
      </w:pPr>
      <w:r>
        <w:rPr>
          <w:rFonts w:ascii="Times New Roman" w:hAnsi="Times New Roman" w:eastAsia="仿宋_GB2312"/>
          <w:b w:val="0"/>
          <w:sz w:val="28"/>
        </w:rPr>
        <w:t>[13] 肖峻, 刘柔嘉, 龙梦皓. 变电容载比与下一级中压配电网络关系的量化分析[J]. 电力建设, 2015, 36(11): 45-50.</w:t>
      </w:r>
    </w:p>
    <w:p>
      <w:pPr>
        <w:spacing w:before="0" w:after="0" w:line="560" w:lineRule="exact"/>
        <w:jc w:val="both"/>
        <w:ind w:leftChars="200" w:hangingChars="200" w:left="560" w:hanging="560"/>
      </w:pPr>
      <w:r>
        <w:rPr>
          <w:rFonts w:ascii="Times New Roman" w:hAnsi="Times New Roman" w:eastAsia="仿宋_GB2312"/>
          <w:b w:val="0"/>
          <w:sz w:val="28"/>
        </w:rPr>
        <w:t>[14] 陈浩, 张焰, 俞国勤, 等. 多电压等级配电网最优容载比的计算方法[J]. 电气应用, 2011, 30(1): 25-29.</w:t>
      </w:r>
    </w:p>
    <w:p>
      <w:pPr>
        <w:spacing w:before="0" w:after="0" w:line="560" w:lineRule="exact"/>
        <w:jc w:val="both"/>
        <w:ind w:leftChars="200" w:hangingChars="200" w:left="560" w:hanging="560"/>
      </w:pPr>
      <w:r>
        <w:rPr>
          <w:rFonts w:ascii="Times New Roman" w:hAnsi="Times New Roman" w:eastAsia="仿宋_GB2312"/>
          <w:b w:val="0"/>
          <w:sz w:val="28"/>
        </w:rPr>
        <w:t>[15] 王凯亮, 何卓怡, 叶健鹏, 等. 多电压等级电网协同规划的容载比优化配置方法[J]. 南方电网技术, 2025, 19(7): 131-139.</w:t>
      </w:r>
    </w:p>
    <w:p>
      <w:pPr>
        <w:spacing w:before="0" w:after="0" w:line="560" w:lineRule="exact"/>
        <w:jc w:val="both"/>
        <w:ind w:leftChars="200" w:hangingChars="200" w:left="560" w:hanging="560"/>
      </w:pPr>
      <w:r>
        <w:rPr>
          <w:rFonts w:ascii="Times New Roman" w:hAnsi="Times New Roman" w:eastAsia="仿宋_GB2312"/>
          <w:b w:val="0"/>
          <w:sz w:val="28"/>
        </w:rPr>
        <w:t>[16] 刘炜彬, 梁咏秋, 李锡刚, 等. 面向精细化规划的容载比参数优化方法研究[J]. 电气工程学报, 2025, 20(1): 208-217.</w:t>
      </w:r>
    </w:p>
    <w:p>
      <w:pPr>
        <w:spacing w:before="0" w:after="0" w:line="560" w:lineRule="exact"/>
        <w:jc w:val="both"/>
        <w:ind w:leftChars="200" w:hangingChars="200" w:left="560" w:hanging="560"/>
      </w:pPr>
      <w:r>
        <w:rPr>
          <w:rFonts w:ascii="Times New Roman" w:hAnsi="Times New Roman" w:eastAsia="仿宋_GB2312"/>
          <w:b w:val="0"/>
          <w:sz w:val="28"/>
        </w:rPr>
        <w:t>[17] 王守相, 尹孜阳, 赵倩宇. 考虑多供电层级耦合的中低压配电网分布式光伏承载力一体化精细评估方法[J]. 电工技术学报, 2025, 40(6): 1930-1944.</w:t>
      </w:r>
    </w:p>
    <w:p>
      <w:pPr>
        <w:spacing w:before="0" w:after="0" w:line="560" w:lineRule="exact"/>
        <w:jc w:val="both"/>
        <w:ind w:leftChars="200" w:hangingChars="200" w:left="560" w:hanging="560"/>
      </w:pPr>
      <w:r>
        <w:rPr>
          <w:rFonts w:ascii="Times New Roman" w:hAnsi="Times New Roman" w:eastAsia="仿宋_GB2312"/>
          <w:b w:val="0"/>
          <w:sz w:val="28"/>
        </w:rPr>
        <w:t>[18] 龚锐, 李华强, 许立雄. 面向配电网综合承载力提升的储能优化配置方法[J]. 电网技术, 2025, 49(9): 3860-3869.</w:t>
      </w:r>
    </w:p>
    <w:p>
      <w:pPr>
        <w:spacing w:before="0" w:after="0" w:line="560" w:lineRule="exact"/>
        <w:jc w:val="both"/>
        <w:ind w:leftChars="200" w:hangingChars="200" w:left="560" w:hanging="560"/>
      </w:pPr>
      <w:r>
        <w:rPr>
          <w:rFonts w:ascii="Times New Roman" w:hAnsi="Times New Roman" w:eastAsia="仿宋_GB2312"/>
          <w:b w:val="0"/>
          <w:sz w:val="28"/>
        </w:rPr>
        <w:t>[19] 梁志峰, 康重庆, 隋凌峰, 等. 含高比例分布式光伏的主配网运行风险评估与防控策略研究[J]. 清华大学学报（自然科学版）, 2024, 64(11): 1964-1978.</w:t>
      </w:r>
    </w:p>
    <w:p>
      <w:pPr>
        <w:spacing w:before="0" w:after="0" w:line="560" w:lineRule="exact"/>
        <w:jc w:val="both"/>
        <w:ind w:leftChars="200" w:hangingChars="200" w:left="560" w:hanging="560"/>
      </w:pPr>
      <w:r>
        <w:rPr>
          <w:rFonts w:ascii="Times New Roman" w:hAnsi="Times New Roman" w:eastAsia="仿宋_GB2312"/>
          <w:b w:val="0"/>
          <w:sz w:val="28"/>
        </w:rPr>
        <w:t>[20] 徐峰亮, 王克谦, 等. 计及运行灵活性的中压配电系统源—网—储协同扩展规划[J]. 中国电力, 2024, 57(7): 98-108.</w:t>
      </w:r>
    </w:p>
    <w:sectPr>
      <w:headerReference w:type="default" r:id="rId11"/>
      <w:footerReference w:type="default" r:id="rId12"/>
      <w:pgSz w:w="11906" w:h="16838"/>
      <w:pgMar w:top="1440" w:right="1797" w:bottom="1440" w:left="1797" w:header="851" w:footer="992" w:gutter="0"/>
      <w:pgNumType w:fmt="numberInDash" w:start="1"/>
      <w:cols w:space="425" w:num="1"/>
      <w:docGrid w:linePitch="43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Times">
    <w:altName w:val="Sylfaen"/>
    <w:panose1 w:val="02020603050405020304"/>
    <w:charset w:val="00"/>
    <w:family w:val="roman"/>
    <w:pitch w:val="default"/>
    <w:sig w:usb0="00000000" w:usb1="00000000" w:usb2="00000009" w:usb3="00000000" w:csb0="000001FF" w:csb1="00000000"/>
  </w:font>
  <w:font w:name="方正仿宋_GBK">
    <w:panose1 w:val="03000509000000000000"/>
    <w:charset w:val="86"/>
    <w:family w:val="script"/>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lfaen">
    <w:panose1 w:val="010A0502050306030303"/>
    <w:charset w:val="00"/>
    <w:family w:val="auto"/>
    <w:pitch w:val="default"/>
    <w:sig w:usb0="04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61619583"/>
      <w:docPartObj>
        <w:docPartGallery w:val="autotext"/>
      </w:docPartObj>
    </w:sdtPr>
    <w:sdtContent>
      <w:p>
        <w:pPr>
          <w:pStyle w:val="17"/>
          <w:ind w:firstLine="360"/>
          <w:jc w:val="center"/>
        </w:pPr>
        <w:r>
          <w:fldChar w:fldCharType="begin"/>
        </w:r>
        <w:r>
          <w:instrText xml:space="preserve">PAGE   \* MERGEFORMAT</w:instrText>
        </w:r>
        <w:r>
          <w:fldChar w:fldCharType="separate"/>
        </w:r>
        <w:r>
          <w:rPr>
            <w:lang w:val="zh-CN"/>
          </w:rPr>
          <w:t>i</w:t>
        </w:r>
        <w:r>
          <w:fldChar w:fldCharType="end"/>
        </w:r>
      </w:p>
    </w:sdtContent>
  </w:sdt>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r>
      <w:fldChar w:fldCharType="begin" w:dirty="true"/>
      <w:instrText xml:space="preserve"> PAGE </w:instrText>
      <w:fldChar w:fldCharType="separate"/>
    </w:r>
    <w:r>
      <w:rPr>
        <w:rFonts w:ascii="Times New Roman" w:hAnsi="Times New Roman" w:eastAsia="仿宋_GB2312"/>
        <w:b w:val="0"/>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40"/>
      </w:pPr>
      <w:r>
        <w:separator/>
      </w:r>
    </w:p>
  </w:footnote>
  <w:footnote w:type="continuationSeparator" w:id="1">
    <w:p>
      <w:pPr>
        <w:spacing w:line="240" w:lineRule="auto"/>
        <w:ind w:firstLine="6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firstLine="360"/>
      <w:rPr>
        <w:rFonts w:hint="default" w:eastAsia="仿宋_GB2312"/>
        <w:bCs/>
        <w:sz w:val="2"/>
        <w:szCs w:val="2"/>
        <w:lang w:val="en-US" w:eastAsia="zh-CN"/>
      </w:rPr>
    </w:pPr>
    <w:r>
      <w:rPr>
        <w:rFonts w:hint="eastAsia" w:ascii="仿宋_GB2312" w:hAnsi="黑体"/>
        <w:bCs/>
        <w:lang w:val="en-US" w:eastAsia="zh-CN"/>
      </w:rPr>
      <w:t>XX项目</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2"/>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440" w:hanging="144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800" w:hanging="1800"/>
      </w:pPr>
      <w:rPr>
        <w:rFonts w:hint="default"/>
      </w:rPr>
    </w:lvl>
    <w:lvl w:ilvl="7" w:tentative="0">
      <w:start w:val="1"/>
      <w:numFmt w:val="decimal"/>
      <w:isLgl/>
      <w:lvlText w:val="%1.%2.%3.%4.%5.%6.%7.%8"/>
      <w:lvlJc w:val="left"/>
      <w:pPr>
        <w:ind w:left="2160" w:hanging="2160"/>
      </w:pPr>
      <w:rPr>
        <w:rFonts w:hint="default"/>
      </w:rPr>
    </w:lvl>
    <w:lvl w:ilvl="8" w:tentative="0">
      <w:start w:val="1"/>
      <w:numFmt w:val="decimal"/>
      <w:isLgl/>
      <w:lvlText w:val="%1.%2.%3.%4.%5.%6.%7.%8.%9"/>
      <w:lvlJc w:val="left"/>
      <w:pPr>
        <w:ind w:left="2160"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bordersDoNotSurroundHeader w:val="1"/>
  <w:bordersDoNotSurroundFooter w:val="1"/>
  <w:hideSpellingErrors/>
  <w:documentProtection w:enforcement="0"/>
  <w:defaultTabStop w:val="420"/>
  <w:drawingGridHorizontalSpacing w:val="140"/>
  <w:drawingGridVerticalSpacing w:val="381"/>
  <w:displayHorizontalDrawingGridEvery w:val="0"/>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4E8"/>
    <w:rsid w:val="00000B54"/>
    <w:rsid w:val="000014BC"/>
    <w:rsid w:val="000038EF"/>
    <w:rsid w:val="0000541D"/>
    <w:rsid w:val="00005AA3"/>
    <w:rsid w:val="00005F1B"/>
    <w:rsid w:val="0000600D"/>
    <w:rsid w:val="000063C4"/>
    <w:rsid w:val="00007D9B"/>
    <w:rsid w:val="00007EF1"/>
    <w:rsid w:val="00013BF7"/>
    <w:rsid w:val="00015938"/>
    <w:rsid w:val="000166BC"/>
    <w:rsid w:val="00016810"/>
    <w:rsid w:val="0002367D"/>
    <w:rsid w:val="000237D3"/>
    <w:rsid w:val="000248E9"/>
    <w:rsid w:val="00025DA3"/>
    <w:rsid w:val="000262BA"/>
    <w:rsid w:val="00026585"/>
    <w:rsid w:val="000266D4"/>
    <w:rsid w:val="00027288"/>
    <w:rsid w:val="00030431"/>
    <w:rsid w:val="0003061F"/>
    <w:rsid w:val="00031D8A"/>
    <w:rsid w:val="00033CBD"/>
    <w:rsid w:val="00034D73"/>
    <w:rsid w:val="000351E9"/>
    <w:rsid w:val="00035491"/>
    <w:rsid w:val="000356B0"/>
    <w:rsid w:val="000357B8"/>
    <w:rsid w:val="000371DB"/>
    <w:rsid w:val="00037EB7"/>
    <w:rsid w:val="0004167B"/>
    <w:rsid w:val="00042F31"/>
    <w:rsid w:val="00043404"/>
    <w:rsid w:val="00043E52"/>
    <w:rsid w:val="00045CB4"/>
    <w:rsid w:val="00046559"/>
    <w:rsid w:val="0004741B"/>
    <w:rsid w:val="00047B2A"/>
    <w:rsid w:val="00047BDF"/>
    <w:rsid w:val="000507EF"/>
    <w:rsid w:val="00051411"/>
    <w:rsid w:val="00051A97"/>
    <w:rsid w:val="000523EF"/>
    <w:rsid w:val="00052C80"/>
    <w:rsid w:val="00053042"/>
    <w:rsid w:val="000533BA"/>
    <w:rsid w:val="000541E4"/>
    <w:rsid w:val="00056F8A"/>
    <w:rsid w:val="000572C3"/>
    <w:rsid w:val="000573C4"/>
    <w:rsid w:val="00057405"/>
    <w:rsid w:val="00057899"/>
    <w:rsid w:val="00060EAF"/>
    <w:rsid w:val="00060F99"/>
    <w:rsid w:val="00061615"/>
    <w:rsid w:val="00061FA9"/>
    <w:rsid w:val="0006266A"/>
    <w:rsid w:val="00063E91"/>
    <w:rsid w:val="00064062"/>
    <w:rsid w:val="00064CAC"/>
    <w:rsid w:val="000659F1"/>
    <w:rsid w:val="000677F1"/>
    <w:rsid w:val="0007082D"/>
    <w:rsid w:val="0007135E"/>
    <w:rsid w:val="00072063"/>
    <w:rsid w:val="00072ADB"/>
    <w:rsid w:val="00073DDA"/>
    <w:rsid w:val="00076830"/>
    <w:rsid w:val="000817EE"/>
    <w:rsid w:val="00082508"/>
    <w:rsid w:val="00083982"/>
    <w:rsid w:val="00085046"/>
    <w:rsid w:val="000868B9"/>
    <w:rsid w:val="00086A8C"/>
    <w:rsid w:val="00087134"/>
    <w:rsid w:val="0009174E"/>
    <w:rsid w:val="00093C5C"/>
    <w:rsid w:val="00095685"/>
    <w:rsid w:val="00095B2F"/>
    <w:rsid w:val="000969E2"/>
    <w:rsid w:val="00097867"/>
    <w:rsid w:val="000A2045"/>
    <w:rsid w:val="000A2714"/>
    <w:rsid w:val="000A34D5"/>
    <w:rsid w:val="000A5114"/>
    <w:rsid w:val="000A5A5B"/>
    <w:rsid w:val="000A61EF"/>
    <w:rsid w:val="000A63A1"/>
    <w:rsid w:val="000A6B47"/>
    <w:rsid w:val="000A73F3"/>
    <w:rsid w:val="000A7F86"/>
    <w:rsid w:val="000B02FC"/>
    <w:rsid w:val="000B0507"/>
    <w:rsid w:val="000B0CAA"/>
    <w:rsid w:val="000B0FFE"/>
    <w:rsid w:val="000B113F"/>
    <w:rsid w:val="000B1218"/>
    <w:rsid w:val="000B4063"/>
    <w:rsid w:val="000B4A18"/>
    <w:rsid w:val="000B6C9F"/>
    <w:rsid w:val="000C0878"/>
    <w:rsid w:val="000C2991"/>
    <w:rsid w:val="000C2F51"/>
    <w:rsid w:val="000C4556"/>
    <w:rsid w:val="000C54CF"/>
    <w:rsid w:val="000C5C38"/>
    <w:rsid w:val="000C7AFC"/>
    <w:rsid w:val="000D08B0"/>
    <w:rsid w:val="000D0B68"/>
    <w:rsid w:val="000D1AAC"/>
    <w:rsid w:val="000D23E2"/>
    <w:rsid w:val="000D4918"/>
    <w:rsid w:val="000D51CB"/>
    <w:rsid w:val="000D631E"/>
    <w:rsid w:val="000D6605"/>
    <w:rsid w:val="000D770F"/>
    <w:rsid w:val="000D7A26"/>
    <w:rsid w:val="000D7EB8"/>
    <w:rsid w:val="000E00FD"/>
    <w:rsid w:val="000E5501"/>
    <w:rsid w:val="000E5AE7"/>
    <w:rsid w:val="000E7527"/>
    <w:rsid w:val="000F2264"/>
    <w:rsid w:val="000F2763"/>
    <w:rsid w:val="000F4822"/>
    <w:rsid w:val="000F4A9E"/>
    <w:rsid w:val="000F4DC0"/>
    <w:rsid w:val="000F6026"/>
    <w:rsid w:val="000F635C"/>
    <w:rsid w:val="000F6896"/>
    <w:rsid w:val="000F6C61"/>
    <w:rsid w:val="000F7062"/>
    <w:rsid w:val="0010112D"/>
    <w:rsid w:val="00101ADD"/>
    <w:rsid w:val="00101B3D"/>
    <w:rsid w:val="00104A4A"/>
    <w:rsid w:val="001058BB"/>
    <w:rsid w:val="0011017D"/>
    <w:rsid w:val="00111008"/>
    <w:rsid w:val="00111686"/>
    <w:rsid w:val="001118F4"/>
    <w:rsid w:val="00113EE3"/>
    <w:rsid w:val="001160E7"/>
    <w:rsid w:val="0011687B"/>
    <w:rsid w:val="00122B8E"/>
    <w:rsid w:val="00125069"/>
    <w:rsid w:val="00126811"/>
    <w:rsid w:val="001300F6"/>
    <w:rsid w:val="00131E14"/>
    <w:rsid w:val="0013234A"/>
    <w:rsid w:val="00132675"/>
    <w:rsid w:val="00133298"/>
    <w:rsid w:val="001357E9"/>
    <w:rsid w:val="00135CA5"/>
    <w:rsid w:val="001413DA"/>
    <w:rsid w:val="0014280C"/>
    <w:rsid w:val="00143586"/>
    <w:rsid w:val="00143608"/>
    <w:rsid w:val="00143ECD"/>
    <w:rsid w:val="00144D04"/>
    <w:rsid w:val="001454AC"/>
    <w:rsid w:val="00145F65"/>
    <w:rsid w:val="001462F2"/>
    <w:rsid w:val="0014759D"/>
    <w:rsid w:val="00147EB2"/>
    <w:rsid w:val="001508AA"/>
    <w:rsid w:val="00150FB4"/>
    <w:rsid w:val="00151261"/>
    <w:rsid w:val="00151272"/>
    <w:rsid w:val="00153E40"/>
    <w:rsid w:val="00154484"/>
    <w:rsid w:val="0015499A"/>
    <w:rsid w:val="00154B34"/>
    <w:rsid w:val="0015563D"/>
    <w:rsid w:val="00155C96"/>
    <w:rsid w:val="00160C0A"/>
    <w:rsid w:val="001627E7"/>
    <w:rsid w:val="00162BF2"/>
    <w:rsid w:val="00163250"/>
    <w:rsid w:val="001634A5"/>
    <w:rsid w:val="001650C8"/>
    <w:rsid w:val="00167AC3"/>
    <w:rsid w:val="00170775"/>
    <w:rsid w:val="001712A3"/>
    <w:rsid w:val="001712E8"/>
    <w:rsid w:val="001730E4"/>
    <w:rsid w:val="00174F44"/>
    <w:rsid w:val="00174FEA"/>
    <w:rsid w:val="00176A34"/>
    <w:rsid w:val="001801D0"/>
    <w:rsid w:val="00180BD6"/>
    <w:rsid w:val="001820A9"/>
    <w:rsid w:val="001840CB"/>
    <w:rsid w:val="0018643C"/>
    <w:rsid w:val="00187D63"/>
    <w:rsid w:val="00191D1E"/>
    <w:rsid w:val="00191DA7"/>
    <w:rsid w:val="0019202B"/>
    <w:rsid w:val="00192230"/>
    <w:rsid w:val="00194833"/>
    <w:rsid w:val="0019565C"/>
    <w:rsid w:val="00195E72"/>
    <w:rsid w:val="00196855"/>
    <w:rsid w:val="001971F3"/>
    <w:rsid w:val="001977C4"/>
    <w:rsid w:val="00197CDA"/>
    <w:rsid w:val="001A0836"/>
    <w:rsid w:val="001A1B3A"/>
    <w:rsid w:val="001A1B46"/>
    <w:rsid w:val="001A1E11"/>
    <w:rsid w:val="001A1E62"/>
    <w:rsid w:val="001A2114"/>
    <w:rsid w:val="001A3245"/>
    <w:rsid w:val="001A6A12"/>
    <w:rsid w:val="001A6ADE"/>
    <w:rsid w:val="001A74AA"/>
    <w:rsid w:val="001B0FA3"/>
    <w:rsid w:val="001B1A31"/>
    <w:rsid w:val="001B31AA"/>
    <w:rsid w:val="001B3D67"/>
    <w:rsid w:val="001B5671"/>
    <w:rsid w:val="001B5BC7"/>
    <w:rsid w:val="001C01FF"/>
    <w:rsid w:val="001C06B1"/>
    <w:rsid w:val="001C0797"/>
    <w:rsid w:val="001C0B02"/>
    <w:rsid w:val="001C1129"/>
    <w:rsid w:val="001C167A"/>
    <w:rsid w:val="001C1C02"/>
    <w:rsid w:val="001C1F06"/>
    <w:rsid w:val="001C2459"/>
    <w:rsid w:val="001C2EA6"/>
    <w:rsid w:val="001C3D48"/>
    <w:rsid w:val="001C6026"/>
    <w:rsid w:val="001C60D6"/>
    <w:rsid w:val="001C649A"/>
    <w:rsid w:val="001C6697"/>
    <w:rsid w:val="001C7ACC"/>
    <w:rsid w:val="001D08E1"/>
    <w:rsid w:val="001D0E52"/>
    <w:rsid w:val="001D2291"/>
    <w:rsid w:val="001D41C1"/>
    <w:rsid w:val="001D6232"/>
    <w:rsid w:val="001D673B"/>
    <w:rsid w:val="001D6B8A"/>
    <w:rsid w:val="001D6CB1"/>
    <w:rsid w:val="001D7BCC"/>
    <w:rsid w:val="001E0FC6"/>
    <w:rsid w:val="001E18C3"/>
    <w:rsid w:val="001E314D"/>
    <w:rsid w:val="001E5AA0"/>
    <w:rsid w:val="001E67C4"/>
    <w:rsid w:val="001E6EB4"/>
    <w:rsid w:val="001E711A"/>
    <w:rsid w:val="001E7480"/>
    <w:rsid w:val="001E7F65"/>
    <w:rsid w:val="001F0D30"/>
    <w:rsid w:val="001F1D25"/>
    <w:rsid w:val="001F2668"/>
    <w:rsid w:val="001F530A"/>
    <w:rsid w:val="001F5BE4"/>
    <w:rsid w:val="001F5F73"/>
    <w:rsid w:val="001F7D4C"/>
    <w:rsid w:val="00200630"/>
    <w:rsid w:val="00200E72"/>
    <w:rsid w:val="002036B9"/>
    <w:rsid w:val="00203D60"/>
    <w:rsid w:val="002043AD"/>
    <w:rsid w:val="00205D83"/>
    <w:rsid w:val="00205EB3"/>
    <w:rsid w:val="00206F99"/>
    <w:rsid w:val="002110FA"/>
    <w:rsid w:val="002111A8"/>
    <w:rsid w:val="00211323"/>
    <w:rsid w:val="002116B2"/>
    <w:rsid w:val="00213875"/>
    <w:rsid w:val="00215611"/>
    <w:rsid w:val="0022016C"/>
    <w:rsid w:val="002203DA"/>
    <w:rsid w:val="0022048E"/>
    <w:rsid w:val="002205B9"/>
    <w:rsid w:val="00220BB9"/>
    <w:rsid w:val="002225DB"/>
    <w:rsid w:val="0022272C"/>
    <w:rsid w:val="00222751"/>
    <w:rsid w:val="0022478D"/>
    <w:rsid w:val="00227083"/>
    <w:rsid w:val="00230599"/>
    <w:rsid w:val="00230BBC"/>
    <w:rsid w:val="00231665"/>
    <w:rsid w:val="00233ECB"/>
    <w:rsid w:val="00233F2F"/>
    <w:rsid w:val="002413A1"/>
    <w:rsid w:val="00241ED5"/>
    <w:rsid w:val="0024387B"/>
    <w:rsid w:val="002451F9"/>
    <w:rsid w:val="00246E2D"/>
    <w:rsid w:val="002511C6"/>
    <w:rsid w:val="00251E6D"/>
    <w:rsid w:val="002520B1"/>
    <w:rsid w:val="00252DFB"/>
    <w:rsid w:val="002548EE"/>
    <w:rsid w:val="002549B8"/>
    <w:rsid w:val="0025628A"/>
    <w:rsid w:val="00256754"/>
    <w:rsid w:val="00260D3D"/>
    <w:rsid w:val="00260ED2"/>
    <w:rsid w:val="0026191E"/>
    <w:rsid w:val="002621ED"/>
    <w:rsid w:val="002631F0"/>
    <w:rsid w:val="0026658D"/>
    <w:rsid w:val="00266CE8"/>
    <w:rsid w:val="00270D0F"/>
    <w:rsid w:val="00271644"/>
    <w:rsid w:val="00271A4D"/>
    <w:rsid w:val="00271CEC"/>
    <w:rsid w:val="002722D9"/>
    <w:rsid w:val="00272335"/>
    <w:rsid w:val="002729F9"/>
    <w:rsid w:val="00273A54"/>
    <w:rsid w:val="00274649"/>
    <w:rsid w:val="002770FF"/>
    <w:rsid w:val="002771E1"/>
    <w:rsid w:val="00280BA9"/>
    <w:rsid w:val="00281893"/>
    <w:rsid w:val="00283727"/>
    <w:rsid w:val="00283993"/>
    <w:rsid w:val="0028407C"/>
    <w:rsid w:val="00284185"/>
    <w:rsid w:val="00285AF1"/>
    <w:rsid w:val="00286762"/>
    <w:rsid w:val="00287868"/>
    <w:rsid w:val="0029349D"/>
    <w:rsid w:val="0029457B"/>
    <w:rsid w:val="00294908"/>
    <w:rsid w:val="00294E0B"/>
    <w:rsid w:val="00295135"/>
    <w:rsid w:val="002958CA"/>
    <w:rsid w:val="00295CA3"/>
    <w:rsid w:val="002968B7"/>
    <w:rsid w:val="0029789F"/>
    <w:rsid w:val="0029795C"/>
    <w:rsid w:val="002A08E1"/>
    <w:rsid w:val="002A204A"/>
    <w:rsid w:val="002A2834"/>
    <w:rsid w:val="002A2EA9"/>
    <w:rsid w:val="002A34EE"/>
    <w:rsid w:val="002A38AB"/>
    <w:rsid w:val="002A4852"/>
    <w:rsid w:val="002A4F80"/>
    <w:rsid w:val="002A600D"/>
    <w:rsid w:val="002A6328"/>
    <w:rsid w:val="002A76E1"/>
    <w:rsid w:val="002A7BB2"/>
    <w:rsid w:val="002B044A"/>
    <w:rsid w:val="002B0EB1"/>
    <w:rsid w:val="002B2DB6"/>
    <w:rsid w:val="002B3029"/>
    <w:rsid w:val="002B30BB"/>
    <w:rsid w:val="002B41D2"/>
    <w:rsid w:val="002B4D7B"/>
    <w:rsid w:val="002B744D"/>
    <w:rsid w:val="002B7A00"/>
    <w:rsid w:val="002B7B20"/>
    <w:rsid w:val="002B7D92"/>
    <w:rsid w:val="002C2A94"/>
    <w:rsid w:val="002C4F7F"/>
    <w:rsid w:val="002D0EBD"/>
    <w:rsid w:val="002D0FCB"/>
    <w:rsid w:val="002D15D3"/>
    <w:rsid w:val="002D1CD1"/>
    <w:rsid w:val="002D250B"/>
    <w:rsid w:val="002D4164"/>
    <w:rsid w:val="002D4E4C"/>
    <w:rsid w:val="002D6213"/>
    <w:rsid w:val="002E1897"/>
    <w:rsid w:val="002E23F4"/>
    <w:rsid w:val="002E2BAE"/>
    <w:rsid w:val="002E3943"/>
    <w:rsid w:val="002E4AE0"/>
    <w:rsid w:val="002E4CB6"/>
    <w:rsid w:val="002E4D72"/>
    <w:rsid w:val="002E55AF"/>
    <w:rsid w:val="002E5DD4"/>
    <w:rsid w:val="002E6097"/>
    <w:rsid w:val="002E6A9D"/>
    <w:rsid w:val="002F0265"/>
    <w:rsid w:val="002F05A2"/>
    <w:rsid w:val="002F11E5"/>
    <w:rsid w:val="002F19FE"/>
    <w:rsid w:val="002F2186"/>
    <w:rsid w:val="002F638E"/>
    <w:rsid w:val="002F64EF"/>
    <w:rsid w:val="002F6579"/>
    <w:rsid w:val="002F67A9"/>
    <w:rsid w:val="002F6C2C"/>
    <w:rsid w:val="002F6D15"/>
    <w:rsid w:val="002F6EBE"/>
    <w:rsid w:val="002F6FC6"/>
    <w:rsid w:val="002F7EEB"/>
    <w:rsid w:val="002F7F44"/>
    <w:rsid w:val="0030139F"/>
    <w:rsid w:val="0030160B"/>
    <w:rsid w:val="0030172A"/>
    <w:rsid w:val="003019ED"/>
    <w:rsid w:val="003025A7"/>
    <w:rsid w:val="00302624"/>
    <w:rsid w:val="00304B26"/>
    <w:rsid w:val="00305061"/>
    <w:rsid w:val="0030727D"/>
    <w:rsid w:val="0030728B"/>
    <w:rsid w:val="003079B0"/>
    <w:rsid w:val="00307CB4"/>
    <w:rsid w:val="00307E70"/>
    <w:rsid w:val="00307EA4"/>
    <w:rsid w:val="00311AFE"/>
    <w:rsid w:val="0031233E"/>
    <w:rsid w:val="003127E2"/>
    <w:rsid w:val="00312B00"/>
    <w:rsid w:val="00313CBC"/>
    <w:rsid w:val="00314263"/>
    <w:rsid w:val="003156E2"/>
    <w:rsid w:val="00315813"/>
    <w:rsid w:val="003164E1"/>
    <w:rsid w:val="0031699D"/>
    <w:rsid w:val="00317DA9"/>
    <w:rsid w:val="003200AD"/>
    <w:rsid w:val="00320F5E"/>
    <w:rsid w:val="0032186D"/>
    <w:rsid w:val="00322321"/>
    <w:rsid w:val="003251B7"/>
    <w:rsid w:val="00325865"/>
    <w:rsid w:val="00325D5B"/>
    <w:rsid w:val="00326118"/>
    <w:rsid w:val="00326441"/>
    <w:rsid w:val="00326AE8"/>
    <w:rsid w:val="00327493"/>
    <w:rsid w:val="00327A1D"/>
    <w:rsid w:val="003307A3"/>
    <w:rsid w:val="00330D62"/>
    <w:rsid w:val="00332CD0"/>
    <w:rsid w:val="00334A83"/>
    <w:rsid w:val="00334F18"/>
    <w:rsid w:val="003374EE"/>
    <w:rsid w:val="003402EA"/>
    <w:rsid w:val="00340950"/>
    <w:rsid w:val="003409C8"/>
    <w:rsid w:val="003417CA"/>
    <w:rsid w:val="003421E9"/>
    <w:rsid w:val="00342BB3"/>
    <w:rsid w:val="00343B5D"/>
    <w:rsid w:val="00343CD3"/>
    <w:rsid w:val="00344279"/>
    <w:rsid w:val="00350A82"/>
    <w:rsid w:val="00350F4B"/>
    <w:rsid w:val="0035126F"/>
    <w:rsid w:val="003540A2"/>
    <w:rsid w:val="003551A9"/>
    <w:rsid w:val="00355CDD"/>
    <w:rsid w:val="003567CF"/>
    <w:rsid w:val="00357EE1"/>
    <w:rsid w:val="00360236"/>
    <w:rsid w:val="003613C6"/>
    <w:rsid w:val="003624CF"/>
    <w:rsid w:val="003629AC"/>
    <w:rsid w:val="00362E46"/>
    <w:rsid w:val="00363A36"/>
    <w:rsid w:val="0036449B"/>
    <w:rsid w:val="00364630"/>
    <w:rsid w:val="003646FF"/>
    <w:rsid w:val="0036563D"/>
    <w:rsid w:val="00366022"/>
    <w:rsid w:val="00367682"/>
    <w:rsid w:val="003678BB"/>
    <w:rsid w:val="00367F50"/>
    <w:rsid w:val="0037028E"/>
    <w:rsid w:val="00371656"/>
    <w:rsid w:val="00372392"/>
    <w:rsid w:val="0037471D"/>
    <w:rsid w:val="00374D6B"/>
    <w:rsid w:val="00374E77"/>
    <w:rsid w:val="0037687E"/>
    <w:rsid w:val="0037760D"/>
    <w:rsid w:val="00377A3B"/>
    <w:rsid w:val="00377ED4"/>
    <w:rsid w:val="00380014"/>
    <w:rsid w:val="003830FF"/>
    <w:rsid w:val="003834C1"/>
    <w:rsid w:val="0038386B"/>
    <w:rsid w:val="00383873"/>
    <w:rsid w:val="00383A73"/>
    <w:rsid w:val="00384561"/>
    <w:rsid w:val="003878EE"/>
    <w:rsid w:val="00390967"/>
    <w:rsid w:val="00390D3F"/>
    <w:rsid w:val="00391D9C"/>
    <w:rsid w:val="003947BC"/>
    <w:rsid w:val="00396001"/>
    <w:rsid w:val="00396F7E"/>
    <w:rsid w:val="0039740E"/>
    <w:rsid w:val="003A0E9C"/>
    <w:rsid w:val="003A18B3"/>
    <w:rsid w:val="003A198F"/>
    <w:rsid w:val="003A22BA"/>
    <w:rsid w:val="003A338F"/>
    <w:rsid w:val="003A3E60"/>
    <w:rsid w:val="003A5510"/>
    <w:rsid w:val="003A561A"/>
    <w:rsid w:val="003A59C8"/>
    <w:rsid w:val="003A65C3"/>
    <w:rsid w:val="003A7090"/>
    <w:rsid w:val="003B0A5B"/>
    <w:rsid w:val="003B143B"/>
    <w:rsid w:val="003B3BAA"/>
    <w:rsid w:val="003B3D20"/>
    <w:rsid w:val="003B3DCF"/>
    <w:rsid w:val="003B56D7"/>
    <w:rsid w:val="003B6112"/>
    <w:rsid w:val="003B7C5C"/>
    <w:rsid w:val="003B7C99"/>
    <w:rsid w:val="003C01CD"/>
    <w:rsid w:val="003C1B12"/>
    <w:rsid w:val="003C27B2"/>
    <w:rsid w:val="003C2ADC"/>
    <w:rsid w:val="003C33C2"/>
    <w:rsid w:val="003C5894"/>
    <w:rsid w:val="003C65C1"/>
    <w:rsid w:val="003C6E18"/>
    <w:rsid w:val="003C7358"/>
    <w:rsid w:val="003C74A3"/>
    <w:rsid w:val="003D54AF"/>
    <w:rsid w:val="003D62CD"/>
    <w:rsid w:val="003E0865"/>
    <w:rsid w:val="003E0917"/>
    <w:rsid w:val="003E0D09"/>
    <w:rsid w:val="003E19AE"/>
    <w:rsid w:val="003E2338"/>
    <w:rsid w:val="003E3A77"/>
    <w:rsid w:val="003E4B3C"/>
    <w:rsid w:val="003E5BFF"/>
    <w:rsid w:val="003E6790"/>
    <w:rsid w:val="003E6E98"/>
    <w:rsid w:val="003F0926"/>
    <w:rsid w:val="003F0B85"/>
    <w:rsid w:val="003F25C7"/>
    <w:rsid w:val="003F2AF5"/>
    <w:rsid w:val="003F2BD7"/>
    <w:rsid w:val="003F2FA1"/>
    <w:rsid w:val="003F3DA6"/>
    <w:rsid w:val="003F598A"/>
    <w:rsid w:val="003F63FE"/>
    <w:rsid w:val="003F7BF0"/>
    <w:rsid w:val="00400F13"/>
    <w:rsid w:val="0040178D"/>
    <w:rsid w:val="00402B45"/>
    <w:rsid w:val="00402E7F"/>
    <w:rsid w:val="00403299"/>
    <w:rsid w:val="00403B75"/>
    <w:rsid w:val="00404F04"/>
    <w:rsid w:val="00404F19"/>
    <w:rsid w:val="00404FCD"/>
    <w:rsid w:val="0040516B"/>
    <w:rsid w:val="00405235"/>
    <w:rsid w:val="00405476"/>
    <w:rsid w:val="00406D6A"/>
    <w:rsid w:val="00406FCB"/>
    <w:rsid w:val="00407C04"/>
    <w:rsid w:val="00410AB9"/>
    <w:rsid w:val="00410B16"/>
    <w:rsid w:val="004113EC"/>
    <w:rsid w:val="00411C1B"/>
    <w:rsid w:val="00412944"/>
    <w:rsid w:val="004136A7"/>
    <w:rsid w:val="00414AE9"/>
    <w:rsid w:val="00415693"/>
    <w:rsid w:val="00415EDE"/>
    <w:rsid w:val="00416F66"/>
    <w:rsid w:val="00417299"/>
    <w:rsid w:val="00417C4B"/>
    <w:rsid w:val="00420B37"/>
    <w:rsid w:val="004225CE"/>
    <w:rsid w:val="004231CC"/>
    <w:rsid w:val="00426181"/>
    <w:rsid w:val="00426189"/>
    <w:rsid w:val="00426FA8"/>
    <w:rsid w:val="00427F12"/>
    <w:rsid w:val="0043360D"/>
    <w:rsid w:val="00433E21"/>
    <w:rsid w:val="004341C8"/>
    <w:rsid w:val="004347FA"/>
    <w:rsid w:val="00434D40"/>
    <w:rsid w:val="00435172"/>
    <w:rsid w:val="00435CDC"/>
    <w:rsid w:val="0044402E"/>
    <w:rsid w:val="00445530"/>
    <w:rsid w:val="004467DE"/>
    <w:rsid w:val="00447D27"/>
    <w:rsid w:val="0045077D"/>
    <w:rsid w:val="00450FD8"/>
    <w:rsid w:val="00451DCE"/>
    <w:rsid w:val="00453E5C"/>
    <w:rsid w:val="004552CB"/>
    <w:rsid w:val="00455338"/>
    <w:rsid w:val="0045593D"/>
    <w:rsid w:val="00456170"/>
    <w:rsid w:val="00456B99"/>
    <w:rsid w:val="00456EE0"/>
    <w:rsid w:val="00461266"/>
    <w:rsid w:val="00461C5F"/>
    <w:rsid w:val="00461D85"/>
    <w:rsid w:val="00461E94"/>
    <w:rsid w:val="00463BD6"/>
    <w:rsid w:val="00465F5C"/>
    <w:rsid w:val="00466F92"/>
    <w:rsid w:val="004672C7"/>
    <w:rsid w:val="004673C1"/>
    <w:rsid w:val="004673DB"/>
    <w:rsid w:val="00467ACF"/>
    <w:rsid w:val="00470A08"/>
    <w:rsid w:val="004711AC"/>
    <w:rsid w:val="00472EFA"/>
    <w:rsid w:val="004746BE"/>
    <w:rsid w:val="00475B8A"/>
    <w:rsid w:val="004760A1"/>
    <w:rsid w:val="0048012D"/>
    <w:rsid w:val="0048038C"/>
    <w:rsid w:val="0048287F"/>
    <w:rsid w:val="004841A3"/>
    <w:rsid w:val="00486054"/>
    <w:rsid w:val="00487D38"/>
    <w:rsid w:val="00490733"/>
    <w:rsid w:val="0049304E"/>
    <w:rsid w:val="00494088"/>
    <w:rsid w:val="004941B0"/>
    <w:rsid w:val="00495746"/>
    <w:rsid w:val="00495787"/>
    <w:rsid w:val="00496D54"/>
    <w:rsid w:val="004A0756"/>
    <w:rsid w:val="004A1C15"/>
    <w:rsid w:val="004A39E2"/>
    <w:rsid w:val="004A3BF6"/>
    <w:rsid w:val="004A4DC3"/>
    <w:rsid w:val="004A50EF"/>
    <w:rsid w:val="004A613E"/>
    <w:rsid w:val="004A6EF3"/>
    <w:rsid w:val="004A75C3"/>
    <w:rsid w:val="004B080E"/>
    <w:rsid w:val="004B0BAF"/>
    <w:rsid w:val="004B0E29"/>
    <w:rsid w:val="004B1274"/>
    <w:rsid w:val="004B43BA"/>
    <w:rsid w:val="004B6488"/>
    <w:rsid w:val="004C00F9"/>
    <w:rsid w:val="004C113C"/>
    <w:rsid w:val="004C3014"/>
    <w:rsid w:val="004C340C"/>
    <w:rsid w:val="004C411C"/>
    <w:rsid w:val="004C5E89"/>
    <w:rsid w:val="004C62CC"/>
    <w:rsid w:val="004C6ECE"/>
    <w:rsid w:val="004C7018"/>
    <w:rsid w:val="004D0E53"/>
    <w:rsid w:val="004D27B6"/>
    <w:rsid w:val="004D2B1E"/>
    <w:rsid w:val="004D2DCB"/>
    <w:rsid w:val="004D375F"/>
    <w:rsid w:val="004D3F82"/>
    <w:rsid w:val="004D41E2"/>
    <w:rsid w:val="004D57CF"/>
    <w:rsid w:val="004D6B49"/>
    <w:rsid w:val="004D6D50"/>
    <w:rsid w:val="004D7BFB"/>
    <w:rsid w:val="004E1E24"/>
    <w:rsid w:val="004E2A66"/>
    <w:rsid w:val="004E387D"/>
    <w:rsid w:val="004E3C29"/>
    <w:rsid w:val="004E3D74"/>
    <w:rsid w:val="004E6FA3"/>
    <w:rsid w:val="004E72A9"/>
    <w:rsid w:val="004F220E"/>
    <w:rsid w:val="004F2D32"/>
    <w:rsid w:val="004F3766"/>
    <w:rsid w:val="004F62AD"/>
    <w:rsid w:val="004F6B6B"/>
    <w:rsid w:val="004F6BCF"/>
    <w:rsid w:val="004F6F6C"/>
    <w:rsid w:val="004F72A5"/>
    <w:rsid w:val="00500729"/>
    <w:rsid w:val="00503B03"/>
    <w:rsid w:val="00504202"/>
    <w:rsid w:val="00505311"/>
    <w:rsid w:val="00506CAB"/>
    <w:rsid w:val="005114B1"/>
    <w:rsid w:val="00512528"/>
    <w:rsid w:val="00513664"/>
    <w:rsid w:val="00513673"/>
    <w:rsid w:val="005142EA"/>
    <w:rsid w:val="00514BC8"/>
    <w:rsid w:val="005156AA"/>
    <w:rsid w:val="00516B56"/>
    <w:rsid w:val="00517AC0"/>
    <w:rsid w:val="0052122D"/>
    <w:rsid w:val="0052142E"/>
    <w:rsid w:val="00521CBA"/>
    <w:rsid w:val="00522D17"/>
    <w:rsid w:val="00523B82"/>
    <w:rsid w:val="00524675"/>
    <w:rsid w:val="005259CA"/>
    <w:rsid w:val="00526363"/>
    <w:rsid w:val="00527BC4"/>
    <w:rsid w:val="0053197B"/>
    <w:rsid w:val="0053257D"/>
    <w:rsid w:val="005348E6"/>
    <w:rsid w:val="00534C3F"/>
    <w:rsid w:val="005360B0"/>
    <w:rsid w:val="00537545"/>
    <w:rsid w:val="005377AF"/>
    <w:rsid w:val="00537804"/>
    <w:rsid w:val="00541C90"/>
    <w:rsid w:val="00543B87"/>
    <w:rsid w:val="00544A58"/>
    <w:rsid w:val="005451BA"/>
    <w:rsid w:val="005466AD"/>
    <w:rsid w:val="00546C3D"/>
    <w:rsid w:val="00547783"/>
    <w:rsid w:val="005505A5"/>
    <w:rsid w:val="00552E92"/>
    <w:rsid w:val="00553570"/>
    <w:rsid w:val="00553DC3"/>
    <w:rsid w:val="005548C9"/>
    <w:rsid w:val="00554A14"/>
    <w:rsid w:val="005558FC"/>
    <w:rsid w:val="00555A01"/>
    <w:rsid w:val="005562EB"/>
    <w:rsid w:val="00556BE0"/>
    <w:rsid w:val="00560332"/>
    <w:rsid w:val="00560ED6"/>
    <w:rsid w:val="00561B87"/>
    <w:rsid w:val="00561FE7"/>
    <w:rsid w:val="00562339"/>
    <w:rsid w:val="00563138"/>
    <w:rsid w:val="00563401"/>
    <w:rsid w:val="00564227"/>
    <w:rsid w:val="00566C78"/>
    <w:rsid w:val="00567DF6"/>
    <w:rsid w:val="00570030"/>
    <w:rsid w:val="00571150"/>
    <w:rsid w:val="0057137A"/>
    <w:rsid w:val="00573106"/>
    <w:rsid w:val="00573D26"/>
    <w:rsid w:val="00574A15"/>
    <w:rsid w:val="0057549E"/>
    <w:rsid w:val="00576046"/>
    <w:rsid w:val="005762AC"/>
    <w:rsid w:val="005804B9"/>
    <w:rsid w:val="00580DB1"/>
    <w:rsid w:val="005816E1"/>
    <w:rsid w:val="0058269B"/>
    <w:rsid w:val="005847C0"/>
    <w:rsid w:val="005853A5"/>
    <w:rsid w:val="00586845"/>
    <w:rsid w:val="00586951"/>
    <w:rsid w:val="005874E2"/>
    <w:rsid w:val="00590690"/>
    <w:rsid w:val="0059101C"/>
    <w:rsid w:val="00591375"/>
    <w:rsid w:val="00594A80"/>
    <w:rsid w:val="00594DEE"/>
    <w:rsid w:val="00595183"/>
    <w:rsid w:val="0059651D"/>
    <w:rsid w:val="0059759A"/>
    <w:rsid w:val="00597954"/>
    <w:rsid w:val="00597CD7"/>
    <w:rsid w:val="005A048C"/>
    <w:rsid w:val="005A068E"/>
    <w:rsid w:val="005A15C8"/>
    <w:rsid w:val="005A2082"/>
    <w:rsid w:val="005A29F4"/>
    <w:rsid w:val="005A3547"/>
    <w:rsid w:val="005A39BD"/>
    <w:rsid w:val="005A40EA"/>
    <w:rsid w:val="005A5848"/>
    <w:rsid w:val="005A7E4D"/>
    <w:rsid w:val="005B0270"/>
    <w:rsid w:val="005B03AC"/>
    <w:rsid w:val="005B5CAA"/>
    <w:rsid w:val="005B7B3A"/>
    <w:rsid w:val="005B7DB1"/>
    <w:rsid w:val="005C0133"/>
    <w:rsid w:val="005C0488"/>
    <w:rsid w:val="005C1F97"/>
    <w:rsid w:val="005C2424"/>
    <w:rsid w:val="005C2683"/>
    <w:rsid w:val="005C3ECF"/>
    <w:rsid w:val="005C4278"/>
    <w:rsid w:val="005C6B55"/>
    <w:rsid w:val="005C7132"/>
    <w:rsid w:val="005C7B13"/>
    <w:rsid w:val="005D0913"/>
    <w:rsid w:val="005D2B79"/>
    <w:rsid w:val="005D3E0A"/>
    <w:rsid w:val="005D4793"/>
    <w:rsid w:val="005D4E17"/>
    <w:rsid w:val="005D647C"/>
    <w:rsid w:val="005D71C9"/>
    <w:rsid w:val="005E0450"/>
    <w:rsid w:val="005E0F44"/>
    <w:rsid w:val="005E1061"/>
    <w:rsid w:val="005E1450"/>
    <w:rsid w:val="005E14A9"/>
    <w:rsid w:val="005E1EB9"/>
    <w:rsid w:val="005E31F1"/>
    <w:rsid w:val="005E3C9C"/>
    <w:rsid w:val="005E3CCE"/>
    <w:rsid w:val="005E46E9"/>
    <w:rsid w:val="005E4A34"/>
    <w:rsid w:val="005E70BE"/>
    <w:rsid w:val="005F0048"/>
    <w:rsid w:val="005F030D"/>
    <w:rsid w:val="005F0996"/>
    <w:rsid w:val="005F140D"/>
    <w:rsid w:val="005F1E50"/>
    <w:rsid w:val="005F35BC"/>
    <w:rsid w:val="005F4CBF"/>
    <w:rsid w:val="005F50C8"/>
    <w:rsid w:val="005F58C4"/>
    <w:rsid w:val="005F623D"/>
    <w:rsid w:val="005F649D"/>
    <w:rsid w:val="005F6FA7"/>
    <w:rsid w:val="00600BDD"/>
    <w:rsid w:val="00600C39"/>
    <w:rsid w:val="00602824"/>
    <w:rsid w:val="00602CFE"/>
    <w:rsid w:val="0060361C"/>
    <w:rsid w:val="00605D27"/>
    <w:rsid w:val="006062D8"/>
    <w:rsid w:val="0060711D"/>
    <w:rsid w:val="006073E6"/>
    <w:rsid w:val="006102C6"/>
    <w:rsid w:val="00610329"/>
    <w:rsid w:val="00611056"/>
    <w:rsid w:val="0061298B"/>
    <w:rsid w:val="00613800"/>
    <w:rsid w:val="006166E0"/>
    <w:rsid w:val="00620C2D"/>
    <w:rsid w:val="00622277"/>
    <w:rsid w:val="0062262B"/>
    <w:rsid w:val="006228C1"/>
    <w:rsid w:val="00623973"/>
    <w:rsid w:val="00623BA0"/>
    <w:rsid w:val="006249D3"/>
    <w:rsid w:val="00624B38"/>
    <w:rsid w:val="00624CA7"/>
    <w:rsid w:val="00625811"/>
    <w:rsid w:val="006279F1"/>
    <w:rsid w:val="00627B97"/>
    <w:rsid w:val="00630003"/>
    <w:rsid w:val="00631640"/>
    <w:rsid w:val="006335D6"/>
    <w:rsid w:val="00634004"/>
    <w:rsid w:val="00634070"/>
    <w:rsid w:val="006342E8"/>
    <w:rsid w:val="0063583E"/>
    <w:rsid w:val="006365B8"/>
    <w:rsid w:val="0063662D"/>
    <w:rsid w:val="006378F9"/>
    <w:rsid w:val="006402B4"/>
    <w:rsid w:val="00640962"/>
    <w:rsid w:val="0064159B"/>
    <w:rsid w:val="006419D9"/>
    <w:rsid w:val="00642588"/>
    <w:rsid w:val="006426D4"/>
    <w:rsid w:val="006456FC"/>
    <w:rsid w:val="00645E53"/>
    <w:rsid w:val="0064632A"/>
    <w:rsid w:val="00646EAC"/>
    <w:rsid w:val="006479F2"/>
    <w:rsid w:val="00647BC6"/>
    <w:rsid w:val="00647F4A"/>
    <w:rsid w:val="006503D6"/>
    <w:rsid w:val="0065096D"/>
    <w:rsid w:val="00650DAC"/>
    <w:rsid w:val="00652874"/>
    <w:rsid w:val="006535E1"/>
    <w:rsid w:val="00655EB8"/>
    <w:rsid w:val="00656419"/>
    <w:rsid w:val="006568FB"/>
    <w:rsid w:val="00660517"/>
    <w:rsid w:val="00661CDE"/>
    <w:rsid w:val="00664B12"/>
    <w:rsid w:val="006656D4"/>
    <w:rsid w:val="00667D51"/>
    <w:rsid w:val="00667EC1"/>
    <w:rsid w:val="0067055C"/>
    <w:rsid w:val="00670BE5"/>
    <w:rsid w:val="00670DB7"/>
    <w:rsid w:val="006729E7"/>
    <w:rsid w:val="00673F6B"/>
    <w:rsid w:val="0067425F"/>
    <w:rsid w:val="00675E10"/>
    <w:rsid w:val="00676158"/>
    <w:rsid w:val="00681322"/>
    <w:rsid w:val="006825EC"/>
    <w:rsid w:val="00683C23"/>
    <w:rsid w:val="006842D9"/>
    <w:rsid w:val="00684E99"/>
    <w:rsid w:val="00685790"/>
    <w:rsid w:val="00685A87"/>
    <w:rsid w:val="00687FFA"/>
    <w:rsid w:val="006907FB"/>
    <w:rsid w:val="0069125F"/>
    <w:rsid w:val="00692C77"/>
    <w:rsid w:val="00693709"/>
    <w:rsid w:val="0069462E"/>
    <w:rsid w:val="00695889"/>
    <w:rsid w:val="0069591C"/>
    <w:rsid w:val="00695FD1"/>
    <w:rsid w:val="00696E75"/>
    <w:rsid w:val="00697108"/>
    <w:rsid w:val="00697DA6"/>
    <w:rsid w:val="006A0663"/>
    <w:rsid w:val="006A216F"/>
    <w:rsid w:val="006A2B4B"/>
    <w:rsid w:val="006A3AFD"/>
    <w:rsid w:val="006A4F57"/>
    <w:rsid w:val="006A64CF"/>
    <w:rsid w:val="006A74D0"/>
    <w:rsid w:val="006B1A29"/>
    <w:rsid w:val="006B1A6D"/>
    <w:rsid w:val="006B2A31"/>
    <w:rsid w:val="006B679A"/>
    <w:rsid w:val="006B67CC"/>
    <w:rsid w:val="006B7BEA"/>
    <w:rsid w:val="006C0514"/>
    <w:rsid w:val="006C15F9"/>
    <w:rsid w:val="006C2C32"/>
    <w:rsid w:val="006C2F48"/>
    <w:rsid w:val="006C2FD3"/>
    <w:rsid w:val="006C46AB"/>
    <w:rsid w:val="006C62AF"/>
    <w:rsid w:val="006D0965"/>
    <w:rsid w:val="006D31C8"/>
    <w:rsid w:val="006D3D6E"/>
    <w:rsid w:val="006D57FB"/>
    <w:rsid w:val="006D651F"/>
    <w:rsid w:val="006D7F93"/>
    <w:rsid w:val="006E047B"/>
    <w:rsid w:val="006E21A5"/>
    <w:rsid w:val="006E414B"/>
    <w:rsid w:val="006E5E95"/>
    <w:rsid w:val="006E782F"/>
    <w:rsid w:val="006E7C67"/>
    <w:rsid w:val="006F0F1B"/>
    <w:rsid w:val="006F154A"/>
    <w:rsid w:val="006F2EA8"/>
    <w:rsid w:val="006F3011"/>
    <w:rsid w:val="006F5980"/>
    <w:rsid w:val="006F6C5E"/>
    <w:rsid w:val="00700483"/>
    <w:rsid w:val="00700E8C"/>
    <w:rsid w:val="007014D4"/>
    <w:rsid w:val="00702769"/>
    <w:rsid w:val="00702873"/>
    <w:rsid w:val="00702C82"/>
    <w:rsid w:val="007032BA"/>
    <w:rsid w:val="0070333D"/>
    <w:rsid w:val="00703C29"/>
    <w:rsid w:val="007110D0"/>
    <w:rsid w:val="0071318E"/>
    <w:rsid w:val="0071495E"/>
    <w:rsid w:val="00715273"/>
    <w:rsid w:val="00717D7C"/>
    <w:rsid w:val="00720AA0"/>
    <w:rsid w:val="00724007"/>
    <w:rsid w:val="00724435"/>
    <w:rsid w:val="00724ECE"/>
    <w:rsid w:val="0072558B"/>
    <w:rsid w:val="00725936"/>
    <w:rsid w:val="00726198"/>
    <w:rsid w:val="00730291"/>
    <w:rsid w:val="00730AC3"/>
    <w:rsid w:val="0073117D"/>
    <w:rsid w:val="0073354D"/>
    <w:rsid w:val="007348F1"/>
    <w:rsid w:val="0073504E"/>
    <w:rsid w:val="0073539B"/>
    <w:rsid w:val="007355D2"/>
    <w:rsid w:val="00736CD0"/>
    <w:rsid w:val="00736E91"/>
    <w:rsid w:val="0073749D"/>
    <w:rsid w:val="00741417"/>
    <w:rsid w:val="007426B0"/>
    <w:rsid w:val="00743B88"/>
    <w:rsid w:val="007452AD"/>
    <w:rsid w:val="007507D4"/>
    <w:rsid w:val="00751B83"/>
    <w:rsid w:val="00751C0F"/>
    <w:rsid w:val="00751C6A"/>
    <w:rsid w:val="00751FC6"/>
    <w:rsid w:val="00752211"/>
    <w:rsid w:val="00752A34"/>
    <w:rsid w:val="00752B59"/>
    <w:rsid w:val="00753096"/>
    <w:rsid w:val="007543C4"/>
    <w:rsid w:val="00755F84"/>
    <w:rsid w:val="00757B59"/>
    <w:rsid w:val="00760011"/>
    <w:rsid w:val="00760468"/>
    <w:rsid w:val="0076125C"/>
    <w:rsid w:val="007621BA"/>
    <w:rsid w:val="0076376C"/>
    <w:rsid w:val="00764A70"/>
    <w:rsid w:val="00765136"/>
    <w:rsid w:val="0076643C"/>
    <w:rsid w:val="0076696F"/>
    <w:rsid w:val="007670A9"/>
    <w:rsid w:val="007673B1"/>
    <w:rsid w:val="00770B88"/>
    <w:rsid w:val="00773701"/>
    <w:rsid w:val="0077436D"/>
    <w:rsid w:val="0077606C"/>
    <w:rsid w:val="00776979"/>
    <w:rsid w:val="00777208"/>
    <w:rsid w:val="00777609"/>
    <w:rsid w:val="00780C6D"/>
    <w:rsid w:val="0078176B"/>
    <w:rsid w:val="00782E1A"/>
    <w:rsid w:val="00783091"/>
    <w:rsid w:val="00784D18"/>
    <w:rsid w:val="00785DB7"/>
    <w:rsid w:val="0078651E"/>
    <w:rsid w:val="007867EA"/>
    <w:rsid w:val="00786DC5"/>
    <w:rsid w:val="0078788A"/>
    <w:rsid w:val="00790D61"/>
    <w:rsid w:val="00791F6A"/>
    <w:rsid w:val="007932C5"/>
    <w:rsid w:val="0079468B"/>
    <w:rsid w:val="007955D0"/>
    <w:rsid w:val="00797F3F"/>
    <w:rsid w:val="007A1516"/>
    <w:rsid w:val="007A1E57"/>
    <w:rsid w:val="007A258F"/>
    <w:rsid w:val="007A4010"/>
    <w:rsid w:val="007A4575"/>
    <w:rsid w:val="007A5218"/>
    <w:rsid w:val="007A7409"/>
    <w:rsid w:val="007A7DFD"/>
    <w:rsid w:val="007B0AA3"/>
    <w:rsid w:val="007B1830"/>
    <w:rsid w:val="007B26F2"/>
    <w:rsid w:val="007B4F82"/>
    <w:rsid w:val="007B6AC2"/>
    <w:rsid w:val="007C0B97"/>
    <w:rsid w:val="007C0C91"/>
    <w:rsid w:val="007C2931"/>
    <w:rsid w:val="007C4939"/>
    <w:rsid w:val="007C5741"/>
    <w:rsid w:val="007C754E"/>
    <w:rsid w:val="007D0564"/>
    <w:rsid w:val="007D063E"/>
    <w:rsid w:val="007D240F"/>
    <w:rsid w:val="007D27AD"/>
    <w:rsid w:val="007D47E5"/>
    <w:rsid w:val="007D51BE"/>
    <w:rsid w:val="007D5360"/>
    <w:rsid w:val="007E0757"/>
    <w:rsid w:val="007E107E"/>
    <w:rsid w:val="007E27FF"/>
    <w:rsid w:val="007E334D"/>
    <w:rsid w:val="007E38E7"/>
    <w:rsid w:val="007E4399"/>
    <w:rsid w:val="007E4513"/>
    <w:rsid w:val="007E520D"/>
    <w:rsid w:val="007E63A5"/>
    <w:rsid w:val="007E64D9"/>
    <w:rsid w:val="007E6A7C"/>
    <w:rsid w:val="007E6E5A"/>
    <w:rsid w:val="007F0F6C"/>
    <w:rsid w:val="007F175A"/>
    <w:rsid w:val="007F2FD9"/>
    <w:rsid w:val="007F3226"/>
    <w:rsid w:val="007F331C"/>
    <w:rsid w:val="007F3493"/>
    <w:rsid w:val="007F34ED"/>
    <w:rsid w:val="007F3C0A"/>
    <w:rsid w:val="007F479A"/>
    <w:rsid w:val="007F5798"/>
    <w:rsid w:val="007F6BB8"/>
    <w:rsid w:val="007F71AE"/>
    <w:rsid w:val="00800EC5"/>
    <w:rsid w:val="008027B5"/>
    <w:rsid w:val="00802A8C"/>
    <w:rsid w:val="008036BB"/>
    <w:rsid w:val="008039AD"/>
    <w:rsid w:val="0080452D"/>
    <w:rsid w:val="00807D40"/>
    <w:rsid w:val="008103AF"/>
    <w:rsid w:val="008126D6"/>
    <w:rsid w:val="00812CBC"/>
    <w:rsid w:val="0081374B"/>
    <w:rsid w:val="0081552C"/>
    <w:rsid w:val="008155FC"/>
    <w:rsid w:val="008169E5"/>
    <w:rsid w:val="00816DEE"/>
    <w:rsid w:val="0081715C"/>
    <w:rsid w:val="008217FD"/>
    <w:rsid w:val="0082269D"/>
    <w:rsid w:val="008229EF"/>
    <w:rsid w:val="0082480A"/>
    <w:rsid w:val="0082551E"/>
    <w:rsid w:val="00827788"/>
    <w:rsid w:val="00827795"/>
    <w:rsid w:val="00830027"/>
    <w:rsid w:val="00831F0A"/>
    <w:rsid w:val="008330EE"/>
    <w:rsid w:val="00837DC1"/>
    <w:rsid w:val="008411D1"/>
    <w:rsid w:val="00841B03"/>
    <w:rsid w:val="0084346C"/>
    <w:rsid w:val="00844DEE"/>
    <w:rsid w:val="00845797"/>
    <w:rsid w:val="0084630D"/>
    <w:rsid w:val="00846E62"/>
    <w:rsid w:val="008473A7"/>
    <w:rsid w:val="008517C0"/>
    <w:rsid w:val="00852A22"/>
    <w:rsid w:val="008532E2"/>
    <w:rsid w:val="0085367E"/>
    <w:rsid w:val="00853F28"/>
    <w:rsid w:val="0085421A"/>
    <w:rsid w:val="0085506C"/>
    <w:rsid w:val="008555FB"/>
    <w:rsid w:val="00856C8E"/>
    <w:rsid w:val="00857169"/>
    <w:rsid w:val="008579D6"/>
    <w:rsid w:val="008624E8"/>
    <w:rsid w:val="008633C6"/>
    <w:rsid w:val="00863F01"/>
    <w:rsid w:val="00865F6F"/>
    <w:rsid w:val="00872767"/>
    <w:rsid w:val="0087405C"/>
    <w:rsid w:val="00875C6E"/>
    <w:rsid w:val="00876BB7"/>
    <w:rsid w:val="00877164"/>
    <w:rsid w:val="00877757"/>
    <w:rsid w:val="008778C6"/>
    <w:rsid w:val="00882617"/>
    <w:rsid w:val="00884422"/>
    <w:rsid w:val="00884D17"/>
    <w:rsid w:val="0088537E"/>
    <w:rsid w:val="00885B5F"/>
    <w:rsid w:val="00887794"/>
    <w:rsid w:val="0089203E"/>
    <w:rsid w:val="00892173"/>
    <w:rsid w:val="00892D65"/>
    <w:rsid w:val="008930A5"/>
    <w:rsid w:val="008940E0"/>
    <w:rsid w:val="008947EE"/>
    <w:rsid w:val="00894A61"/>
    <w:rsid w:val="00896138"/>
    <w:rsid w:val="00896311"/>
    <w:rsid w:val="008977F2"/>
    <w:rsid w:val="00897BBE"/>
    <w:rsid w:val="008A0391"/>
    <w:rsid w:val="008A2478"/>
    <w:rsid w:val="008A5A7B"/>
    <w:rsid w:val="008A6BAA"/>
    <w:rsid w:val="008B271F"/>
    <w:rsid w:val="008B3429"/>
    <w:rsid w:val="008B5D44"/>
    <w:rsid w:val="008B700D"/>
    <w:rsid w:val="008B72C9"/>
    <w:rsid w:val="008B78DF"/>
    <w:rsid w:val="008C05EC"/>
    <w:rsid w:val="008C1CAB"/>
    <w:rsid w:val="008C319E"/>
    <w:rsid w:val="008C364F"/>
    <w:rsid w:val="008C4072"/>
    <w:rsid w:val="008C516D"/>
    <w:rsid w:val="008C53A1"/>
    <w:rsid w:val="008C5443"/>
    <w:rsid w:val="008C6200"/>
    <w:rsid w:val="008C74C6"/>
    <w:rsid w:val="008D3047"/>
    <w:rsid w:val="008D36C0"/>
    <w:rsid w:val="008D557F"/>
    <w:rsid w:val="008D6EC3"/>
    <w:rsid w:val="008D7AEF"/>
    <w:rsid w:val="008E0031"/>
    <w:rsid w:val="008E0C9D"/>
    <w:rsid w:val="008E4AAF"/>
    <w:rsid w:val="008E6FA6"/>
    <w:rsid w:val="008F51F9"/>
    <w:rsid w:val="008F592E"/>
    <w:rsid w:val="008F69F5"/>
    <w:rsid w:val="008F6EAD"/>
    <w:rsid w:val="00900CFD"/>
    <w:rsid w:val="00901DEF"/>
    <w:rsid w:val="0090353B"/>
    <w:rsid w:val="009043F9"/>
    <w:rsid w:val="009056CF"/>
    <w:rsid w:val="00906630"/>
    <w:rsid w:val="0090749A"/>
    <w:rsid w:val="009077D9"/>
    <w:rsid w:val="009103F4"/>
    <w:rsid w:val="00910572"/>
    <w:rsid w:val="00913110"/>
    <w:rsid w:val="009154C9"/>
    <w:rsid w:val="00915C7C"/>
    <w:rsid w:val="00917154"/>
    <w:rsid w:val="009209FF"/>
    <w:rsid w:val="00923149"/>
    <w:rsid w:val="00923173"/>
    <w:rsid w:val="009240DE"/>
    <w:rsid w:val="009242D5"/>
    <w:rsid w:val="009251A0"/>
    <w:rsid w:val="0092654A"/>
    <w:rsid w:val="00927AA1"/>
    <w:rsid w:val="00927C26"/>
    <w:rsid w:val="0093029B"/>
    <w:rsid w:val="00930F39"/>
    <w:rsid w:val="00933FFB"/>
    <w:rsid w:val="00934098"/>
    <w:rsid w:val="00934251"/>
    <w:rsid w:val="00934DA2"/>
    <w:rsid w:val="009352A5"/>
    <w:rsid w:val="0093697E"/>
    <w:rsid w:val="00937035"/>
    <w:rsid w:val="00941567"/>
    <w:rsid w:val="00942089"/>
    <w:rsid w:val="00944182"/>
    <w:rsid w:val="00944384"/>
    <w:rsid w:val="00944741"/>
    <w:rsid w:val="00945BE5"/>
    <w:rsid w:val="00946236"/>
    <w:rsid w:val="00946532"/>
    <w:rsid w:val="00950045"/>
    <w:rsid w:val="00950B3C"/>
    <w:rsid w:val="0095277B"/>
    <w:rsid w:val="00953119"/>
    <w:rsid w:val="00954254"/>
    <w:rsid w:val="00954D81"/>
    <w:rsid w:val="00955669"/>
    <w:rsid w:val="00955FFB"/>
    <w:rsid w:val="00957586"/>
    <w:rsid w:val="0095763D"/>
    <w:rsid w:val="009579D2"/>
    <w:rsid w:val="00957ABD"/>
    <w:rsid w:val="009613DC"/>
    <w:rsid w:val="00961E9F"/>
    <w:rsid w:val="00962F28"/>
    <w:rsid w:val="0096428B"/>
    <w:rsid w:val="009657C5"/>
    <w:rsid w:val="00965D0F"/>
    <w:rsid w:val="00966A1A"/>
    <w:rsid w:val="00967694"/>
    <w:rsid w:val="009679B7"/>
    <w:rsid w:val="00967CD0"/>
    <w:rsid w:val="00971874"/>
    <w:rsid w:val="00971F20"/>
    <w:rsid w:val="00972D99"/>
    <w:rsid w:val="00975DBD"/>
    <w:rsid w:val="009762FE"/>
    <w:rsid w:val="00976EC8"/>
    <w:rsid w:val="009813EA"/>
    <w:rsid w:val="00984A5B"/>
    <w:rsid w:val="00985399"/>
    <w:rsid w:val="00986EAC"/>
    <w:rsid w:val="009872D4"/>
    <w:rsid w:val="00987386"/>
    <w:rsid w:val="00987BBC"/>
    <w:rsid w:val="009917E1"/>
    <w:rsid w:val="0099274E"/>
    <w:rsid w:val="0099543E"/>
    <w:rsid w:val="00995ED7"/>
    <w:rsid w:val="00996D43"/>
    <w:rsid w:val="0099730A"/>
    <w:rsid w:val="0099744D"/>
    <w:rsid w:val="00997745"/>
    <w:rsid w:val="009A15A0"/>
    <w:rsid w:val="009A2D26"/>
    <w:rsid w:val="009A2FEE"/>
    <w:rsid w:val="009A41DB"/>
    <w:rsid w:val="009A503B"/>
    <w:rsid w:val="009B0114"/>
    <w:rsid w:val="009B2461"/>
    <w:rsid w:val="009B4E06"/>
    <w:rsid w:val="009B517A"/>
    <w:rsid w:val="009B6E39"/>
    <w:rsid w:val="009B7272"/>
    <w:rsid w:val="009B72C2"/>
    <w:rsid w:val="009B7965"/>
    <w:rsid w:val="009C08F1"/>
    <w:rsid w:val="009C222F"/>
    <w:rsid w:val="009C4FCA"/>
    <w:rsid w:val="009D2176"/>
    <w:rsid w:val="009D237B"/>
    <w:rsid w:val="009D34ED"/>
    <w:rsid w:val="009D359D"/>
    <w:rsid w:val="009D3C2A"/>
    <w:rsid w:val="009D53A4"/>
    <w:rsid w:val="009D67DB"/>
    <w:rsid w:val="009E0D25"/>
    <w:rsid w:val="009E1A90"/>
    <w:rsid w:val="009E1C21"/>
    <w:rsid w:val="009E2185"/>
    <w:rsid w:val="009E2CBA"/>
    <w:rsid w:val="009E3ADC"/>
    <w:rsid w:val="009E3DCB"/>
    <w:rsid w:val="009E4983"/>
    <w:rsid w:val="009E4EF9"/>
    <w:rsid w:val="009E6E30"/>
    <w:rsid w:val="009E74B4"/>
    <w:rsid w:val="009F13FB"/>
    <w:rsid w:val="009F3904"/>
    <w:rsid w:val="009F3A40"/>
    <w:rsid w:val="009F4880"/>
    <w:rsid w:val="009F5EA1"/>
    <w:rsid w:val="009F664C"/>
    <w:rsid w:val="009F7E21"/>
    <w:rsid w:val="00A026CA"/>
    <w:rsid w:val="00A02C90"/>
    <w:rsid w:val="00A03009"/>
    <w:rsid w:val="00A03824"/>
    <w:rsid w:val="00A047DF"/>
    <w:rsid w:val="00A04AAA"/>
    <w:rsid w:val="00A06314"/>
    <w:rsid w:val="00A0734C"/>
    <w:rsid w:val="00A10B11"/>
    <w:rsid w:val="00A10D5F"/>
    <w:rsid w:val="00A1186B"/>
    <w:rsid w:val="00A12C63"/>
    <w:rsid w:val="00A14EED"/>
    <w:rsid w:val="00A15468"/>
    <w:rsid w:val="00A16B99"/>
    <w:rsid w:val="00A20C79"/>
    <w:rsid w:val="00A20CCD"/>
    <w:rsid w:val="00A23083"/>
    <w:rsid w:val="00A23551"/>
    <w:rsid w:val="00A23FEE"/>
    <w:rsid w:val="00A24BF0"/>
    <w:rsid w:val="00A256F2"/>
    <w:rsid w:val="00A260D5"/>
    <w:rsid w:val="00A31B68"/>
    <w:rsid w:val="00A32124"/>
    <w:rsid w:val="00A323CC"/>
    <w:rsid w:val="00A32739"/>
    <w:rsid w:val="00A3275C"/>
    <w:rsid w:val="00A348E6"/>
    <w:rsid w:val="00A35E3C"/>
    <w:rsid w:val="00A362D5"/>
    <w:rsid w:val="00A36AEF"/>
    <w:rsid w:val="00A37D8F"/>
    <w:rsid w:val="00A4013F"/>
    <w:rsid w:val="00A40940"/>
    <w:rsid w:val="00A4152D"/>
    <w:rsid w:val="00A41F71"/>
    <w:rsid w:val="00A437E4"/>
    <w:rsid w:val="00A44192"/>
    <w:rsid w:val="00A4474E"/>
    <w:rsid w:val="00A447AC"/>
    <w:rsid w:val="00A4618F"/>
    <w:rsid w:val="00A46B79"/>
    <w:rsid w:val="00A515BF"/>
    <w:rsid w:val="00A517A4"/>
    <w:rsid w:val="00A52423"/>
    <w:rsid w:val="00A52C7A"/>
    <w:rsid w:val="00A531EE"/>
    <w:rsid w:val="00A53775"/>
    <w:rsid w:val="00A53C03"/>
    <w:rsid w:val="00A55E79"/>
    <w:rsid w:val="00A565FC"/>
    <w:rsid w:val="00A56F83"/>
    <w:rsid w:val="00A57A97"/>
    <w:rsid w:val="00A602DB"/>
    <w:rsid w:val="00A60351"/>
    <w:rsid w:val="00A610DB"/>
    <w:rsid w:val="00A6179A"/>
    <w:rsid w:val="00A6185D"/>
    <w:rsid w:val="00A62649"/>
    <w:rsid w:val="00A62A4F"/>
    <w:rsid w:val="00A64B8F"/>
    <w:rsid w:val="00A65853"/>
    <w:rsid w:val="00A67E2F"/>
    <w:rsid w:val="00A706E0"/>
    <w:rsid w:val="00A70933"/>
    <w:rsid w:val="00A719C9"/>
    <w:rsid w:val="00A71B8F"/>
    <w:rsid w:val="00A72334"/>
    <w:rsid w:val="00A72738"/>
    <w:rsid w:val="00A750A4"/>
    <w:rsid w:val="00A76843"/>
    <w:rsid w:val="00A777B3"/>
    <w:rsid w:val="00A77A53"/>
    <w:rsid w:val="00A80089"/>
    <w:rsid w:val="00A848FD"/>
    <w:rsid w:val="00A854C4"/>
    <w:rsid w:val="00A90289"/>
    <w:rsid w:val="00A91717"/>
    <w:rsid w:val="00A9314D"/>
    <w:rsid w:val="00A93647"/>
    <w:rsid w:val="00A93A2F"/>
    <w:rsid w:val="00A95189"/>
    <w:rsid w:val="00A9563D"/>
    <w:rsid w:val="00A95754"/>
    <w:rsid w:val="00A9712A"/>
    <w:rsid w:val="00A97C9E"/>
    <w:rsid w:val="00AA000B"/>
    <w:rsid w:val="00AA0946"/>
    <w:rsid w:val="00AA0FE1"/>
    <w:rsid w:val="00AA13C9"/>
    <w:rsid w:val="00AA2679"/>
    <w:rsid w:val="00AA3ABF"/>
    <w:rsid w:val="00AA53AA"/>
    <w:rsid w:val="00AA54FD"/>
    <w:rsid w:val="00AA5E36"/>
    <w:rsid w:val="00AA5E5C"/>
    <w:rsid w:val="00AA65D5"/>
    <w:rsid w:val="00AA66E3"/>
    <w:rsid w:val="00AA6D79"/>
    <w:rsid w:val="00AA76A1"/>
    <w:rsid w:val="00AA7996"/>
    <w:rsid w:val="00AA79F0"/>
    <w:rsid w:val="00AB0218"/>
    <w:rsid w:val="00AB0DAD"/>
    <w:rsid w:val="00AB2D5C"/>
    <w:rsid w:val="00AB331D"/>
    <w:rsid w:val="00AB3E51"/>
    <w:rsid w:val="00AB4488"/>
    <w:rsid w:val="00AB4DEF"/>
    <w:rsid w:val="00AB646D"/>
    <w:rsid w:val="00AB7CC2"/>
    <w:rsid w:val="00AC00F7"/>
    <w:rsid w:val="00AC1DC2"/>
    <w:rsid w:val="00AC584F"/>
    <w:rsid w:val="00AC693C"/>
    <w:rsid w:val="00AD24A7"/>
    <w:rsid w:val="00AD25E8"/>
    <w:rsid w:val="00AD369D"/>
    <w:rsid w:val="00AD540E"/>
    <w:rsid w:val="00AE2BAC"/>
    <w:rsid w:val="00AE3EF9"/>
    <w:rsid w:val="00AE4252"/>
    <w:rsid w:val="00AE666A"/>
    <w:rsid w:val="00AE7685"/>
    <w:rsid w:val="00AF4A97"/>
    <w:rsid w:val="00AF5BDF"/>
    <w:rsid w:val="00AF636E"/>
    <w:rsid w:val="00AF6E1E"/>
    <w:rsid w:val="00B01173"/>
    <w:rsid w:val="00B013D0"/>
    <w:rsid w:val="00B01FA2"/>
    <w:rsid w:val="00B02BFF"/>
    <w:rsid w:val="00B0304D"/>
    <w:rsid w:val="00B076D5"/>
    <w:rsid w:val="00B14F0A"/>
    <w:rsid w:val="00B15F14"/>
    <w:rsid w:val="00B160B2"/>
    <w:rsid w:val="00B179A3"/>
    <w:rsid w:val="00B21B32"/>
    <w:rsid w:val="00B22E66"/>
    <w:rsid w:val="00B23C4D"/>
    <w:rsid w:val="00B23F1F"/>
    <w:rsid w:val="00B23F57"/>
    <w:rsid w:val="00B24FB5"/>
    <w:rsid w:val="00B260B6"/>
    <w:rsid w:val="00B26132"/>
    <w:rsid w:val="00B351FC"/>
    <w:rsid w:val="00B4082A"/>
    <w:rsid w:val="00B41C23"/>
    <w:rsid w:val="00B4205E"/>
    <w:rsid w:val="00B43406"/>
    <w:rsid w:val="00B435AA"/>
    <w:rsid w:val="00B43810"/>
    <w:rsid w:val="00B45452"/>
    <w:rsid w:val="00B46F78"/>
    <w:rsid w:val="00B46F94"/>
    <w:rsid w:val="00B47614"/>
    <w:rsid w:val="00B503A9"/>
    <w:rsid w:val="00B50DAA"/>
    <w:rsid w:val="00B52048"/>
    <w:rsid w:val="00B525E0"/>
    <w:rsid w:val="00B528D1"/>
    <w:rsid w:val="00B53413"/>
    <w:rsid w:val="00B54444"/>
    <w:rsid w:val="00B5575D"/>
    <w:rsid w:val="00B55FFB"/>
    <w:rsid w:val="00B5681E"/>
    <w:rsid w:val="00B56E60"/>
    <w:rsid w:val="00B57E72"/>
    <w:rsid w:val="00B60B83"/>
    <w:rsid w:val="00B610AC"/>
    <w:rsid w:val="00B620F3"/>
    <w:rsid w:val="00B62117"/>
    <w:rsid w:val="00B63A01"/>
    <w:rsid w:val="00B64F37"/>
    <w:rsid w:val="00B65012"/>
    <w:rsid w:val="00B65913"/>
    <w:rsid w:val="00B6678D"/>
    <w:rsid w:val="00B709FC"/>
    <w:rsid w:val="00B7238A"/>
    <w:rsid w:val="00B72483"/>
    <w:rsid w:val="00B7540B"/>
    <w:rsid w:val="00B77068"/>
    <w:rsid w:val="00B7751C"/>
    <w:rsid w:val="00B77910"/>
    <w:rsid w:val="00B77F62"/>
    <w:rsid w:val="00B81480"/>
    <w:rsid w:val="00B81515"/>
    <w:rsid w:val="00B81BDA"/>
    <w:rsid w:val="00B83967"/>
    <w:rsid w:val="00B844D7"/>
    <w:rsid w:val="00B86421"/>
    <w:rsid w:val="00B90F4E"/>
    <w:rsid w:val="00B94778"/>
    <w:rsid w:val="00B96A30"/>
    <w:rsid w:val="00B96DA2"/>
    <w:rsid w:val="00B97CEC"/>
    <w:rsid w:val="00BA184E"/>
    <w:rsid w:val="00BA1CD9"/>
    <w:rsid w:val="00BA1DDC"/>
    <w:rsid w:val="00BA4A7A"/>
    <w:rsid w:val="00BA4AB3"/>
    <w:rsid w:val="00BA5F8A"/>
    <w:rsid w:val="00BA613A"/>
    <w:rsid w:val="00BB0C26"/>
    <w:rsid w:val="00BB1157"/>
    <w:rsid w:val="00BB14BD"/>
    <w:rsid w:val="00BB1E6D"/>
    <w:rsid w:val="00BB2907"/>
    <w:rsid w:val="00BC1429"/>
    <w:rsid w:val="00BC1BD4"/>
    <w:rsid w:val="00BC1EFF"/>
    <w:rsid w:val="00BC2DC5"/>
    <w:rsid w:val="00BC4145"/>
    <w:rsid w:val="00BC4867"/>
    <w:rsid w:val="00BC4ABD"/>
    <w:rsid w:val="00BC4CE9"/>
    <w:rsid w:val="00BC646B"/>
    <w:rsid w:val="00BD07C9"/>
    <w:rsid w:val="00BD159A"/>
    <w:rsid w:val="00BD2F42"/>
    <w:rsid w:val="00BD4609"/>
    <w:rsid w:val="00BD568C"/>
    <w:rsid w:val="00BD59EE"/>
    <w:rsid w:val="00BD7C42"/>
    <w:rsid w:val="00BE0BF0"/>
    <w:rsid w:val="00BE22A5"/>
    <w:rsid w:val="00BE3523"/>
    <w:rsid w:val="00BE399A"/>
    <w:rsid w:val="00BE4A85"/>
    <w:rsid w:val="00BE7B94"/>
    <w:rsid w:val="00BF10D1"/>
    <w:rsid w:val="00BF15C9"/>
    <w:rsid w:val="00BF248D"/>
    <w:rsid w:val="00BF2A45"/>
    <w:rsid w:val="00BF355C"/>
    <w:rsid w:val="00BF3CA3"/>
    <w:rsid w:val="00BF4844"/>
    <w:rsid w:val="00BF5704"/>
    <w:rsid w:val="00BF596D"/>
    <w:rsid w:val="00BF66FC"/>
    <w:rsid w:val="00BF6738"/>
    <w:rsid w:val="00BF7F5D"/>
    <w:rsid w:val="00C00725"/>
    <w:rsid w:val="00C03DF2"/>
    <w:rsid w:val="00C04876"/>
    <w:rsid w:val="00C070B5"/>
    <w:rsid w:val="00C10387"/>
    <w:rsid w:val="00C1124B"/>
    <w:rsid w:val="00C11705"/>
    <w:rsid w:val="00C12444"/>
    <w:rsid w:val="00C147FE"/>
    <w:rsid w:val="00C151C5"/>
    <w:rsid w:val="00C154C1"/>
    <w:rsid w:val="00C15ED4"/>
    <w:rsid w:val="00C2040C"/>
    <w:rsid w:val="00C20C20"/>
    <w:rsid w:val="00C223A9"/>
    <w:rsid w:val="00C23296"/>
    <w:rsid w:val="00C23590"/>
    <w:rsid w:val="00C23BB0"/>
    <w:rsid w:val="00C23F90"/>
    <w:rsid w:val="00C24040"/>
    <w:rsid w:val="00C24235"/>
    <w:rsid w:val="00C24DBC"/>
    <w:rsid w:val="00C254E0"/>
    <w:rsid w:val="00C25B06"/>
    <w:rsid w:val="00C26A8C"/>
    <w:rsid w:val="00C26B14"/>
    <w:rsid w:val="00C3008E"/>
    <w:rsid w:val="00C307DA"/>
    <w:rsid w:val="00C314AC"/>
    <w:rsid w:val="00C322CF"/>
    <w:rsid w:val="00C32B3C"/>
    <w:rsid w:val="00C36207"/>
    <w:rsid w:val="00C36F8F"/>
    <w:rsid w:val="00C370E4"/>
    <w:rsid w:val="00C40644"/>
    <w:rsid w:val="00C4068E"/>
    <w:rsid w:val="00C40F9C"/>
    <w:rsid w:val="00C41F20"/>
    <w:rsid w:val="00C43DE7"/>
    <w:rsid w:val="00C448A6"/>
    <w:rsid w:val="00C44D24"/>
    <w:rsid w:val="00C452D3"/>
    <w:rsid w:val="00C45BDC"/>
    <w:rsid w:val="00C466D9"/>
    <w:rsid w:val="00C46D1C"/>
    <w:rsid w:val="00C46E6A"/>
    <w:rsid w:val="00C513F3"/>
    <w:rsid w:val="00C52143"/>
    <w:rsid w:val="00C52873"/>
    <w:rsid w:val="00C54B06"/>
    <w:rsid w:val="00C558CA"/>
    <w:rsid w:val="00C55A4E"/>
    <w:rsid w:val="00C57CF3"/>
    <w:rsid w:val="00C6019E"/>
    <w:rsid w:val="00C60713"/>
    <w:rsid w:val="00C62927"/>
    <w:rsid w:val="00C6319E"/>
    <w:rsid w:val="00C6406D"/>
    <w:rsid w:val="00C642CB"/>
    <w:rsid w:val="00C66A05"/>
    <w:rsid w:val="00C6708F"/>
    <w:rsid w:val="00C67659"/>
    <w:rsid w:val="00C678C2"/>
    <w:rsid w:val="00C70AC5"/>
    <w:rsid w:val="00C71A94"/>
    <w:rsid w:val="00C71ECE"/>
    <w:rsid w:val="00C71FD9"/>
    <w:rsid w:val="00C72203"/>
    <w:rsid w:val="00C725C5"/>
    <w:rsid w:val="00C73B8A"/>
    <w:rsid w:val="00C74251"/>
    <w:rsid w:val="00C80607"/>
    <w:rsid w:val="00C80B22"/>
    <w:rsid w:val="00C80EA6"/>
    <w:rsid w:val="00C81C11"/>
    <w:rsid w:val="00C83F46"/>
    <w:rsid w:val="00C84BBE"/>
    <w:rsid w:val="00C913EF"/>
    <w:rsid w:val="00C91854"/>
    <w:rsid w:val="00C9309E"/>
    <w:rsid w:val="00C943CB"/>
    <w:rsid w:val="00C95249"/>
    <w:rsid w:val="00C9532B"/>
    <w:rsid w:val="00C95CF9"/>
    <w:rsid w:val="00C95DE0"/>
    <w:rsid w:val="00C9617E"/>
    <w:rsid w:val="00C96414"/>
    <w:rsid w:val="00CA0401"/>
    <w:rsid w:val="00CA0C5B"/>
    <w:rsid w:val="00CA17AF"/>
    <w:rsid w:val="00CA1CA9"/>
    <w:rsid w:val="00CA3446"/>
    <w:rsid w:val="00CA482C"/>
    <w:rsid w:val="00CA4A62"/>
    <w:rsid w:val="00CA4BD5"/>
    <w:rsid w:val="00CA5495"/>
    <w:rsid w:val="00CA6BBC"/>
    <w:rsid w:val="00CB00AA"/>
    <w:rsid w:val="00CB2530"/>
    <w:rsid w:val="00CB2604"/>
    <w:rsid w:val="00CB3482"/>
    <w:rsid w:val="00CB35C8"/>
    <w:rsid w:val="00CB3D99"/>
    <w:rsid w:val="00CB528D"/>
    <w:rsid w:val="00CB6D1D"/>
    <w:rsid w:val="00CB73C7"/>
    <w:rsid w:val="00CC13FE"/>
    <w:rsid w:val="00CC21E6"/>
    <w:rsid w:val="00CC2B24"/>
    <w:rsid w:val="00CC2CA2"/>
    <w:rsid w:val="00CC3AE8"/>
    <w:rsid w:val="00CC4143"/>
    <w:rsid w:val="00CC4A61"/>
    <w:rsid w:val="00CC4E9C"/>
    <w:rsid w:val="00CC514F"/>
    <w:rsid w:val="00CC52ED"/>
    <w:rsid w:val="00CC53AE"/>
    <w:rsid w:val="00CC7720"/>
    <w:rsid w:val="00CC7A0C"/>
    <w:rsid w:val="00CC7B82"/>
    <w:rsid w:val="00CD0771"/>
    <w:rsid w:val="00CD0E00"/>
    <w:rsid w:val="00CD272B"/>
    <w:rsid w:val="00CD2B50"/>
    <w:rsid w:val="00CD2E25"/>
    <w:rsid w:val="00CD4021"/>
    <w:rsid w:val="00CD57EA"/>
    <w:rsid w:val="00CD6C76"/>
    <w:rsid w:val="00CD6FB3"/>
    <w:rsid w:val="00CE11AD"/>
    <w:rsid w:val="00CE131F"/>
    <w:rsid w:val="00CE1537"/>
    <w:rsid w:val="00CE1546"/>
    <w:rsid w:val="00CE1FEA"/>
    <w:rsid w:val="00CE28C7"/>
    <w:rsid w:val="00CE30CA"/>
    <w:rsid w:val="00CE3A48"/>
    <w:rsid w:val="00CE5A23"/>
    <w:rsid w:val="00CE63DC"/>
    <w:rsid w:val="00CE7026"/>
    <w:rsid w:val="00CE7424"/>
    <w:rsid w:val="00CE767E"/>
    <w:rsid w:val="00CE7CAB"/>
    <w:rsid w:val="00CF02E8"/>
    <w:rsid w:val="00CF13FF"/>
    <w:rsid w:val="00CF1C57"/>
    <w:rsid w:val="00CF2405"/>
    <w:rsid w:val="00CF27B6"/>
    <w:rsid w:val="00CF391A"/>
    <w:rsid w:val="00CF3D65"/>
    <w:rsid w:val="00CF4B6D"/>
    <w:rsid w:val="00CF5B58"/>
    <w:rsid w:val="00CF750A"/>
    <w:rsid w:val="00D004A0"/>
    <w:rsid w:val="00D03034"/>
    <w:rsid w:val="00D03C3F"/>
    <w:rsid w:val="00D0627D"/>
    <w:rsid w:val="00D109CB"/>
    <w:rsid w:val="00D11CF6"/>
    <w:rsid w:val="00D11D8B"/>
    <w:rsid w:val="00D11EB6"/>
    <w:rsid w:val="00D20808"/>
    <w:rsid w:val="00D21225"/>
    <w:rsid w:val="00D2155F"/>
    <w:rsid w:val="00D21FE4"/>
    <w:rsid w:val="00D235C3"/>
    <w:rsid w:val="00D25519"/>
    <w:rsid w:val="00D263C6"/>
    <w:rsid w:val="00D32985"/>
    <w:rsid w:val="00D33199"/>
    <w:rsid w:val="00D33454"/>
    <w:rsid w:val="00D34BB2"/>
    <w:rsid w:val="00D3529F"/>
    <w:rsid w:val="00D361A9"/>
    <w:rsid w:val="00D41741"/>
    <w:rsid w:val="00D4185A"/>
    <w:rsid w:val="00D42736"/>
    <w:rsid w:val="00D4418A"/>
    <w:rsid w:val="00D452E3"/>
    <w:rsid w:val="00D457A5"/>
    <w:rsid w:val="00D45FFA"/>
    <w:rsid w:val="00D470C9"/>
    <w:rsid w:val="00D4733E"/>
    <w:rsid w:val="00D47570"/>
    <w:rsid w:val="00D4781C"/>
    <w:rsid w:val="00D52010"/>
    <w:rsid w:val="00D52398"/>
    <w:rsid w:val="00D5348C"/>
    <w:rsid w:val="00D54B0E"/>
    <w:rsid w:val="00D555E4"/>
    <w:rsid w:val="00D555FE"/>
    <w:rsid w:val="00D633E0"/>
    <w:rsid w:val="00D636F3"/>
    <w:rsid w:val="00D65C65"/>
    <w:rsid w:val="00D65EC4"/>
    <w:rsid w:val="00D66295"/>
    <w:rsid w:val="00D66993"/>
    <w:rsid w:val="00D66FB6"/>
    <w:rsid w:val="00D672F5"/>
    <w:rsid w:val="00D6785A"/>
    <w:rsid w:val="00D67C26"/>
    <w:rsid w:val="00D72728"/>
    <w:rsid w:val="00D72BED"/>
    <w:rsid w:val="00D75AD9"/>
    <w:rsid w:val="00D77369"/>
    <w:rsid w:val="00D77767"/>
    <w:rsid w:val="00D803AB"/>
    <w:rsid w:val="00D8260D"/>
    <w:rsid w:val="00D82D71"/>
    <w:rsid w:val="00D841D0"/>
    <w:rsid w:val="00D8488C"/>
    <w:rsid w:val="00D84A85"/>
    <w:rsid w:val="00D84E1A"/>
    <w:rsid w:val="00D8757D"/>
    <w:rsid w:val="00D875D5"/>
    <w:rsid w:val="00D87821"/>
    <w:rsid w:val="00D90503"/>
    <w:rsid w:val="00D90C8F"/>
    <w:rsid w:val="00D90EEF"/>
    <w:rsid w:val="00D91433"/>
    <w:rsid w:val="00D91B2B"/>
    <w:rsid w:val="00D91E73"/>
    <w:rsid w:val="00D9217E"/>
    <w:rsid w:val="00D9288D"/>
    <w:rsid w:val="00D9646F"/>
    <w:rsid w:val="00D96C0A"/>
    <w:rsid w:val="00D979A9"/>
    <w:rsid w:val="00DA0A1C"/>
    <w:rsid w:val="00DA2B2E"/>
    <w:rsid w:val="00DA31A8"/>
    <w:rsid w:val="00DA3537"/>
    <w:rsid w:val="00DA45B8"/>
    <w:rsid w:val="00DA4AAA"/>
    <w:rsid w:val="00DA51DB"/>
    <w:rsid w:val="00DA662C"/>
    <w:rsid w:val="00DA762E"/>
    <w:rsid w:val="00DA76D3"/>
    <w:rsid w:val="00DB01B2"/>
    <w:rsid w:val="00DB1614"/>
    <w:rsid w:val="00DB25F9"/>
    <w:rsid w:val="00DB3931"/>
    <w:rsid w:val="00DB609F"/>
    <w:rsid w:val="00DB6264"/>
    <w:rsid w:val="00DB6A0C"/>
    <w:rsid w:val="00DB6A79"/>
    <w:rsid w:val="00DB7808"/>
    <w:rsid w:val="00DB7E3F"/>
    <w:rsid w:val="00DC16D2"/>
    <w:rsid w:val="00DC1C32"/>
    <w:rsid w:val="00DC2432"/>
    <w:rsid w:val="00DC34C7"/>
    <w:rsid w:val="00DC4135"/>
    <w:rsid w:val="00DC4198"/>
    <w:rsid w:val="00DC4A16"/>
    <w:rsid w:val="00DC53A0"/>
    <w:rsid w:val="00DC6648"/>
    <w:rsid w:val="00DD0FC1"/>
    <w:rsid w:val="00DD116B"/>
    <w:rsid w:val="00DD37CA"/>
    <w:rsid w:val="00DD3B90"/>
    <w:rsid w:val="00DD3BE7"/>
    <w:rsid w:val="00DD432E"/>
    <w:rsid w:val="00DD44E1"/>
    <w:rsid w:val="00DD6DDC"/>
    <w:rsid w:val="00DD7AC9"/>
    <w:rsid w:val="00DE0125"/>
    <w:rsid w:val="00DE02DE"/>
    <w:rsid w:val="00DE093E"/>
    <w:rsid w:val="00DE15A9"/>
    <w:rsid w:val="00DE1C1A"/>
    <w:rsid w:val="00DE2618"/>
    <w:rsid w:val="00DE3CF2"/>
    <w:rsid w:val="00DE400A"/>
    <w:rsid w:val="00DE4BE6"/>
    <w:rsid w:val="00DE78CF"/>
    <w:rsid w:val="00DF077D"/>
    <w:rsid w:val="00DF0CFB"/>
    <w:rsid w:val="00DF3AEA"/>
    <w:rsid w:val="00DF45A8"/>
    <w:rsid w:val="00DF54E2"/>
    <w:rsid w:val="00DF5DE6"/>
    <w:rsid w:val="00DF620F"/>
    <w:rsid w:val="00DF7D5A"/>
    <w:rsid w:val="00E000D2"/>
    <w:rsid w:val="00E003A4"/>
    <w:rsid w:val="00E0119A"/>
    <w:rsid w:val="00E02B87"/>
    <w:rsid w:val="00E02BAC"/>
    <w:rsid w:val="00E02E22"/>
    <w:rsid w:val="00E06B55"/>
    <w:rsid w:val="00E06E97"/>
    <w:rsid w:val="00E07198"/>
    <w:rsid w:val="00E0728B"/>
    <w:rsid w:val="00E1068C"/>
    <w:rsid w:val="00E1292C"/>
    <w:rsid w:val="00E13723"/>
    <w:rsid w:val="00E1394C"/>
    <w:rsid w:val="00E145C3"/>
    <w:rsid w:val="00E155FE"/>
    <w:rsid w:val="00E165BA"/>
    <w:rsid w:val="00E170EC"/>
    <w:rsid w:val="00E17244"/>
    <w:rsid w:val="00E17A39"/>
    <w:rsid w:val="00E22EA2"/>
    <w:rsid w:val="00E259BA"/>
    <w:rsid w:val="00E25C27"/>
    <w:rsid w:val="00E26DE7"/>
    <w:rsid w:val="00E31954"/>
    <w:rsid w:val="00E31A49"/>
    <w:rsid w:val="00E31BB7"/>
    <w:rsid w:val="00E32BC7"/>
    <w:rsid w:val="00E33058"/>
    <w:rsid w:val="00E3387F"/>
    <w:rsid w:val="00E3394C"/>
    <w:rsid w:val="00E346B5"/>
    <w:rsid w:val="00E35C30"/>
    <w:rsid w:val="00E35CB2"/>
    <w:rsid w:val="00E4011E"/>
    <w:rsid w:val="00E40896"/>
    <w:rsid w:val="00E40F34"/>
    <w:rsid w:val="00E41558"/>
    <w:rsid w:val="00E41682"/>
    <w:rsid w:val="00E42B67"/>
    <w:rsid w:val="00E439F2"/>
    <w:rsid w:val="00E43C8E"/>
    <w:rsid w:val="00E44505"/>
    <w:rsid w:val="00E459CA"/>
    <w:rsid w:val="00E45DF2"/>
    <w:rsid w:val="00E46380"/>
    <w:rsid w:val="00E4795A"/>
    <w:rsid w:val="00E47D11"/>
    <w:rsid w:val="00E50472"/>
    <w:rsid w:val="00E519B7"/>
    <w:rsid w:val="00E52AED"/>
    <w:rsid w:val="00E54417"/>
    <w:rsid w:val="00E5543E"/>
    <w:rsid w:val="00E55737"/>
    <w:rsid w:val="00E55A31"/>
    <w:rsid w:val="00E57363"/>
    <w:rsid w:val="00E57F50"/>
    <w:rsid w:val="00E606DD"/>
    <w:rsid w:val="00E60778"/>
    <w:rsid w:val="00E611AA"/>
    <w:rsid w:val="00E612C2"/>
    <w:rsid w:val="00E627BB"/>
    <w:rsid w:val="00E62D14"/>
    <w:rsid w:val="00E643EB"/>
    <w:rsid w:val="00E67984"/>
    <w:rsid w:val="00E67AF7"/>
    <w:rsid w:val="00E67D9A"/>
    <w:rsid w:val="00E70B1D"/>
    <w:rsid w:val="00E71A0F"/>
    <w:rsid w:val="00E72336"/>
    <w:rsid w:val="00E72376"/>
    <w:rsid w:val="00E72CB5"/>
    <w:rsid w:val="00E75D06"/>
    <w:rsid w:val="00E76192"/>
    <w:rsid w:val="00E76259"/>
    <w:rsid w:val="00E76305"/>
    <w:rsid w:val="00E76838"/>
    <w:rsid w:val="00E773E7"/>
    <w:rsid w:val="00E82658"/>
    <w:rsid w:val="00E83E16"/>
    <w:rsid w:val="00E84B23"/>
    <w:rsid w:val="00E84DD8"/>
    <w:rsid w:val="00E857C9"/>
    <w:rsid w:val="00E85D6B"/>
    <w:rsid w:val="00E861F0"/>
    <w:rsid w:val="00E86286"/>
    <w:rsid w:val="00E86AED"/>
    <w:rsid w:val="00E8761D"/>
    <w:rsid w:val="00E902D7"/>
    <w:rsid w:val="00E91008"/>
    <w:rsid w:val="00E926CE"/>
    <w:rsid w:val="00E92846"/>
    <w:rsid w:val="00E92F88"/>
    <w:rsid w:val="00E935EA"/>
    <w:rsid w:val="00E93D9A"/>
    <w:rsid w:val="00E94E9B"/>
    <w:rsid w:val="00E95F03"/>
    <w:rsid w:val="00E96847"/>
    <w:rsid w:val="00E96C61"/>
    <w:rsid w:val="00E96D78"/>
    <w:rsid w:val="00E971AA"/>
    <w:rsid w:val="00E97AF0"/>
    <w:rsid w:val="00EA1006"/>
    <w:rsid w:val="00EA2D4E"/>
    <w:rsid w:val="00EA2F70"/>
    <w:rsid w:val="00EA43A1"/>
    <w:rsid w:val="00EA4968"/>
    <w:rsid w:val="00EA50AC"/>
    <w:rsid w:val="00EA599D"/>
    <w:rsid w:val="00EA645C"/>
    <w:rsid w:val="00EB09F0"/>
    <w:rsid w:val="00EB17D2"/>
    <w:rsid w:val="00EB1D84"/>
    <w:rsid w:val="00EB2007"/>
    <w:rsid w:val="00EB3227"/>
    <w:rsid w:val="00EB34DC"/>
    <w:rsid w:val="00EB49DB"/>
    <w:rsid w:val="00EB4CB9"/>
    <w:rsid w:val="00EB61D0"/>
    <w:rsid w:val="00EC0012"/>
    <w:rsid w:val="00EC19C0"/>
    <w:rsid w:val="00EC2331"/>
    <w:rsid w:val="00EC2CAE"/>
    <w:rsid w:val="00EC4441"/>
    <w:rsid w:val="00EC44E5"/>
    <w:rsid w:val="00EC55C3"/>
    <w:rsid w:val="00EC5AB5"/>
    <w:rsid w:val="00EC73A0"/>
    <w:rsid w:val="00ED0424"/>
    <w:rsid w:val="00ED06A4"/>
    <w:rsid w:val="00ED2C60"/>
    <w:rsid w:val="00ED2E5C"/>
    <w:rsid w:val="00ED340C"/>
    <w:rsid w:val="00ED401F"/>
    <w:rsid w:val="00ED403D"/>
    <w:rsid w:val="00ED416C"/>
    <w:rsid w:val="00ED4F37"/>
    <w:rsid w:val="00ED6133"/>
    <w:rsid w:val="00ED6AFD"/>
    <w:rsid w:val="00ED6EA1"/>
    <w:rsid w:val="00ED7ECE"/>
    <w:rsid w:val="00EE26FC"/>
    <w:rsid w:val="00EE3276"/>
    <w:rsid w:val="00EE387A"/>
    <w:rsid w:val="00EE3B0B"/>
    <w:rsid w:val="00EE4E8A"/>
    <w:rsid w:val="00EE564A"/>
    <w:rsid w:val="00EE7FDF"/>
    <w:rsid w:val="00EF0007"/>
    <w:rsid w:val="00EF04FA"/>
    <w:rsid w:val="00EF1F6A"/>
    <w:rsid w:val="00EF2957"/>
    <w:rsid w:val="00EF2BEE"/>
    <w:rsid w:val="00EF3300"/>
    <w:rsid w:val="00EF41DF"/>
    <w:rsid w:val="00EF465C"/>
    <w:rsid w:val="00EF523C"/>
    <w:rsid w:val="00EF6119"/>
    <w:rsid w:val="00EF65AD"/>
    <w:rsid w:val="00EF6D43"/>
    <w:rsid w:val="00EF6F5D"/>
    <w:rsid w:val="00EF7435"/>
    <w:rsid w:val="00EF7617"/>
    <w:rsid w:val="00F0310E"/>
    <w:rsid w:val="00F03381"/>
    <w:rsid w:val="00F03605"/>
    <w:rsid w:val="00F04ECE"/>
    <w:rsid w:val="00F05383"/>
    <w:rsid w:val="00F06472"/>
    <w:rsid w:val="00F06570"/>
    <w:rsid w:val="00F0695A"/>
    <w:rsid w:val="00F07A51"/>
    <w:rsid w:val="00F1102B"/>
    <w:rsid w:val="00F1190A"/>
    <w:rsid w:val="00F147D1"/>
    <w:rsid w:val="00F14820"/>
    <w:rsid w:val="00F15178"/>
    <w:rsid w:val="00F210CB"/>
    <w:rsid w:val="00F21813"/>
    <w:rsid w:val="00F227E1"/>
    <w:rsid w:val="00F24D2E"/>
    <w:rsid w:val="00F25A62"/>
    <w:rsid w:val="00F26D36"/>
    <w:rsid w:val="00F273B5"/>
    <w:rsid w:val="00F3025D"/>
    <w:rsid w:val="00F3058D"/>
    <w:rsid w:val="00F30FDB"/>
    <w:rsid w:val="00F330C6"/>
    <w:rsid w:val="00F3359F"/>
    <w:rsid w:val="00F342AE"/>
    <w:rsid w:val="00F3665B"/>
    <w:rsid w:val="00F37305"/>
    <w:rsid w:val="00F37822"/>
    <w:rsid w:val="00F40177"/>
    <w:rsid w:val="00F40CE7"/>
    <w:rsid w:val="00F40D87"/>
    <w:rsid w:val="00F40EE3"/>
    <w:rsid w:val="00F44507"/>
    <w:rsid w:val="00F4521A"/>
    <w:rsid w:val="00F45F36"/>
    <w:rsid w:val="00F4677A"/>
    <w:rsid w:val="00F46C50"/>
    <w:rsid w:val="00F475F7"/>
    <w:rsid w:val="00F5050E"/>
    <w:rsid w:val="00F53702"/>
    <w:rsid w:val="00F53AF1"/>
    <w:rsid w:val="00F555F4"/>
    <w:rsid w:val="00F556B1"/>
    <w:rsid w:val="00F57D80"/>
    <w:rsid w:val="00F57F2C"/>
    <w:rsid w:val="00F6035B"/>
    <w:rsid w:val="00F60964"/>
    <w:rsid w:val="00F60ACC"/>
    <w:rsid w:val="00F63651"/>
    <w:rsid w:val="00F63C9E"/>
    <w:rsid w:val="00F64C21"/>
    <w:rsid w:val="00F65405"/>
    <w:rsid w:val="00F67811"/>
    <w:rsid w:val="00F71071"/>
    <w:rsid w:val="00F7149A"/>
    <w:rsid w:val="00F71CEC"/>
    <w:rsid w:val="00F7493B"/>
    <w:rsid w:val="00F772AE"/>
    <w:rsid w:val="00F80950"/>
    <w:rsid w:val="00F81354"/>
    <w:rsid w:val="00F81D16"/>
    <w:rsid w:val="00F83438"/>
    <w:rsid w:val="00F87904"/>
    <w:rsid w:val="00F91E63"/>
    <w:rsid w:val="00F932A4"/>
    <w:rsid w:val="00F939B0"/>
    <w:rsid w:val="00F940A5"/>
    <w:rsid w:val="00F9534E"/>
    <w:rsid w:val="00F95FD1"/>
    <w:rsid w:val="00F976DD"/>
    <w:rsid w:val="00F9776D"/>
    <w:rsid w:val="00F97C42"/>
    <w:rsid w:val="00FA0383"/>
    <w:rsid w:val="00FA11E0"/>
    <w:rsid w:val="00FA2FC9"/>
    <w:rsid w:val="00FA5F9A"/>
    <w:rsid w:val="00FA643E"/>
    <w:rsid w:val="00FA7C24"/>
    <w:rsid w:val="00FB08DF"/>
    <w:rsid w:val="00FB09B8"/>
    <w:rsid w:val="00FB1B08"/>
    <w:rsid w:val="00FB2F77"/>
    <w:rsid w:val="00FB38DF"/>
    <w:rsid w:val="00FB3F92"/>
    <w:rsid w:val="00FB3FD3"/>
    <w:rsid w:val="00FB47A6"/>
    <w:rsid w:val="00FB4F4E"/>
    <w:rsid w:val="00FB5031"/>
    <w:rsid w:val="00FB5721"/>
    <w:rsid w:val="00FB687D"/>
    <w:rsid w:val="00FB6A02"/>
    <w:rsid w:val="00FB7421"/>
    <w:rsid w:val="00FB7543"/>
    <w:rsid w:val="00FC0DAD"/>
    <w:rsid w:val="00FC100E"/>
    <w:rsid w:val="00FC25A3"/>
    <w:rsid w:val="00FC2F76"/>
    <w:rsid w:val="00FC40C7"/>
    <w:rsid w:val="00FC5E73"/>
    <w:rsid w:val="00FC64D6"/>
    <w:rsid w:val="00FC746B"/>
    <w:rsid w:val="00FD05B8"/>
    <w:rsid w:val="00FD0A55"/>
    <w:rsid w:val="00FD16E3"/>
    <w:rsid w:val="00FD179E"/>
    <w:rsid w:val="00FD2B19"/>
    <w:rsid w:val="00FD3261"/>
    <w:rsid w:val="00FD4D8C"/>
    <w:rsid w:val="00FD6032"/>
    <w:rsid w:val="00FD64F9"/>
    <w:rsid w:val="00FD742C"/>
    <w:rsid w:val="00FE2268"/>
    <w:rsid w:val="00FE69A2"/>
    <w:rsid w:val="00FE6DE5"/>
    <w:rsid w:val="00FE701A"/>
    <w:rsid w:val="00FF0C07"/>
    <w:rsid w:val="00FF2CED"/>
    <w:rsid w:val="00FF3639"/>
    <w:rsid w:val="00FF44AD"/>
    <w:rsid w:val="00FF4E0E"/>
    <w:rsid w:val="00FF521E"/>
    <w:rsid w:val="00FF5238"/>
    <w:rsid w:val="3F8B0EFB"/>
    <w:rsid w:val="4BCE2788"/>
    <w:rsid w:val="78E409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560" w:lineRule="exact" w:before="0" w:after="0"/>
      <w:ind w:firstLine="200" w:firstLineChars="200"/>
      <w:jc w:val="both"/>
    </w:pPr>
    <w:rPr>
      <w:rFonts w:ascii="Times New Roman" w:hAnsi="Times New Roman" w:eastAsia="仿宋_GB2312" w:cstheme="minorBidi"/>
      <w:b w:val="0"/>
      <w:kern w:val="2"/>
      <w:sz w:val="28"/>
      <w:szCs w:val="22"/>
      <w:lang w:val="en-US" w:eastAsia="zh-CN" w:bidi="ar-SA"/>
    </w:rPr>
  </w:style>
  <w:style w:type="paragraph" w:styleId="2">
    <w:name w:val="heading 1"/>
    <w:next w:val="1"/>
    <w:link w:val="28"/>
    <w:qFormat/>
    <w:uiPriority w:val="9"/>
    <w:pPr>
      <w:keepNext/>
      <w:keepLines/>
      <w:spacing w:before="120" w:beforeLines="50" w:after="120" w:afterLines="50" w:line="560" w:lineRule="exact"/>
      <w:outlineLvl w:val="0"/>
    </w:pPr>
    <w:rPr>
      <w:rFonts w:ascii="Times New Roman" w:hAnsi="Times New Roman" w:eastAsia="仿宋_GB2312" w:cstheme="minorBidi"/>
      <w:b/>
      <w:bCs/>
      <w:kern w:val="44"/>
      <w:sz w:val="36"/>
      <w:szCs w:val="44"/>
      <w:lang w:val="en-US" w:eastAsia="zh-CN" w:bidi="ar-SA"/>
    </w:rPr>
  </w:style>
  <w:style w:type="paragraph" w:styleId="3">
    <w:name w:val="heading 2"/>
    <w:next w:val="2"/>
    <w:link w:val="29"/>
    <w:unhideWhenUsed/>
    <w:qFormat/>
    <w:uiPriority w:val="9"/>
    <w:pPr>
      <w:keepNext/>
      <w:keepLines/>
      <w:spacing w:before="120" w:after="120" w:line="560" w:lineRule="exact"/>
      <w:outlineLvl w:val="1"/>
    </w:pPr>
    <w:rPr>
      <w:rFonts w:ascii="Times New Roman" w:hAnsi="Times New Roman" w:eastAsia="仿宋_GB2312" w:cstheme="majorBidi"/>
      <w:b/>
      <w:bCs/>
      <w:kern w:val="2"/>
      <w:sz w:val="28"/>
      <w:szCs w:val="32"/>
      <w:lang w:val="en-US" w:eastAsia="zh-CN" w:bidi="ar-SA"/>
    </w:rPr>
  </w:style>
  <w:style w:type="paragraph" w:styleId="4">
    <w:name w:val="heading 3"/>
    <w:basedOn w:val="1"/>
    <w:next w:val="5"/>
    <w:link w:val="30"/>
    <w:unhideWhenUsed/>
    <w:qFormat/>
    <w:uiPriority w:val="9"/>
    <w:pPr>
      <w:keepNext/>
      <w:keepLines/>
      <w:spacing w:before="50" w:beforeLines="50" w:after="50" w:afterLines="50" w:line="560" w:lineRule="exact"/>
      <w:jc w:val="left"/>
      <w:outlineLvl w:val="2"/>
    </w:pPr>
    <w:rPr>
      <w:rFonts w:ascii="Times New Roman" w:hAnsi="Times New Roman" w:eastAsia="仿宋_GB2312"/>
      <w:b/>
      <w:bCs/>
      <w:sz w:val="28"/>
      <w:szCs w:val="32"/>
    </w:rPr>
  </w:style>
  <w:style w:type="paragraph" w:styleId="6">
    <w:name w:val="heading 4"/>
    <w:basedOn w:val="1"/>
    <w:next w:val="1"/>
    <w:link w:val="31"/>
    <w:unhideWhenUsed/>
    <w:qFormat/>
    <w:uiPriority w:val="9"/>
    <w:pPr>
      <w:keepNext/>
      <w:keepLines/>
      <w:spacing w:before="120" w:after="120"/>
      <w:ind w:firstLine="0" w:firstLineChars="0"/>
      <w:outlineLvl w:val="3"/>
    </w:pPr>
    <w:rPr>
      <w:rFonts w:cstheme="majorBidi"/>
      <w:b/>
      <w:bCs/>
      <w:szCs w:val="28"/>
    </w:rPr>
  </w:style>
  <w:style w:type="paragraph" w:styleId="7">
    <w:name w:val="heading 5"/>
    <w:basedOn w:val="1"/>
    <w:next w:val="1"/>
    <w:link w:val="32"/>
    <w:unhideWhenUsed/>
    <w:qFormat/>
    <w:uiPriority w:val="9"/>
    <w:pPr>
      <w:keepNext/>
      <w:keepLines/>
      <w:spacing w:before="280" w:after="290" w:line="376" w:lineRule="auto"/>
      <w:outlineLvl w:val="4"/>
    </w:pPr>
    <w:rPr>
      <w:b/>
      <w:bCs/>
      <w:szCs w:val="28"/>
    </w:rPr>
  </w:style>
  <w:style w:type="paragraph" w:styleId="8">
    <w:name w:val="heading 6"/>
    <w:basedOn w:val="1"/>
    <w:next w:val="1"/>
    <w:link w:val="93"/>
    <w:unhideWhenUsed/>
    <w:qFormat/>
    <w:uiPriority w:val="9"/>
    <w:pPr>
      <w:keepNext/>
      <w:keepLines/>
      <w:adjustRightInd/>
      <w:snapToGrid/>
      <w:spacing w:before="240" w:after="64" w:line="320" w:lineRule="auto"/>
      <w:outlineLvl w:val="5"/>
    </w:pPr>
    <w:rPr>
      <w:rFonts w:asciiTheme="majorHAnsi" w:hAnsiTheme="majorHAnsi" w:eastAsiaTheme="majorEastAsia" w:cstheme="majorBidi"/>
      <w:b/>
      <w:bCs/>
      <w:sz w:val="24"/>
      <w:szCs w:val="24"/>
    </w:rPr>
  </w:style>
  <w:style w:type="paragraph" w:styleId="9">
    <w:name w:val="heading 7"/>
    <w:basedOn w:val="1"/>
    <w:next w:val="1"/>
    <w:link w:val="100"/>
    <w:semiHidden/>
    <w:unhideWhenUsed/>
    <w:qFormat/>
    <w:uiPriority w:val="9"/>
    <w:pPr>
      <w:keepNext/>
      <w:keepLines/>
      <w:spacing w:before="240" w:after="64" w:line="320" w:lineRule="auto"/>
      <w:outlineLvl w:val="6"/>
    </w:pPr>
    <w:rPr>
      <w:b/>
      <w:bCs/>
      <w:sz w:val="24"/>
      <w:szCs w:val="24"/>
    </w:rPr>
  </w:style>
  <w:style w:type="paragraph" w:styleId="10">
    <w:name w:val="heading 8"/>
    <w:basedOn w:val="1"/>
    <w:next w:val="1"/>
    <w:link w:val="101"/>
    <w:semiHidden/>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102"/>
    <w:semiHidden/>
    <w:unhideWhenUsed/>
    <w:qFormat/>
    <w:uiPriority w:val="9"/>
    <w:pPr>
      <w:keepNext/>
      <w:keepLines/>
      <w:spacing w:before="240" w:after="64" w:line="320" w:lineRule="auto"/>
      <w:outlineLvl w:val="8"/>
    </w:pPr>
    <w:rPr>
      <w:rFonts w:asciiTheme="majorHAnsi" w:hAnsiTheme="majorHAnsi" w:eastAsiaTheme="majorEastAsia" w:cstheme="majorBidi"/>
      <w:sz w:val="21"/>
      <w:szCs w:val="21"/>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customStyle="1" w:styleId="5">
    <w:name w:val="正文 缩进"/>
    <w:basedOn w:val="1"/>
    <w:qFormat/>
    <w:uiPriority w:val="0"/>
    <w:rPr>
      <w:sz w:val="24"/>
    </w:rPr>
  </w:style>
  <w:style w:type="paragraph" w:styleId="12">
    <w:name w:val="caption"/>
    <w:next w:val="1"/>
    <w:unhideWhenUsed/>
    <w:qFormat/>
    <w:uiPriority w:val="35"/>
    <w:pPr>
      <w:jc w:val="center"/>
    </w:pPr>
    <w:rPr>
      <w:rFonts w:ascii="Times New Roman" w:hAnsi="Times New Roman" w:eastAsia="仿宋_GB2312" w:cs="Times New Roman"/>
      <w:b w:val="0"/>
      <w:kern w:val="2"/>
      <w:sz w:val="24"/>
      <w:szCs w:val="32"/>
      <w:lang w:val="en" w:eastAsia="zh-CN" w:bidi="ar-SA"/>
    </w:rPr>
  </w:style>
  <w:style w:type="paragraph" w:styleId="13">
    <w:name w:val="Document Map"/>
    <w:basedOn w:val="1"/>
    <w:link w:val="94"/>
    <w:semiHidden/>
    <w:unhideWhenUsed/>
    <w:uiPriority w:val="99"/>
    <w:pPr>
      <w:adjustRightInd/>
      <w:snapToGrid/>
    </w:pPr>
    <w:rPr>
      <w:rFonts w:ascii="宋体" w:eastAsia="宋体" w:hAnsiTheme="minorHAnsi"/>
      <w:sz w:val="18"/>
      <w:szCs w:val="18"/>
    </w:rPr>
  </w:style>
  <w:style w:type="paragraph" w:styleId="14">
    <w:name w:val="toc 3"/>
    <w:basedOn w:val="1"/>
    <w:next w:val="1"/>
    <w:unhideWhenUsed/>
    <w:qFormat/>
    <w:uiPriority w:val="39"/>
    <w:pPr>
      <w:ind w:left="840" w:leftChars="400"/>
    </w:pPr>
  </w:style>
  <w:style w:type="paragraph" w:styleId="15">
    <w:name w:val="Date"/>
    <w:basedOn w:val="1"/>
    <w:next w:val="1"/>
    <w:link w:val="34"/>
    <w:semiHidden/>
    <w:unhideWhenUsed/>
    <w:qFormat/>
    <w:uiPriority w:val="99"/>
    <w:pPr>
      <w:ind w:left="100" w:leftChars="2500"/>
    </w:pPr>
  </w:style>
  <w:style w:type="paragraph" w:styleId="16">
    <w:name w:val="Balloon Text"/>
    <w:basedOn w:val="1"/>
    <w:link w:val="43"/>
    <w:unhideWhenUsed/>
    <w:qFormat/>
    <w:uiPriority w:val="99"/>
    <w:rPr>
      <w:sz w:val="18"/>
      <w:szCs w:val="18"/>
    </w:rPr>
  </w:style>
  <w:style w:type="paragraph" w:styleId="17">
    <w:name w:val="footer"/>
    <w:basedOn w:val="1"/>
    <w:link w:val="36"/>
    <w:unhideWhenUsed/>
    <w:qFormat/>
    <w:uiPriority w:val="99"/>
    <w:pPr>
      <w:tabs>
        <w:tab w:val="center" w:pos="4153"/>
        <w:tab w:val="right" w:pos="8306"/>
      </w:tabs>
      <w:spacing w:line="240" w:lineRule="atLeast"/>
      <w:jc w:val="left"/>
    </w:pPr>
    <w:rPr>
      <w:sz w:val="18"/>
      <w:szCs w:val="18"/>
    </w:rPr>
  </w:style>
  <w:style w:type="paragraph" w:styleId="18">
    <w:name w:val="header"/>
    <w:basedOn w:val="1"/>
    <w:link w:val="35"/>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19">
    <w:name w:val="toc 1"/>
    <w:basedOn w:val="1"/>
    <w:next w:val="1"/>
    <w:unhideWhenUsed/>
    <w:qFormat/>
    <w:uiPriority w:val="39"/>
    <w:pPr>
      <w:tabs>
        <w:tab w:val="left" w:pos="0"/>
        <w:tab w:val="right" w:leader="dot" w:pos="8302"/>
      </w:tabs>
      <w:spacing w:line="560" w:lineRule="exact" w:before="0" w:after="0"/>
      <w:ind w:firstLine="0" w:firstLineChars="0"/>
    </w:pPr>
    <w:rPr>
      <w:rFonts w:eastAsia="仿宋_GB2312" w:cs="Times New Roman" w:ascii="Times New Roman" w:hAnsi="Times New Roman"/>
      <w:b/>
      <w:sz w:val="28"/>
    </w:rPr>
  </w:style>
  <w:style w:type="paragraph" w:styleId="20">
    <w:name w:val="toc 2"/>
    <w:basedOn w:val="1"/>
    <w:next w:val="1"/>
    <w:unhideWhenUsed/>
    <w:qFormat/>
    <w:uiPriority w:val="39"/>
    <w:pPr>
      <w:tabs>
        <w:tab w:val="left" w:pos="1120"/>
        <w:tab w:val="right" w:leader="dot" w:pos="8296"/>
      </w:tabs>
      <w:spacing w:line="560" w:lineRule="exact" w:before="0" w:after="0"/>
      <w:ind w:left="640" w:leftChars="200" w:firstLine="0" w:firstLineChars="0"/>
    </w:pPr>
    <w:rPr>
      <w:rFonts w:ascii="Times New Roman" w:hAnsi="Times New Roman" w:eastAsia="仿宋_GB2312"/>
      <w:b w:val="0"/>
      <w:sz w:val="28"/>
    </w:rPr>
  </w:style>
  <w:style w:type="paragraph" w:styleId="21">
    <w:name w:val="Normal (Web)"/>
    <w:basedOn w:val="1"/>
    <w:unhideWhenUsed/>
    <w:qFormat/>
    <w:uiPriority w:val="99"/>
    <w:pPr>
      <w:widowControl/>
      <w:adjustRightInd/>
      <w:snapToGrid/>
      <w:spacing w:before="100" w:beforeAutospacing="1" w:after="100" w:afterAutospacing="1"/>
      <w:jc w:val="left"/>
    </w:pPr>
    <w:rPr>
      <w:rFonts w:ascii="宋体" w:hAnsi="宋体" w:eastAsia="宋体" w:cs="宋体"/>
      <w:kern w:val="0"/>
      <w:sz w:val="24"/>
      <w:szCs w:val="24"/>
    </w:rPr>
  </w:style>
  <w:style w:type="table" w:styleId="23">
    <w:name w:val="Table Grid"/>
    <w:basedOn w:val="22"/>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22"/>
    <w:rPr>
      <w:b/>
      <w:bCs/>
    </w:rPr>
  </w:style>
  <w:style w:type="character" w:styleId="26">
    <w:name w:val="FollowedHyperlink"/>
    <w:basedOn w:val="24"/>
    <w:semiHidden/>
    <w:unhideWhenUsed/>
    <w:qFormat/>
    <w:uiPriority w:val="99"/>
    <w:rPr>
      <w:color w:val="800080"/>
      <w:u w:val="single"/>
    </w:rPr>
  </w:style>
  <w:style w:type="character" w:styleId="27">
    <w:name w:val="Hyperlink"/>
    <w:basedOn w:val="24"/>
    <w:unhideWhenUsed/>
    <w:qFormat/>
    <w:uiPriority w:val="99"/>
    <w:rPr>
      <w:color w:val="0000FF" w:themeColor="hyperlink"/>
      <w:u w:val="single"/>
      <w14:textFill>
        <w14:solidFill>
          <w14:schemeClr w14:val="hlink"/>
        </w14:solidFill>
      </w14:textFill>
    </w:rPr>
  </w:style>
  <w:style w:type="character" w:customStyle="1" w:styleId="28">
    <w:name w:val="标题 1 字符"/>
    <w:basedOn w:val="24"/>
    <w:link w:val="2"/>
    <w:qFormat/>
    <w:uiPriority w:val="9"/>
    <w:rPr>
      <w:rFonts w:ascii="仿宋_GB2312" w:hAnsi="仿宋" w:eastAsia="仿宋_GB2312"/>
      <w:b/>
      <w:bCs/>
      <w:kern w:val="44"/>
      <w:sz w:val="36"/>
      <w:szCs w:val="44"/>
    </w:rPr>
  </w:style>
  <w:style w:type="character" w:customStyle="1" w:styleId="29">
    <w:name w:val="标题 2 字符"/>
    <w:basedOn w:val="24"/>
    <w:link w:val="3"/>
    <w:qFormat/>
    <w:uiPriority w:val="9"/>
    <w:rPr>
      <w:rFonts w:ascii="Times New Roman" w:hAnsi="Times New Roman" w:eastAsia="仿宋_GB2312" w:cstheme="majorBidi"/>
      <w:b/>
      <w:bCs/>
      <w:sz w:val="32"/>
      <w:szCs w:val="32"/>
    </w:rPr>
  </w:style>
  <w:style w:type="character" w:customStyle="1" w:styleId="30">
    <w:name w:val="标题 3 字符"/>
    <w:basedOn w:val="24"/>
    <w:link w:val="4"/>
    <w:qFormat/>
    <w:uiPriority w:val="9"/>
    <w:rPr>
      <w:rFonts w:ascii="Times New Roman" w:hAnsi="Times New Roman" w:eastAsia="仿宋_GB2312"/>
      <w:b/>
      <w:bCs/>
      <w:sz w:val="32"/>
      <w:szCs w:val="32"/>
    </w:rPr>
  </w:style>
  <w:style w:type="character" w:customStyle="1" w:styleId="31">
    <w:name w:val="标题 4 字符"/>
    <w:basedOn w:val="24"/>
    <w:link w:val="6"/>
    <w:qFormat/>
    <w:uiPriority w:val="9"/>
    <w:rPr>
      <w:rFonts w:ascii="Times New Roman" w:hAnsi="Times New Roman" w:eastAsia="仿宋_GB2312" w:cstheme="majorBidi"/>
      <w:b/>
      <w:bCs/>
      <w:sz w:val="32"/>
      <w:szCs w:val="28"/>
    </w:rPr>
  </w:style>
  <w:style w:type="character" w:customStyle="1" w:styleId="32">
    <w:name w:val="标题 5 字符"/>
    <w:basedOn w:val="24"/>
    <w:link w:val="7"/>
    <w:qFormat/>
    <w:uiPriority w:val="9"/>
    <w:rPr>
      <w:rFonts w:ascii="Times New Roman" w:hAnsi="Times New Roman" w:eastAsia="仿宋_GB2312"/>
      <w:b/>
      <w:bCs/>
      <w:sz w:val="28"/>
      <w:szCs w:val="28"/>
    </w:rPr>
  </w:style>
  <w:style w:type="paragraph" w:styleId="33">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34">
    <w:name w:val="日期 字符"/>
    <w:basedOn w:val="24"/>
    <w:link w:val="15"/>
    <w:semiHidden/>
    <w:qFormat/>
    <w:uiPriority w:val="99"/>
    <w:rPr>
      <w:rFonts w:ascii="Times New Roman" w:hAnsi="Times New Roman" w:eastAsia="仿宋_GB2312"/>
      <w:sz w:val="28"/>
    </w:rPr>
  </w:style>
  <w:style w:type="character" w:customStyle="1" w:styleId="35">
    <w:name w:val="页眉 字符"/>
    <w:basedOn w:val="24"/>
    <w:link w:val="18"/>
    <w:qFormat/>
    <w:uiPriority w:val="99"/>
    <w:rPr>
      <w:rFonts w:ascii="Times New Roman" w:hAnsi="Times New Roman" w:eastAsia="仿宋_GB2312"/>
      <w:sz w:val="18"/>
      <w:szCs w:val="18"/>
    </w:rPr>
  </w:style>
  <w:style w:type="character" w:customStyle="1" w:styleId="36">
    <w:name w:val="页脚 字符"/>
    <w:basedOn w:val="24"/>
    <w:link w:val="17"/>
    <w:qFormat/>
    <w:uiPriority w:val="99"/>
    <w:rPr>
      <w:rFonts w:ascii="Times New Roman" w:hAnsi="Times New Roman" w:eastAsia="仿宋_GB2312"/>
      <w:sz w:val="18"/>
      <w:szCs w:val="18"/>
    </w:rPr>
  </w:style>
  <w:style w:type="paragraph" w:styleId="37">
    <w:name w:val="List Paragraph"/>
    <w:link w:val="95"/>
    <w:qFormat/>
    <w:uiPriority w:val="34"/>
    <w:pPr>
      <w:spacing w:line="580" w:lineRule="exact"/>
      <w:ind w:firstLine="643" w:firstLineChars="200"/>
    </w:pPr>
    <w:rPr>
      <w:rFonts w:ascii="仿宋_GB2312" w:hAnsi="Times New Roman" w:eastAsia="仿宋_GB2312" w:cstheme="minorBidi"/>
      <w:kern w:val="2"/>
      <w:sz w:val="32"/>
      <w:szCs w:val="32"/>
      <w:lang w:val="en-US" w:eastAsia="zh-CN" w:bidi="ar-SA"/>
    </w:rPr>
  </w:style>
  <w:style w:type="paragraph" w:customStyle="1" w:styleId="38">
    <w:name w:val="图片"/>
    <w:link w:val="96"/>
    <w:qFormat/>
    <w:uiPriority w:val="0"/>
    <w:pPr>
      <w:jc w:val="center"/>
    </w:pPr>
    <w:rPr>
      <w:rFonts w:ascii="Times New Roman" w:hAnsi="Times New Roman" w:eastAsia="仿宋_GB2312" w:cstheme="minorBidi"/>
      <w:kern w:val="2"/>
      <w:sz w:val="32"/>
      <w:szCs w:val="22"/>
      <w:lang w:val="en-US" w:eastAsia="zh-CN" w:bidi="ar-SA"/>
    </w:rPr>
  </w:style>
  <w:style w:type="table" w:customStyle="1" w:styleId="39">
    <w:name w:val="网格型1"/>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网格型2"/>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网格型3"/>
    <w:basedOn w:val="22"/>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2">
    <w:name w:val="TOC Heading"/>
    <w:basedOn w:val="2"/>
    <w:next w:val="1"/>
    <w:unhideWhenUsed/>
    <w:qFormat/>
    <w:uiPriority w:val="39"/>
    <w:pPr>
      <w:spacing w:before="240" w:beforeLines="0" w:after="0" w:afterLines="0" w:line="259" w:lineRule="auto"/>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43">
    <w:name w:val="批注框文本 字符"/>
    <w:basedOn w:val="24"/>
    <w:link w:val="16"/>
    <w:qFormat/>
    <w:uiPriority w:val="99"/>
    <w:rPr>
      <w:rFonts w:ascii="Times New Roman" w:hAnsi="Times New Roman" w:eastAsia="仿宋_GB2312"/>
      <w:sz w:val="18"/>
      <w:szCs w:val="18"/>
    </w:rPr>
  </w:style>
  <w:style w:type="paragraph" w:customStyle="1" w:styleId="44">
    <w:name w:val="_Style 40"/>
    <w:basedOn w:val="1"/>
    <w:next w:val="37"/>
    <w:qFormat/>
    <w:uiPriority w:val="99"/>
    <w:pPr>
      <w:adjustRightInd/>
      <w:snapToGrid/>
      <w:ind w:firstLine="420"/>
    </w:pPr>
    <w:rPr>
      <w:rFonts w:ascii="Calibri" w:hAnsi="Calibri" w:eastAsia="宋体" w:cs="Times New Roman"/>
      <w:sz w:val="21"/>
      <w:szCs w:val="24"/>
    </w:rPr>
  </w:style>
  <w:style w:type="character" w:customStyle="1" w:styleId="45">
    <w:name w:val="标题 1 字符1"/>
    <w:qFormat/>
    <w:uiPriority w:val="0"/>
    <w:rPr>
      <w:rFonts w:ascii="Arial" w:hAnsi="Arial" w:eastAsia="宋体" w:cs="Times New Roman"/>
      <w:b/>
      <w:bCs/>
      <w:kern w:val="32"/>
      <w:sz w:val="32"/>
      <w:szCs w:val="32"/>
      <w:lang w:val="zh-CN" w:eastAsia="zh-CN"/>
    </w:rPr>
  </w:style>
  <w:style w:type="character" w:customStyle="1" w:styleId="46">
    <w:name w:val="标题 2 字符1"/>
    <w:qFormat/>
    <w:uiPriority w:val="0"/>
    <w:rPr>
      <w:rFonts w:ascii="Cambria" w:hAnsi="Cambria" w:eastAsia="宋体" w:cs="Times New Roman"/>
      <w:b/>
      <w:bCs/>
      <w:sz w:val="32"/>
      <w:szCs w:val="32"/>
      <w:lang w:val="zh-CN" w:eastAsia="zh-CN"/>
    </w:rPr>
  </w:style>
  <w:style w:type="character" w:customStyle="1" w:styleId="47">
    <w:name w:val="fontstyle01"/>
    <w:basedOn w:val="24"/>
    <w:qFormat/>
    <w:uiPriority w:val="0"/>
    <w:rPr>
      <w:rFonts w:hint="eastAsia" w:ascii="仿宋" w:hAnsi="仿宋" w:eastAsia="仿宋"/>
      <w:color w:val="000000"/>
      <w:sz w:val="28"/>
      <w:szCs w:val="28"/>
    </w:rPr>
  </w:style>
  <w:style w:type="paragraph" w:customStyle="1" w:styleId="48">
    <w:name w:val="正文段落"/>
    <w:basedOn w:val="1"/>
    <w:qFormat/>
    <w:uiPriority w:val="0"/>
    <w:pPr>
      <w:adjustRightInd/>
      <w:snapToGrid/>
    </w:pPr>
    <w:rPr>
      <w:rFonts w:ascii="仿宋_GB2312" w:cs="Times New Roman"/>
      <w:szCs w:val="20"/>
    </w:rPr>
  </w:style>
  <w:style w:type="paragraph" w:customStyle="1" w:styleId="49">
    <w:name w:val="普通(网站)1"/>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0">
    <w:name w:val="p0"/>
    <w:basedOn w:val="1"/>
    <w:qFormat/>
    <w:uiPriority w:val="0"/>
    <w:pPr>
      <w:widowControl/>
      <w:adjustRightInd/>
      <w:snapToGrid/>
    </w:pPr>
    <w:rPr>
      <w:rFonts w:eastAsia="宋体" w:cs="Times New Roman"/>
      <w:kern w:val="0"/>
      <w:sz w:val="21"/>
      <w:szCs w:val="20"/>
    </w:rPr>
  </w:style>
  <w:style w:type="paragraph" w:customStyle="1" w:styleId="51">
    <w:name w:val="msonormal"/>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2">
    <w:name w:val="xl102"/>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3">
    <w:name w:val="xl103"/>
    <w:basedOn w:val="1"/>
    <w:qFormat/>
    <w:uiPriority w:val="0"/>
    <w:pPr>
      <w:widowControl/>
      <w:adjustRightInd/>
      <w:snapToGrid/>
      <w:spacing w:before="100" w:beforeAutospacing="1" w:after="100" w:afterAutospacing="1"/>
      <w:jc w:val="center"/>
    </w:pPr>
    <w:rPr>
      <w:rFonts w:ascii="黑体" w:hAnsi="黑体" w:eastAsia="黑体" w:cs="宋体"/>
      <w:color w:val="000000"/>
      <w:kern w:val="0"/>
      <w:sz w:val="24"/>
      <w:szCs w:val="24"/>
    </w:rPr>
  </w:style>
  <w:style w:type="paragraph" w:customStyle="1" w:styleId="54">
    <w:name w:val="xl104"/>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5">
    <w:name w:val="xl105"/>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6">
    <w:name w:val="xl106"/>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7">
    <w:name w:val="xl107"/>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8">
    <w:name w:val="xl108"/>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BDD7EE"/>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9">
    <w:name w:val="xl109"/>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60">
    <w:name w:val="xl110"/>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61">
    <w:name w:val="xl111"/>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2">
    <w:name w:val="xl112"/>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3">
    <w:name w:val="xl11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4">
    <w:name w:val="xl114"/>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5">
    <w:name w:val="xl11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6">
    <w:name w:val="xl116"/>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7">
    <w:name w:val="xl117"/>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8">
    <w:name w:val="xl118"/>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9">
    <w:name w:val="xl119"/>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70">
    <w:name w:val="xl120"/>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1">
    <w:name w:val="xl121"/>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2">
    <w:name w:val="xl12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3">
    <w:name w:val="xl123"/>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4">
    <w:name w:val="xl12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75">
    <w:name w:val="xl12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6">
    <w:name w:val="xl126"/>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table" w:customStyle="1" w:styleId="77">
    <w:name w:val="Grid Table 4 Accent 1"/>
    <w:basedOn w:val="22"/>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8">
    <w:name w:val="Grid Table 6 Colorful Accent 1"/>
    <w:basedOn w:val="22"/>
    <w:qFormat/>
    <w:uiPriority w:val="51"/>
    <w:rPr>
      <w:color w:val="376092" w:themeColor="accent1" w:themeShade="BF"/>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9">
    <w:name w:val="Grid Table 4"/>
    <w:basedOn w:val="22"/>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0">
    <w:name w:val="Grid Table 6 Colorful"/>
    <w:basedOn w:val="22"/>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81">
    <w:name w:val="xl64"/>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2">
    <w:name w:val="xl65"/>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3">
    <w:name w:val="xl66"/>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4">
    <w:name w:val="xl67"/>
    <w:basedOn w:val="1"/>
    <w:qFormat/>
    <w:uiPriority w:val="0"/>
    <w:pPr>
      <w:widowControl/>
      <w:pBdr>
        <w:top w:val="single" w:color="auto" w:sz="4" w:space="0"/>
        <w:left w:val="single" w:color="auto" w:sz="4" w:space="0"/>
        <w:bottom w:val="single" w:color="auto" w:sz="4" w:space="0"/>
        <w:right w:val="single" w:color="auto" w:sz="4" w:space="0"/>
      </w:pBdr>
      <w:shd w:val="clear" w:color="000000" w:fill="3366FF"/>
      <w:adjustRightInd/>
      <w:snapToGrid/>
      <w:spacing w:before="100" w:beforeAutospacing="1" w:after="100" w:afterAutospacing="1"/>
      <w:jc w:val="center"/>
    </w:pPr>
    <w:rPr>
      <w:rFonts w:ascii="黑体" w:hAnsi="黑体" w:eastAsia="黑体" w:cs="宋体"/>
      <w:b/>
      <w:bCs/>
      <w:color w:val="FFFFFF"/>
      <w:kern w:val="0"/>
      <w:sz w:val="24"/>
      <w:szCs w:val="24"/>
    </w:rPr>
  </w:style>
  <w:style w:type="paragraph" w:customStyle="1" w:styleId="85">
    <w:name w:val="xl68"/>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6">
    <w:name w:val="xl69"/>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7">
    <w:name w:val="xl70"/>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8">
    <w:name w:val="xl71"/>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9">
    <w:name w:val="xl72"/>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90">
    <w:name w:val="xl73"/>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color w:val="FF0000"/>
      <w:kern w:val="0"/>
      <w:sz w:val="24"/>
      <w:szCs w:val="24"/>
    </w:rPr>
  </w:style>
  <w:style w:type="paragraph" w:customStyle="1" w:styleId="91">
    <w:name w:val="xl74"/>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b/>
      <w:bCs/>
      <w:kern w:val="0"/>
      <w:sz w:val="24"/>
      <w:szCs w:val="24"/>
    </w:rPr>
  </w:style>
  <w:style w:type="paragraph" w:customStyle="1" w:styleId="92">
    <w:name w:val="xl75"/>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kern w:val="0"/>
      <w:sz w:val="24"/>
      <w:szCs w:val="24"/>
    </w:rPr>
  </w:style>
  <w:style w:type="character" w:customStyle="1" w:styleId="93">
    <w:name w:val="标题 6 字符"/>
    <w:basedOn w:val="24"/>
    <w:link w:val="8"/>
    <w:qFormat/>
    <w:uiPriority w:val="9"/>
    <w:rPr>
      <w:rFonts w:asciiTheme="majorHAnsi" w:hAnsiTheme="majorHAnsi" w:eastAsiaTheme="majorEastAsia" w:cstheme="majorBidi"/>
      <w:b/>
      <w:bCs/>
      <w:sz w:val="24"/>
      <w:szCs w:val="24"/>
    </w:rPr>
  </w:style>
  <w:style w:type="character" w:customStyle="1" w:styleId="94">
    <w:name w:val="文档结构图 字符"/>
    <w:basedOn w:val="24"/>
    <w:link w:val="13"/>
    <w:semiHidden/>
    <w:qFormat/>
    <w:uiPriority w:val="99"/>
    <w:rPr>
      <w:rFonts w:ascii="宋体" w:eastAsia="宋体"/>
      <w:sz w:val="18"/>
      <w:szCs w:val="18"/>
    </w:rPr>
  </w:style>
  <w:style w:type="character" w:customStyle="1" w:styleId="95">
    <w:name w:val="列表段落 字符"/>
    <w:link w:val="37"/>
    <w:qFormat/>
    <w:locked/>
    <w:uiPriority w:val="34"/>
    <w:rPr>
      <w:rFonts w:ascii="仿宋_GB2312" w:hAnsi="Times New Roman" w:eastAsia="仿宋_GB2312"/>
      <w:sz w:val="32"/>
      <w:szCs w:val="32"/>
    </w:rPr>
  </w:style>
  <w:style w:type="character" w:customStyle="1" w:styleId="96">
    <w:name w:val="图片 Char"/>
    <w:link w:val="38"/>
    <w:qFormat/>
    <w:uiPriority w:val="0"/>
    <w:rPr>
      <w:rFonts w:ascii="Times New Roman" w:hAnsi="Times New Roman" w:eastAsia="仿宋_GB2312"/>
      <w:sz w:val="32"/>
    </w:rPr>
  </w:style>
  <w:style w:type="paragraph" w:customStyle="1" w:styleId="97">
    <w:name w:val="表"/>
    <w:link w:val="98"/>
    <w:qFormat/>
    <w:uiPriority w:val="0"/>
    <w:pPr>
      <w:widowControl w:val="0"/>
    </w:pPr>
    <w:rPr>
      <w:rFonts w:ascii="Times New Roman" w:hAnsi="Times New Roman" w:eastAsia="仿宋_GB2312" w:cstheme="minorBidi"/>
      <w:b w:val="0"/>
      <w:kern w:val="2"/>
      <w:sz w:val="24"/>
      <w:szCs w:val="21"/>
      <w:lang w:val="en-US" w:eastAsia="zh-CN" w:bidi="ar-SA"/>
    </w:rPr>
  </w:style>
  <w:style w:type="character" w:customStyle="1" w:styleId="98">
    <w:name w:val="表 字符"/>
    <w:basedOn w:val="96"/>
    <w:link w:val="97"/>
    <w:qFormat/>
    <w:uiPriority w:val="0"/>
    <w:rPr>
      <w:rFonts w:ascii="Times New Roman" w:hAnsi="Times New Roman" w:eastAsia="仿宋_GB2312"/>
      <w:sz w:val="20"/>
      <w:szCs w:val="21"/>
    </w:rPr>
  </w:style>
  <w:style w:type="paragraph" w:customStyle="1" w:styleId="99">
    <w:name w:val="列出段落1"/>
    <w:basedOn w:val="1"/>
    <w:qFormat/>
    <w:uiPriority w:val="0"/>
    <w:pPr>
      <w:adjustRightInd/>
      <w:snapToGrid/>
      <w:ind w:firstLine="420"/>
    </w:pPr>
    <w:rPr>
      <w:rFonts w:ascii="Calibri" w:hAnsi="Calibri" w:eastAsia="宋体" w:cs="黑体"/>
      <w:sz w:val="21"/>
    </w:rPr>
  </w:style>
  <w:style w:type="character" w:customStyle="1" w:styleId="100">
    <w:name w:val="标题 7 字符"/>
    <w:basedOn w:val="24"/>
    <w:link w:val="9"/>
    <w:semiHidden/>
    <w:qFormat/>
    <w:uiPriority w:val="9"/>
    <w:rPr>
      <w:rFonts w:ascii="Times New Roman" w:hAnsi="Times New Roman" w:eastAsia="仿宋_GB2312"/>
      <w:b/>
      <w:bCs/>
      <w:sz w:val="24"/>
      <w:szCs w:val="24"/>
    </w:rPr>
  </w:style>
  <w:style w:type="character" w:customStyle="1" w:styleId="101">
    <w:name w:val="标题 8 字符"/>
    <w:basedOn w:val="24"/>
    <w:link w:val="10"/>
    <w:semiHidden/>
    <w:qFormat/>
    <w:uiPriority w:val="9"/>
    <w:rPr>
      <w:rFonts w:asciiTheme="majorHAnsi" w:hAnsiTheme="majorHAnsi" w:eastAsiaTheme="majorEastAsia" w:cstheme="majorBidi"/>
      <w:sz w:val="24"/>
      <w:szCs w:val="24"/>
    </w:rPr>
  </w:style>
  <w:style w:type="character" w:customStyle="1" w:styleId="102">
    <w:name w:val="标题 9 字符"/>
    <w:basedOn w:val="24"/>
    <w:link w:val="11"/>
    <w:semiHidden/>
    <w:qFormat/>
    <w:uiPriority w:val="9"/>
    <w:rPr>
      <w:rFonts w:asciiTheme="majorHAnsi" w:hAnsiTheme="majorHAnsi" w:eastAsiaTheme="majorEastAsia" w:cstheme="majorBidi"/>
      <w:szCs w:val="21"/>
    </w:rPr>
  </w:style>
  <w:style w:type="character" w:customStyle="1" w:styleId="103">
    <w:name w:val="tlid-translation"/>
    <w:basedOn w:val="24"/>
    <w:qFormat/>
    <w:uiPriority w:val="0"/>
  </w:style>
  <w:style w:type="character" w:styleId="104">
    <w:name w:val="Placeholder Text"/>
    <w:basedOn w:val="24"/>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94368-44BB-48EE-8429-BE8445C310ED}">
  <ds:schemaRefs/>
</ds:datastoreItem>
</file>

<file path=docProps/app.xml><?xml version="1.0" encoding="utf-8"?>
<Properties xmlns="http://schemas.openxmlformats.org/officeDocument/2006/extended-properties" xmlns:vt="http://schemas.openxmlformats.org/officeDocument/2006/docPropsVTypes">
  <Template>Normal</Template>
  <Pages>68</Pages>
  <Words>6470</Words>
  <Characters>36885</Characters>
  <Lines>307</Lines>
  <Paragraphs>86</Paragraphs>
  <TotalTime>17</TotalTime>
  <ScaleCrop>false</ScaleCrop>
  <LinksUpToDate>false</LinksUpToDate>
  <CharactersWithSpaces>43269</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2018-12-12T01:37:00Z</dcterms:created>
  <dc:creator>lenovo</dc:creator>
  <cp:lastModifiedBy>白日梦想家</cp:lastModifiedBy>
  <dcterms:modified xsi:type="dcterms:W3CDTF">2026-08-14T03:05:05Z</dcterms:modified>
  <cp:revision>410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272AE0669B1C454F928ACF64E9771CFC_13</vt:lpwstr>
  </property>
</Properties>
</file>