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既有通道与新增候选分别记录馈线端点和有效容量，各通道共同校核源端可切负荷、共享馈线余量和接收站容量。新增联络单项参考能力按墩振线23—24杆下游区段计算：压力场景的全馈线负荷为8.23 MW，25个区段节点的负荷合计占90.97%，新增馈线按550 A路径电流条件折算热限。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0.90972763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为分段开关下游可切换区段的节点集合，</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oMath>
      <w:r>
        <w:rPr>
          <w:rFonts w:ascii="Times New Roman" w:hAnsi="Times New Roman" w:eastAsia="方正仿宋_GBK"/>
          <w:b w:val="0"/>
          <w:sz w:val="24"/>
        </w:rPr>
        <w:t xml:space="preserve">为节点</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的压力场景负荷，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为区段合计负荷，单位MW；</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为单项候选的参考转移规模，单位MW。节点负荷按六馈线结构化资料及区段明细汇总。</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MW是该区段场景计算的参考规模，实际可转功率还受送受端馈线、路径共享和邻站主变余量共同限制。模型按具体送受端建立候选边，既有工程不重复计原建设费，新增边按投运年计费。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计算结果按年度设备承接、容量非减、区段功率平衡、既有转供上限、共享馈线余量及接收站主变容量逐项复核，再以固定区段预案回代各年8760小时正常与故障工况。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供区与故障追加切换分别为全年固定预案，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逐站表格列示2021年基期及2025、2030、2035年代表年度设备配置，转接量对应同小时区域正向峰值的正常固定预案。全年校核保留所有8760小时，主变N-1按本站最大单台扣除，事故追加只切换故障站原属区段。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2035年站级展示范围内主变台数与配储站数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48.60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表中两台、三台主变站数按2035年实际采用组合统计。相同台数的站点仍可能采用不同额定容量，故障后剩余能力还需结合最大单台容量判断。配储站数与储能规模分别反映补充支撑的空间范围和总量。</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两地区均保留2021年实际主变容量作为刚性、弹性的共同起点。以下汇总2021、2025、2030、2035年，完整逐年配置见第5.4.1、5.4.2节。基期新增措施均为零，2022年起各年工程继承上年在役设备。</w:t>
      </w:r>
    </w:p>
    <w:p>
      <w:pPr>
        <w:pStyle w:val="2"/>
        <w:keepNext/>
        <w:spacing w:line="280" w:lineRule="exact" w:before="120" w:after="80"/>
        <w:ind w:firstLine="0"/>
        <w:jc w:val="center"/>
      </w:pPr>
      <w:r>
        <w:rPr>
          <w:rFonts w:ascii="Times New Roman" w:hAnsi="Times New Roman" w:eastAsia="宋体"/>
          <w:b w:val="0"/>
          <w:sz w:val="21"/>
        </w:rPr>
        <w:t xml:space="preserve">表5-60 保留2021实际容量的代表年度汇总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pPr>
        <w:pStyle w:val="2"/>
        <w:widowControl/>
        <w:spacing w:line="348" w:lineRule="exact" w:before="0" w:after="0"/>
        <w:ind w:firstLine="480"/>
        <w:jc w:val="both"/>
      </w:pPr>
      <w:r>
        <w:rPr>
          <w:rFonts w:ascii="Times New Roman" w:hAnsi="Times New Roman" w:eastAsia="方正仿宋_GBK"/>
          <w:b w:val="0"/>
          <w:sz w:val="24"/>
        </w:rPr>
        <w:t xml:space="preserve">全市2025、2030、2035年光伏装机容量预测分别为7090.00 MW、11070.00 MW、18400.00 MW，2030、2035年分别为2025年的1.56倍和2.60倍。以第三章2025年地区装机为参照，市区2030、2035年装机容量分别为766.91 MW、1274.71 MW，邳州分别为2435.15 MW、4047.58 MW。</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389120"/>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3891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2021实际容量起点下两地区方案累计新增费用</w:t>
      </w:r>
    </w:p>
    <w:p>
      <w:pPr>
        <w:pStyle w:val="4"/>
        <w:keepNext/>
        <w:numPr>
          <w:numId w:val="0"/>
        </w:numPr>
        <w:spacing w:line="480" w:lineRule="exact" w:before="160" w:after="120"/>
        <w:ind w:firstLine="0"/>
      </w:pPr>
      <w:bookmarkStart w:id="2032" w:name="h1033"/>
      <w:bookmarkStart w:id="265" w:name="措施作用与工程衔接"/>
      <w:r>
        <w:rPr>
          <w:rFonts w:ascii="Times New Roman" w:hAnsi="Times New Roman" w:eastAsia="方正仿宋_GBK"/>
          <w:b/>
          <w:sz w:val="32"/>
        </w:rPr>
        <w:t xml:space="preserve">5.5 措施作用与工程衔接</w:t>
      </w:r>
      <w:bookmarkEnd w:id="265"/>
      <w:bookmarkEnd w:id="2032"/>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表5-64 代表年度固定区段预案的最大转接功率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注：沿采用的正常固定及事故追加预案回代8760小时，分别列出各列最大值。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表中沿已采用的年度正常及事故追加区段预案，回代各年8760小时源荷，分别汇总正常和N-1工况中的转接峰值。总量与既有边两列分别取对应工况最大值，既有网络参与支援，新增联络按实际建设项目计费。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4" w:name="h1055"/>
      <w:bookmarkStart w:id="270" w:name="五参数推广矩阵"/>
      <w:r>
        <w:rPr>
          <w:rFonts w:ascii="Times New Roman" w:hAnsi="Times New Roman" w:eastAsia="方正仿宋_GBK"/>
          <w:b/>
          <w:sz w:val="32"/>
        </w:rPr>
        <w:t xml:space="preserve">5.6 五参数推广矩阵</w:t>
      </w:r>
      <w:bookmarkEnd w:id="270"/>
      <w:bookmarkEnd w:id="2054"/>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表5-66 电缆长度占比≤10%、负荷分散系数1.00的容载比分档建议矩阵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29" w:name="h1130"/>
      <w:bookmarkStart w:id="286" w:name="规划建议"/>
      <w:r>
        <w:rPr>
          <w:rFonts w:ascii="Times New Roman" w:hAnsi="Times New Roman" w:eastAsia="方正仿宋_GBK"/>
          <w:b/>
          <w:sz w:val="32"/>
        </w:rPr>
        <w:t xml:space="preserve">5.7 规划建议</w:t>
      </w:r>
      <w:bookmarkEnd w:id="286"/>
      <w:bookmarkEnd w:id="2129"/>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年度正常供区与事故追加预案分别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3" w:name="h1144"/>
      <w:bookmarkStart w:id="292" w:name="第六章-结论与建议"/>
      <w:r>
        <w:rPr>
          <w:rFonts w:ascii="Times New Roman" w:hAnsi="Times New Roman" w:eastAsia="方正仿宋_GBK"/>
          <w:b/>
          <w:sz w:val="36"/>
        </w:rPr>
        <w:t xml:space="preserve">第六章 结论与建议</w:t>
      </w:r>
      <w:bookmarkEnd w:id="292"/>
      <w:bookmarkEnd w:id="2143"/>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5" w:name="h1146"/>
      <w:bookmarkStart w:id="293" w:name="主要研究结论"/>
      <w:r>
        <w:rPr>
          <w:rFonts w:ascii="Times New Roman" w:hAnsi="Times New Roman" w:eastAsia="方正仿宋_GBK"/>
          <w:b/>
          <w:sz w:val="32"/>
        </w:rPr>
        <w:t xml:space="preserve">6.1 主要研究结论</w:t>
      </w:r>
      <w:bookmarkEnd w:id="293"/>
      <w:bookmarkEnd w:id="2145"/>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59" w:name="h1160"/>
      <w:bookmarkStart w:id="298" w:name="规划应用建议"/>
      <w:r>
        <w:rPr>
          <w:rFonts w:ascii="Times New Roman" w:hAnsi="Times New Roman" w:eastAsia="方正仿宋_GBK"/>
          <w:b/>
          <w:sz w:val="32"/>
        </w:rPr>
        <w:t xml:space="preserve">6.2 规划应用建议</w:t>
      </w:r>
      <w:bookmarkEnd w:id="298"/>
      <w:bookmarkEnd w:id="2159"/>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1" w:name="h1172"/>
      <w:bookmarkStart w:id="302" w:name="后续研究方向"/>
      <w:r>
        <w:rPr>
          <w:rFonts w:ascii="Times New Roman" w:hAnsi="Times New Roman" w:eastAsia="方正仿宋_GBK"/>
          <w:b/>
          <w:sz w:val="32"/>
        </w:rPr>
        <w:t xml:space="preserve">6.3 后续研究方向</w:t>
      </w:r>
      <w:bookmarkEnd w:id="302"/>
      <w:bookmarkEnd w:id="2171"/>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7" w:name="h1178"/>
      <w:bookmarkStart w:id="305" w:name="参考文献"/>
      <w:r>
        <w:rPr>
          <w:rFonts w:ascii="Times New Roman" w:hAnsi="Times New Roman" w:eastAsia="方正仿宋_GBK"/>
          <w:b/>
          <w:sz w:val="36"/>
        </w:rPr>
        <w:t xml:space="preserve">参考文献</w:t>
      </w:r>
      <w:bookmarkEnd w:id="305"/>
      <w:bookmarkEnd w:id="2177"/>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2026-10-19T03:33:23Z</dcterms:created>
  <dcterms:modified xsi:type="dcterms:W3CDTF">2026-10-19T03:33:23Z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