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其中，Zhenyu Zhu等对铜芯电缆、架空导线及铝合金电缆进行寿命费用评价，费用包括投资、运行维护、故障及报废，并以实际10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5" w:name="h366"/>
      <w:bookmarkStart w:id="108" w:name="主变负载率与双向净负荷"/>
      <w:r>
        <w:rPr>
          <w:rFonts w:ascii="Times New Roman" w:hAnsi="Times New Roman" w:eastAsia="方正仿宋_GBK"/>
          <w:b/>
          <w:sz w:val="32"/>
        </w:rPr>
        <w:t xml:space="preserve">3.4 主变负载率与双向净负荷</w:t>
      </w:r>
      <w:bookmarkEnd w:id="108"/>
      <w:bookmarkEnd w:id="1365"/>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1"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1"/>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4"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4"/>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新增联络单项参考能力以墩振线23—24杆拟设分段点下游的可转供区段为测算对象。根据已有配电变压器资料，该区段配电变压器额定容量合计占全馈线已识别总容量的90.97%。以该馈线2025年最大有功负荷8.23 MW为计算依据，按上述容量比例估算，区段负荷为7.49 MW。新增路径按550 A允许电流及0.95功率因数折算的有功容量为9.05 MW，因此取区段负荷7.49 MW作为单项新增联络的参考转供能力。</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e>
                </m:mr>
                <m: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U</m:t>
                        </m:r>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num>
                      <m:den>
                        <m:r>
                          <m:rPr>
                            <m:nor m:val="1"/>
                          </m:rPr>
                          <w:rPr>
                            <w:rFonts w:ascii="Times New Roman" w:hAnsi="Times New Roman" w:cs="Times New Roman" w:eastAsia="方正仿宋_GBK"/>
                            <w:i w:val="0"/>
                            <w:iCs w:val="0"/>
                          </w:rPr>
                          <m:t>1000</m:t>
                        </m:r>
                      </m:den>
                    </m:f>
                  </m:e>
                </m:mr>
                <m:mr>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9.05</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r>
          <m:rPr>
            <m:nor m:val="1"/>
          </m:rPr>
          <w:rPr>
            <w:rFonts w:ascii="Times New Roman" w:hAnsi="Times New Roman" w:cs="Times New Roman" w:eastAsia="方正仿宋_GBK"/>
            <w:i w:val="1"/>
            <w:iCs w:val="1"/>
          </w:rPr>
          <m:t>U</m:t>
        </m:r>
      </m:oMath>
      <w:r>
        <w:rPr>
          <w:rFonts w:ascii="Times New Roman" w:hAnsi="Times New Roman" w:eastAsia="方正仿宋_GBK"/>
          <w:b w:val="0"/>
          <w:sz w:val="24"/>
        </w:rPr>
        <w:t xml:space="preserve">为线电压，取10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为新增路径的研究允许电流，取550 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7" w:name="h458"/>
      <w:bookmarkStart w:id="133" w:name="站级负载率与配置需求"/>
      <w:r>
        <w:rPr>
          <w:rFonts w:ascii="Times New Roman" w:hAnsi="Times New Roman" w:eastAsia="方正仿宋_GBK"/>
          <w:b/>
          <w:sz w:val="32"/>
        </w:rPr>
        <w:t xml:space="preserve">3.7 站级负载率与配置需求</w:t>
      </w:r>
      <w:bookmarkEnd w:id="133"/>
      <w:bookmarkEnd w:id="1457"/>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3" w:name="h474"/>
      <w:bookmarkStart w:id="141" w:name="运行特征的综合分析"/>
      <w:r>
        <w:rPr>
          <w:rFonts w:ascii="Times New Roman" w:hAnsi="Times New Roman" w:eastAsia="方正仿宋_GBK"/>
          <w:b/>
          <w:sz w:val="32"/>
        </w:rPr>
        <w:t xml:space="preserve">3.8 运行特征的综合分析</w:t>
      </w:r>
      <w:bookmarkEnd w:id="141"/>
      <w:bookmarkEnd w:id="1473"/>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1"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1"/>
    </w:p>
    <w:p>
      <w:pPr>
        <w:pStyle w:val="4"/>
        <w:keepNext/>
        <w:numPr>
          <w:numId w:val="0"/>
        </w:numPr>
        <w:spacing w:line="480" w:lineRule="exact" w:before="160" w:after="120"/>
        <w:ind w:firstLine="0"/>
      </w:pPr>
      <w:bookmarkStart w:id="1502"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2"/>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4" w:name="h515"/>
      <w:bookmarkStart w:id="153" w:name="主变工程成本系数"/>
      <w:r>
        <w:rPr>
          <w:rFonts w:ascii="Times New Roman" w:hAnsi="Times New Roman" w:eastAsia="方正仿宋_GBK"/>
          <w:b/>
          <w:sz w:val="32"/>
        </w:rPr>
        <w:t xml:space="preserve">4.2 主变工程成本系数</w:t>
      </w:r>
      <w:bookmarkEnd w:id="153"/>
      <w:bookmarkEnd w:id="1514"/>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39" w:name="h540"/>
      <w:bookmarkStart w:id="160" w:name="kv联络工程费用"/>
      <w:r>
        <w:rPr>
          <w:rFonts w:ascii="Times New Roman" w:hAnsi="Times New Roman" w:eastAsia="方正仿宋_GBK"/>
          <w:b/>
          <w:sz w:val="32"/>
        </w:rPr>
        <w:t xml:space="preserve">4.3 10 kV联络工程费用</w:t>
      </w:r>
      <w:bookmarkEnd w:id="160"/>
      <w:bookmarkEnd w:id="1539"/>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MW，计算过程见第3.6.2节。7.49 MW是该区段场景计算的参考规模，实际可转功率还受送受端馈线、路径共享和邻站主变余量共同限制。模型按具体送受端设置候选联络通道，既有工程不重复计原建设费，新增联络按投运年计费。</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3" w:name="h554"/>
      <w:bookmarkStart w:id="165" w:name="储能投资模型"/>
      <w:r>
        <w:rPr>
          <w:rFonts w:ascii="Times New Roman" w:hAnsi="Times New Roman" w:eastAsia="方正仿宋_GBK"/>
          <w:b/>
          <w:sz w:val="32"/>
        </w:rPr>
        <w:t xml:space="preserve">4.4 储能投资模型</w:t>
      </w:r>
      <w:bookmarkEnd w:id="165"/>
      <w:bookmarkEnd w:id="1553"/>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2"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2"/>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89" w:name="h590"/>
      <w:bookmarkStart w:id="177" w:name="现金流现值计算"/>
      <w:r>
        <w:rPr>
          <w:rFonts w:ascii="Times New Roman" w:hAnsi="Times New Roman" w:eastAsia="方正仿宋_GBK"/>
          <w:b/>
          <w:sz w:val="32"/>
        </w:rPr>
        <w:t xml:space="preserve">4.6 现金流现值计算</w:t>
      </w:r>
      <w:bookmarkEnd w:id="177"/>
      <w:bookmarkEnd w:id="1589"/>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8"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8"/>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0" w:name="h621"/>
      <w:bookmarkStart w:id="186" w:name="寻优问题与共同起点"/>
      <w:r>
        <w:rPr>
          <w:rFonts w:ascii="Times New Roman" w:hAnsi="Times New Roman" w:eastAsia="方正仿宋_GBK"/>
          <w:b/>
          <w:sz w:val="32"/>
        </w:rPr>
        <w:t xml:space="preserve">5.1 寻优问题与共同起点</w:t>
      </w:r>
      <w:bookmarkEnd w:id="186"/>
      <w:bookmarkEnd w:id="1620"/>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2025年沿用站级小时样本。2026—2035年未来源荷按区域负荷预测及全市光伏装机相对2025年的比例缩放，站点空间分配继承基准模板。历史回算与未来预测均保留所采用的补值，年度规划峰值继续使用同范围年度统计及其预测外推值。</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3"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3"/>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3" w:name="h664"/>
      <w:bookmarkStart w:id="196" w:name="约束条件与求解流程"/>
      <w:r>
        <w:rPr>
          <w:rFonts w:ascii="Times New Roman" w:hAnsi="Times New Roman" w:eastAsia="方正仿宋_GBK"/>
          <w:b/>
          <w:sz w:val="32"/>
        </w:rPr>
        <w:t xml:space="preserve">5.3 约束条件与求解流程</w:t>
      </w:r>
      <w:bookmarkEnd w:id="196"/>
      <w:bookmarkEnd w:id="1663"/>
    </w:p>
    <w:p>
      <w:pPr>
        <w:pStyle w:val="5"/>
        <w:keepNext/>
        <w:numPr>
          <w:numId w:val="0"/>
        </w:numPr>
        <w:spacing w:line="390" w:lineRule="exact" w:before="160" w:after="120"/>
        <w:ind w:firstLine="0"/>
      </w:pPr>
      <w:bookmarkStart w:id="197" w:name="供电安全及供电能力约束"/>
      <w:r>
        <w:rPr>
          <w:rFonts w:ascii="Times New Roman" w:hAnsi="Times New Roman" w:eastAsia="方正仿宋_GBK"/>
          <w:b/>
          <w:sz w:val="26"/>
        </w:rPr>
        <w:t xml:space="preserve">5.3.1 供电安全及供电能力约束</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8" w:name="h679"/>
      <w:bookmarkStart w:id="200" w:name="寻优结果"/>
      <w:r>
        <w:rPr>
          <w:rFonts w:ascii="Times New Roman" w:hAnsi="Times New Roman" w:eastAsia="方正仿宋_GBK"/>
          <w:b/>
          <w:sz w:val="32"/>
        </w:rPr>
        <w:t xml:space="preserve">5.4 寻优结果</w:t>
      </w:r>
      <w:bookmarkEnd w:id="200"/>
      <w:bookmarkEnd w:id="1678"/>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4"/>
        <w:keepNext/>
        <w:numPr>
          <w:numId w:val="0"/>
        </w:numPr>
        <w:spacing w:line="480" w:lineRule="exact" w:before="160" w:after="120"/>
        <w:ind w:firstLine="0"/>
      </w:pPr>
      <w:bookmarkStart w:id="2017" w:name="h1033"/>
      <w:bookmarkStart w:id="262" w:name="措施作用与工程衔接"/>
      <w:r>
        <w:rPr>
          <w:rFonts w:ascii="Times New Roman" w:hAnsi="Times New Roman" w:eastAsia="方正仿宋_GBK"/>
          <w:b/>
          <w:sz w:val="32"/>
        </w:rPr>
        <w:t xml:space="preserve">5.5 措施作用与工程衔接</w:t>
      </w:r>
      <w:bookmarkEnd w:id="262"/>
      <w:bookmarkEnd w:id="2017"/>
    </w:p>
    <w:p>
      <w:pPr>
        <w:pStyle w:val="5"/>
        <w:keepNext/>
        <w:numPr>
          <w:numId w:val="0"/>
        </w:numPr>
        <w:spacing w:line="390" w:lineRule="exact" w:before="160" w:after="120"/>
        <w:ind w:firstLine="0"/>
      </w:pPr>
      <w:bookmarkStart w:id="263" w:name="逐年负荷转接与站间任务"/>
      <w:r>
        <w:rPr>
          <w:rFonts w:ascii="Times New Roman" w:hAnsi="Times New Roman" w:eastAsia="方正仿宋_GBK"/>
          <w:b/>
          <w:sz w:val="26"/>
        </w:rPr>
        <w:t xml:space="preserve">5.5.1 逐年负荷转接与站间任务</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4" w:name="主变储能与联络的共同作用"/>
      <w:r>
        <w:rPr>
          <w:rFonts w:ascii="Times New Roman" w:hAnsi="Times New Roman" w:eastAsia="方正仿宋_GBK"/>
          <w:b/>
          <w:sz w:val="26"/>
        </w:rPr>
        <w:t xml:space="preserve">5.5.2 主变、储能与联络的共同作用</w:t>
      </w:r>
      <w:bookmarkEnd w:id="264"/>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兴塘变2035年两方案的N-1剩余主变能力</w:t>
      </w:r>
    </w:p>
    <w:p>
      <w:pPr>
        <w:pStyle w:val="5"/>
        <w:keepNext/>
        <w:numPr>
          <w:numId w:val="0"/>
        </w:numPr>
        <w:spacing w:line="390" w:lineRule="exact" w:before="160" w:after="120"/>
        <w:ind w:firstLine="0"/>
      </w:pPr>
      <w:bookmarkStart w:id="266" w:name="储能支撑与必要转供量"/>
      <w:r>
        <w:rPr>
          <w:rFonts w:ascii="Times New Roman" w:hAnsi="Times New Roman" w:eastAsia="方正仿宋_GBK"/>
          <w:b/>
          <w:sz w:val="26"/>
        </w:rPr>
        <w:t xml:space="preserve">5.5.3 储能支撑与必要转供量</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39" w:name="h1055"/>
      <w:bookmarkStart w:id="267" w:name="五参数推广矩阵"/>
      <w:r>
        <w:rPr>
          <w:rFonts w:ascii="Times New Roman" w:hAnsi="Times New Roman" w:eastAsia="方正仿宋_GBK"/>
          <w:b/>
          <w:sz w:val="32"/>
        </w:rPr>
        <w:t xml:space="preserve">5.6 五参数推广矩阵</w:t>
      </w:r>
      <w:bookmarkEnd w:id="267"/>
      <w:bookmarkEnd w:id="2039"/>
    </w:p>
    <w:p>
      <w:pPr>
        <w:pStyle w:val="5"/>
        <w:keepNext/>
        <w:numPr>
          <w:numId w:val="0"/>
        </w:numPr>
        <w:spacing w:line="390" w:lineRule="exact" w:before="160" w:after="120"/>
        <w:ind w:firstLine="0"/>
      </w:pPr>
      <w:bookmarkStart w:id="268" w:name="参数组织与推广模型"/>
      <w:r>
        <w:rPr>
          <w:rFonts w:ascii="Times New Roman" w:hAnsi="Times New Roman" w:eastAsia="方正仿宋_GBK"/>
          <w:b/>
          <w:sz w:val="26"/>
        </w:rPr>
        <w:t xml:space="preserve">5.6.1 参数组织与推广模型</w:t>
      </w:r>
      <w:bookmarkEnd w:id="268"/>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69" w:name="矩阵结果与查表方法"/>
      <w:r>
        <w:rPr>
          <w:rFonts w:ascii="Times New Roman" w:hAnsi="Times New Roman" w:eastAsia="方正仿宋_GBK"/>
          <w:b/>
          <w:sz w:val="26"/>
        </w:rPr>
        <w:t xml:space="preserve">5.6.2 矩阵结果与查表方法</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同一行以各转供档可行配置的容载比下界作为分档界值，首档上界取该档最大值，后续各档上界与前一档下界相接，形成连续的规划推荐带；下界相同的档位保留相同定值。推荐带用于初步容量比选，具体设备仍需按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表5-63 电缆长度占比≤10%、负荷分散系数1.00的容载比分档建议矩阵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电缆长度占比&gt;30%、负荷分散系数1.00的容载比分档建议矩阵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电缆长度占比&gt;30%、负荷分散系数1.10的容载比分档建议矩阵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1.10、年最大净负荷平均增长率&gt;7%、装机渗透率(1,2]这一行为例，初始转供率四档的推荐带依次为1.91～2.09、1.76～1.91、1.50～1.76、1.36～1.50，相邻档共用1.91、1.76、1.50三个分界值。较强转供条件对应较低的本地容量推荐范围。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电缆长度占比&gt;30%、负荷分散系数1.10下的矩阵端点</w:t>
      </w:r>
    </w:p>
    <w:p>
      <w:pPr>
        <w:pStyle w:val="5"/>
        <w:keepNext/>
        <w:numPr>
          <w:numId w:val="0"/>
        </w:numPr>
        <w:spacing w:line="390" w:lineRule="exact" w:before="160" w:after="120"/>
        <w:ind w:firstLine="0"/>
      </w:pPr>
      <w:bookmarkStart w:id="271" w:name="参数关联对应的设备变化"/>
      <w:r>
        <w:rPr>
          <w:rFonts w:ascii="Times New Roman" w:hAnsi="Times New Roman" w:eastAsia="方正仿宋_GBK"/>
          <w:b/>
          <w:sz w:val="26"/>
        </w:rPr>
        <w:t xml:space="preserve">5.6.3 参数关联对应的设备变化</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3" w:name="固定源荷条件下的转供序列"/>
      <w:r>
        <w:rPr>
          <w:rFonts w:ascii="Times New Roman" w:hAnsi="Times New Roman" w:eastAsia="方正仿宋_GBK"/>
          <w:b/>
          <w:sz w:val="26"/>
        </w:rPr>
        <w:t xml:space="preserve">5.6.4 固定源荷条件下的转供序列</w:t>
      </w:r>
      <w:bookmarkEnd w:id="273"/>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容量下界划定首尾相接的四档容载比推荐带，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表5-72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1.43～1.86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1.25～1.33</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注：两组均采用电缆长度占比50%和五站设备重新选配条件；按第5.6.2节的相邻档共用界值方法划定推荐带。</w:t>
      </w:r>
    </w:p>
    <w:p>
      <w:pPr>
        <w:pStyle w:val="2"/>
        <w:keepNext/>
        <w:spacing w:line="280" w:lineRule="exact" w:before="120" w:after="80"/>
        <w:ind w:firstLine="0"/>
        <w:jc w:val="center"/>
      </w:pPr>
      <w:r>
        <w:rPr>
          <w:rFonts w:ascii="Times New Roman" w:hAnsi="Times New Roman" w:eastAsia="宋体"/>
          <w:b w:val="0"/>
          <w:sz w:val="21"/>
        </w:rPr>
        <w:t xml:space="preserve">表5-73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表5-74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5" w:name="装机渗透率与双向容量需求"/>
      <w:r>
        <w:rPr>
          <w:rFonts w:ascii="Times New Roman" w:hAnsi="Times New Roman" w:eastAsia="方正仿宋_GBK"/>
          <w:b/>
          <w:sz w:val="26"/>
        </w:rPr>
        <w:t xml:space="preserve">5.6.5 装机渗透率与双向容量需求</w:t>
      </w:r>
      <w:bookmarkEnd w:id="275"/>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表5-75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77" w:name="年最大净负荷平均增长率与容量储备消耗"/>
      <w:r>
        <w:rPr>
          <w:rFonts w:ascii="Times New Roman" w:hAnsi="Times New Roman" w:eastAsia="方正仿宋_GBK"/>
          <w:b/>
          <w:sz w:val="26"/>
        </w:rPr>
        <w:t xml:space="preserve">5.6.6 年最大净负荷平均增长率与容量储备消耗</w:t>
      </w:r>
      <w:bookmarkEnd w:id="277"/>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表5-76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79" w:name="电缆长度占比与联络主变替代"/>
      <w:r>
        <w:rPr>
          <w:rFonts w:ascii="Times New Roman" w:hAnsi="Times New Roman" w:eastAsia="方正仿宋_GBK"/>
          <w:b/>
          <w:sz w:val="26"/>
        </w:rPr>
        <w:t xml:space="preserve">5.6.7 电缆长度占比与联络、主变替代</w:t>
      </w:r>
      <w:bookmarkEnd w:id="279"/>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表5-77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1" w:name="负荷分散系数与局部高峰承载"/>
      <w:r>
        <w:rPr>
          <w:rFonts w:ascii="Times New Roman" w:hAnsi="Times New Roman" w:eastAsia="方正仿宋_GBK"/>
          <w:b/>
          <w:sz w:val="26"/>
        </w:rPr>
        <w:t xml:space="preserve">5.6.8 负荷分散系数与局部高峰承载</w:t>
      </w:r>
      <w:bookmarkEnd w:id="281"/>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表5-78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14" w:name="h1130"/>
      <w:bookmarkStart w:id="283" w:name="规划建议"/>
      <w:r>
        <w:rPr>
          <w:rFonts w:ascii="Times New Roman" w:hAnsi="Times New Roman" w:eastAsia="方正仿宋_GBK"/>
          <w:b/>
          <w:sz w:val="32"/>
        </w:rPr>
        <w:t xml:space="preserve">5.7 规划建议</w:t>
      </w:r>
      <w:bookmarkEnd w:id="283"/>
      <w:bookmarkEnd w:id="2114"/>
    </w:p>
    <w:p>
      <w:pPr>
        <w:pStyle w:val="5"/>
        <w:keepNext/>
        <w:numPr>
          <w:numId w:val="0"/>
        </w:numPr>
        <w:spacing w:line="390" w:lineRule="exact" w:before="160" w:after="120"/>
        <w:ind w:firstLine="0"/>
      </w:pPr>
      <w:bookmarkStart w:id="284" w:name="按源荷条件和网络能力选取容量"/>
      <w:r>
        <w:rPr>
          <w:rFonts w:ascii="Times New Roman" w:hAnsi="Times New Roman" w:eastAsia="方正仿宋_GBK"/>
          <w:b/>
          <w:sz w:val="26"/>
        </w:rPr>
        <w:t xml:space="preserve">5.7.1 按源荷条件和网络能力选取容量</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5" w:name="统筹主变储能及联络建设"/>
      <w:r>
        <w:rPr>
          <w:rFonts w:ascii="Times New Roman" w:hAnsi="Times New Roman" w:eastAsia="方正仿宋_GBK"/>
          <w:b/>
          <w:sz w:val="26"/>
        </w:rPr>
        <w:t xml:space="preserve">5.7.2 统筹主变、储能及联络建设</w:t>
      </w:r>
      <w:bookmarkEnd w:id="28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6" w:name="保留参数区间滚动更新计算依据"/>
      <w:r>
        <w:rPr>
          <w:rFonts w:ascii="Times New Roman" w:hAnsi="Times New Roman" w:eastAsia="方正仿宋_GBK"/>
          <w:b/>
          <w:sz w:val="26"/>
        </w:rPr>
        <w:t xml:space="preserve">5.7.3 保留参数区间，滚动更新计算依据</w:t>
      </w:r>
      <w:bookmarkEnd w:id="286"/>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87" w:name="推荐区间与具体设备的衔接"/>
      <w:r>
        <w:rPr>
          <w:rFonts w:ascii="Times New Roman" w:hAnsi="Times New Roman" w:eastAsia="方正仿宋_GBK"/>
          <w:b/>
          <w:sz w:val="26"/>
        </w:rPr>
        <w:t xml:space="preserve">5.7.4 推荐区间与具体设备的衔接</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88" w:name="邳州与市区建设措施的综合比较"/>
      <w:r>
        <w:rPr>
          <w:rFonts w:ascii="Times New Roman" w:hAnsi="Times New Roman" w:eastAsia="方正仿宋_GBK"/>
          <w:b/>
          <w:sz w:val="26"/>
        </w:rPr>
        <w:t xml:space="preserve">5.7.5 邳州与市区建设措施的综合比较</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28" w:name="h1144"/>
      <w:bookmarkStart w:id="289" w:name="第六章-结论与建议"/>
      <w:r>
        <w:rPr>
          <w:rFonts w:ascii="Times New Roman" w:hAnsi="Times New Roman" w:eastAsia="方正仿宋_GBK"/>
          <w:b/>
          <w:sz w:val="36"/>
        </w:rPr>
        <w:t xml:space="preserve">第六章 结论与建议</w:t>
      </w:r>
      <w:bookmarkEnd w:id="289"/>
      <w:bookmarkEnd w:id="2128"/>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30" w:name="h1146"/>
      <w:bookmarkStart w:id="290" w:name="主要研究结论"/>
      <w:r>
        <w:rPr>
          <w:rFonts w:ascii="Times New Roman" w:hAnsi="Times New Roman" w:eastAsia="方正仿宋_GBK"/>
          <w:b/>
          <w:sz w:val="32"/>
        </w:rPr>
        <w:t xml:space="preserve">6.1 主要研究结论</w:t>
      </w:r>
      <w:bookmarkEnd w:id="290"/>
      <w:bookmarkEnd w:id="2130"/>
    </w:p>
    <w:p>
      <w:pPr>
        <w:pStyle w:val="5"/>
        <w:keepNext/>
        <w:numPr>
          <w:numId w:val="0"/>
        </w:numPr>
        <w:spacing w:line="390" w:lineRule="exact" w:before="160" w:after="120"/>
        <w:ind w:firstLine="0"/>
      </w:pPr>
      <w:bookmarkStart w:id="291" w:name="容载比与局部容量压力应结合分析"/>
      <w:r>
        <w:rPr>
          <w:rFonts w:ascii="Times New Roman" w:hAnsi="Times New Roman" w:eastAsia="方正仿宋_GBK"/>
          <w:b/>
          <w:sz w:val="26"/>
        </w:rPr>
        <w:t xml:space="preserve">6.1.1 容载比与局部容量压力应结合分析</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2" w:name="弹性容量配置降低了所设条件下的方案费用"/>
      <w:r>
        <w:rPr>
          <w:rFonts w:ascii="Times New Roman" w:hAnsi="Times New Roman" w:eastAsia="方正仿宋_GBK"/>
          <w:b/>
          <w:sz w:val="26"/>
        </w:rPr>
        <w:t xml:space="preserve">6.1.2 弹性容量配置降低了所设条件下的方案费用</w:t>
      </w:r>
      <w:bookmarkEnd w:id="292"/>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3"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3"/>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4" w:name="两层相关分析确定五项推广参数"/>
      <w:r>
        <w:rPr>
          <w:rFonts w:ascii="Times New Roman" w:hAnsi="Times New Roman" w:eastAsia="方正仿宋_GBK"/>
          <w:b/>
          <w:sz w:val="26"/>
        </w:rPr>
        <w:t xml:space="preserve">6.1.4 两层相关分析确定五项推广参数</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同一行按各转供档容量下界划定首尾相接的规划推荐带。另以两组设备重新选配的典型源荷条件分析18个细节点及8个转供区间，四档推荐带逐档衔接，细节点保留实际设备组合的平台和局部回升。查表后按实际站级缺口及可实施措施确定设备方案。</w:t>
      </w:r>
    </w:p>
    <w:p>
      <w:pPr>
        <w:pStyle w:val="4"/>
        <w:keepNext/>
        <w:numPr>
          <w:numId w:val="0"/>
        </w:numPr>
        <w:spacing w:line="480" w:lineRule="exact" w:before="160" w:after="120"/>
        <w:ind w:firstLine="0"/>
      </w:pPr>
      <w:bookmarkStart w:id="2144" w:name="h1160"/>
      <w:bookmarkStart w:id="295" w:name="规划应用建议"/>
      <w:r>
        <w:rPr>
          <w:rFonts w:ascii="Times New Roman" w:hAnsi="Times New Roman" w:eastAsia="方正仿宋_GBK"/>
          <w:b/>
          <w:sz w:val="32"/>
        </w:rPr>
        <w:t xml:space="preserve">6.2 规划应用建议</w:t>
      </w:r>
      <w:bookmarkEnd w:id="295"/>
      <w:bookmarkEnd w:id="2144"/>
    </w:p>
    <w:p>
      <w:pPr>
        <w:pStyle w:val="5"/>
        <w:keepNext/>
        <w:numPr>
          <w:numId w:val="0"/>
        </w:numPr>
        <w:spacing w:line="390" w:lineRule="exact" w:before="160" w:after="120"/>
        <w:ind w:firstLine="0"/>
      </w:pPr>
      <w:bookmarkStart w:id="296" w:name="按输入区间查表再落实设备方案"/>
      <w:r>
        <w:rPr>
          <w:rFonts w:ascii="Times New Roman" w:hAnsi="Times New Roman" w:eastAsia="方正仿宋_GBK"/>
          <w:b/>
          <w:sz w:val="26"/>
        </w:rPr>
        <w:t xml:space="preserve">6.2.1 按输入区间查表，再落实设备方案</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297" w:name="核实分区转供能力与储能支撑条件"/>
      <w:r>
        <w:rPr>
          <w:rFonts w:ascii="Times New Roman" w:hAnsi="Times New Roman" w:eastAsia="方正仿宋_GBK"/>
          <w:b/>
          <w:sz w:val="26"/>
        </w:rPr>
        <w:t xml:space="preserve">6.2.2 核实分区转供能力与储能支撑条件</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298" w:name="随数据和工程条件更新结果"/>
      <w:r>
        <w:rPr>
          <w:rFonts w:ascii="Times New Roman" w:hAnsi="Times New Roman" w:eastAsia="方正仿宋_GBK"/>
          <w:b/>
          <w:sz w:val="26"/>
        </w:rPr>
        <w:t xml:space="preserve">6.2.3 随数据和工程条件更新结果</w:t>
      </w:r>
      <w:bookmarkEnd w:id="298"/>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56" w:name="h1172"/>
      <w:bookmarkStart w:id="299" w:name="后续研究方向"/>
      <w:r>
        <w:rPr>
          <w:rFonts w:ascii="Times New Roman" w:hAnsi="Times New Roman" w:eastAsia="方正仿宋_GBK"/>
          <w:b/>
          <w:sz w:val="32"/>
        </w:rPr>
        <w:t xml:space="preserve">6.3 后续研究方向</w:t>
      </w:r>
      <w:bookmarkEnd w:id="299"/>
      <w:bookmarkEnd w:id="2156"/>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0" w:name="深化储能运行与实际网络校核"/>
      <w:r>
        <w:rPr>
          <w:rFonts w:ascii="Times New Roman" w:hAnsi="Times New Roman" w:eastAsia="方正仿宋_GBK"/>
          <w:b/>
          <w:sz w:val="26"/>
        </w:rPr>
        <w:t xml:space="preserve">6.3.1 深化储能运行与实际网络校核</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1" w:name="拓展片区结构和经济参数"/>
      <w:r>
        <w:rPr>
          <w:rFonts w:ascii="Times New Roman" w:hAnsi="Times New Roman" w:eastAsia="方正仿宋_GBK"/>
          <w:b/>
          <w:sz w:val="26"/>
        </w:rPr>
        <w:t xml:space="preserve">6.3.2 拓展片区结构和经济参数</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62" w:name="h1178"/>
      <w:bookmarkStart w:id="302" w:name="参考文献"/>
      <w:r>
        <w:rPr>
          <w:rFonts w:ascii="Times New Roman" w:hAnsi="Times New Roman" w:eastAsia="方正仿宋_GBK"/>
          <w:b/>
          <w:sz w:val="36"/>
        </w:rPr>
        <w:t xml:space="preserve">参考文献</w:t>
      </w:r>
      <w:bookmarkEnd w:id="302"/>
      <w:bookmarkEnd w:id="2162"/>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2026-10-19T07:30:41Z</dcterms:created>
  <dcterms:modified xsi:type="dcterms:W3CDTF">2026-10-19T07:30:41Z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