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r>
      <w:hyperlink w:anchor="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3"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h33 \h </w:instrText>
      </w:r>
      <w:r>
        <w:rPr>
          <w:rFonts w:ascii="Times New Roman" w:hAnsi="Times New Roman" w:eastAsia="方正仿宋_GBK"/>
          <w:b w:val="0"/>
          <w:sz w:val="24"/>
        </w:rPr>
        <w:fldChar w:fldCharType="separate"/>
      </w:r>
      <w:r>
        <w:rPr>
          <w:rFonts w:ascii="Times New Roman" w:hAnsi="Times New Roman" w:eastAsia="方正仿宋_GBK"/>
          <w:b w:val="0"/>
          <w:sz w:val="24"/>
        </w:rPr>
        <w:t>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6"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h46 \h </w:instrText>
      </w:r>
      <w:r>
        <w:rPr>
          <w:rFonts w:ascii="Times New Roman" w:hAnsi="Times New Roman" w:eastAsia="方正仿宋_GBK"/>
          <w:b w:val="0"/>
          <w:sz w:val="24"/>
        </w:rPr>
        <w:fldChar w:fldCharType="separate"/>
      </w:r>
      <w:r>
        <w:rPr>
          <w:rFonts w:ascii="Times New Roman" w:hAnsi="Times New Roman" w:eastAsia="方正仿宋_GBK"/>
          <w:b w:val="0"/>
          <w:sz w:val="24"/>
        </w:rPr>
        <w:t>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8"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h58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4"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h74 \h </w:instrText>
      </w:r>
      <w:r>
        <w:rPr>
          <w:rFonts w:ascii="Times New Roman" w:hAnsi="Times New Roman" w:eastAsia="方正仿宋_GBK"/>
          <w:b w:val="0"/>
          <w:sz w:val="24"/>
        </w:rPr>
        <w:fldChar w:fldCharType="separate"/>
      </w:r>
      <w:r>
        <w:rPr>
          <w:rFonts w:ascii="Times New Roman" w:hAnsi="Times New Roman" w:eastAsia="方正仿宋_GBK"/>
          <w:b w:val="0"/>
          <w:sz w:val="24"/>
        </w:rPr>
        <w:t>11</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77"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h77 \h </w:instrText>
      </w:r>
      <w:r>
        <w:rPr>
          <w:rFonts w:ascii="Times New Roman" w:hAnsi="Times New Roman" w:eastAsia="方正仿宋_GBK"/>
          <w:b/>
          <w:sz w:val="24"/>
        </w:rPr>
        <w:fldChar w:fldCharType="separate"/>
      </w:r>
      <w:r>
        <w:rPr>
          <w:rFonts w:ascii="Times New Roman" w:hAnsi="Times New Roman" w:eastAsia="方正仿宋_GBK"/>
          <w:b/>
          <w:sz w:val="24"/>
        </w:rPr>
        <w:t>12</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80"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h80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2"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h102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40"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h140 \h </w:instrText>
      </w:r>
      <w:r>
        <w:rPr>
          <w:rFonts w:ascii="Times New Roman" w:hAnsi="Times New Roman" w:eastAsia="方正仿宋_GBK"/>
          <w:b w:val="0"/>
          <w:sz w:val="24"/>
        </w:rPr>
        <w:fldChar w:fldCharType="separate"/>
      </w:r>
      <w:r>
        <w:rPr>
          <w:rFonts w:ascii="Times New Roman" w:hAnsi="Times New Roman" w:eastAsia="方正仿宋_GBK"/>
          <w:b w:val="0"/>
          <w:sz w:val="24"/>
        </w:rPr>
        <w:t>19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54"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h154 \h </w:instrText>
      </w:r>
      <w:r>
        <w:rPr>
          <w:rFonts w:ascii="Times New Roman" w:hAnsi="Times New Roman" w:eastAsia="方正仿宋_GBK"/>
          <w:b w:val="0"/>
          <w:sz w:val="24"/>
        </w:rPr>
        <w:fldChar w:fldCharType="separate"/>
      </w:r>
      <w:r>
        <w:rPr>
          <w:rFonts w:ascii="Times New Roman" w:hAnsi="Times New Roman" w:eastAsia="方正仿宋_GBK"/>
          <w:b w:val="0"/>
          <w:sz w:val="24"/>
        </w:rPr>
        <w:t>20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68"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h168 \h </w:instrText>
      </w:r>
      <w:r>
        <w:rPr>
          <w:rFonts w:ascii="Times New Roman" w:hAnsi="Times New Roman" w:eastAsia="方正仿宋_GBK"/>
          <w:b w:val="0"/>
          <w:sz w:val="24"/>
        </w:rPr>
        <w:fldChar w:fldCharType="separate"/>
      </w:r>
      <w:r>
        <w:rPr>
          <w:rFonts w:ascii="Times New Roman" w:hAnsi="Times New Roman" w:eastAsia="方正仿宋_GBK"/>
          <w:b w:val="0"/>
          <w:sz w:val="24"/>
        </w:rPr>
        <w:t>21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5"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h185 \h </w:instrText>
      </w:r>
      <w:r>
        <w:rPr>
          <w:rFonts w:ascii="Times New Roman" w:hAnsi="Times New Roman" w:eastAsia="方正仿宋_GBK"/>
          <w:b w:val="0"/>
          <w:sz w:val="24"/>
        </w:rPr>
        <w:fldChar w:fldCharType="separate"/>
      </w:r>
      <w:r>
        <w:rPr>
          <w:rFonts w:ascii="Times New Roman" w:hAnsi="Times New Roman" w:eastAsia="方正仿宋_GBK"/>
          <w:b w:val="0"/>
          <w:sz w:val="24"/>
        </w:rPr>
        <w:t>23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9"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h199 \h </w:instrText>
      </w:r>
      <w:r>
        <w:rPr>
          <w:rFonts w:ascii="Times New Roman" w:hAnsi="Times New Roman" w:eastAsia="方正仿宋_GBK"/>
          <w:b w:val="0"/>
          <w:sz w:val="24"/>
        </w:rPr>
        <w:fldChar w:fldCharType="separate"/>
      </w:r>
      <w:r>
        <w:rPr>
          <w:rFonts w:ascii="Times New Roman" w:hAnsi="Times New Roman" w:eastAsia="方正仿宋_GBK"/>
          <w:b w:val="0"/>
          <w:sz w:val="24"/>
        </w:rPr>
        <w:t>24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12"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h212 \h </w:instrText>
      </w:r>
      <w:r>
        <w:rPr>
          <w:rFonts w:ascii="Times New Roman" w:hAnsi="Times New Roman" w:eastAsia="方正仿宋_GBK"/>
          <w:b w:val="0"/>
          <w:sz w:val="24"/>
        </w:rPr>
        <w:fldChar w:fldCharType="separate"/>
      </w:r>
      <w:r>
        <w:rPr>
          <w:rFonts w:ascii="Times New Roman" w:hAnsi="Times New Roman" w:eastAsia="方正仿宋_GBK"/>
          <w:b w:val="0"/>
          <w:sz w:val="24"/>
        </w:rPr>
        <w:t>25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4"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h234 \h </w:instrText>
      </w:r>
      <w:r>
        <w:rPr>
          <w:rFonts w:ascii="Times New Roman" w:hAnsi="Times New Roman" w:eastAsia="方正仿宋_GBK"/>
          <w:b w:val="0"/>
          <w:sz w:val="24"/>
        </w:rPr>
        <w:fldChar w:fldCharType="separate"/>
      </w:r>
      <w:r>
        <w:rPr>
          <w:rFonts w:ascii="Times New Roman" w:hAnsi="Times New Roman" w:eastAsia="方正仿宋_GBK"/>
          <w:b w:val="0"/>
          <w:sz w:val="24"/>
        </w:rPr>
        <w:t>27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236"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h236 \h </w:instrText>
      </w:r>
      <w:r>
        <w:rPr>
          <w:rFonts w:ascii="Times New Roman" w:hAnsi="Times New Roman" w:eastAsia="方正仿宋_GBK"/>
          <w:b/>
          <w:sz w:val="24"/>
        </w:rPr>
        <w:fldChar w:fldCharType="separate"/>
      </w:r>
      <w:r>
        <w:rPr>
          <w:rFonts w:ascii="Times New Roman" w:hAnsi="Times New Roman" w:eastAsia="方正仿宋_GBK"/>
          <w:b/>
          <w:sz w:val="24"/>
        </w:rPr>
        <w:t>28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7"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h237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47"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h247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65"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h265 \h </w:instrText>
      </w:r>
      <w:r>
        <w:rPr>
          <w:rFonts w:ascii="Times New Roman" w:hAnsi="Times New Roman" w:eastAsia="方正仿宋_GBK"/>
          <w:b w:val="0"/>
          <w:sz w:val="24"/>
        </w:rPr>
        <w:fldChar w:fldCharType="separate"/>
      </w:r>
      <w:r>
        <w:rPr>
          <w:rFonts w:ascii="Times New Roman" w:hAnsi="Times New Roman" w:eastAsia="方正仿宋_GBK"/>
          <w:b w:val="0"/>
          <w:sz w:val="24"/>
        </w:rPr>
        <w:t>30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87"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h287 \h </w:instrText>
      </w:r>
      <w:r>
        <w:rPr>
          <w:rFonts w:ascii="Times New Roman" w:hAnsi="Times New Roman" w:eastAsia="方正仿宋_GBK"/>
          <w:b w:val="0"/>
          <w:sz w:val="24"/>
        </w:rPr>
        <w:fldChar w:fldCharType="separate"/>
      </w:r>
      <w:r>
        <w:rPr>
          <w:rFonts w:ascii="Times New Roman" w:hAnsi="Times New Roman" w:eastAsia="方正仿宋_GBK"/>
          <w:b w:val="0"/>
          <w:sz w:val="24"/>
        </w:rPr>
        <w:t>32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15" w:history="1">
        <w:r>
          <w:rPr>
            <w:rFonts w:ascii="Times New Roman" w:hAnsi="Times New Roman" w:eastAsia="方正仿宋_GBK"/>
            <w:b w:val="0"/>
            <w:sz w:val="24"/>
          </w:rPr>
          <w:t>3.5 核心参数的案例敏感性分析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h315 \h </w:instrText>
      </w:r>
      <w:r>
        <w:rPr>
          <w:rFonts w:ascii="Times New Roman" w:hAnsi="Times New Roman" w:eastAsia="方正仿宋_GBK"/>
          <w:b w:val="0"/>
          <w:sz w:val="24"/>
        </w:rPr>
        <w:fldChar w:fldCharType="separate"/>
      </w:r>
      <w:r>
        <w:rPr>
          <w:rFonts w:ascii="Times New Roman" w:hAnsi="Times New Roman" w:eastAsia="方正仿宋_GBK"/>
          <w:b w:val="0"/>
          <w:sz w:val="24"/>
        </w:rPr>
        <w:t>37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54"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h354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62"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h362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79"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h379 \h </w:instrText>
      </w:r>
      <w:r>
        <w:rPr>
          <w:rFonts w:ascii="Times New Roman" w:hAnsi="Times New Roman" w:eastAsia="方正仿宋_GBK"/>
          <w:b w:val="0"/>
          <w:sz w:val="24"/>
        </w:rPr>
        <w:fldChar w:fldCharType="separate"/>
      </w:r>
      <w:r>
        <w:rPr>
          <w:rFonts w:ascii="Times New Roman" w:hAnsi="Times New Roman" w:eastAsia="方正仿宋_GBK"/>
          <w:b w:val="0"/>
          <w:sz w:val="24"/>
        </w:rPr>
        <w:t>46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401"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h401 \h </w:instrText>
      </w:r>
      <w:r>
        <w:rPr>
          <w:rFonts w:ascii="Times New Roman" w:hAnsi="Times New Roman" w:eastAsia="方正仿宋_GBK"/>
          <w:b/>
          <w:sz w:val="24"/>
        </w:rPr>
        <w:fldChar w:fldCharType="separate"/>
      </w:r>
      <w:r>
        <w:rPr>
          <w:rFonts w:ascii="Times New Roman" w:hAnsi="Times New Roman" w:eastAsia="方正仿宋_GBK"/>
          <w:b/>
          <w:sz w:val="24"/>
        </w:rPr>
        <w:t>49</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02"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h402 \h </w:instrText>
      </w:r>
      <w:r>
        <w:rPr>
          <w:rFonts w:ascii="Times New Roman" w:hAnsi="Times New Roman" w:eastAsia="方正仿宋_GBK"/>
          <w:b w:val="0"/>
          <w:sz w:val="24"/>
        </w:rPr>
        <w:fldChar w:fldCharType="separate"/>
      </w:r>
      <w:r>
        <w:rPr>
          <w:rFonts w:ascii="Times New Roman" w:hAnsi="Times New Roman" w:eastAsia="方正仿宋_GBK"/>
          <w:b w:val="0"/>
          <w:sz w:val="24"/>
        </w:rPr>
        <w:t>49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14"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h414 \h </w:instrText>
      </w:r>
      <w:r>
        <w:rPr>
          <w:rFonts w:ascii="Times New Roman" w:hAnsi="Times New Roman" w:eastAsia="方正仿宋_GBK"/>
          <w:b w:val="0"/>
          <w:sz w:val="24"/>
        </w:rPr>
        <w:fldChar w:fldCharType="separate"/>
      </w:r>
      <w:r>
        <w:rPr>
          <w:rFonts w:ascii="Times New Roman" w:hAnsi="Times New Roman" w:eastAsia="方正仿宋_GBK"/>
          <w:b w:val="0"/>
          <w:sz w:val="24"/>
        </w:rPr>
        <w:t>50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33"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h433 \h </w:instrText>
      </w:r>
      <w:r>
        <w:rPr>
          <w:rFonts w:ascii="Times New Roman" w:hAnsi="Times New Roman" w:eastAsia="方正仿宋_GBK"/>
          <w:b w:val="0"/>
          <w:sz w:val="24"/>
        </w:rPr>
        <w:fldChar w:fldCharType="separate"/>
      </w:r>
      <w:r>
        <w:rPr>
          <w:rFonts w:ascii="Times New Roman" w:hAnsi="Times New Roman" w:eastAsia="方正仿宋_GBK"/>
          <w:b w:val="0"/>
          <w:sz w:val="24"/>
        </w:rPr>
        <w:t>51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45"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h445 \h </w:instrText>
      </w:r>
      <w:r>
        <w:rPr>
          <w:rFonts w:ascii="Times New Roman" w:hAnsi="Times New Roman" w:eastAsia="方正仿宋_GBK"/>
          <w:b w:val="0"/>
          <w:sz w:val="24"/>
        </w:rPr>
        <w:fldChar w:fldCharType="separate"/>
      </w:r>
      <w:r>
        <w:rPr>
          <w:rFonts w:ascii="Times New Roman" w:hAnsi="Times New Roman" w:eastAsia="方正仿宋_GBK"/>
          <w:b w:val="0"/>
          <w:sz w:val="24"/>
        </w:rPr>
        <w:t>52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61" w:history="1">
        <w:r>
          <w:rPr>
            <w:rFonts w:ascii="Times New Roman" w:hAnsi="Times New Roman" w:eastAsia="方正仿宋_GBK"/>
            <w:b w:val="0"/>
            <w:sz w:val="24"/>
          </w:rPr>
          <w:t>4.5 经济参数与敏感性分析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h461 \h </w:instrText>
      </w:r>
      <w:r>
        <w:rPr>
          <w:rFonts w:ascii="Times New Roman" w:hAnsi="Times New Roman" w:eastAsia="方正仿宋_GBK"/>
          <w:b w:val="0"/>
          <w:sz w:val="24"/>
        </w:rPr>
        <w:fldChar w:fldCharType="separate"/>
      </w:r>
      <w:r>
        <w:rPr>
          <w:rFonts w:ascii="Times New Roman" w:hAnsi="Times New Roman" w:eastAsia="方正仿宋_GBK"/>
          <w:b w:val="0"/>
          <w:sz w:val="24"/>
        </w:rPr>
        <w:t>54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4"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h474 \h </w:instrText>
      </w:r>
      <w:r>
        <w:rPr>
          <w:rFonts w:ascii="Times New Roman" w:hAnsi="Times New Roman" w:eastAsia="方正仿宋_GBK"/>
          <w:b w:val="0"/>
          <w:sz w:val="24"/>
        </w:rPr>
        <w:fldChar w:fldCharType="separate"/>
      </w:r>
      <w:r>
        <w:rPr>
          <w:rFonts w:ascii="Times New Roman" w:hAnsi="Times New Roman" w:eastAsia="方正仿宋_GBK"/>
          <w:b w:val="0"/>
          <w:sz w:val="24"/>
        </w:rPr>
        <w:t>55</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500"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h500 \h </w:instrText>
      </w:r>
      <w:r>
        <w:rPr>
          <w:rFonts w:ascii="Times New Roman" w:hAnsi="Times New Roman" w:eastAsia="方正仿宋_GBK"/>
          <w:b/>
          <w:sz w:val="24"/>
        </w:rPr>
        <w:fldChar w:fldCharType="separate"/>
      </w:r>
      <w:r>
        <w:rPr>
          <w:rFonts w:ascii="Times New Roman" w:hAnsi="Times New Roman" w:eastAsia="方正仿宋_GBK"/>
          <w:b/>
          <w:sz w:val="24"/>
        </w:rPr>
        <w:t>59</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02"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h502 \h </w:instrText>
      </w:r>
      <w:r>
        <w:rPr>
          <w:rFonts w:ascii="Times New Roman" w:hAnsi="Times New Roman" w:eastAsia="方正仿宋_GBK"/>
          <w:b w:val="0"/>
          <w:sz w:val="24"/>
        </w:rPr>
        <w:fldChar w:fldCharType="separate"/>
      </w:r>
      <w:r>
        <w:rPr>
          <w:rFonts w:ascii="Times New Roman" w:hAnsi="Times New Roman" w:eastAsia="方正仿宋_GBK"/>
          <w:b w:val="0"/>
          <w:sz w:val="24"/>
        </w:rPr>
        <w:t>59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27"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h527 \h </w:instrText>
      </w:r>
      <w:r>
        <w:rPr>
          <w:rFonts w:ascii="Times New Roman" w:hAnsi="Times New Roman" w:eastAsia="方正仿宋_GBK"/>
          <w:b w:val="0"/>
          <w:sz w:val="24"/>
        </w:rPr>
        <w:fldChar w:fldCharType="separate"/>
      </w:r>
      <w:r>
        <w:rPr>
          <w:rFonts w:ascii="Times New Roman" w:hAnsi="Times New Roman" w:eastAsia="方正仿宋_GBK"/>
          <w:b w:val="0"/>
          <w:sz w:val="24"/>
        </w:rPr>
        <w:t>62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49"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h549 \h </w:instrText>
      </w:r>
      <w:r>
        <w:rPr>
          <w:rFonts w:ascii="Times New Roman" w:hAnsi="Times New Roman" w:eastAsia="方正仿宋_GBK"/>
          <w:b w:val="0"/>
          <w:sz w:val="24"/>
        </w:rPr>
        <w:fldChar w:fldCharType="separate"/>
      </w:r>
      <w:r>
        <w:rPr>
          <w:rFonts w:ascii="Times New Roman" w:hAnsi="Times New Roman" w:eastAsia="方正仿宋_GBK"/>
          <w:b w:val="0"/>
          <w:sz w:val="24"/>
        </w:rPr>
        <w:t>65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61"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h561 \h </w:instrText>
      </w:r>
      <w:r>
        <w:rPr>
          <w:rFonts w:ascii="Times New Roman" w:hAnsi="Times New Roman" w:eastAsia="方正仿宋_GBK"/>
          <w:b w:val="0"/>
          <w:sz w:val="24"/>
        </w:rPr>
        <w:fldChar w:fldCharType="separate"/>
      </w:r>
      <w:r>
        <w:rPr>
          <w:rFonts w:ascii="Times New Roman" w:hAnsi="Times New Roman" w:eastAsia="方正仿宋_GBK"/>
          <w:b w:val="0"/>
          <w:sz w:val="24"/>
        </w:rPr>
        <w:t>66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879"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h879 \h </w:instrText>
      </w:r>
      <w:r>
        <w:rPr>
          <w:rFonts w:ascii="Times New Roman" w:hAnsi="Times New Roman" w:eastAsia="方正仿宋_GBK"/>
          <w:b w:val="0"/>
          <w:sz w:val="24"/>
        </w:rPr>
        <w:fldChar w:fldCharType="separate"/>
      </w:r>
      <w:r>
        <w:rPr>
          <w:rFonts w:ascii="Times New Roman" w:hAnsi="Times New Roman" w:eastAsia="方正仿宋_GBK"/>
          <w:b w:val="0"/>
          <w:sz w:val="24"/>
        </w:rPr>
        <w:t>102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00" w:history="1">
        <w:r>
          <w:rPr>
            <w:rFonts w:ascii="Times New Roman" w:hAnsi="Times New Roman" w:eastAsia="方正仿宋_GBK"/>
            <w:b w:val="0"/>
            <w:sz w:val="24"/>
          </w:rPr>
          <w:t>5.6 参数拓展与通用推荐矩阵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h900 \h </w:instrText>
      </w:r>
      <w:r>
        <w:rPr>
          <w:rFonts w:ascii="Times New Roman" w:hAnsi="Times New Roman" w:eastAsia="方正仿宋_GBK"/>
          <w:b w:val="0"/>
          <w:sz w:val="24"/>
        </w:rPr>
        <w:fldChar w:fldCharType="separate"/>
      </w:r>
      <w:r>
        <w:rPr>
          <w:rFonts w:ascii="Times New Roman" w:hAnsi="Times New Roman" w:eastAsia="方正仿宋_GBK"/>
          <w:b w:val="0"/>
          <w:sz w:val="24"/>
        </w:rPr>
        <w:t>105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98"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h998 \h </w:instrText>
      </w:r>
      <w:r>
        <w:rPr>
          <w:rFonts w:ascii="Times New Roman" w:hAnsi="Times New Roman" w:eastAsia="方正仿宋_GBK"/>
          <w:b w:val="0"/>
          <w:sz w:val="24"/>
        </w:rPr>
        <w:fldChar w:fldCharType="separate"/>
      </w:r>
      <w:r>
        <w:rPr>
          <w:rFonts w:ascii="Times New Roman" w:hAnsi="Times New Roman" w:eastAsia="方正仿宋_GBK"/>
          <w:b w:val="0"/>
          <w:sz w:val="24"/>
        </w:rPr>
        <w:t>133</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17"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h1017 \h </w:instrText>
      </w:r>
      <w:r>
        <w:rPr>
          <w:rFonts w:ascii="Times New Roman" w:hAnsi="Times New Roman" w:eastAsia="方正仿宋_GBK"/>
          <w:b/>
          <w:sz w:val="24"/>
        </w:rPr>
        <w:fldChar w:fldCharType="separate"/>
      </w:r>
      <w:r>
        <w:rPr>
          <w:rFonts w:ascii="Times New Roman" w:hAnsi="Times New Roman" w:eastAsia="方正仿宋_GBK"/>
          <w:b/>
          <w:sz w:val="24"/>
        </w:rPr>
        <w:t>135</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19"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h1019 \h </w:instrText>
      </w:r>
      <w:r>
        <w:rPr>
          <w:rFonts w:ascii="Times New Roman" w:hAnsi="Times New Roman" w:eastAsia="方正仿宋_GBK"/>
          <w:b w:val="0"/>
          <w:sz w:val="24"/>
        </w:rPr>
        <w:fldChar w:fldCharType="separate"/>
      </w:r>
      <w:r>
        <w:rPr>
          <w:rFonts w:ascii="Times New Roman" w:hAnsi="Times New Roman" w:eastAsia="方正仿宋_GBK"/>
          <w:b w:val="0"/>
          <w:sz w:val="24"/>
        </w:rPr>
        <w:t>135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33"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h1033 \h </w:instrText>
      </w:r>
      <w:r>
        <w:rPr>
          <w:rFonts w:ascii="Times New Roman" w:hAnsi="Times New Roman" w:eastAsia="方正仿宋_GBK"/>
          <w:b w:val="0"/>
          <w:sz w:val="24"/>
        </w:rPr>
        <w:fldChar w:fldCharType="separate"/>
      </w:r>
      <w:r>
        <w:rPr>
          <w:rFonts w:ascii="Times New Roman" w:hAnsi="Times New Roman" w:eastAsia="方正仿宋_GBK"/>
          <w:b w:val="0"/>
          <w:sz w:val="24"/>
        </w:rPr>
        <w:t>136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45"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h1045 \h </w:instrText>
      </w:r>
      <w:r>
        <w:rPr>
          <w:rFonts w:ascii="Times New Roman" w:hAnsi="Times New Roman" w:eastAsia="方正仿宋_GBK"/>
          <w:b w:val="0"/>
          <w:sz w:val="24"/>
        </w:rPr>
        <w:fldChar w:fldCharType="separate"/>
      </w:r>
      <w:r>
        <w:rPr>
          <w:rFonts w:ascii="Times New Roman" w:hAnsi="Times New Roman" w:eastAsia="方正仿宋_GBK"/>
          <w:b w:val="0"/>
          <w:sz w:val="24"/>
        </w:rPr>
        <w:t>137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51"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h1051 \h </w:instrText>
      </w:r>
      <w:r>
        <w:rPr>
          <w:rFonts w:ascii="Times New Roman" w:hAnsi="Times New Roman" w:eastAsia="方正仿宋_GBK"/>
          <w:b/>
          <w:sz w:val="24"/>
        </w:rPr>
        <w:fldChar w:fldCharType="separate"/>
      </w:r>
      <w:r>
        <w:rPr>
          <w:rFonts w:ascii="Times New Roman" w:hAnsi="Times New Roman" w:eastAsia="方正仿宋_GBK"/>
          <w:b/>
          <w:sz w:val="24"/>
        </w:rPr>
        <w:t>138</w:t>
      </w:r>
      <w:r>
        <w:rPr>
          <w:rFonts w:ascii="Times New Roman" w:hAnsi="Times New Roman" w:eastAsia="方正仿宋_GBK"/>
          <w:b/>
          <w:sz w:val="24"/>
        </w:rPr>
        <w:fldChar w:fldCharType="end"/>
      </w:r>
    </w:p>
    <w:p>
      <w:pPr>
        <w:pStyle w:val="3"/>
        <w:keepNext/>
        <w:pageBreakBefore/>
        <w:numPr>
          <w:numId w:val="0"/>
        </w:numPr>
        <w:spacing w:line="540" w:lineRule="exact" w:before="0" w:after="120"/>
        <w:ind w:firstLine="0"/>
      </w:pPr>
      <w:bookmarkStart w:id="1000" w:name="h0"/>
      <w:bookmarkStart w:id="20" w:name="第一章-绪论"/>
      <w:r>
        <w:rPr>
          <w:rFonts w:ascii="Times New Roman" w:hAnsi="Times New Roman" w:eastAsia="方正仿宋_GBK"/>
          <w:b/>
          <w:sz w:val="36"/>
        </w:rPr>
        <w:t xml:space="preserve">第一章 绪论</w:t>
      </w:r>
      <w:bookmarkEnd w:id="20"/>
      <w:bookmarkEnd w:id="1000"/>
    </w:p>
    <w:p>
      <w:pPr>
        <w:pStyle w:val="4"/>
        <w:keepNext/>
        <w:numPr>
          <w:numId w:val="0"/>
        </w:numPr>
        <w:spacing w:line="480" w:lineRule="exact" w:before="160" w:after="120"/>
        <w:ind w:firstLine="0"/>
      </w:pPr>
      <w:bookmarkStart w:id="1001" w:name="h1"/>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已成为配电网规划的重要电源条件。国家能源局公布，截至2026年3月底，全国分布式光伏装机容量达到5.54亿千瓦[1]。电源接入位置、用户用电特性和下级网络结构共同改变上级变电站的净负荷，容量规划需要同时分析正向供电、反向输送和主变N-1条件下的供电需求。</w:t>
      </w:r>
    </w:p>
    <w:p>
      <w:pPr>
        <w:pStyle w:val="2"/>
        <w:widowControl/>
        <w:spacing w:line="348" w:lineRule="exact" w:before="0" w:after="0"/>
        <w:ind w:firstLine="480"/>
        <w:jc w:val="both"/>
      </w:pPr>
      <w:r>
        <w:rPr>
          <w:rFonts w:ascii="Times New Roman" w:hAnsi="Times New Roman" w:eastAsia="方正仿宋_GBK"/>
          <w:b w:val="0"/>
          <w:sz w:val="24"/>
        </w:rPr>
        <w:t xml:space="preserve">江苏分布式光伏发展具有较强的用户侧和区域分散特征。根据国家能源局2026年一季度光伏发电建设统计，江苏分布式光伏累计并网容量为6629.40万千瓦[2]。本项目选择徐州地区的邳州市和徐州市区，分别分析光伏规模相对较大的县域与负荷较密集城区的容量配置条件。片区划分以同一电压等级、同一统计范围的源荷及设备资料为基础，推荐指标与站级规划方案相互对应。</w:t>
      </w:r>
    </w:p>
    <w:p>
      <w:pPr>
        <w:pStyle w:val="2"/>
        <w:widowControl/>
        <w:spacing w:line="348" w:lineRule="exact" w:before="0" w:after="0"/>
        <w:ind w:firstLine="480"/>
        <w:jc w:val="both"/>
      </w:pPr>
      <w:r>
        <w:rPr>
          <w:rFonts w:ascii="Times New Roman" w:hAnsi="Times New Roman" w:eastAsia="方正仿宋_GBK"/>
          <w:b w:val="0"/>
          <w:sz w:val="24"/>
        </w:rPr>
        <w:t xml:space="preserve">分布式电源接入后，用户用电需求与电网供电负荷之间的对应关系发生变化。光伏出力较高时，部分用户用电由本地电源供给，110 kV主变受入功率相应减小；当本地发电超过本地用电时，主变潮流可能反向。光伏出力下降后，上级电网仍需承担剩余用电需求。由此，主变规划需要同时识别年度正向供电最大负荷和局部反向功率压力，设备容量的合理性还取决于负荷分布、下级网络联络及供电安全要求[3][4][5]。</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《关于新形势下配电网高质量发展的指导意见》将分布式新能源承载、多元负荷接入及源网荷储协同列为配电网发展的工作方向[6]。这些要求落实到110 kV规划，需要在既有资产条件下统筹主变建设与中压网改造，明确储能参与容量支撑的条件，避免仅凭一个年度比值安排投资。对于光伏集中发展的县域，正午反送与晚间受电可能分别决定不同设备的运行边界；对于负荷密集的市区，用户连续供电要求和局部重载站的供电安全容量可能更早成为制约。</w:t>
      </w:r>
    </w:p>
    <w:p>
      <w:pPr>
        <w:pStyle w:val="2"/>
        <w:widowControl/>
        <w:spacing w:line="348" w:lineRule="exact" w:before="0" w:after="0"/>
        <w:ind w:firstLine="480"/>
        <w:jc w:val="both"/>
      </w:pPr>
      <w:r>
        <w:rPr>
          <w:rFonts w:ascii="Times New Roman" w:hAnsi="Times New Roman" w:eastAsia="方正仿宋_GBK"/>
          <w:b w:val="0"/>
          <w:sz w:val="24"/>
        </w:rPr>
        <w:t xml:space="preserve">容载比是区域容量规划中长期使用的统计指标。DL/T 5729—2023以同电压等级公用变电设备总容量与区域年网供最大负荷之比定义容载比，并要求结合负荷发展、供电安全及技术经济条件确定合理水平[5]。该指标表达区域容量储备，具体站点容量、联络支援与光伏反送压力需要站级分析。高渗透率地区继续采用容载比进行容量评价时，应补充站级运行和措施组合分析，使区域指标与局部约束相互对应。</w:t>
      </w:r>
    </w:p>
    <w:p>
      <w:pPr>
        <w:pStyle w:val="2"/>
        <w:widowControl/>
        <w:spacing w:line="348" w:lineRule="exact" w:before="0" w:after="0"/>
        <w:ind w:firstLine="480"/>
        <w:jc w:val="both"/>
      </w:pPr>
      <w:r>
        <w:rPr>
          <w:rFonts w:ascii="Times New Roman" w:hAnsi="Times New Roman" w:eastAsia="方正仿宋_GBK"/>
          <w:b w:val="0"/>
          <w:sz w:val="24"/>
        </w:rPr>
        <w:t xml:space="preserve">分布式光伏对年网供最大负荷的影响具有时段差异。若全年正向峰值发生在光伏出力较低的晚间，新增光伏可能明显减少日间购电量，却未按相同比例降低年度供电峰值。若原峰值发生在日间，光伏接入可能使峰值转移到其他时段。分布式电源电量渗透率、分布式电源装机渗透率以及主变年最大负载率，分别描述电量、装机规模和设备压力。报告因此将分布式电源装机渗透率与分布式电源电量渗透率作为区域源荷背景，将净负荷最大绝对值及95%峰值持续时间用于设备容量压力分析。</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《配电网规划设计技术导则》引入分布式电源装机渗透率（源荷比）和分布式电源电量渗透率，提出源荷比超过2.00，或分布式电源电量渗透率超过40%～50%时，以110～35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[7]。与此同时，容量规划仍需参照按负荷增长分档的容载比范围，上限一般为2.00[5][7]。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两地区适合用于分析新能源渗透指标与传统容载比之间的联系。</w:t>
      </w:r>
    </w:p>
    <w:p>
      <w:pPr>
        <w:pStyle w:val="2"/>
        <w:widowControl/>
        <w:spacing w:line="348" w:lineRule="exact" w:before="0" w:after="0"/>
        <w:ind w:firstLine="480"/>
        <w:jc w:val="both"/>
      </w:pPr>
      <w:r>
        <w:rPr>
          <w:rFonts w:ascii="Times New Roman" w:hAnsi="Times New Roman" w:eastAsia="方正仿宋_GBK"/>
          <w:b w:val="0"/>
          <w:sz w:val="24"/>
        </w:rPr>
        <w:t xml:space="preserve">本课题围绕这些规划问题开展研究。在相同年度负荷、设备初态和技术约束下，比较容载比按2.00上限控制与允许适度提高时的容量配置及评价期费用，分析源荷水平、负荷增长和峰段特征对结果的影响，提出分片区的弹性指标及其适用条件，为110 kV电网规划和工程比选提供依据。</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[8]。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容量提高后，局部供电安全约束所需的储能可能减少；但主变购置、配套工程及后续运维费用也会增加。两种费用变化能否相抵，取决于主变规格、储能价格、储能支撑持续时间和负荷空间分布。研究以同措施集合、同价格和同初态比较方案，通过费用结果评价两类方案的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变化与负荷变化对年度容载比的影响。既有主变保持不变而年最大负荷下降，容载比会升高；这并不意味着当年新增了容量。反之，负荷增长快于容量增长时，新增主变后容载比仍可能降低。逐年方案需同时列出主变在役容量、采购容量和年度负荷，才能把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其直接价值是提供相应配置路径、价格参数与条件推荐矩阵，并明确推荐值随相关条件变化的范围。采用相似片区模板时，仍需核对实际容量和负荷分布。涉及具体接线、故障恢复时间、电压与保护配合的工程结论，应在接入系统或专项规划阶段另行校核。</w:t>
      </w:r>
    </w:p>
    <w:p>
      <w:pPr>
        <w:pStyle w:val="4"/>
        <w:keepNext/>
        <w:numPr>
          <w:numId w:val="0"/>
        </w:numPr>
        <w:spacing w:line="480" w:lineRule="exact" w:before="160" w:after="120"/>
        <w:ind w:firstLine="0"/>
      </w:pPr>
      <w:bookmarkStart w:id="1019" w:name="h19"/>
      <w:bookmarkStart w:id="25" w:name="主要概念与规范依据"/>
      <w:r>
        <w:rPr>
          <w:rFonts w:ascii="Times New Roman" w:hAnsi="Times New Roman" w:eastAsia="方正仿宋_GBK"/>
          <w:b/>
          <w:sz w:val="32"/>
        </w:rPr>
        <w:t xml:space="preserve">1.2 主要概念与规范依据</w:t>
      </w:r>
      <w:bookmarkEnd w:id="25"/>
      <w:bookmarkEnd w:id="1019"/>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[9]。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配电网规划设计技术导则》第6.2.2.1条进一步提出，建议范围内不能满足供电安全准则时，可结合实际情况适当提高[7]。本课题保留相同初始设备结构：刚性方案新增扩容按当年负荷两倍控制，负荷下降导致的既有容量被动超限允许保留；弹性方案在容载比高于2.00的研究条件下比选，最大容量由设备规格和可扩建位置确定。</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两类方案采用相同的年度负荷、候选设备与工程价格，逐年比较主变容量、储能规模、站间负荷转接及评价期费用。推荐值与相应设备配置共同列示，供片区规划采用。</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本研究参照全寿命周期费用方法，将新增措施初始投资、固定运维及评价期内设备更新费用折算到2021年末，统一计算至2041年[10,11,12]。结果称为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[13][14][15][16]。本项目采用评价期费用最小作为寻优目标，供电安全及设备容量作为约束，并结合片区源荷条件形成推荐范围。工程实施阶段可补充施工条件、土地资源及运行方式的综合评价。</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2041—2025《分布式电源接入电力系统承载力评估导则》组织分布式电源容量校核[5][9]。GB/T 45418—2025《配电网通用技术导则》作为下级配电网技术分析的补充依据[17]。分布式电源装机渗透率和分布式电源电量渗透率采用《配电网规划设计技术导则》的指标定义[7]，用于描述片区源荷条件。</w:t>
      </w:r>
    </w:p>
    <w:p>
      <w:pPr>
        <w:pStyle w:val="4"/>
        <w:keepNext/>
        <w:numPr>
          <w:numId w:val="0"/>
        </w:numPr>
        <w:spacing w:line="480" w:lineRule="exact" w:before="160" w:after="120"/>
        <w:ind w:firstLine="0"/>
      </w:pPr>
      <w:bookmarkStart w:id="1033" w:name="h33"/>
      <w:bookmarkStart w:id="30" w:name="研究范围与对象"/>
      <w:r>
        <w:rPr>
          <w:rFonts w:ascii="Times New Roman" w:hAnsi="Times New Roman" w:eastAsia="方正仿宋_GBK"/>
          <w:b/>
          <w:sz w:val="32"/>
        </w:rPr>
        <w:t xml:space="preserve">1.3 研究范围与对象</w:t>
      </w:r>
      <w:bookmarkEnd w:id="30"/>
      <w:bookmarkEnd w:id="1033"/>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5729—2023第6.3.3条，以行政区县作为最小统计分析范围[5]。本研究优化对象为邳州和市区。电网运行统计和规划优化均按110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5729—2023表4.1.2核定，以饱和负荷密度为主要依据，并参考行政级别及发展水平[5]。A类对应15至低于30 MW/km²，B类为6至低于15 MW/km²，C类为1至低于6 MW/km²。市区含不同分区，不能整体等同于A类；本研究按A类较少、B类较多设置转供率参考，设备候选按各站资料和研究假设分别确定。</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2021—2025年资料用于分析负荷发展、光伏装机和设备运行特征。地区案例保留共同仿真起点，直接使用2022—2025年实际年度负荷；各年容量及建设规模由满足约束的优化结果确定，实际统计容量单独列示。</w:t>
      </w:r>
    </w:p>
    <w:p>
      <w:pPr>
        <w:pStyle w:val="2"/>
        <w:widowControl/>
        <w:spacing w:line="348" w:lineRule="exact" w:before="0" w:after="0"/>
        <w:ind w:firstLine="480"/>
        <w:jc w:val="both"/>
      </w:pPr>
      <w:r>
        <w:rPr>
          <w:rFonts w:ascii="Times New Roman" w:hAnsi="Times New Roman" w:eastAsia="方正仿宋_GBK"/>
          <w:b w:val="0"/>
          <w:sz w:val="24"/>
        </w:rPr>
        <w:t xml:space="preserve">基期主变按离散规格配置，基期年网供最大负荷取2021年实际统计值，两地区起点容载比按两位小数均为2.00。站级负荷沿用实际样本的空间分布，再按年度区域负荷标定。邳州和市区的刚性、弹性方案分别共用本地区的起点、负荷和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经济评价以2021年末为折现基准，评价截止于2041年。仿真第1—4年在计算文件中分别标记为2022—2025年，用于统一投运时间和现金流折现。主变、线路和储能的寿命、运维率采用第四章列明的研究参数[10,11,12]。</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技术模型包括正向供电、反向功率、主变N-1及站间转供约束。储能按额定功率、可用电量和支撑持续时间折算有效能力，正向储能支撑持续时间为4 h，反向按各站支撑要求设置。联络按具体送受端路径计量，共享馈线余量。模型采用静态工况进行规划比选。</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共用主变更换与扩建、储能和联络候选。已核实既有联络不重复计原建设费，新增联络按项目计费。初始转供率用于推广参数研究，地区案例的实际可转功率由具体网络约束确定，不由统一比例直接生成。</w:t>
      </w:r>
    </w:p>
    <w:p>
      <w:pPr>
        <w:pStyle w:val="4"/>
        <w:keepNext/>
        <w:numPr>
          <w:numId w:val="0"/>
        </w:numPr>
        <w:spacing w:line="480" w:lineRule="exact" w:before="160" w:after="120"/>
        <w:ind w:firstLine="0"/>
      </w:pPr>
      <w:bookmarkStart w:id="1046" w:name="h46"/>
      <w:bookmarkStart w:id="34" w:name="研究目标与内容"/>
      <w:r>
        <w:rPr>
          <w:rFonts w:ascii="Times New Roman" w:hAnsi="Times New Roman" w:eastAsia="方正仿宋_GBK"/>
          <w:b/>
          <w:sz w:val="32"/>
        </w:rPr>
        <w:t xml:space="preserve">1.4 研究目标与内容</w:t>
      </w:r>
      <w:bookmarkEnd w:id="34"/>
      <w:bookmarkEnd w:id="1046"/>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避免仅凭单次投资比值决定规划方案。</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最后，围绕六项核心参数构造推广矩阵，储能价格及辅助技术经济参数另作敏感性分析。矩阵按输入区间归纳容载比计算范围，设备措施与费用分别列示。输入参数的首尾开口形式不改变输出容载比的有限端点。</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价格依据，以采购案例标定储能费用，以公开规划造价形成线路参考基价。线路成本系数反映单位长度综合造价，储能价格在固定支撑持续时间下单独分析；各项工程范围与计算方法分别列示。</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规划采用混合整数线性优化。在役20、40 MVA等设备可保留，新购主变采用31.50、50、63、80 MVA等候选规格并按站限制；扩建、联络投运状态及储能柜数为整数决策，站间转供功率为连续决策。以新增措施评价期费用现值最小为目标，在正常及主变N-1等约束下确定逐年设备与线路配置。</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以五站网络为模板，设置分布式电源装机渗透率、年最大净负荷平均增长率、线路成本系数、初始转供率、储能支撑持续时间及负荷分散系数六项输入，开展12600组目标年静态比选。输入区间采用首尾开口形式，增长分界与DL/T 5729—2023表6.3.4一致；计算所得容载比仍按有限范围列示。</w:t>
      </w:r>
    </w:p>
    <w:p>
      <w:pPr>
        <w:pStyle w:val="4"/>
        <w:keepNext/>
        <w:numPr>
          <w:numId w:val="0"/>
        </w:numPr>
        <w:spacing w:line="480" w:lineRule="exact" w:before="160" w:after="120"/>
        <w:ind w:firstLine="0"/>
      </w:pPr>
      <w:bookmarkStart w:id="1058" w:name="h58"/>
      <w:bookmarkStart w:id="37" w:name="研究方法与技术路线"/>
      <w:r>
        <w:rPr>
          <w:rFonts w:ascii="Times New Roman" w:hAnsi="Times New Roman" w:eastAsia="方正仿宋_GBK"/>
          <w:b/>
          <w:sz w:val="32"/>
        </w:rPr>
        <w:t xml:space="preserve">1.5 研究方法与技术路线</w:t>
      </w:r>
      <w:bookmarkEnd w:id="37"/>
      <w:bookmarkEnd w:id="1058"/>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分析分布式电源渗透水平、双向净负荷及95%峰值持续时间。候选指标先核对资料完整性、统计范围和时间，再计算对应指标之间及其与容载比的相关系数；将存在共同分母或直接换算关系的指标合并使用，结合容量约束确定核心参数。</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年最大净负荷平均增长率按2021—2025年起止负荷之比开四次方计算。地区案例直接使用2022—2025年逐年实际负荷，保留年度回落；复合增长率用于概括发展水平及设置推广情景。</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采用五站模板开展目标年参数推广。分布式电源装机渗透率与年最大净负荷平均增长率确定源荷规模，初始转供率表达既有网络条件，储能支撑持续时间确定储能有效支撑功率，线路成本系数改变新增联络费用。储能价格与辅助技术参数单独分析，各区间均保留计算节点、配置结果及适用条件。</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计算工作簿与核验记录用于保存计算依据和结果复核。</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采用第三章至第五章列明的输入、算式和约束，避免图表分析与规划计算使用不同数据。</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93235"/>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2993235"/>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图1-1 逐年规划计算与推荐矩阵形成过程</w:t>
      </w:r>
    </w:p>
    <w:p>
      <w:pPr>
        <w:pStyle w:val="4"/>
        <w:keepNext/>
        <w:numPr>
          <w:numId w:val="0"/>
        </w:numPr>
        <w:spacing w:line="480" w:lineRule="exact" w:before="160" w:after="120"/>
        <w:ind w:firstLine="0"/>
      </w:pPr>
      <w:bookmarkStart w:id="1074" w:name="h74"/>
      <w:bookmarkStart w:id="43" w:name="研究成果及应用"/>
      <w:r>
        <w:rPr>
          <w:rFonts w:ascii="Times New Roman" w:hAnsi="Times New Roman" w:eastAsia="方正仿宋_GBK"/>
          <w:b/>
          <w:sz w:val="32"/>
        </w:rPr>
        <w:t xml:space="preserve">1.6 研究成果及应用</w:t>
      </w:r>
      <w:bookmarkEnd w:id="43"/>
      <w:bookmarkEnd w:id="1074"/>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评价期费用。通用推荐矩阵列出供电区域类别、负荷分散系数、技术经济条件和容载比推荐区间，逐点设备配置和计算记录保存在配套工作簿中。</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pPr>
        <w:pStyle w:val="3"/>
        <w:keepNext/>
        <w:pageBreakBefore/>
        <w:numPr>
          <w:numId w:val="0"/>
        </w:numPr>
        <w:spacing w:line="540" w:lineRule="exact" w:before="0" w:after="120"/>
        <w:ind w:firstLine="0"/>
      </w:pPr>
      <w:bookmarkStart w:id="1077" w:name="h77"/>
      <w:bookmarkStart w:id="44" w:name="第二章-国内外研究现状"/>
      <w:r>
        <w:rPr>
          <w:rFonts w:ascii="Times New Roman" w:hAnsi="Times New Roman" w:eastAsia="方正仿宋_GBK"/>
          <w:b/>
          <w:sz w:val="36"/>
        </w:rPr>
        <w:t xml:space="preserve">第二章 国内外研究现状</w:t>
      </w:r>
      <w:bookmarkEnd w:id="44"/>
      <w:bookmarkEnd w:id="1077"/>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pPr>
        <w:pStyle w:val="4"/>
        <w:keepNext/>
        <w:numPr>
          <w:numId w:val="0"/>
        </w:numPr>
        <w:spacing w:line="480" w:lineRule="exact" w:before="160" w:after="120"/>
        <w:ind w:firstLine="0"/>
      </w:pPr>
      <w:bookmarkStart w:id="1080" w:name="h80"/>
      <w:bookmarkStart w:id="45" w:name="国外研究现状"/>
      <w:r>
        <w:rPr>
          <w:rFonts w:ascii="Times New Roman" w:hAnsi="Times New Roman" w:eastAsia="方正仿宋_GBK"/>
          <w:b/>
          <w:sz w:val="32"/>
        </w:rPr>
        <w:t xml:space="preserve">2.1 国外研究现状</w:t>
      </w:r>
      <w:bookmarkEnd w:id="45"/>
      <w:bookmarkEnd w:id="1080"/>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承载力评估从确定性运行断面分析逐步拓展到源荷不确定性、主动管理及动态评估。不同方法分别考虑电压、设备容量和风险约束，为高渗透率下的容量校核提供依据。在不确定性建模方面，Lin 等提出两阶段光伏（photovoltaic，PV）承载力计算模型，先采用鲁棒优化分析源荷不确定性下的最不利场景，再构建计及主动管理的混合整数二阶锥规划模型，算例分析表明，负荷降低及光伏出力提高可能使接入约束趋紧；对受过电压限制的网络主动管理（无功、SVC）提升明显、对受最大传输功率限制的网络效果有限；网络重构可使薄弱支路网络承载力提升超过 50%（达原值约 150%）[18]。</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场景生成（夜间太阳辐照度设为零等物理约束）刻画源侧时序不确定性，以麻雀搜索算法寻优最大承载力，为承载力计算提供符合物理条件的出力场景[19]。</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渗透率后边际收益递减、风险非线性上升[20]。</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20%～34%，说明主动支撑及稳定约束对接入能力的影响[21]。</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23%，为以灵活资源平抑净负荷爬坡提供依据[22]。</w:t>
      </w:r>
    </w:p>
    <w:p>
      <w:pPr>
        <w:pStyle w:val="2"/>
        <w:widowControl/>
        <w:spacing w:line="348" w:lineRule="exact" w:before="0" w:after="0"/>
        <w:ind w:firstLine="480"/>
        <w:jc w:val="both"/>
      </w:pPr>
      <w:r>
        <w:rPr>
          <w:rFonts w:ascii="Times New Roman" w:hAnsi="Times New Roman" w:eastAsia="方正仿宋_GBK"/>
          <w:b w:val="0"/>
          <w:sz w:val="24"/>
        </w:rPr>
        <w:t xml:space="preserve">在反向潮流引致的电压问题上，Xie 等结合主网与配网线路参数差异建立过电压计算方法，并验证抑制策略可使反向潮流引起的过电压由高于额定约 10% 降至 2%[23]；Ghorbansarvi 等以模型预测控制（MPC）联合管理母线电压与配变温度、最小化弃光，通过协调控制推迟配变过载的发生[24]。</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光伏有功削减、有载分接开关调节（OLTC）、配网重构及多柔性资源协调四类电压越限治理手段，并讨论了协调控制中调节时序与经济性考虑不足，以及低压网络模型简化对分析结果的影响[25]。</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灵活资源研究关注储能、可调负荷及柔性互联对接入能力和容量需求的影响，并将相关方案与电网增容开展经济比较。在接入能力分析方面，Nair 等以确定性迭代、两阶段随机 MISOCP 与蒙特卡洛三法对比，表明动态资源协调可使 IEEE 123 馈线 PV 承载力由 48% 提升至 83%（两阶段随机规划达 98%），可行域体积扩大逾 22 倍，并指出动态方案波动性更高、临界性排序为电池＞热泵＞EV[26]；Wang 等（Nature Communications）提出基于智能软开关（SOP）的柔性配电网多资源动态协同规划，在风险小于 5% 内实现 100% 本地光伏消纳，且最优方案总成本较对照方案降低 7%～55%[27]。</w:t>
      </w:r>
    </w:p>
    <w:p>
      <w:pPr>
        <w:pStyle w:val="2"/>
        <w:widowControl/>
        <w:spacing w:line="348" w:lineRule="exact" w:before="0" w:after="0"/>
        <w:ind w:firstLine="480"/>
        <w:jc w:val="both"/>
      </w:pPr>
      <w:r>
        <w:rPr>
          <w:rFonts w:ascii="Times New Roman" w:hAnsi="Times New Roman" w:eastAsia="方正仿宋_GBK"/>
          <w:b w:val="0"/>
          <w:sz w:val="24"/>
        </w:rPr>
        <w:t xml:space="preserve">在储能与电网增容的经济比较方面，多项研究给出特定算例条件下的经济阈值：Martínez 等基于西班牙真实 500 节点中压网得出，专用分布式电池储能（BESS）替代网架增容仅在年负荷增长率不超过千分之一点六时净现值为正，移动式储能仅在不超过千分之二点五时可行[28]；Holweger 等在 CIGRE 低压网上得到分布式柔性优于网架增强的盈亏平衡点位于 PV 占年用电量的 110%～145% 区间（廉价变压器约 110%、昂贵变压器约 145%），且变压器为承载瓶颈元件[29]；Matthiss 等分别比较初始投资和年化费用，发现按投资成本储能远低于网架增强，但折算为计入电池 10 年寿命的年成本后差距明显收窄[30]。</w:t>
      </w:r>
    </w:p>
    <w:p>
      <w:pPr>
        <w:pStyle w:val="2"/>
        <w:widowControl/>
        <w:spacing w:line="348" w:lineRule="exact" w:before="0" w:after="0"/>
        <w:ind w:firstLine="480"/>
        <w:jc w:val="both"/>
      </w:pPr>
      <w:r>
        <w:rPr>
          <w:rFonts w:ascii="Times New Roman" w:hAnsi="Times New Roman" w:eastAsia="方正仿宋_GBK"/>
          <w:b w:val="0"/>
          <w:sz w:val="24"/>
        </w:rPr>
        <w:t xml:space="preserve">在储能定容方面，Xu 等以两阶段启发式优化最小化储能全寿命周期成本（LCC，包含投资、更换、运维及处置，并计及锂电池容量衰减），算例显示合理定容可使节点平均年化成本下降约 47%[10]；Wu 等以两阶段分布鲁棒优化并嵌入并网点短路电流约束做 PV+储能联合规划，较传统方法 PV 可装容量提升约 60%、电压偏差降低 17%，且</w:t>
      </w:r>
      <w:r>
        <w:rPr>
          <w:rFonts w:ascii="Times New Roman" w:hAnsi="Times New Roman" w:eastAsia="方正仿宋_GBK"/>
          <w:b w:val="0"/>
          <w:sz w:val="24"/>
        </w:rPr>
        <w:t xml:space="preserve">“</w:t>
      </w:r>
      <w:r>
        <w:rPr>
          <w:rFonts w:ascii="Times New Roman" w:hAnsi="Times New Roman" w:eastAsia="方正仿宋_GBK"/>
          <w:b w:val="0"/>
          <w:sz w:val="24"/>
        </w:rPr>
        <w:t xml:space="preserve">联合规划</w:t>
      </w:r>
      <w:r>
        <w:rPr>
          <w:rFonts w:ascii="Times New Roman" w:hAnsi="Times New Roman" w:eastAsia="方正仿宋_GBK"/>
          <w:b w:val="0"/>
          <w:sz w:val="24"/>
        </w:rPr>
        <w:t xml:space="preserve">”</w:t>
      </w:r>
      <w:r>
        <w:rPr>
          <w:rFonts w:ascii="Times New Roman" w:hAnsi="Times New Roman" w:eastAsia="方正仿宋_GBK"/>
          <w:b w:val="0"/>
          <w:sz w:val="24"/>
        </w:rPr>
        <w:t xml:space="preserve">优于</w:t>
      </w:r>
      <w:r>
        <w:rPr>
          <w:rFonts w:ascii="Times New Roman" w:hAnsi="Times New Roman" w:eastAsia="方正仿宋_GBK"/>
          <w:b w:val="0"/>
          <w:sz w:val="24"/>
        </w:rPr>
        <w:t xml:space="preserve">“</w:t>
      </w:r>
      <w:r>
        <w:rPr>
          <w:rFonts w:ascii="Times New Roman" w:hAnsi="Times New Roman" w:eastAsia="方正仿宋_GBK"/>
          <w:b w:val="0"/>
          <w:sz w:val="24"/>
        </w:rPr>
        <w:t xml:space="preserve">先 PV 后储能</w:t>
      </w:r>
      <w:r>
        <w:rPr>
          <w:rFonts w:ascii="Times New Roman" w:hAnsi="Times New Roman" w:eastAsia="方正仿宋_GBK"/>
          <w:b w:val="0"/>
          <w:sz w:val="24"/>
        </w:rPr>
        <w:t xml:space="preserve">”</w:t>
      </w:r>
      <w:r>
        <w:rPr>
          <w:rFonts w:ascii="Times New Roman" w:hAnsi="Times New Roman" w:eastAsia="方正仿宋_GBK"/>
          <w:b w:val="0"/>
          <w:sz w:val="24"/>
        </w:rPr>
        <w:t xml:space="preserve">[31]。</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27%～45%，但 99% 相对 81% 的边际收益已不显著（拐点约 81% 渗透率），且其孤岛恢复方案采用构网型光伏与储能[32]。</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面向高负荷密度与含可再生能源的变电容量优化，Huang 等以多元宇宙优化器同时优化主变容量与台数，算例表明，本地可再生能源供电可减少净负荷，并延缓主变建设[33]；Xu 等则从分时电价/需求侧响应改变负荷曲线的角度论证削峰可节省变电建设投资[34]，Nespoli 等给出无需历史数据量化柔性负荷经济价值的全局预测方法[35]。</w:t>
      </w:r>
    </w:p>
    <w:p>
      <w:pPr>
        <w:pStyle w:val="2"/>
        <w:widowControl/>
        <w:spacing w:line="348" w:lineRule="exact" w:before="0" w:after="0"/>
        <w:ind w:firstLine="480"/>
        <w:jc w:val="both"/>
      </w:pPr>
      <w:r>
        <w:rPr>
          <w:rFonts w:ascii="Times New Roman" w:hAnsi="Times New Roman" w:eastAsia="方正仿宋_GBK"/>
          <w:b w:val="0"/>
          <w:sz w:val="24"/>
        </w:rPr>
        <w:t xml:space="preserve">在源网荷储/柔性互联的国际期刊成果中，Zhu等的多区域E-SOP协同规划可使年总成本降低约 15%、电压不平衡全部降至 2% 以内[36]，SOP+储能联合规划使供电能力提升 31%[37]，源—网—储协同随机规划以仅增成本 2% 换取大幅消纳提升[38]，Shi等通过源网荷储多主体演化博弈，分析收益分配对储能配置及主体协同的影响[39]。</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在成本评价方面，Zeng 等基于全寿命周期成本（投资、运行、维护、故障）建立输电线路经济寿命区间法，并以改进 GM(1,1) 在小样本下预测成本、以区间法处理不确定性[11]；Zhu 等对 10 kV 三类线路建立显式包含投资、运维、故障与报废（discard）四部分的 LCC 模型，研究表明，高负载率下运维成本成为 LCC 最主要影响因素、三类线路 LCC 平衡点出现在第 7～8 年，为线路寿命和费用边界分析提供参考[12]。</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与累积前景理论用于电网规划方案适应性评价[40]；Fermatean 模糊 TOPSIS 配合 FAHP-熵权与 DEMATEL 因果分析处理专家评分不确定性[41]；最优最劣法（BWM）+ 反熵权 + 纳什博弈 + 马氏距离改进 TOPSIS 用于输电项目优选[42]；改进 AHP 叠加物元可拓评估实现效益分级[14]。多准则评价通过指标与权重表达方案差异，适用于技术可行方案的综合比较。</w:t>
      </w:r>
    </w:p>
    <w:p>
      <w:pPr>
        <w:pStyle w:val="4"/>
        <w:keepNext/>
        <w:numPr>
          <w:numId w:val="0"/>
        </w:numPr>
        <w:spacing w:line="480" w:lineRule="exact" w:before="160" w:after="120"/>
        <w:ind w:firstLine="0"/>
      </w:pPr>
      <w:bookmarkStart w:id="1102" w:name="h102"/>
      <w:bookmarkStart w:id="50" w:name="国内研究现状"/>
      <w:r>
        <w:rPr>
          <w:rFonts w:ascii="Times New Roman" w:hAnsi="Times New Roman" w:eastAsia="方正仿宋_GBK"/>
          <w:b/>
          <w:sz w:val="32"/>
        </w:rPr>
        <w:t xml:space="preserve">2.2 国内研究现状</w:t>
      </w:r>
      <w:bookmarkEnd w:id="50"/>
      <w:bookmarkEnd w:id="1102"/>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容量配置需要兼顾供电安全与投资效率，国内研究逐步从单电压等级容量配置拓展到多电压等级协同规划，并进一步细化相关参数及评价方法。在最优容载比计算上，陈浩等较早建立含高、低压两电压等级变电站的最优容载比优化模型，以年综合费用最小为目标、用离散粒子群算法求解[43]；王凯亮等进一步以建设成本最小为目标统筹 220/110/10 kV 协同规划，用贝叶斯优化—遗传算法（BOA-GA）求解多电压等级容载比配比，证明长时间尺度下容载比配比与整体投资近似呈二次关系，规划方案较实际网架降低建设成本约 8%，并给出按负荷密度（以 10 MW·km⁻² 为界）与负荷增长率分档的差异化容载比推荐表[44]。</w:t>
      </w:r>
    </w:p>
    <w:p>
      <w:pPr>
        <w:pStyle w:val="2"/>
        <w:widowControl/>
        <w:spacing w:line="348" w:lineRule="exact" w:before="0" w:after="0"/>
        <w:ind w:firstLine="480"/>
        <w:jc w:val="both"/>
      </w:pPr>
      <w:r>
        <w:rPr>
          <w:rFonts w:ascii="Times New Roman" w:hAnsi="Times New Roman" w:eastAsia="方正仿宋_GBK"/>
          <w:b w:val="0"/>
          <w:sz w:val="24"/>
        </w:rPr>
        <w:t xml:space="preserve">在指标精细化上，刘文霞等针对导则容载比区间过宽、与可靠性脱钩的问题提出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，以理想值为基准的带状标尺可视化表达充裕性，以供电可靠性和发展阶段评价区域容量储备[45]；刘炜彬等则从负荷分散系数、储备系数、变压器安全运行率、平均功率因数四参数入手，用 BP 神经网络拟合负荷同时率、将 N-1 通过率纳入安全运行率，实现容载比精细化与差异化配置[46]。</w:t>
      </w:r>
    </w:p>
    <w:p>
      <w:pPr>
        <w:pStyle w:val="2"/>
        <w:widowControl/>
        <w:spacing w:line="348" w:lineRule="exact" w:before="0" w:after="0"/>
        <w:ind w:firstLine="480"/>
        <w:jc w:val="both"/>
      </w:pPr>
      <w:r>
        <w:rPr>
          <w:rFonts w:ascii="Times New Roman" w:hAnsi="Times New Roman" w:eastAsia="方正仿宋_GBK"/>
          <w:b w:val="0"/>
          <w:sz w:val="24"/>
        </w:rPr>
        <w:t xml:space="preserve">在最大供电能力方面，肖峻等以 TSC 理论（计及主变与下级网络转带、满足 N-1）量化容载比与下级网络强弱的关系，研究表明，网络转带能力增强后可降低相应变电容量储备需求：达到 TSC 时容载比理论范围约 1.10～2.00，常见城市配电网联络度 0.40～0.50 时对应容载比 1.50～1.60，其算例相较1.80～2.00的取值范围，可承接负荷增加约20%，并建议互联程度高的城市配电网容载比控制在 1.60 左右[8]；张锐等进一步以改进供电能力指标指导低压柔性互联装置规划，将设备容量与实际供电能力分别评价[47]；马雨欣、林凌雪提出面向精准规划的 TSC 评估方法并将分布式电源场景纳入供电能力计算[48]。</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，并指出单电压等级独立评估会使低压侧承载力估计过于乐观[49]。</w:t>
      </w:r>
    </w:p>
    <w:p>
      <w:pPr>
        <w:pStyle w:val="2"/>
        <w:widowControl/>
        <w:spacing w:line="348" w:lineRule="exact" w:before="0" w:after="0"/>
        <w:ind w:firstLine="480"/>
        <w:jc w:val="both"/>
      </w:pPr>
      <w:r>
        <w:rPr>
          <w:rFonts w:ascii="Times New Roman" w:hAnsi="Times New Roman" w:eastAsia="方正仿宋_GBK"/>
          <w:b w:val="0"/>
          <w:sz w:val="24"/>
        </w:rPr>
        <w:t xml:space="preserve">在概率/区间评估上，王方敏等提出基于历史场景的分层分级概率评估，以反向负载率分级并将薄弱环节分为红/黄/蓝/绿四级，可按不同置信水平给出各供电区域光伏可新增容量（依据DL/T 2041开展评估）[50]；徐非非等提出计及不确定性的承载能力区间分析方法[51]；张伟等针对含储能与软开关的柔性配电网，以确定性模型刻画最乐观、双层鲁棒优化刻画最悲观，构成消纳能力区间，并验证随 E-SOP 端口容量增大区间整体抬升、宽度收窄（由 7.93～10.89 MW 升至 9.32～11.34 MW）[52]。</w:t>
      </w:r>
    </w:p>
    <w:p>
      <w:pPr>
        <w:pStyle w:val="2"/>
        <w:widowControl/>
        <w:spacing w:line="348" w:lineRule="exact" w:before="0" w:after="0"/>
        <w:ind w:firstLine="480"/>
        <w:jc w:val="both"/>
      </w:pPr>
      <w:r>
        <w:rPr>
          <w:rFonts w:ascii="Times New Roman" w:hAnsi="Times New Roman" w:eastAsia="方正仿宋_GBK"/>
          <w:b w:val="0"/>
          <w:sz w:val="24"/>
        </w:rPr>
        <w:t xml:space="preserve">在安全经济承载力上，宋钰等构建兼顾安全与经济的分布式光伏承载力评估方法[53]，李敬如等研究主配协同条件下的安全经济承载力计算[54]，二者均强调</w:t>
      </w:r>
      <w:r>
        <w:rPr>
          <w:rFonts w:ascii="Times New Roman" w:hAnsi="Times New Roman" w:eastAsia="方正仿宋_GBK"/>
          <w:b w:val="0"/>
          <w:sz w:val="24"/>
        </w:rPr>
        <w:t xml:space="preserve">“</w:t>
      </w:r>
      <w:r>
        <w:rPr>
          <w:rFonts w:ascii="Times New Roman" w:hAnsi="Times New Roman" w:eastAsia="方正仿宋_GBK"/>
          <w:b w:val="0"/>
          <w:sz w:val="24"/>
        </w:rPr>
        <w:t xml:space="preserve">先满足电压、设备容量与运行安全约束，再比较扩网、储能与调节措施经济性</w:t>
      </w:r>
      <w:r>
        <w:rPr>
          <w:rFonts w:ascii="Times New Roman" w:hAnsi="Times New Roman" w:eastAsia="方正仿宋_GBK"/>
          <w:b w:val="0"/>
          <w:sz w:val="24"/>
        </w:rPr>
        <w:t xml:space="preserve">”</w:t>
      </w:r>
      <w:r>
        <w:rPr>
          <w:rFonts w:ascii="Times New Roman" w:hAnsi="Times New Roman" w:eastAsia="方正仿宋_GBK"/>
          <w:b w:val="0"/>
          <w:sz w:val="24"/>
        </w:rPr>
        <w:t xml:space="preserve">。</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，通过运行评价系数反映接入容量的质量差异[55]。</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大停电经验，分析高比例新能源接入后向主网反向输送功率的现象，并提示防孤岛与频率保护设定的重要性[56]。</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，为分析江苏地区负荷与气温的关系提供参考[57]。</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风险评估指标体系并提出分层分区紧急切负荷策略[58]，吕达夫等以多场景源荷不确定性模型评估承载能力、得出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[59]，刘克权等则以甘肃为例定性论证高比例新能源下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的真实困境[60]。</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源网荷储/柔性互联协同规划成果丰富，研究关注柔性互联及储能的联合配置对潮流、供电能力和投资的影响。综述类研究系统梳理了分布式光伏规模化并网关键技术[61]、主动配电网规划[62]与新型配电网分布式储能配置[63]。在 SOP/柔性互联协同上，贺春光等以混合整数二阶锥规划做多电压等级 SOP 协同规划，算例中年综合成本由 457.30 万元降至 357.70 万元、各节点电压维持在 [0.95,1.05]、缓解 220 kV 变电站潮流倒送[64]。在</w:t>
      </w:r>
      <w:r>
        <w:rPr>
          <w:rFonts w:ascii="Times New Roman" w:hAnsi="Times New Roman" w:eastAsia="方正仿宋_GBK"/>
          <w:b w:val="0"/>
          <w:sz w:val="24"/>
        </w:rPr>
        <w:t xml:space="preserve">“</w:t>
      </w:r>
      <w:r>
        <w:rPr>
          <w:rFonts w:ascii="Times New Roman" w:hAnsi="Times New Roman" w:eastAsia="方正仿宋_GBK"/>
          <w:b w:val="0"/>
          <w:sz w:val="24"/>
        </w:rPr>
        <w:t xml:space="preserve">源—网—储</w:t>
      </w:r>
      <w:r>
        <w:rPr>
          <w:rFonts w:ascii="Times New Roman" w:hAnsi="Times New Roman" w:eastAsia="方正仿宋_GBK"/>
          <w:b w:val="0"/>
          <w:sz w:val="24"/>
        </w:rPr>
        <w:t xml:space="preserve">”</w:t>
      </w:r>
      <w:r>
        <w:rPr>
          <w:rFonts w:ascii="Times New Roman" w:hAnsi="Times New Roman" w:eastAsia="方正仿宋_GBK"/>
          <w:b w:val="0"/>
          <w:sz w:val="24"/>
        </w:rPr>
        <w:t xml:space="preserve">联合扩展规划上，徐峰亮等提出三层扩展规划并定义净负荷适应率、净负荷波动率、线路负载裕度均衡性三个运行灵活性指标，其推荐方案在五种方案中总成本最低（1300.50 万元）、DG 渗透率最高（57%）[65]；乐健等以 Frank-Copula 刻画源荷时空相关、蒙特卡洛生成并削减典型场景，比较基准与差异化源网储方案的全寿命费用（25 节点方案 4 综合成本较方案 2 降约 45%）[66]。</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98%、RMSE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容载比纳入评价指标并给出四级分级阈值，用于区域电网分类和综合评价[15]。</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机制可用于剔除不满足关键要求的规划方案[16]；汪志才等的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二阶锥松弛做多层级配电网消纳空间分解测算，论证层间协调可提升总消纳空间（但其算例为 IEEE 6/7/9/10/12/15 合成测试系统，用于检验多层级协调方法）[75]。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[46]；王凯亮等研究多电压等级协同规划，说明上级容量与下级网络条件需要共同考虑[44]。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2041—2025《分布式电源接入电力系统承载力评估导则》规定系统级及设备级承载力计算、结果校核和可开放容量评估方法[9]。GB/T 45418—2025《配电网通用技术导则》为下级配电网技术分析提供补充依据[17]。《配电网规划设计技术导则》提出分布式电源装机渗透率和分布式电源电量渗透率指标，用于判断源荷发展水平及反向容量校核需求[7]。</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pPr>
        <w:pStyle w:val="4"/>
        <w:keepNext/>
        <w:numPr>
          <w:numId w:val="0"/>
        </w:numPr>
        <w:spacing w:line="480" w:lineRule="exact" w:before="160" w:after="120"/>
        <w:ind w:firstLine="0"/>
      </w:pPr>
      <w:bookmarkStart w:id="1140" w:name="h140"/>
      <w:bookmarkStart w:id="61" w:name="国内外研究对比与述评"/>
      <w:r>
        <w:rPr>
          <w:rFonts w:ascii="Times New Roman" w:hAnsi="Times New Roman" w:eastAsia="方正仿宋_GBK"/>
          <w:b/>
          <w:sz w:val="32"/>
        </w:rPr>
        <w:t xml:space="preserve">2.3 国内外研究对比与述评</w:t>
      </w:r>
      <w:bookmarkEnd w:id="61"/>
      <w:bookmarkEnd w:id="1140"/>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分析邳州和市区的站级配置差异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分布式电源发展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[44][45][73]。本项目从邳州与市区案例出发，将地区名称和规模转换为五站仿真模板结构，保留分布式电源装机渗透率、负荷增长、持续时间及相对工程费用作为可比较参数。</w:t>
      </w:r>
    </w:p>
    <w:p>
      <w:pPr>
        <w:pStyle w:val="2"/>
        <w:widowControl/>
        <w:spacing w:line="348" w:lineRule="exact" w:before="0" w:after="0"/>
        <w:ind w:firstLine="480"/>
        <w:jc w:val="both"/>
      </w:pPr>
      <w:r>
        <w:rPr>
          <w:rFonts w:ascii="Times New Roman" w:hAnsi="Times New Roman" w:eastAsia="方正仿宋_GBK"/>
          <w:b w:val="0"/>
          <w:sz w:val="24"/>
        </w:rPr>
        <w:t xml:space="preserve">推荐矩阵按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pPr>
        <w:pStyle w:val="4"/>
        <w:keepNext/>
        <w:numPr>
          <w:numId w:val="0"/>
        </w:numPr>
        <w:spacing w:line="480" w:lineRule="exact" w:before="160" w:after="120"/>
        <w:ind w:firstLine="0"/>
      </w:pPr>
      <w:bookmarkStart w:id="1154" w:name="h154"/>
      <w:bookmarkStart w:id="65" w:name="容载比与供电能力的理论联系"/>
      <w:r>
        <w:rPr>
          <w:rFonts w:ascii="Times New Roman" w:hAnsi="Times New Roman" w:eastAsia="方正仿宋_GBK"/>
          <w:b/>
          <w:sz w:val="32"/>
        </w:rPr>
        <w:t xml:space="preserve">2.4 容载比与供电能力的理论联系</w:t>
      </w:r>
      <w:bookmarkEnd w:id="65"/>
      <w:bookmarkEnd w:id="1154"/>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主变N-1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在多主变站中，容量总和不能直接替代主变N-1后的剩余容量。两台等容量主变在N-1条件下剩余容量为原总容量的一半；三台等容量主变在N-1条件下剩余比例为三分之二。扩建主变可以同时改变总容量和N-1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区域容量配置还受主变规格的离散性影响。某站需要增加的有效供电能力可能小于一个推荐规格的容量增量，采购整台设备后出现一定容量储备。随着负荷增加，储备被逐步使用，年度容载比下降。若直接求解连续容量再按最邻近规格取整，取整后的供电安全或费用最优性可能不成立。本项目将可选规格直接纳入整数模型，年度指标从实际规格合计得到。</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工程上需要分别核实负荷是否可分段、通道是否可用、受端主变是否有余量。可转负荷由通道条件与两端容量共同确定。</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改变站级供电任务，可以使部分站原有储备承担邻站负荷，减少局部新增容量或储能。对区县整体而言，用户需求保持不变，送出和接收应成对计量。忽略线路损耗时，区域负荷总量守恒；联络容量也不属于主变铭牌容量。本研究在模型中保留两端约束，使联络收益表现为设备配置变化，而非容载比分母的人为下降。</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仅作为参数研究条件，不直接代表地区实际能力。</w:t>
      </w:r>
    </w:p>
    <w:p>
      <w:pPr>
        <w:pStyle w:val="2"/>
        <w:widowControl/>
        <w:spacing w:line="348" w:lineRule="exact" w:before="0" w:after="0"/>
        <w:ind w:firstLine="480"/>
        <w:jc w:val="both"/>
      </w:pPr>
      <w:r>
        <w:rPr>
          <w:rFonts w:ascii="Times New Roman" w:hAnsi="Times New Roman" w:eastAsia="方正仿宋_GBK"/>
          <w:b w:val="0"/>
          <w:sz w:val="24"/>
        </w:rPr>
        <w:t xml:space="preserve">本研究分别建立既有与新增转供能力预算。既有能力按初始转供率计取，新建联络按项目提高能力；送端可转负荷、受端容量及反向压力共同限制其使用量。工程费用决定能力不足时采用新建联络、增容或储能的组合。</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负荷发展储备与规划年份直接相关。建设一台主变通常不能按年度自由缩减，负荷则可能在不同年份上升或下降。年度规划路径因此需要处理资产持续在役和负荷波动的共同影响。用一个规划末年容量倒推全部年度，会遗漏提前建设费用与中间年份的容量约束。</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范围[5]。本项目采用起止负荷之比开根得到年最大净负荷平均增长率，按未舍入结果判断年最大净负荷平均增长率区间。已知历史年度用于案例时，直接采用对应年度实际负荷；面向其他片区的情景分析再按增长率推算目标年需求。工程预测还需结合统计范围、气象、新增用户及负荷兑现情况。</w:t>
      </w:r>
    </w:p>
    <w:p>
      <w:pPr>
        <w:pStyle w:val="2"/>
        <w:widowControl/>
        <w:spacing w:line="348" w:lineRule="exact" w:before="0" w:after="0"/>
        <w:ind w:firstLine="480"/>
        <w:jc w:val="both"/>
      </w:pPr>
      <w:r>
        <w:rPr>
          <w:rFonts w:ascii="Times New Roman" w:hAnsi="Times New Roman" w:eastAsia="方正仿宋_GBK"/>
          <w:b w:val="0"/>
          <w:sz w:val="24"/>
        </w:rPr>
        <w:t xml:space="preserve">增长参数影响供电需求，同时影响容载比分母。在资产非减条件下，较低增长可能使已配置容量对应的容载比较高；较高增长可能触发新的主变或储能建设。离散措施使变化呈台阶形态，推荐矩阵按分档情景归纳容量变化。</w:t>
      </w:r>
    </w:p>
    <w:p>
      <w:pPr>
        <w:pStyle w:val="4"/>
        <w:keepNext/>
        <w:numPr>
          <w:numId w:val="0"/>
        </w:numPr>
        <w:spacing w:line="480" w:lineRule="exact" w:before="160" w:after="120"/>
        <w:ind w:firstLine="0"/>
      </w:pPr>
      <w:bookmarkStart w:id="1168" w:name="h168"/>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168"/>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表达用户实际用电需求，网供负荷表达电网向用户供电的剩余任务。分布式电源参与本地供电后，二者需要通过同一范围的发电和交换功率对应。在忽略损耗的简化关系中，净负荷为用户用电功率减去本地发电功率。正值表示受电，负值表示反送。源荷平衡按同一时段和统计范围建立。</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[7]。光伏增长时，两种分母可能发生不同变化。如果把降压负荷直接作为用户最大负荷，可能将电网承担的剩余负荷误作用户全部用电需求，从而高估源荷比，影响地区间比较。</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与反向场景的网络和保护条件可能不同。正向供电安全涉及用户恢复供电，反向接入还涉及上级网络、电压和保护配合。把两个方向压缩为绝对峰值后，仍需分别分析功率方向及对应场景。正反向净负荷分别对应相应技术约束。</w:t>
      </w:r>
    </w:p>
    <w:p>
      <w:pPr>
        <w:pStyle w:val="2"/>
        <w:widowControl/>
        <w:spacing w:line="348" w:lineRule="exact" w:before="0" w:after="0"/>
        <w:ind w:firstLine="480"/>
        <w:jc w:val="both"/>
      </w:pPr>
      <w:r>
        <w:rPr>
          <w:rFonts w:ascii="Times New Roman" w:hAnsi="Times New Roman" w:eastAsia="方正仿宋_GBK"/>
          <w:b w:val="0"/>
          <w:sz w:val="24"/>
        </w:rPr>
        <w:t xml:space="preserve">站级各自最大反送功率相加，一般不等于区域同步反送峰值。各站非同时反向峰值之和仅用于反向容量压力的上界分析；形成区域峰值时，应先在同一时间轴上逐时汇总，再取极值。本项目站级技术约束和区县容载比分母分开设置，避免将各站独立最大值之和写作区域年最大负荷。</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本项目以区域净负荷绝对值达到全年最大绝对值的95%为近峰条件，统计最长连续时长和全年累计时数。最长连续时长反映单次近峰过程的持续支撑需求，累计时数反映近峰状态的全年占用时间。</w:t>
      </w:r>
    </w:p>
    <w:p>
      <w:pPr>
        <w:pStyle w:val="2"/>
        <w:widowControl/>
        <w:spacing w:line="348" w:lineRule="exact" w:before="0" w:after="0"/>
        <w:ind w:firstLine="480"/>
        <w:jc w:val="both"/>
      </w:pPr>
      <w:r>
        <w:rPr>
          <w:rFonts w:ascii="Times New Roman" w:hAnsi="Times New Roman" w:eastAsia="方正仿宋_GBK"/>
          <w:b w:val="0"/>
          <w:sz w:val="24"/>
        </w:rPr>
        <w:t xml:space="preserve">对储能配置，仅有年度峰值幅度还不够。相同的5 MW缺口若持续1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，最低理想放电能量为5 MWh；若持续5</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，所需能量相应增加。这是功率与能量的直接关系，实际工程还需考虑效率、可用荷电状态及容量衰减[28][10]。本项目静态模型以铭牌功率和峰段可持续能量共同限制储能支撑。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持续时间按补齐后的全年小时序列统计，数据处理见第3.1.3节。</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分布式电源电量渗透率提高与最大负载率下降因此不存在无条件对应关系[3][4][58]。容量配置、负荷时段和统计边界都会影响两者的相关方向。</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邳州和市区的资料分别反映县域与市区的源荷条件。年度地区指标用于比较相对水平。对具有月度同范围资料的地区，可计算月度关联并说明样本内性质，为后续扩大实际数据样本提供依据。</w:t>
      </w:r>
    </w:p>
    <w:p>
      <w:pPr>
        <w:pStyle w:val="4"/>
        <w:keepNext/>
        <w:numPr>
          <w:numId w:val="0"/>
        </w:numPr>
        <w:spacing w:line="480" w:lineRule="exact" w:before="160" w:after="120"/>
        <w:ind w:firstLine="0"/>
      </w:pPr>
      <w:bookmarkStart w:id="1185" w:name="h185"/>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185"/>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[8]，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还取决于受端剩余容量。线路热限充足而受端没有容量，通道无法完成所设负荷任务；受端空余充足而负荷不能分段，同样不能按整条线路额定能力计收益。公开线路单位造价能够提供价格参考，实际可转任务需要网络资料支撑[8]。</w:t>
      </w:r>
    </w:p>
    <w:p>
      <w:pPr>
        <w:pStyle w:val="2"/>
        <w:widowControl/>
        <w:spacing w:line="348" w:lineRule="exact" w:before="0" w:after="0"/>
        <w:ind w:firstLine="480"/>
        <w:jc w:val="both"/>
      </w:pPr>
      <w:r>
        <w:rPr>
          <w:rFonts w:ascii="Times New Roman" w:hAnsi="Times New Roman" w:eastAsia="方正仿宋_GBK"/>
          <w:b w:val="0"/>
          <w:sz w:val="24"/>
        </w:rPr>
        <w:t xml:space="preserve">储能单位有效支撑功率投资随支撑持续时间变化。10柜组合额定功率1 MW、额定能量2.15 MWh，在可用电量系数0.76及4 h条件下，有效支撑功率为0.4085 MW。经济比较应按可持续功率折算，并保留额定功率限制[10][86]。</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[11][12]。如果储能寿命短于网架设备，评价期内可能出现更新投资。只比较初始造价会遗漏这一差异，并高估储能替代长期容量建设的经济性。相反，延后投运减少早期资金占用，也可能影响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敏感性分析检验价格变化对选择的影响，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线路费用以相对架空基价的成本系数表达，储能价格以独立倍数作敏感性分析，避免持续时间变化与价格变化混入同一指标。未来价格情景用于比较相同技术条件下的措施费用。</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供电安全容量不足的方案即使费用较低，也不能与可行方案并列推荐。因而，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多准则评价适于对已通过技术筛查的方案比较实施条件和规划适应性[14][15][16]。本报告以费用最小形成计算推荐，供电安全和设备规格作为硬约束，工程实施条件作为应用前核对项。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线路成本系数、转供条件、支撑持续时间和源荷条件一起给出。同一推荐容载比可对应不同设备布局，费用相同也可能出现多组可行配置。推荐区间结合主变与储能配置、建设时序和站间负荷转接结果确定，相应方案在第五章逐站列示。</w:t>
      </w:r>
    </w:p>
    <w:p>
      <w:pPr>
        <w:pStyle w:val="4"/>
        <w:keepNext/>
        <w:numPr>
          <w:numId w:val="0"/>
        </w:numPr>
        <w:spacing w:line="480" w:lineRule="exact" w:before="160" w:after="120"/>
        <w:ind w:firstLine="0"/>
      </w:pPr>
      <w:bookmarkStart w:id="1199" w:name="h199"/>
      <w:bookmarkStart w:id="78" w:name="规划寻优方法与本项目选型"/>
      <w:r>
        <w:rPr>
          <w:rFonts w:ascii="Times New Roman" w:hAnsi="Times New Roman" w:eastAsia="方正仿宋_GBK"/>
          <w:b/>
          <w:sz w:val="32"/>
        </w:rPr>
        <w:t xml:space="preserve">2.7 规划寻优方法与本项目选型</w:t>
      </w:r>
      <w:bookmarkEnd w:id="78"/>
      <w:bookmarkEnd w:id="1199"/>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[43][44]。</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整数规划将设备规格与工程数量直接作为决策变量，在正常运行和供电安全约束下比较措施费用。年度设备状态连续衔接，避免容量连续求解后取整造成的配置偏差。</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费用相近时可以出现多组可行配置。以费用目标求得的可行方案对应具体设备和联络项目。地区间的容载比排序不作为预设约束。</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五站网络开展参数推广，增加候选邻接关系作结构对照。矩阵表达指定初始设备、负荷分配及网络条件下的计算范围。应用于其他片区时，需要核对设备初态、负荷分散系数、联络路径和馈线余量，补充计算具体配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适于压力敏感性，尚不等同于完整年度光伏与负荷共同预测。分布式电源电量渗透率在此类情景中只作为条件标签，不宣称模型已经优化全年消纳电量。</w:t>
      </w:r>
    </w:p>
    <w:p>
      <w:pPr>
        <w:pStyle w:val="4"/>
        <w:keepNext/>
        <w:numPr>
          <w:numId w:val="0"/>
        </w:numPr>
        <w:spacing w:line="480" w:lineRule="exact" w:before="160" w:after="120"/>
        <w:ind w:firstLine="0"/>
      </w:pPr>
      <w:bookmarkStart w:id="1212" w:name="h212"/>
      <w:bookmarkStart w:id="82" w:name="本项目方法选择与工程衔接"/>
      <w:r>
        <w:rPr>
          <w:rFonts w:ascii="Times New Roman" w:hAnsi="Times New Roman" w:eastAsia="方正仿宋_GBK"/>
          <w:b/>
          <w:sz w:val="32"/>
        </w:rPr>
        <w:t xml:space="preserve">2.8 本项目方法选择与工程衔接</w:t>
      </w:r>
      <w:bookmarkEnd w:id="82"/>
      <w:bookmarkEnd w:id="1212"/>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[57]；供电能力研究强调主变结构及下级网络互济[8][45]。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批次和投运年份形成现金流，以建设、固定运维与寿命更新的现值之和比较方案[10,11,12][43][44]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案例按四年设备状态连续寻优，保留实际年度负荷变化。通用矩阵计算12600组目标年静态方案，按六项输入参数归纳648个区间单元。储能价格、设备候选及网络结构等另作专项敏感性分析，不增加主矩阵查表维度。</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[8]。</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但不能直接互换。某站峰值出现在夏季午后，另一站峰值出现在晚间时，区域同时峰值可能低于两站独立峰值之和；各站主变仍分别需要满足本站高峰。负荷分散系数由此为区域容载比与站级容量之间的联系提供补充信息[46]。</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[7]。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[7]。当分析设备容量压力时，可以比较两个方向的峰值幅度；当分析电量时，则需要保留符号积分。将反向功率直接取绝对值后计算全年受电量，会把反送电量误计为用电，改变电量平衡关系。</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MW额定功率也对应不同持续时间。研究通过功率与能量共同约束进行比较，避免仅按一种容量指标确定投资。</w:t>
      </w:r>
    </w:p>
    <w:p>
      <w:pPr>
        <w:pStyle w:val="5"/>
        <w:keepNext/>
        <w:numPr>
          <w:numId w:val="0"/>
        </w:numPr>
        <w:spacing w:line="390" w:lineRule="exact" w:before="160" w:after="120"/>
        <w:ind w:firstLine="0"/>
      </w:pPr>
      <w:bookmarkStart w:id="87" w:name="参数分档与文献方法的衔接"/>
      <w:r>
        <w:rPr>
          <w:rFonts w:ascii="Times New Roman" w:hAnsi="Times New Roman" w:eastAsia="方正仿宋_GBK"/>
          <w:b/>
          <w:sz w:val="26"/>
        </w:rPr>
        <w:t xml:space="preserve">2.8.5 参数分档与文献方法的衔接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[44]，刘炜彬等从负荷分散系数、安全运行及发展储备等因素分析参数取值[46]。这些研究强调容量储备与地区条件的对应关系。本报告采用源荷规模、负荷增长、线路造价、初始转供率和储能支撑持续时间作为主矩阵输入，供电区域类别及设备条件用于解释应用范围。</w:t>
      </w:r>
    </w:p>
    <w:p>
      <w:pPr>
        <w:pStyle w:val="2"/>
        <w:widowControl/>
        <w:spacing w:line="348" w:lineRule="exact" w:before="0" w:after="0"/>
        <w:ind w:firstLine="480"/>
        <w:jc w:val="both"/>
      </w:pPr>
      <w:r>
        <w:rPr>
          <w:rFonts w:ascii="Times New Roman" w:hAnsi="Times New Roman" w:eastAsia="方正仿宋_GBK"/>
          <w:b w:val="0"/>
          <w:sz w:val="24"/>
        </w:rPr>
        <w:t xml:space="preserve">DL/T 5729—2023表6.3.4的年最大净负荷平均增长率区间依次为不大于2%、大于2%且不大于4%、大于4%且不大于7%、大于7%。本报告增长参数沿用这些分界，其他输入参数参照其首尾开口的分档形式。后者的具体分界由研究设置，不称为导则规定。输入分档覆盖参数定义域，有限计算节点覆盖的验证范围另行说明。</w:t>
      </w:r>
    </w:p>
    <w:p>
      <w:pPr>
        <w:pStyle w:val="2"/>
        <w:widowControl/>
        <w:spacing w:line="348" w:lineRule="exact" w:before="0" w:after="0"/>
        <w:ind w:firstLine="480"/>
        <w:jc w:val="both"/>
      </w:pPr>
      <w:r>
        <w:rPr>
          <w:rFonts w:ascii="Times New Roman" w:hAnsi="Times New Roman" w:eastAsia="方正仿宋_GBK"/>
          <w:b w:val="0"/>
          <w:sz w:val="24"/>
        </w:rPr>
        <w:t xml:space="preserve">各单元的容载比范围由已核验配置归纳，端点不作无界延伸。主变按允许规格和台数建设，区间内并非每个小数值都对应独立可行配置。规划应用先核对输入与模板条件，再将容量规模落实到设备、联络及储能方案[43][44]。</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中的储能与网架建设比较，既有按初始投资判断的研究，也有计及运行、更新和寿命的费用分析[30][28][10]。比较目的不同，费用范围也随之变化。初始投资适合解释设备采购和工程规模；评价期费用适合比较不同建设年份及运维水平；包含收益的财务分析则还需电价、运行策略和市场机制。使用研究结论时，应先确认其所回答的经济问题。</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价格倍数本身不决定技术可替代性，站级容量和转供条件决定各措施能够承担的负荷，费用目标再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对新增线路，价格下降可能只降低既定建设规模的费用；对储能，价格下降则可能使部分容量缺口由储能承担，从而减少主变建设。两种响应均有工程意义。将</w:t>
      </w:r>
      <w:r>
        <w:rPr>
          <w:rFonts w:ascii="Times New Roman" w:hAnsi="Times New Roman" w:eastAsia="方正仿宋_GBK"/>
          <w:b w:val="0"/>
          <w:sz w:val="24"/>
        </w:rPr>
        <w:t xml:space="preserve">“</w:t>
      </w:r>
      <w:r>
        <w:rPr>
          <w:rFonts w:ascii="Times New Roman" w:hAnsi="Times New Roman" w:eastAsia="方正仿宋_GBK"/>
          <w:b w:val="0"/>
          <w:sz w:val="24"/>
        </w:rPr>
        <w:t xml:space="preserve">未改变容载比</w:t>
      </w:r>
      <w:r>
        <w:rPr>
          <w:rFonts w:ascii="Times New Roman" w:hAnsi="Times New Roman" w:eastAsia="方正仿宋_GBK"/>
          <w:b w:val="0"/>
          <w:sz w:val="24"/>
        </w:rPr>
        <w:t xml:space="preserve">”</w:t>
      </w:r>
      <w:r>
        <w:rPr>
          <w:rFonts w:ascii="Times New Roman" w:hAnsi="Times New Roman" w:eastAsia="方正仿宋_GBK"/>
          <w:b w:val="0"/>
          <w:sz w:val="24"/>
        </w:rPr>
        <w:t xml:space="preserve">解释为</w:t>
      </w:r>
      <w:r>
        <w:rPr>
          <w:rFonts w:ascii="Times New Roman" w:hAnsi="Times New Roman" w:eastAsia="方正仿宋_GBK"/>
          <w:b w:val="0"/>
          <w:sz w:val="24"/>
        </w:rPr>
        <w:t xml:space="preserve">“</w:t>
      </w:r>
      <w:r>
        <w:rPr>
          <w:rFonts w:ascii="Times New Roman" w:hAnsi="Times New Roman" w:eastAsia="方正仿宋_GBK"/>
          <w:b w:val="0"/>
          <w:sz w:val="24"/>
        </w:rPr>
        <w:t xml:space="preserve">该参数不需要分析</w:t>
      </w:r>
      <w:r>
        <w:rPr>
          <w:rFonts w:ascii="Times New Roman" w:hAnsi="Times New Roman" w:eastAsia="方正仿宋_GBK"/>
          <w:b w:val="0"/>
          <w:sz w:val="24"/>
        </w:rPr>
        <w:t xml:space="preserve">”</w:t>
      </w:r>
      <w:r>
        <w:rPr>
          <w:rFonts w:ascii="Times New Roman" w:hAnsi="Times New Roman" w:eastAsia="方正仿宋_GBK"/>
          <w:b w:val="0"/>
          <w:sz w:val="24"/>
        </w:rPr>
        <w:t xml:space="preserve">会遗漏费用作用；将</w:t>
      </w:r>
      <w:r>
        <w:rPr>
          <w:rFonts w:ascii="Times New Roman" w:hAnsi="Times New Roman" w:eastAsia="方正仿宋_GBK"/>
          <w:b w:val="0"/>
          <w:sz w:val="24"/>
        </w:rPr>
        <w:t xml:space="preserve">“</w:t>
      </w:r>
      <w:r>
        <w:rPr>
          <w:rFonts w:ascii="Times New Roman" w:hAnsi="Times New Roman" w:eastAsia="方正仿宋_GBK"/>
          <w:b w:val="0"/>
          <w:sz w:val="24"/>
        </w:rPr>
        <w:t xml:space="preserve">费用发生变化</w:t>
      </w:r>
      <w:r>
        <w:rPr>
          <w:rFonts w:ascii="Times New Roman" w:hAnsi="Times New Roman" w:eastAsia="方正仿宋_GBK"/>
          <w:b w:val="0"/>
          <w:sz w:val="24"/>
        </w:rPr>
        <w:t xml:space="preserve">”</w:t>
      </w:r>
      <w:r>
        <w:rPr>
          <w:rFonts w:ascii="Times New Roman" w:hAnsi="Times New Roman" w:eastAsia="方正仿宋_GBK"/>
          <w:b w:val="0"/>
          <w:sz w:val="24"/>
        </w:rPr>
        <w:t xml:space="preserve">解释为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容载比必然变化</w:t>
      </w:r>
      <w:r>
        <w:rPr>
          <w:rFonts w:ascii="Times New Roman" w:hAnsi="Times New Roman" w:eastAsia="方正仿宋_GBK"/>
          <w:b w:val="0"/>
          <w:sz w:val="24"/>
        </w:rPr>
        <w:t xml:space="preserve">”</w:t>
      </w:r>
      <w:r>
        <w:rPr>
          <w:rFonts w:ascii="Times New Roman" w:hAnsi="Times New Roman" w:eastAsia="方正仿宋_GBK"/>
          <w:b w:val="0"/>
          <w:sz w:val="24"/>
        </w:rPr>
        <w:t xml:space="preserve">则会混淆价格与容量两个结果。本报告在第五章分别列示容载比、设备规模和费用变化。</w:t>
      </w:r>
    </w:p>
    <w:p>
      <w:pPr>
        <w:pStyle w:val="4"/>
        <w:keepNext/>
        <w:numPr>
          <w:numId w:val="0"/>
        </w:numPr>
        <w:spacing w:line="480" w:lineRule="exact" w:before="160" w:after="120"/>
        <w:ind w:firstLine="0"/>
      </w:pPr>
      <w:bookmarkStart w:id="1234" w:name="h234"/>
      <w:bookmarkStart w:id="89" w:name="本章小结"/>
      <w:r>
        <w:rPr>
          <w:rFonts w:ascii="Times New Roman" w:hAnsi="Times New Roman" w:eastAsia="方正仿宋_GBK"/>
          <w:b/>
          <w:sz w:val="32"/>
        </w:rPr>
        <w:t xml:space="preserve">2.9 本章小结</w:t>
      </w:r>
      <w:bookmarkEnd w:id="89"/>
      <w:bookmarkEnd w:id="1234"/>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为高渗透率地区容量规划提供了源荷场景、下级网络供电能力和灵活资源费用比较方法。本研究采用区县容载比与站级容量约束相结合的规划模型，以实际工程和采购案例标定费用，在统一起点后比较增容、储能与10 kV联络方案，并通过五站仿真模板的参数外推形成通用推荐矩阵。</w:t>
      </w:r>
    </w:p>
    <w:p>
      <w:pPr>
        <w:pStyle w:val="3"/>
        <w:keepNext/>
        <w:pageBreakBefore/>
        <w:numPr>
          <w:numId w:val="0"/>
        </w:numPr>
        <w:spacing w:line="540" w:lineRule="exact" w:before="0" w:after="120"/>
        <w:ind w:firstLine="0"/>
      </w:pPr>
      <w:bookmarkStart w:id="1236" w:name="h236"/>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236"/>
    </w:p>
    <w:p>
      <w:pPr>
        <w:pStyle w:val="4"/>
        <w:keepNext/>
        <w:numPr>
          <w:numId w:val="0"/>
        </w:numPr>
        <w:spacing w:line="480" w:lineRule="exact" w:before="160" w:after="120"/>
        <w:ind w:firstLine="0"/>
      </w:pPr>
      <w:bookmarkStart w:id="1237" w:name="h237"/>
      <w:bookmarkStart w:id="91" w:name="研究地区与原始资料"/>
      <w:r>
        <w:rPr>
          <w:rFonts w:ascii="Times New Roman" w:hAnsi="Times New Roman" w:eastAsia="方正仿宋_GBK"/>
          <w:b/>
          <w:sz w:val="32"/>
        </w:rPr>
        <w:t xml:space="preserve">3.1 研究地区与原始资料</w:t>
      </w:r>
      <w:bookmarkEnd w:id="91"/>
      <w:bookmarkEnd w:id="1237"/>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分析历史负荷、光伏及设备结构，并说明规划仿真采用的参数。年度区域负荷统一换算为MW，作为年网供最大负荷估计值。规划站级正向、反向净负荷采用2025年分布，按仿真年度规模缩放。图表中2021—2022年光伏装机采用几何回推，2023—2025年采用月末记录。</w:t>
      </w:r>
    </w:p>
    <w:p>
      <w:pPr>
        <w:pStyle w:val="2"/>
        <w:widowControl/>
        <w:spacing w:line="348" w:lineRule="exact" w:before="0" w:after="0"/>
        <w:ind w:firstLine="480"/>
        <w:jc w:val="both"/>
      </w:pPr>
      <w:r>
        <w:rPr>
          <w:rFonts w:ascii="Times New Roman" w:hAnsi="Times New Roman" w:eastAsia="方正仿宋_GBK"/>
          <w:b w:val="0"/>
          <w:sz w:val="24"/>
        </w:rPr>
        <w:t xml:space="preserve">历史容量和负荷用于本章现状分析。第五章将两地区分别标定到容载比2.00的共同仿真起点，后续容量由逐年优化确定。设备统计形成允许规格、供电区域类别及主变扩建位置；正常负荷调整使用相同仿真通道。资料来源与统计范围见配套数据说明。</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缺失记录补齐后统一形成8760小时序列：邳州采用相邻小时均值，市区采用相邻周同星期、同时刻的观测均值。</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95%峰值持续时间描述补齐后区域曲线的连续近峰事件，年度电量估计用于源荷背景分析。地区案例使用区域正向峰值和最低净负荷两类静态工况，各站功率按同一工况组织；正向储能支撑另统一取4 h作对照，不将实测近峰时长等同于N-1支撑要求。</w:t>
      </w:r>
    </w:p>
    <w:p>
      <w:pPr>
        <w:pStyle w:val="4"/>
        <w:keepNext/>
        <w:numPr>
          <w:numId w:val="0"/>
        </w:numPr>
        <w:spacing w:line="480" w:lineRule="exact" w:before="160" w:after="120"/>
        <w:ind w:firstLine="0"/>
      </w:pPr>
      <w:bookmarkStart w:id="1247" w:name="h247"/>
      <w:bookmarkStart w:id="95" w:name="年度容量负荷与增长特征"/>
      <w:r>
        <w:rPr>
          <w:rFonts w:ascii="Times New Roman" w:hAnsi="Times New Roman" w:eastAsia="方正仿宋_GBK"/>
          <w:b/>
          <w:sz w:val="32"/>
        </w:rPr>
        <w:t xml:space="preserve">3.2 年度容量、负荷与增长特征</w:t>
      </w:r>
      <w:bookmarkEnd w:id="95"/>
      <w:bookmarkEnd w:id="1247"/>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市区案例保留样本负荷的空间分布，设备候选按站级资料及研究假设设置。第五章保留统一仿真起点，采用2022—2025年实际年度负荷进行方案比较。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 邳州和市区年网供最大负荷</w:t>
      </w:r>
    </w:p>
    <w:p>
      <w:pPr>
        <w:pStyle w:val="5"/>
        <w:keepNext/>
        <w:numPr>
          <w:numId w:val="0"/>
        </w:numPr>
        <w:spacing w:line="390" w:lineRule="exact" w:before="160" w:after="120"/>
        <w:ind w:firstLine="0"/>
      </w:pPr>
      <w:bookmarkStart w:id="99" w:name="年最大净负荷平均增长率"/>
      <w:r>
        <w:rPr>
          <w:rFonts w:ascii="Times New Roman" w:hAnsi="Times New Roman" w:eastAsia="方正仿宋_GBK"/>
          <w:b/>
          <w:sz w:val="26"/>
        </w:rPr>
        <w:t xml:space="preserve">3.2.3 年最大净负荷平均增长率</w:t>
      </w:r>
      <w:bookmarkEnd w:id="99"/>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年最大净负荷平均增长率[7]由同范围起止年度负荷按复合增长形式计算。2021—2025年包含四个年度间隔，增长分档采用DL/T 5729—2023表6.3.4[5]。</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acc>
                  <m:accPr>
                    <m:chr m:val="‾"/>
                  </m:accPr>
                  <m:e>
                    <m:r>
                      <m:t>g</m:t>
                    </m:r>
                  </m:e>
                </m:acc>
                <m:r>
                  <m:t>=</m:t>
                </m:r>
                <m:sSup>
                  <m:e>
                    <m:d>
                      <m:dPr>
                        <m:begChr m:val="("/>
                        <m:endChr m:val=")"/>
                        <m:grow/>
                      </m:dPr>
                      <m:e>
                        <m:f>
                          <m:fPr>
                            <m:type m:val="bar"/>
                          </m:fPr>
                          <m:num>
                            <m:sSub>
                              <m:e>
                                <m:r>
                                  <m:t>P</m:t>
                                </m:r>
                              </m:e>
                              <m:sub>
                                <m:r>
                                  <m:t>2025</m:t>
                                </m:r>
                              </m:sub>
                            </m:sSub>
                          </m:num>
                          <m:den>
                            <m:sSub>
                              <m:e>
                                <m:r>
                                  <m:t>P</m:t>
                                </m:r>
                              </m:e>
                              <m:sub>
                                <m:r>
                                  <m:t>2021</m:t>
                                </m:r>
                              </m:sub>
                            </m:sSub>
                          </m:den>
                        </m:f>
                      </m:e>
                    </m:d>
                  </m:e>
                  <m:sup>
                    <m:r>
                      <m:t>1</m:t>
                    </m:r>
                    <m:r>
                      <m:t>/</m:t>
                    </m:r>
                    <m:r>
                      <m:t>4</m:t>
                    </m:r>
                  </m:sup>
                </m:sSup>
                <m:r>
                  <m:t>−</m:t>
                </m:r>
                <m:r>
                  <m:t>1</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年网供最大负荷估计值，单位MW；</w:t>
      </w:r>
      <m:oMath>
        <m:acc>
          <m:accPr>
            <m:chr m:val="‾"/>
          </m:accPr>
          <m:e>
            <m:r>
              <m:t>g</m:t>
            </m:r>
          </m:e>
        </m:acc>
      </m:oMath>
      <w:r>
        <w:rPr>
          <w:rFonts w:ascii="Times New Roman" w:hAnsi="Times New Roman" w:eastAsia="方正仿宋_GBK"/>
          <w:b w:val="0"/>
          <w:sz w:val="24"/>
        </w:rPr>
        <w:t xml:space="preserve">为年最大净负荷平均增长率。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2021年年网供最大负荷/MW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2025年年网供最大负荷/MW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间隔/年</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年最大净负荷平均增长率所属区间</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导则参考容载比</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731.77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1.70～1.90</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1.50～1.70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邳州对应的容载比参考范围为1.70～1.90，市区为1.50～1.70。</w:t>
      </w:r>
    </w:p>
    <w:p>
      <w:pPr>
        <w:pStyle w:val="5"/>
        <w:keepNext/>
        <w:numPr>
          <w:numId w:val="0"/>
        </w:numPr>
        <w:spacing w:line="390" w:lineRule="exact" w:before="160" w:after="120"/>
        <w:ind w:firstLine="0"/>
      </w:pPr>
      <w:bookmarkStart w:id="100" w:name="历史统计与规划仿真的衔接"/>
      <w:r>
        <w:rPr>
          <w:rFonts w:ascii="Times New Roman" w:hAnsi="Times New Roman" w:eastAsia="方正仿宋_GBK"/>
          <w:b/>
          <w:sz w:val="26"/>
        </w:rPr>
        <w:t xml:space="preserve">3.2.4 历史统计与规划仿真的衔接</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2021—2025年实际容量与负荷用于现状分析，2022—2025年已知年度负荷直接进入地区案例。仿真保留市区2900.00 MVA、邳州1463.50 MVA的初始设备容量，基期及后续各年负荷均采用实际年度统计值，基期容载比按两位小数均为2.00。主变增容由逐年优化确定，实际在役容量与仿真容量分别列示。</w:t>
      </w:r>
    </w:p>
    <w:p>
      <w:pPr>
        <w:pStyle w:val="2"/>
        <w:widowControl/>
        <w:spacing w:line="348" w:lineRule="exact" w:before="0" w:after="0"/>
        <w:ind w:firstLine="480"/>
        <w:jc w:val="both"/>
      </w:pPr>
      <w:r>
        <w:rPr>
          <w:rFonts w:ascii="Times New Roman" w:hAnsi="Times New Roman" w:eastAsia="方正仿宋_GBK"/>
          <w:b w:val="0"/>
          <w:sz w:val="24"/>
        </w:rPr>
        <w:t xml:space="preserve">通用参数推广需要构造不同发展水平，采用基期峰值乘以</w:t>
      </w:r>
      <m:oMath>
        <m:r>
          <m:t>(</m:t>
        </m:r>
        <m:r>
          <m:t>1</m:t>
        </m:r>
        <m:r>
          <m:t>+</m:t>
        </m:r>
        <m:acc>
          <m:accPr>
            <m:chr m:val="‾"/>
          </m:accPr>
          <m:e>
            <m:r>
              <m:t>g</m:t>
            </m:r>
          </m:e>
        </m:acc>
        <m:sSup>
          <m:e>
            <m:r>
              <m:t>)</m:t>
            </m:r>
          </m:e>
          <m:sup>
            <m:r>
              <m:t>4</m:t>
            </m:r>
          </m:sup>
        </m:sSup>
      </m:oMath>
      <w:r>
        <w:rPr>
          <w:rFonts w:ascii="Times New Roman" w:hAnsi="Times New Roman" w:eastAsia="方正仿宋_GBK"/>
          <w:b w:val="0"/>
          <w:sz w:val="24"/>
        </w:rPr>
        <w:t xml:space="preserve">确定目标年负荷。地区案例与通用模板的用途不同，分别保留其负荷来源和计算条件。</w:t>
      </w:r>
    </w:p>
    <w:p>
      <w:pPr>
        <w:pStyle w:val="4"/>
        <w:keepNext/>
        <w:numPr>
          <w:numId w:val="0"/>
        </w:numPr>
        <w:spacing w:line="480" w:lineRule="exact" w:before="160" w:after="120"/>
        <w:ind w:firstLine="0"/>
      </w:pPr>
      <w:bookmarkStart w:id="1265" w:name="h265"/>
      <w:bookmarkStart w:id="101" w:name="分布式光伏装机与电量"/>
      <w:r>
        <w:rPr>
          <w:rFonts w:ascii="Times New Roman" w:hAnsi="Times New Roman" w:eastAsia="方正仿宋_GBK"/>
          <w:b/>
          <w:sz w:val="32"/>
        </w:rPr>
        <w:t xml:space="preserve">3.3 分布式光伏装机与电量</w:t>
      </w:r>
      <w:bookmarkEnd w:id="101"/>
      <w:bookmarkEnd w:id="1265"/>
    </w:p>
    <w:p>
      <w:pPr>
        <w:pStyle w:val="5"/>
        <w:keepNext/>
        <w:numPr>
          <w:numId w:val="0"/>
        </w:numPr>
        <w:spacing w:line="390" w:lineRule="exact" w:before="160" w:after="120"/>
        <w:ind w:firstLine="0"/>
      </w:pPr>
      <w:bookmarkStart w:id="102" w:name="装机规模与月度变化"/>
      <w:r>
        <w:rPr>
          <w:rFonts w:ascii="Times New Roman" w:hAnsi="Times New Roman" w:eastAsia="方正仿宋_GBK"/>
          <w:b/>
          <w:sz w:val="26"/>
        </w:rPr>
        <w:t xml:space="preserve">3.3.1 装机规模与月度变化</w:t>
      </w:r>
      <w:bookmarkEnd w:id="102"/>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MW。现有月度装机数据始于2023年，2021—2022年装机容量按同月份增长关系回推，图中以虚线区分估计结果与统计记录。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-2）计算，结果用于分析装机发展条件。</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C</m:t>
                              </m:r>
                            </m:e>
                          </m:acc>
                        </m:e>
                        <m:sub>
                          <m:r>
                            <m:t>y</m:t>
                          </m:r>
                          <m:r>
                            <m:t>,</m:t>
                          </m:r>
                          <m:r>
                            <m:t>m</m:t>
                          </m:r>
                        </m:sub>
                      </m:sSub>
                    </m:e>
                    <m:e>
                      <m:r>
                        <m:t>=</m:t>
                      </m:r>
                      <m:sSub>
                        <m:e>
                          <m:r>
                            <m:t>C</m:t>
                          </m:r>
                        </m:e>
                        <m:sub>
                          <m:r>
                            <m:t>2023</m:t>
                          </m:r>
                          <m:r>
                            <m:t>,</m:t>
                          </m:r>
                          <m:r>
                            <m:t>m</m:t>
                          </m:r>
                        </m:sub>
                      </m:sSub>
                      <m:sSup>
                        <m:e>
                          <m:d>
                            <m:dPr>
                              <m:begChr m:val="("/>
                              <m:endChr m:val=")"/>
                              <m:grow/>
                            </m:dPr>
                            <m:e>
                              <m:f>
                                <m:fPr>
                                  <m:type m:val="bar"/>
                                </m:fPr>
                                <m:num>
                                  <m:sSub>
                                    <m:e>
                                      <m:r>
                                        <m:t>C</m:t>
                                      </m:r>
                                    </m:e>
                                    <m:sub>
                                      <m:r>
                                        <m:t>2023</m:t>
                                      </m:r>
                                      <m:r>
                                        <m:t>,</m:t>
                                      </m:r>
                                      <m:r>
                                        <m:t>m</m:t>
                                      </m:r>
                                    </m:sub>
                                  </m:sSub>
                                </m:num>
                                <m:den>
                                  <m:sSub>
                                    <m:e>
                                      <m:r>
                                        <m:t>C</m:t>
                                      </m:r>
                                    </m:e>
                                    <m:sub>
                                      <m:r>
                                        <m:t>2024</m:t>
                                      </m:r>
                                      <m:r>
                                        <m:t>,</m:t>
                                      </m:r>
                                      <m:r>
                                        <m:t>m</m:t>
                                      </m:r>
                                    </m:sub>
                                  </m:sSub>
                                </m:den>
                              </m:f>
                            </m:e>
                          </m:d>
                        </m:e>
                        <m:sup>
                          <m:r>
                            <m:t>2023</m:t>
                          </m:r>
                          <m:r>
                            <m:t>−</m:t>
                          </m:r>
                          <m:r>
                            <m:t>y</m:t>
                          </m:r>
                        </m:sup>
                      </m:sSup>
                    </m:e>
                  </m:mr>
                  <m:mr>
                    <m:e>
                      <m:r>
                        <m:t>y</m:t>
                      </m:r>
                    </m:e>
                    <m:e>
                      <m:r>
                        <m:t>=</m:t>
                      </m:r>
                      <m:r>
                        <m:t>2021</m:t>
                      </m:r>
                      <m:r>
                        <m:t>,</m:t>
                      </m:r>
                      <m:r>
                        <m:t>2022</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C</m:t>
                </m:r>
              </m:e>
            </m:acc>
          </m:e>
          <m:sub>
            <m:r>
              <m:t>y</m:t>
            </m:r>
            <m:r>
              <m:t>,</m:t>
            </m:r>
            <m:r>
              <m:t>m</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年第</w:t>
      </w:r>
      <m:oMath>
        <m:r>
          <m:t>m</m:t>
        </m:r>
      </m:oMath>
      <w:r>
        <w:rPr>
          <w:rFonts w:ascii="Times New Roman" w:hAnsi="Times New Roman" w:eastAsia="方正仿宋_GBK"/>
          <w:b w:val="0"/>
          <w:sz w:val="24"/>
        </w:rPr>
        <w:t xml:space="preserve">月末光伏装机容量估计值，</w:t>
      </w:r>
      <m:oMath>
        <m:sSub>
          <m:e>
            <m:r>
              <m:t>C</m:t>
            </m:r>
          </m:e>
          <m:sub>
            <m:r>
              <m:t>2023</m:t>
            </m:r>
            <m:r>
              <m:t>,</m:t>
            </m:r>
            <m:r>
              <m:t>m</m:t>
            </m:r>
          </m:sub>
        </m:sSub>
      </m:oMath>
      <w:r>
        <w:rPr>
          <w:rFonts w:ascii="Times New Roman" w:hAnsi="Times New Roman" w:eastAsia="方正仿宋_GBK"/>
          <w:b w:val="0"/>
          <w:sz w:val="24"/>
        </w:rPr>
        <w:t xml:space="preserve">、</w:t>
      </w:r>
      <m:oMath>
        <m:sSub>
          <m:e>
            <m:r>
              <m:t>C</m:t>
            </m:r>
          </m:e>
          <m:sub>
            <m:r>
              <m:t>2024</m:t>
            </m:r>
            <m:r>
              <m:t>,</m:t>
            </m:r>
            <m:r>
              <m:t>m</m:t>
            </m:r>
          </m:sub>
        </m:sSub>
      </m:oMath>
      <w:r>
        <w:rPr>
          <w:rFonts w:ascii="Times New Roman" w:hAnsi="Times New Roman" w:eastAsia="方正仿宋_GBK"/>
          <w:b w:val="0"/>
          <w:sz w:val="24"/>
        </w:rPr>
        <w:t xml:space="preserve">为对应月份记录，单位MW；</w:t>
      </w:r>
      <m:oMath>
        <m:r>
          <m:t>y</m:t>
        </m:r>
      </m:oMath>
      <w:r>
        <w:rPr>
          <w:rFonts w:ascii="Times New Roman" w:hAnsi="Times New Roman" w:eastAsia="方正仿宋_GBK"/>
          <w:b w:val="0"/>
          <w:sz w:val="24"/>
        </w:rPr>
        <w:t xml:space="preserve">为年份，</w:t>
      </w:r>
      <m:oMath>
        <m: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表3-3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3"/>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图3-2 2021—2025年月末分布式光伏装机容量</w:t>
      </w:r>
    </w:p>
    <w:p>
      <w:pPr>
        <w:pStyle w:val="5"/>
        <w:keepNext/>
        <w:numPr>
          <w:numId w:val="0"/>
        </w:numPr>
        <w:spacing w:line="390" w:lineRule="exact" w:before="160" w:after="120"/>
        <w:ind w:firstLine="0"/>
      </w:pPr>
      <w:bookmarkStart w:id="104" w:name="年发电量估计方法"/>
      <w:r>
        <w:rPr>
          <w:rFonts w:ascii="Times New Roman" w:hAnsi="Times New Roman" w:eastAsia="方正仿宋_GBK"/>
          <w:b/>
          <w:sz w:val="26"/>
        </w:rPr>
        <w:t xml:space="preserve">3.3.2 年发电量估计方法</w:t>
      </w:r>
      <w:bookmarkEnd w:id="10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acc>
                      <m:accPr>
                        <m:chr m:val="̂"/>
                      </m:accPr>
                      <m:e>
                        <m:r>
                          <m:t>E</m:t>
                        </m:r>
                      </m:e>
                    </m:acc>
                  </m:e>
                  <m:sub>
                    <m:r>
                      <m:rPr>
                        <m:sty m:val="p"/>
                      </m:rPr>
                      <m:t>P</m:t>
                    </m:r>
                    <m:r>
                      <m:rPr>
                        <m:sty m:val="p"/>
                      </m:rPr>
                      <m:t>V</m:t>
                    </m:r>
                  </m:sub>
                </m:sSub>
                <m:r>
                  <m:t>=</m:t>
                </m:r>
                <m:nary>
                  <m:naryPr>
                    <m:chr m:val="∑"/>
                    <m:limLoc m:val="undOvr"/>
                    <m:subHide m:val="0"/>
                    <m:supHide m:val="0"/>
                  </m:naryPr>
                  <m:sub>
                    <m:r>
                      <m:t>m</m:t>
                    </m:r>
                    <m:r>
                      <m:t>=</m:t>
                    </m:r>
                    <m:r>
                      <m:t>1</m:t>
                    </m:r>
                  </m:sub>
                  <m:sup>
                    <m:r>
                      <m:t>12</m:t>
                    </m:r>
                  </m:sup>
                  <m:e>
                    <m:nary>
                      <m:naryPr>
                        <m:chr m:val="∑"/>
                        <m:limLoc m:val="undOvr"/>
                        <m:subHide m:val="0"/>
                        <m:supHide m:val="1"/>
                      </m:naryPr>
                      <m:sub>
                        <m:r>
                          <m:t>t</m:t>
                        </m:r>
                        <m:r>
                          <m:t>∈</m:t>
                        </m:r>
                        <m:r>
                          <m:t>m</m:t>
                        </m:r>
                      </m:sub>
                      <m:sup>
                        <m:r>
                          <m:t>​</m:t>
                        </m:r>
                      </m:sup>
                      <m:e>
                        <m:sSub>
                          <m:e>
                            <m:r>
                              <m:t>ϕ</m:t>
                            </m:r>
                          </m:e>
                          <m:sub>
                            <m:r>
                              <m:t>t</m:t>
                            </m:r>
                          </m:sub>
                        </m:sSub>
                      </m:e>
                    </m:nary>
                  </m:e>
                </m:nary>
                <m:f>
                  <m:fPr>
                    <m:type m:val="bar"/>
                  </m:fPr>
                  <m:num>
                    <m:sSub>
                      <m:e>
                        <m:r>
                          <m:t>C</m:t>
                        </m:r>
                      </m:e>
                      <m:sub>
                        <m:r>
                          <m:t>m</m:t>
                        </m:r>
                      </m:sub>
                    </m:sSub>
                    <m:r>
                      <m:t>+</m:t>
                    </m:r>
                    <m:sSub>
                      <m:e>
                        <m:r>
                          <m:t>C</m:t>
                        </m:r>
                      </m:e>
                      <m:sub>
                        <m:r>
                          <m:t>m</m:t>
                        </m:r>
                        <m:r>
                          <m:t>−</m:t>
                        </m:r>
                        <m:r>
                          <m:t>1</m:t>
                        </m:r>
                      </m:sub>
                    </m:sSub>
                  </m:num>
                  <m:den>
                    <m:r>
                      <m:t>2</m:t>
                    </m:r>
                  </m:den>
                </m:f>
                <m:r>
                  <m:t>Δ</m:t>
                </m:r>
                <m:r>
                  <m:t>t</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为估计光伏年发电量，单位MWh；</w:t>
      </w:r>
      <m:oMath>
        <m:sSub>
          <m:e>
            <m:r>
              <m:t>C</m:t>
            </m:r>
          </m:e>
          <m:sub>
            <m:r>
              <m:t>m</m:t>
            </m:r>
          </m:sub>
        </m:sSub>
      </m:oMath>
      <w:r>
        <w:rPr>
          <w:rFonts w:ascii="Times New Roman" w:hAnsi="Times New Roman" w:eastAsia="方正仿宋_GBK"/>
          <w:b w:val="0"/>
          <w:sz w:val="24"/>
        </w:rPr>
        <w:t xml:space="preserve">和</w:t>
      </w:r>
      <m:oMath>
        <m:sSub>
          <m:e>
            <m:r>
              <m:t>C</m:t>
            </m:r>
          </m:e>
          <m:sub>
            <m:r>
              <m:t>m</m:t>
            </m:r>
            <m:r>
              <m:t>−</m:t>
            </m:r>
            <m:r>
              <m:t>1</m:t>
            </m:r>
          </m:sub>
        </m:sSub>
      </m:oMath>
      <w:r>
        <w:rPr>
          <w:rFonts w:ascii="Times New Roman" w:hAnsi="Times New Roman" w:eastAsia="方正仿宋_GBK"/>
          <w:b w:val="0"/>
          <w:sz w:val="24"/>
        </w:rPr>
        <w:t xml:space="preserve">分别为本月及前月末光伏装机，单位MW；</w:t>
      </w:r>
      <m:oMath>
        <m:sSub>
          <m:e>
            <m:r>
              <m:t>ϕ</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的典型光伏出力系数，</w:t>
      </w:r>
      <m:oMath>
        <m:r>
          <m:t>Δ</m:t>
        </m:r>
        <m: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w:t>
      </w:r>
      <m:oMath>
        <m: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MWh。不同地区的年内投运速度和月末装机差异均进入计算，未把年末规模直接应用于全年。</w:t>
      </w:r>
    </w:p>
    <w:p>
      <w:pPr>
        <w:pStyle w:val="5"/>
        <w:keepNext/>
        <w:numPr>
          <w:numId w:val="0"/>
        </w:numPr>
        <w:spacing w:line="390" w:lineRule="exact" w:before="160" w:after="120"/>
        <w:ind w:firstLine="0"/>
      </w:pPr>
      <w:bookmarkStart w:id="105" w:name="用户最大负荷与分布式电源装机渗透率"/>
      <w:r>
        <w:rPr>
          <w:rFonts w:ascii="Times New Roman" w:hAnsi="Times New Roman" w:eastAsia="方正仿宋_GBK"/>
          <w:b/>
          <w:sz w:val="26"/>
        </w:rPr>
        <w:t xml:space="preserve">3.3.3 用户最大负荷与分布式电源装机渗透率</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分布式电源装机渗透率采用《配电网规划设计技术导则》的指标定义，作为描述源荷条件的研究参数[7]。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η</m:t>
                    </m:r>
                  </m:e>
                  <m:sub>
                    <m:r>
                      <m:t>C</m:t>
                    </m:r>
                  </m:sub>
                </m:sSub>
                <m:r>
                  <m:t>=</m:t>
                </m:r>
                <m:f>
                  <m:fPr>
                    <m:type m:val="bar"/>
                  </m:fPr>
                  <m:num>
                    <m:sSub>
                      <m:e>
                        <m:r>
                          <m:t>C</m:t>
                        </m:r>
                      </m:e>
                      <m:sub>
                        <m:r>
                          <m:rPr>
                            <m:sty m:val="p"/>
                          </m:rPr>
                          <m:t>D</m:t>
                        </m:r>
                        <m:r>
                          <m:rPr>
                            <m:sty m:val="p"/>
                          </m:rP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den>
                </m:f>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为分布式电源装机渗透率，无量纲；</w:t>
      </w:r>
      <m:oMath>
        <m:sSub>
          <m:e>
            <m:r>
              <m:t>C</m:t>
            </m:r>
          </m:e>
          <m:sub>
            <m:r>
              <m:rPr>
                <m:sty m:val="p"/>
              </m:rPr>
              <m:t>D</m:t>
            </m:r>
            <m:r>
              <m:rPr>
                <m:sty m:val="p"/>
              </m:rPr>
              <m:t>G</m:t>
            </m:r>
          </m:sub>
        </m:sSub>
      </m:oMath>
      <w:r>
        <w:rPr>
          <w:rFonts w:ascii="Times New Roman" w:hAnsi="Times New Roman" w:eastAsia="方正仿宋_GBK"/>
          <w:b w:val="0"/>
          <w:sz w:val="24"/>
        </w:rPr>
        <w:t xml:space="preserve">为同范围分布式电源并网装机容量，单位MW；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负荷，单位MW。DG为分布式电源的英文缩写[7]。用户日间负荷由设备典型时刻净功率加回相应光伏出力估计，夜间候选负荷由设备夜间统计得到，再取两者较大值。该候选法未检索全年全部用户负荷时刻，其分母仍为典型场景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6" w:name="用户电量与分布式电源电量渗透率"/>
      <w:r>
        <w:rPr>
          <w:rFonts w:ascii="Times New Roman" w:hAnsi="Times New Roman" w:eastAsia="方正仿宋_GBK"/>
          <w:b/>
          <w:sz w:val="26"/>
        </w:rPr>
        <w:t xml:space="preserve">3.3.4 用户电量与分布式电源电量渗透率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-5）估计。</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E</m:t>
                              </m:r>
                            </m:e>
                          </m:acc>
                        </m:e>
                        <m:sub>
                          <m:r>
                            <m:rPr>
                              <m:sty m:val="p"/>
                            </m:rPr>
                            <m:t>u</m:t>
                          </m:r>
                          <m:r>
                            <m:rPr>
                              <m:sty m:val="p"/>
                            </m:rPr>
                            <m:t>s</m:t>
                          </m:r>
                          <m:r>
                            <m:rPr>
                              <m:sty m:val="p"/>
                            </m:rPr>
                            <m:t>e</m:t>
                          </m:r>
                          <m:r>
                            <m:rPr>
                              <m:sty m:val="p"/>
                            </m:rPr>
                            <m:t>r</m:t>
                          </m:r>
                        </m:sub>
                      </m:sSub>
                    </m:e>
                    <m:e>
                      <m:r>
                        <m:t>=</m:t>
                      </m:r>
                      <m:r>
                        <m:t>a</m:t>
                      </m:r>
                      <m:nary>
                        <m:naryPr>
                          <m:chr m:val="∑"/>
                          <m:limLoc m:val="undOvr"/>
                          <m:subHide m:val="0"/>
                          <m:supHide m:val="1"/>
                        </m:naryPr>
                        <m:sub>
                          <m:r>
                            <m:t>t</m:t>
                          </m:r>
                        </m:sub>
                        <m:sup>
                          <m:r>
                            <m:t>​</m:t>
                          </m:r>
                        </m:sup>
                        <m:e>
                          <m:sSub>
                            <m:e>
                              <m:r>
                                <m:t>P</m:t>
                              </m:r>
                            </m:e>
                            <m:sub>
                              <m:r>
                                <m:rPr>
                                  <m:sty m:val="p"/>
                                </m:rPr>
                                <m:t>n</m:t>
                              </m:r>
                              <m:r>
                                <m:rPr>
                                  <m:sty m:val="p"/>
                                </m:rPr>
                                <m:t>e</m:t>
                              </m:r>
                              <m:r>
                                <m:rPr>
                                  <m:sty m:val="p"/>
                                </m:rPr>
                                <m:t>t</m:t>
                              </m:r>
                              <m:r>
                                <m:t>,</m:t>
                              </m:r>
                              <m:r>
                                <m:t>t</m:t>
                              </m:r>
                            </m:sub>
                          </m:sSub>
                        </m:e>
                      </m:nary>
                      <m:r>
                        <m:t>Δ</m:t>
                      </m:r>
                      <m:r>
                        <m:t>t</m:t>
                      </m:r>
                      <m:r>
                        <m:t>+</m:t>
                      </m:r>
                      <m:sSub>
                        <m:e>
                          <m:acc>
                            <m:accPr>
                              <m:chr m:val="̂"/>
                            </m:accPr>
                            <m:e>
                              <m:r>
                                <m:t>E</m:t>
                              </m:r>
                            </m:e>
                          </m:acc>
                        </m:e>
                        <m:sub>
                          <m:r>
                            <m:rPr>
                              <m:sty m:val="p"/>
                            </m:rPr>
                            <m:t>P</m:t>
                          </m:r>
                          <m:r>
                            <m:rPr>
                              <m:sty m:val="p"/>
                            </m:rPr>
                            <m:t>V</m:t>
                          </m:r>
                        </m:sub>
                      </m:sSub>
                    </m:e>
                  </m:mr>
                  <m:mr>
                    <m:e>
                      <m:sSub>
                        <m:e>
                          <m:r>
                            <m:t>η</m:t>
                          </m:r>
                        </m:e>
                        <m:sub>
                          <m:r>
                            <m:t>E</m:t>
                          </m:r>
                        </m:sub>
                      </m:sSub>
                    </m:e>
                    <m:e>
                      <m:r>
                        <m:t>=</m:t>
                      </m:r>
                      <m:f>
                        <m:fPr>
                          <m:type m:val="bar"/>
                        </m:fPr>
                        <m:num>
                          <m:sSub>
                            <m:e>
                              <m:acc>
                                <m:accPr>
                                  <m:chr m:val="̂"/>
                                </m:accPr>
                                <m:e>
                                  <m:r>
                                    <m:t>E</m:t>
                                  </m:r>
                                </m:e>
                              </m:acc>
                            </m:e>
                            <m:sub>
                              <m:r>
                                <m:rPr>
                                  <m:sty m:val="p"/>
                                </m:rPr>
                                <m:t>P</m:t>
                              </m:r>
                              <m:r>
                                <m:rPr>
                                  <m:sty m:val="p"/>
                                </m:rPr>
                                <m:t>V</m:t>
                              </m:r>
                            </m:sub>
                          </m:sSub>
                        </m:num>
                        <m:den>
                          <m:sSub>
                            <m:e>
                              <m:acc>
                                <m:accPr>
                                  <m:chr m:val="̂"/>
                                </m:accPr>
                                <m:e>
                                  <m:r>
                                    <m:t>E</m:t>
                                  </m:r>
                                </m:e>
                              </m:acc>
                            </m:e>
                            <m:sub>
                              <m:r>
                                <m:rPr>
                                  <m:sty m:val="p"/>
                                </m:rPr>
                                <m:t>u</m:t>
                              </m:r>
                              <m:r>
                                <m:rPr>
                                  <m:sty m:val="p"/>
                                </m:rPr>
                                <m:t>s</m:t>
                              </m:r>
                              <m:r>
                                <m:rPr>
                                  <m:sty m:val="p"/>
                                </m:rPr>
                                <m:t>e</m:t>
                              </m:r>
                              <m:r>
                                <m:rPr>
                                  <m:sty m:val="p"/>
                                </m:rPr>
                                <m:t>r</m:t>
                              </m:r>
                            </m:sub>
                          </m:sSub>
                        </m:den>
                      </m:f>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（3-5）</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E</m:t>
                </m:r>
              </m:e>
            </m:acc>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为用户年用电量估计值，</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为光伏年发电量估计值，单位MWh；</w:t>
      </w:r>
      <m:oMath>
        <m:sSub>
          <m:e>
            <m:r>
              <m:t>η</m:t>
            </m:r>
          </m:e>
          <m:sub>
            <m:r>
              <m:t>E</m:t>
            </m:r>
          </m:sub>
        </m:sSub>
      </m:oMath>
      <w:r>
        <w:rPr>
          <w:rFonts w:ascii="Times New Roman" w:hAnsi="Times New Roman" w:eastAsia="方正仿宋_GBK"/>
          <w:b w:val="0"/>
          <w:sz w:val="24"/>
        </w:rPr>
        <w:t xml:space="preserve">为分布式电源电量渗透率；</w:t>
      </w:r>
      <m:oMath>
        <m:sSub>
          <m:e>
            <m:r>
              <m:t>P</m:t>
            </m:r>
          </m:e>
          <m:sub>
            <m:r>
              <m:rPr>
                <m:sty m:val="p"/>
              </m:rPr>
              <m:t>n</m:t>
            </m:r>
            <m:r>
              <m:rPr>
                <m:sty m:val="p"/>
              </m:rPr>
              <m:t>e</m:t>
            </m:r>
            <m:r>
              <m:rPr>
                <m:sty m:val="p"/>
              </m:rPr>
              <m:t>t</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的样本净交换功率，单位MW，</w:t>
      </w:r>
      <m:oMath>
        <m:r>
          <m:t>Δ</m:t>
        </m:r>
        <m:r>
          <m:t>t</m:t>
        </m:r>
      </m:oMath>
      <w:r>
        <w:rPr>
          <w:rFonts w:ascii="Times New Roman" w:hAnsi="Times New Roman" w:eastAsia="方正仿宋_GBK"/>
          <w:b w:val="0"/>
          <w:sz w:val="24"/>
        </w:rPr>
        <w:t xml:space="preserve">为1 h。</w:t>
      </w:r>
      <m:oMath>
        <m: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MWh，分布式电源电量渗透率为40%；市区为6791485.10 MWh和9%。上述估计值用于源荷背景分析，费用目标采用第四章规定的新增措施支出。</w:t>
      </w:r>
    </w:p>
    <w:p>
      <w:pPr>
        <w:pStyle w:val="4"/>
        <w:keepNext/>
        <w:numPr>
          <w:numId w:val="0"/>
        </w:numPr>
        <w:spacing w:line="480" w:lineRule="exact" w:before="160" w:after="120"/>
        <w:ind w:firstLine="0"/>
      </w:pPr>
      <w:bookmarkStart w:id="1287" w:name="h287"/>
      <w:bookmarkStart w:id="107" w:name="主变负载率与双向净负荷"/>
      <w:r>
        <w:rPr>
          <w:rFonts w:ascii="Times New Roman" w:hAnsi="Times New Roman" w:eastAsia="方正仿宋_GBK"/>
          <w:b/>
          <w:sz w:val="32"/>
        </w:rPr>
        <w:t xml:space="preserve">3.4 主变负载率与双向净负荷</w:t>
      </w:r>
      <w:bookmarkEnd w:id="107"/>
      <w:bookmarkEnd w:id="1287"/>
    </w:p>
    <w:p>
      <w:pPr>
        <w:pStyle w:val="5"/>
        <w:keepNext/>
        <w:numPr>
          <w:numId w:val="0"/>
        </w:numPr>
        <w:spacing w:line="390" w:lineRule="exact" w:before="160" w:after="120"/>
        <w:ind w:firstLine="0"/>
      </w:pPr>
      <w:bookmarkStart w:id="108" w:name="主变年最大负载率统计"/>
      <w:r>
        <w:rPr>
          <w:rFonts w:ascii="Times New Roman" w:hAnsi="Times New Roman" w:eastAsia="方正仿宋_GBK"/>
          <w:b/>
          <w:sz w:val="26"/>
        </w:rPr>
        <w:t xml:space="preserve">3.4.1 主变年最大负载率统计</w:t>
      </w:r>
      <w:bookmarkEnd w:id="108"/>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表3-4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97</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邳州逐台主变年最大负载率中位数为53%，市区为55%。均值与中位数的差异说明设备分布需要单独观察。区域比值较高仍可能同时存在个别设备较高负载，建设措施应落实到站级。</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09"/>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图3-3 邳州和市区逐台主变最大负载率分布</w:t>
      </w:r>
    </w:p>
    <w:p>
      <w:pPr>
        <w:pStyle w:val="5"/>
        <w:keepNext/>
        <w:numPr>
          <w:numId w:val="0"/>
        </w:numPr>
        <w:spacing w:line="390" w:lineRule="exact" w:before="160" w:after="120"/>
        <w:ind w:firstLine="0"/>
      </w:pPr>
      <w:bookmarkStart w:id="110" w:name="最大正向反向净负荷"/>
      <w:r>
        <w:rPr>
          <w:rFonts w:ascii="Times New Roman" w:hAnsi="Times New Roman" w:eastAsia="方正仿宋_GBK"/>
          <w:b/>
          <w:sz w:val="26"/>
        </w:rPr>
        <w:t xml:space="preserve">3.4.2 最大正向、反向净负荷</w:t>
      </w:r>
      <w:bookmarkEnd w:id="110"/>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p>
                        <m:e>
                          <m:r>
                            <m:t>P</m:t>
                          </m:r>
                        </m:e>
                        <m:sup>
                          <m:r>
                            <m:t>+</m:t>
                          </m:r>
                        </m:sup>
                      </m:sSup>
                    </m:e>
                    <m:e>
                      <m:r>
                        <m:t>=</m:t>
                      </m:r>
                      <m:limLow>
                        <m:e>
                          <m:r>
                            <m:rPr>
                              <m:nor/>
                              <m:sty m:val="p"/>
                            </m:rPr>
                            <m:t>max</m:t>
                          </m:r>
                        </m:e>
                        <m:lim>
                          <m:r>
                            <m:t>t</m:t>
                          </m:r>
                        </m:lim>
                      </m:limLow>
                      <m:r>
                        <m:t>(</m:t>
                      </m:r>
                      <m:sSub>
                        <m:e>
                          <m:r>
                            <m:t>P</m:t>
                          </m:r>
                        </m:e>
                        <m:sub>
                          <m:r>
                            <m:t>t</m:t>
                          </m:r>
                        </m:sub>
                      </m:sSub>
                      <m:r>
                        <m:t>,</m:t>
                      </m:r>
                      <m:r>
                        <m:t>0</m:t>
                      </m:r>
                      <m:r>
                        <m:t>)</m:t>
                      </m:r>
                      <m:r>
                        <m:t>,</m:t>
                      </m:r>
                      <m:r>
                        <m:t> </m:t>
                      </m:r>
                      <m:sSup>
                        <m:e>
                          <m:r>
                            <m:t>P</m:t>
                          </m:r>
                        </m:e>
                        <m:sup>
                          <m:r>
                            <m:t>−</m:t>
                          </m:r>
                        </m:sup>
                      </m:sSup>
                      <m:r>
                        <m:t>=</m:t>
                      </m:r>
                      <m:limLow>
                        <m:e>
                          <m:r>
                            <m:rPr>
                              <m:nor/>
                              <m:sty m:val="p"/>
                            </m:rPr>
                            <m:t>max</m:t>
                          </m:r>
                        </m:e>
                        <m:lim>
                          <m:r>
                            <m:t>t</m:t>
                          </m:r>
                        </m:lim>
                      </m:limLow>
                      <m:r>
                        <m:t>(</m:t>
                      </m:r>
                      <m:r>
                        <m:t>−</m:t>
                      </m:r>
                      <m:sSub>
                        <m:e>
                          <m:r>
                            <m:t>P</m:t>
                          </m:r>
                        </m:e>
                        <m:sub>
                          <m:r>
                            <m:t>t</m:t>
                          </m:r>
                        </m:sub>
                      </m:sSub>
                      <m:r>
                        <m:t>,</m:t>
                      </m:r>
                      <m:r>
                        <m:t>0</m:t>
                      </m:r>
                      <m:r>
                        <m:t>)</m:t>
                      </m:r>
                      <m:r>
                        <m:t>,</m:t>
                      </m:r>
                    </m:e>
                  </m:mr>
                  <m:mr>
                    <m:e>
                      <m:sSup>
                        <m:e>
                          <m:r>
                            <m:t>P</m:t>
                          </m:r>
                        </m:e>
                        <m:sup>
                          <m:r>
                            <m:rPr>
                              <m:sty m:val="p"/>
                            </m:rPr>
                            <m:t>a</m:t>
                          </m:r>
                          <m:r>
                            <m:rPr>
                              <m:sty m:val="p"/>
                            </m:rPr>
                            <m:t>b</m:t>
                          </m:r>
                          <m:r>
                            <m:rPr>
                              <m:sty m:val="p"/>
                            </m:rPr>
                            <m:t>s</m:t>
                          </m:r>
                        </m:sup>
                      </m:sSup>
                    </m:e>
                    <m:e>
                      <m:r>
                        <m:t>=</m:t>
                      </m:r>
                      <m:r>
                        <m:rPr>
                          <m:nor/>
                          <m:sty m:val="p"/>
                        </m:rPr>
                        <m:t>max</m:t>
                      </m:r>
                      <m:r>
                        <m:t>(</m:t>
                      </m:r>
                      <m:sSup>
                        <m:e>
                          <m:r>
                            <m:t>P</m:t>
                          </m:r>
                        </m:e>
                        <m:sup>
                          <m:r>
                            <m:t>+</m:t>
                          </m:r>
                        </m:sup>
                      </m:sSup>
                      <m:r>
                        <m:t>,</m:t>
                      </m:r>
                      <m:sSup>
                        <m:e>
                          <m:r>
                            <m:t>P</m:t>
                          </m:r>
                        </m:e>
                        <m:sup>
                          <m:r>
                            <m:t>−</m:t>
                          </m:r>
                        </m:sup>
                      </m:sSup>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的净负荷，受电为正、反送为负；</w:t>
      </w:r>
      <m:oMath>
        <m:sSup>
          <m:e>
            <m:r>
              <m:t>P</m:t>
            </m:r>
          </m:e>
          <m:sup>
            <m:r>
              <m:t>+</m:t>
            </m:r>
          </m:sup>
        </m:sSup>
      </m:oMath>
      <w:r>
        <w:rPr>
          <w:rFonts w:ascii="Times New Roman" w:hAnsi="Times New Roman" w:eastAsia="方正仿宋_GBK"/>
          <w:b w:val="0"/>
          <w:sz w:val="24"/>
        </w:rPr>
        <w:t xml:space="preserve">和</w:t>
      </w:r>
      <m:oMath>
        <m:sSup>
          <m:e>
            <m:r>
              <m:t>P</m:t>
            </m:r>
          </m:e>
          <m:sup>
            <m:r>
              <m:t>−</m:t>
            </m:r>
          </m:sup>
        </m:sSup>
      </m:oMath>
      <w:r>
        <w:rPr>
          <w:rFonts w:ascii="Times New Roman" w:hAnsi="Times New Roman" w:eastAsia="方正仿宋_GBK"/>
          <w:b w:val="0"/>
          <w:sz w:val="24"/>
        </w:rPr>
        <w:t xml:space="preserve">分别为最大正向、反向净负荷，</w:t>
      </w:r>
      <m:oMath>
        <m:sSup>
          <m:e>
            <m:r>
              <m:t>P</m:t>
            </m:r>
          </m:e>
          <m:sup>
            <m:r>
              <m:rPr>
                <m:sty m:val="p"/>
              </m:rPr>
              <m:t>a</m:t>
            </m:r>
            <m:r>
              <m:rPr>
                <m:sty m:val="p"/>
              </m:rPr>
              <m:t>b</m:t>
            </m:r>
            <m:r>
              <m:rPr>
                <m:sty m:val="p"/>
              </m:rPr>
              <m:t>s</m:t>
            </m:r>
          </m:sup>
        </m:sSup>
      </m:oMath>
      <w:r>
        <w:rPr>
          <w:rFonts w:ascii="Times New Roman" w:hAnsi="Times New Roman" w:eastAsia="方正仿宋_GBK"/>
          <w:b w:val="0"/>
          <w:sz w:val="24"/>
        </w:rPr>
        <w:t xml:space="preserve">为净负荷最大绝对值，单位均为MW。站级负载率按</w:t>
      </w:r>
      <m:oMath>
        <m:sSup>
          <m:e>
            <m:r>
              <m:t>P</m:t>
            </m:r>
          </m:e>
          <m:sup>
            <m:r>
              <m:rPr>
                <m:sty m:val="p"/>
              </m:rPr>
              <m:t>a</m:t>
            </m:r>
            <m:r>
              <m:rPr>
                <m:sty m:val="p"/>
              </m:rPr>
              <m:t>b</m:t>
            </m:r>
            <m:r>
              <m:rPr>
                <m:sty m:val="p"/>
              </m:rPr>
              <m:t>s</m:t>
            </m:r>
          </m:sup>
        </m:sSup>
        <m:r>
          <m:t>/</m:t>
        </m:r>
        <m:r>
          <m:t>(</m:t>
        </m:r>
        <m:r>
          <m:t>S</m:t>
        </m:r>
        <m:r>
          <m:rPr>
            <m:nor/>
            <m:sty m:val="p"/>
          </m:rPr>
          <m:t>cos</m:t>
        </m:r>
        <m:r>
          <m:t>φ</m:t>
        </m:r>
        <m:r>
          <m:t>)</m:t>
        </m:r>
      </m:oMath>
      <w:r>
        <w:rPr>
          <w:rFonts w:ascii="Times New Roman" w:hAnsi="Times New Roman" w:eastAsia="方正仿宋_GBK"/>
          <w:b w:val="0"/>
          <w:sz w:val="24"/>
        </w:rPr>
        <w:t xml:space="preserve">计算，</w:t>
      </w:r>
      <m:oMath>
        <m:r>
          <m:t>S</m:t>
        </m:r>
      </m:oMath>
      <w:r>
        <w:rPr>
          <w:rFonts w:ascii="Times New Roman" w:hAnsi="Times New Roman" w:eastAsia="方正仿宋_GBK"/>
          <w:b w:val="0"/>
          <w:sz w:val="24"/>
        </w:rPr>
        <w:t xml:space="preserve">为本站主变总容量，功率因数取0.95。本章采用初始容量和所设静态工况，第五章采用方案配置容量；均为按视在功率折算的站级计算值。正反向运行分别校核网络、电压及保护条件[4][5]。</w:t>
      </w:r>
    </w:p>
    <w:p>
      <w:pPr>
        <w:pStyle w:val="2"/>
        <w:keepNext/>
        <w:spacing w:line="280" w:lineRule="exact" w:before="120" w:after="80"/>
        <w:ind w:firstLine="0"/>
        <w:jc w:val="center"/>
      </w:pPr>
      <w:r>
        <w:rPr>
          <w:rFonts w:ascii="Times New Roman" w:hAnsi="Times New Roman" w:eastAsia="宋体"/>
          <w:b w:val="0"/>
          <w:sz w:val="21"/>
        </w:rPr>
        <w:t xml:space="preserve">表3-5 2025年站级样本最大正向、反向净负荷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变电站</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最大反向净负荷/MW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净负荷最大绝对值/MW</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110千伏八义集变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19.02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大宋变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31.61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戴圩变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30.15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30.15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30.44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杜村变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91.60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91.60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墩集变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59.22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二庙变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坊上变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29.53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富山变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26.86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河湾变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72.74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72.74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邳城变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30.81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30.81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宿羊山变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61.12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61.12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110千伏铁富变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56.92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84.40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土山变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37.46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汶河变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吴闸变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49.96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49.96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邢楼变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19.10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兴塘变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38.95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38.95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议堂变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堤北变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大黄山变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27.61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大庙变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古彭变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71.91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71.91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惠民变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72.93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72.93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花园变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54.36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夹河变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39.39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39.39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奎山变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71.60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71.60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开元变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龙湖变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27.22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刘湾变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60.90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11.38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60.90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彭场变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55.51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110千伏庞庄变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庆云桥变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升辉变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32.79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32.79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山南变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石桥变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94.08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94.08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拾屯变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62.83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62.83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统一变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祥和变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西郊变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109.68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109.68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响山变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45.42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45.42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玉潭变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38.50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翟山变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81.77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茱萸变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14.08</w:t>
            </w:r>
          </w:p>
        </w:tc>
      </w:tr>
    </w:tbl>
    <w:p>
      <w:pPr>
        <w:pStyle w:val="2"/>
        <w:keepNext/>
        <w:spacing w:line="280" w:lineRule="exact" w:before="120" w:after="80"/>
        <w:ind w:firstLine="0"/>
        <w:jc w:val="center"/>
      </w:pPr>
      <w:r>
        <w:rPr>
          <w:rFonts w:ascii="Times New Roman" w:hAnsi="Times New Roman" w:eastAsia="宋体"/>
          <w:b w:val="0"/>
          <w:sz w:val="21"/>
        </w:rPr>
        <w:t xml:space="preserve">表3-6 两地区站级负载率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中位数/%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最大值/%</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104</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9636"/>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1"/>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图3-4 两地区静态工况下的站级负载率</w:t>
      </w:r>
    </w:p>
    <w:p>
      <w:pPr>
        <w:pStyle w:val="5"/>
        <w:keepNext/>
        <w:numPr>
          <w:numId w:val="0"/>
        </w:numPr>
        <w:spacing w:line="390" w:lineRule="exact" w:before="160" w:after="120"/>
        <w:ind w:firstLine="0"/>
      </w:pPr>
      <w:bookmarkStart w:id="112" w:name="区域同步净负荷曲线"/>
      <w:r>
        <w:rPr>
          <w:rFonts w:ascii="Times New Roman" w:hAnsi="Times New Roman" w:eastAsia="方正仿宋_GBK"/>
          <w:b/>
          <w:sz w:val="26"/>
        </w:rPr>
        <w:t xml:space="preserve">3.4.3 区域同步净负荷曲线</w:t>
      </w:r>
      <w:bookmarkEnd w:id="112"/>
    </w:p>
    <w:p>
      <w:pPr>
        <w:pStyle w:val="FirstParagraph"/>
        <w:widowControl/>
        <w:spacing w:line="348" w:lineRule="exact" w:before="0" w:after="0"/>
        <w:ind w:firstLine="480"/>
        <w:jc w:val="both"/>
      </w:pPr>
      <w:r>
        <w:rPr>
          <w:rFonts w:ascii="Times New Roman" w:hAnsi="Times New Roman" w:eastAsia="方正仿宋_GBK"/>
          <w:b w:val="0"/>
          <w:sz w:val="24"/>
        </w:rPr>
        <w:t xml:space="preserve">在统一小时轴上汇总区域内各站净负荷，得到区域同步净负荷曲线。图中按净负荷绝对值绘制全年过程，并放大最长近峰时段。邳州和市区的绝对值峰值均出现在正向受电时段。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pizhou_regional_peak.png" id="0" name="Picture"/>
                    <pic:cNvPicPr>
                      <a:picLocks noChangeArrowheads="1" noChangeAspect="1"/>
                    </pic:cNvPicPr>
                  </pic:nvPicPr>
                  <pic:blipFill>
                    <a:blip r:embed="rId113"/>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图3-5 邳州区域净负荷曲线及95%近峰时段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city_regional_peak.png" id="0" name="Picture"/>
                    <pic:cNvPicPr>
                      <a:picLocks noChangeArrowheads="1" noChangeAspect="1"/>
                    </pic:cNvPicPr>
                  </pic:nvPicPr>
                  <pic:blipFill>
                    <a:blip r:embed="rId114"/>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图3-6 市区区域净负荷曲线及95%近峰时段</w:t>
      </w:r>
    </w:p>
    <w:p>
      <w:pPr>
        <w:pStyle w:val="5"/>
        <w:keepNext/>
        <w:numPr>
          <w:numId w:val="0"/>
        </w:numPr>
        <w:spacing w:line="390" w:lineRule="exact" w:before="160" w:after="120"/>
        <w:ind w:firstLine="0"/>
      </w:pPr>
      <w:bookmarkStart w:id="115" w:name="峰值持续时间"/>
      <w:r>
        <w:rPr>
          <w:rFonts w:ascii="Times New Roman" w:hAnsi="Times New Roman" w:eastAsia="方正仿宋_GBK"/>
          <w:b/>
          <w:sz w:val="26"/>
        </w:rPr>
        <w:t xml:space="preserve">3.4.4 95%峰值持续时间</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以区域净负荷最大绝对值的95%为阈值，统计达到阈值的最长连续时长和全年累计时数。</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H</m:t>
                    </m:r>
                  </m:e>
                  <m:sub>
                    <m:r>
                      <m:t>95</m:t>
                    </m:r>
                  </m:sub>
                </m:sSub>
                <m:r>
                  <m:t>=</m:t>
                </m:r>
                <m:r>
                  <m:rPr>
                    <m:nor/>
                    <m:sty m:val="p"/>
                  </m:rPr>
                  <m:t>max</m:t>
                </m:r>
                <m:r>
                  <m:t>{</m:t>
                </m:r>
                <m:r>
                  <m:rPr>
                    <m:nor/>
                    <m:sty m:val="p"/>
                  </m:rPr>
                  <m:t>连续时段长度</m:t>
                </m:r>
                <m:r>
                  <m:t>:</m:t>
                </m:r>
                <m:r>
                  <m:t>|</m:t>
                </m:r>
                <m:sSub>
                  <m:e>
                    <m:r>
                      <m:t>P</m:t>
                    </m:r>
                  </m:e>
                  <m:sub>
                    <m:r>
                      <m:rPr>
                        <m:sty m:val="p"/>
                      </m:rPr>
                      <m:t>r</m:t>
                    </m:r>
                    <m:r>
                      <m:rPr>
                        <m:sty m:val="p"/>
                      </m:rPr>
                      <m:t>e</m:t>
                    </m:r>
                    <m:r>
                      <m:rPr>
                        <m:sty m:val="p"/>
                      </m:rPr>
                      <m:t>g</m:t>
                    </m:r>
                    <m:r>
                      <m:rPr>
                        <m:sty m:val="p"/>
                      </m:rPr>
                      <m:t>i</m:t>
                    </m:r>
                    <m:r>
                      <m:rPr>
                        <m:sty m:val="p"/>
                      </m:rPr>
                      <m:t>o</m:t>
                    </m:r>
                    <m:r>
                      <m:rPr>
                        <m:sty m:val="p"/>
                      </m:rPr>
                      <m:t>n</m:t>
                    </m:r>
                    <m:r>
                      <m:t>,</m:t>
                    </m:r>
                    <m:r>
                      <m:t>t</m:t>
                    </m:r>
                  </m:sub>
                </m:sSub>
                <m:r>
                  <m:t>|</m:t>
                </m:r>
                <m:r>
                  <m:t>≥</m:t>
                </m:r>
                <m:r>
                  <m:t>0.95</m:t>
                </m:r>
                <m:sSubSup>
                  <m:e>
                    <m:r>
                      <m:t>P</m:t>
                    </m:r>
                  </m:e>
                  <m:sub>
                    <m:r>
                      <m:rPr>
                        <m:sty m:val="p"/>
                      </m:rPr>
                      <m:t>r</m:t>
                    </m:r>
                    <m:r>
                      <m:rPr>
                        <m:sty m:val="p"/>
                      </m:rPr>
                      <m:t>e</m:t>
                    </m:r>
                    <m:r>
                      <m:rPr>
                        <m:sty m:val="p"/>
                      </m:rPr>
                      <m:t>g</m:t>
                    </m:r>
                    <m:r>
                      <m:rPr>
                        <m:sty m:val="p"/>
                      </m:rPr>
                      <m:t>i</m:t>
                    </m:r>
                    <m:r>
                      <m:rPr>
                        <m:sty m:val="p"/>
                      </m:rPr>
                      <m:t>o</m:t>
                    </m:r>
                    <m:r>
                      <m:rPr>
                        <m:sty m:val="p"/>
                      </m:rPr>
                      <m:t>n</m:t>
                    </m:r>
                  </m:sub>
                  <m:sup>
                    <m:r>
                      <m:rPr>
                        <m:sty m:val="p"/>
                      </m:rPr>
                      <m:t>a</m:t>
                    </m:r>
                    <m:r>
                      <m:rPr>
                        <m:sty m:val="p"/>
                      </m:rPr>
                      <m:t>b</m:t>
                    </m:r>
                    <m:r>
                      <m:rPr>
                        <m:sty m:val="p"/>
                      </m:rPr>
                      <m:t>s</m:t>
                    </m:r>
                  </m:sup>
                </m:sSubSup>
                <m:r>
                  <m:t>}</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H</m:t>
            </m:r>
          </m:e>
          <m:sub>
            <m:r>
              <m:t>95</m:t>
            </m:r>
          </m:sub>
        </m:sSub>
      </m:oMath>
      <w:r>
        <w:rPr>
          <w:rFonts w:ascii="Times New Roman" w:hAnsi="Times New Roman" w:eastAsia="方正仿宋_GBK"/>
          <w:b w:val="0"/>
          <w:sz w:val="24"/>
        </w:rPr>
        <w:t xml:space="preserve">为95%峰值持续时间，单位h；</w:t>
      </w:r>
      <m:oMath>
        <m:sSub>
          <m:e>
            <m:r>
              <m:t>P</m:t>
            </m:r>
          </m:e>
          <m:sub>
            <m:r>
              <m:rPr>
                <m:sty m:val="p"/>
              </m:rPr>
              <m:t>r</m:t>
            </m:r>
            <m:r>
              <m:rPr>
                <m:sty m:val="p"/>
              </m:rPr>
              <m:t>e</m:t>
            </m:r>
            <m:r>
              <m:rPr>
                <m:sty m:val="p"/>
              </m:rPr>
              <m:t>g</m:t>
            </m:r>
            <m:r>
              <m:rPr>
                <m:sty m:val="p"/>
              </m:rPr>
              <m:t>i</m:t>
            </m:r>
            <m:r>
              <m:rPr>
                <m:sty m:val="p"/>
              </m:rPr>
              <m:t>o</m:t>
            </m:r>
            <m:r>
              <m:rPr>
                <m:sty m:val="p"/>
              </m:rPr>
              <m:t>n</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的区域净负荷，</w:t>
      </w:r>
      <m:oMath>
        <m:sSubSup>
          <m:e>
            <m:r>
              <m:t>P</m:t>
            </m:r>
          </m:e>
          <m:sub>
            <m:r>
              <m:rPr>
                <m:sty m:val="p"/>
              </m:rPr>
              <m:t>r</m:t>
            </m:r>
            <m:r>
              <m:rPr>
                <m:sty m:val="p"/>
              </m:rPr>
              <m:t>e</m:t>
            </m:r>
            <m:r>
              <m:rPr>
                <m:sty m:val="p"/>
              </m:rPr>
              <m:t>g</m:t>
            </m:r>
            <m:r>
              <m:rPr>
                <m:sty m:val="p"/>
              </m:rPr>
              <m:t>i</m:t>
            </m:r>
            <m:r>
              <m:rPr>
                <m:sty m:val="p"/>
              </m:rPr>
              <m:t>o</m:t>
            </m:r>
            <m:r>
              <m:rPr>
                <m:sty m:val="p"/>
              </m:rPr>
              <m:t>n</m:t>
            </m:r>
          </m:sub>
          <m:sup>
            <m:r>
              <m:rPr>
                <m:sty m:val="p"/>
              </m:rPr>
              <m:t>a</m:t>
            </m:r>
            <m:r>
              <m:rPr>
                <m:sty m:val="p"/>
              </m:rPr>
              <m:t>b</m:t>
            </m:r>
            <m:r>
              <m:rPr>
                <m:sty m:val="p"/>
              </m:rPr>
              <m:t>s</m:t>
            </m:r>
          </m:sup>
        </m:sSubSup>
      </m:oMath>
      <w:r>
        <w:rPr>
          <w:rFonts w:ascii="Times New Roman" w:hAnsi="Times New Roman" w:eastAsia="方正仿宋_GBK"/>
          <w:b w:val="0"/>
          <w:sz w:val="24"/>
        </w:rPr>
        <w:t xml:space="preserve">为其全年最大绝对值，单位MW。</w:t>
      </w:r>
    </w:p>
    <w:p>
      <w:pPr>
        <w:pStyle w:val="2"/>
        <w:keepNext/>
        <w:spacing w:line="280" w:lineRule="exact" w:before="120" w:after="80"/>
        <w:ind w:firstLine="0"/>
        <w:jc w:val="center"/>
      </w:pPr>
      <w:r>
        <w:rPr>
          <w:rFonts w:ascii="Times New Roman" w:hAnsi="Times New Roman" w:eastAsia="宋体"/>
          <w:b w:val="0"/>
          <w:sz w:val="21"/>
        </w:rPr>
        <w:t xml:space="preserve">表3-7 两地区净负荷95%峰值持续时间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净负荷最大绝对值/MW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95%峰值阈值/MW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最长连续时长/h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累计时数/h</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951.66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904.08</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1307.32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1241.95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pPr>
        <w:pStyle w:val="5"/>
        <w:keepNext/>
        <w:numPr>
          <w:numId w:val="0"/>
        </w:numPr>
        <w:spacing w:line="390" w:lineRule="exact" w:before="160" w:after="120"/>
        <w:ind w:firstLine="0"/>
      </w:pPr>
      <w:bookmarkStart w:id="116" w:name="峰段与储能容量的联系"/>
      <w:r>
        <w:rPr>
          <w:rFonts w:ascii="Times New Roman" w:hAnsi="Times New Roman" w:eastAsia="方正仿宋_GBK"/>
          <w:b/>
          <w:sz w:val="26"/>
        </w:rPr>
        <w:t xml:space="preserve">3.4.5 峰段与储能容量的联系</w:t>
      </w:r>
      <w:bookmarkEnd w:id="116"/>
    </w:p>
    <w:p>
      <w:pPr>
        <w:pStyle w:val="FirstParagraph"/>
        <w:widowControl/>
        <w:spacing w:line="348" w:lineRule="exact" w:before="0" w:after="0"/>
        <w:ind w:firstLine="480"/>
        <w:jc w:val="both"/>
      </w:pPr>
      <w:r>
        <w:rPr>
          <w:rFonts w:ascii="Times New Roman" w:hAnsi="Times New Roman" w:eastAsia="方正仿宋_GBK"/>
          <w:b w:val="0"/>
          <w:sz w:val="24"/>
        </w:rPr>
        <w:t xml:space="preserve">峰值幅度和持续时间共同决定静态支撑需求。储能额定功率充足而可用能量不足时，不能覆盖整个连续尖峰；额定能量充足而变流器功率不足时，也不能提供所需瞬时支撑。模型使用铭牌功率与峰段可持续能量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95%近峰持续时间用于描述区域负荷特征。N-1后的容量缺口可能在负荷未达到峰值95%时已经出现，实际能量需求应按超过剩余供电能力的功率差积分确定。4 h用于统一技术经济对照，其适用性需结合地区110 kV网供峰值曲线及故障恢复条件判断。当前研究采用可用电量系数0.76作静态折算，未开展逐时荷电状态仿真[28][10]。</w:t>
      </w:r>
    </w:p>
    <w:p>
      <w:pPr>
        <w:pStyle w:val="4"/>
        <w:keepNext/>
        <w:numPr>
          <w:numId w:val="0"/>
        </w:numPr>
        <w:spacing w:line="480" w:lineRule="exact" w:before="160" w:after="120"/>
        <w:ind w:firstLine="0"/>
      </w:pPr>
      <w:bookmarkStart w:id="1315" w:name="h315"/>
      <w:bookmarkStart w:id="117" w:name="核心参数的案例敏感性分析"/>
      <w:r>
        <w:rPr>
          <w:rFonts w:ascii="Times New Roman" w:hAnsi="Times New Roman" w:eastAsia="方正仿宋_GBK"/>
          <w:b/>
          <w:sz w:val="32"/>
        </w:rPr>
        <w:t xml:space="preserve">3.5 核心参数的案例敏感性分析</w:t>
      </w:r>
      <w:bookmarkEnd w:id="117"/>
      <w:bookmarkEnd w:id="1315"/>
    </w:p>
    <w:p>
      <w:pPr>
        <w:pStyle w:val="5"/>
        <w:keepNext/>
        <w:numPr>
          <w:numId w:val="0"/>
        </w:numPr>
        <w:spacing w:line="390" w:lineRule="exact" w:before="160" w:after="120"/>
        <w:ind w:firstLine="0"/>
      </w:pPr>
      <w:bookmarkStart w:id="118" w:name="案例基础与参数范围"/>
      <w:r>
        <w:rPr>
          <w:rFonts w:ascii="Times New Roman" w:hAnsi="Times New Roman" w:eastAsia="方正仿宋_GBK"/>
          <w:b/>
          <w:sz w:val="26"/>
        </w:rPr>
        <w:t xml:space="preserve">3.5.1 案例基础与参数范围</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敏感性分析以邳州和市区的实际年度负荷、站级同步功率分布和具体候选网络为基础，保留各地区初始设备、可扩建位置及主变规格。采用弹性方案，在相同正常运行与主变N-1约束下，每次仅改变一项参数，重新确定逐年主变、储能及联络配置。分析对象为地区案例，推广模板的参数组合及其相关性在第5.6节讨论。</w:t>
      </w:r>
    </w:p>
    <w:p>
      <w:pPr>
        <w:pStyle w:val="2"/>
        <w:widowControl/>
        <w:spacing w:line="348" w:lineRule="exact" w:before="0" w:after="0"/>
        <w:ind w:firstLine="480"/>
        <w:jc w:val="both"/>
      </w:pPr>
      <w:r>
        <w:rPr>
          <w:rFonts w:ascii="Times New Roman" w:hAnsi="Times New Roman" w:eastAsia="方正仿宋_GBK"/>
          <w:b w:val="0"/>
          <w:sz w:val="24"/>
        </w:rPr>
        <w:t xml:space="preserve">两地区的源荷条件具有差异。邳州2025年分布式电源装机渗透率估计值为1.63，市区为0.32；年最大净负荷平均增长率按2021—2025年实际负荷计算，显示值分别为7%和1%。上述差异用于说明案例基础，不能通过两个地区的横向差值认定某一参数对容载比的独立影响。</w:t>
      </w:r>
    </w:p>
    <w:p>
      <w:pPr>
        <w:pStyle w:val="2"/>
        <w:keepNext/>
        <w:spacing w:line="280" w:lineRule="exact" w:before="120" w:after="80"/>
        <w:ind w:firstLine="0"/>
        <w:jc w:val="center"/>
      </w:pPr>
      <w:r>
        <w:rPr>
          <w:rFonts w:ascii="Times New Roman" w:hAnsi="Times New Roman" w:eastAsia="宋体"/>
          <w:b w:val="0"/>
          <w:sz w:val="21"/>
        </w:rPr>
        <w:t xml:space="preserve">表3-8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分布式电源装机渗透率估计值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分布式电源电量渗透率估计值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主变年最大负载率中位数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电量性质</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典型场景及样本外推</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典型场景及样本外推</w:t>
            </w:r>
          </w:p>
        </w:tc>
      </w:tr>
    </w:tbl>
    <w:p>
      <w:pPr>
        <w:pStyle w:val="2"/>
        <w:widowControl/>
        <w:spacing w:line="348" w:lineRule="exact" w:before="0" w:after="0"/>
        <w:ind w:firstLine="480"/>
        <w:jc w:val="both"/>
      </w:pPr>
      <w:r>
        <w:rPr>
          <w:rFonts w:ascii="Times New Roman" w:hAnsi="Times New Roman" w:eastAsia="方正仿宋_GBK"/>
          <w:b w:val="0"/>
          <w:sz w:val="24"/>
        </w:rPr>
        <w:t xml:space="preserve">案例独立扰动包括年最大净负荷平均增长率、线路成本系数和储能支撑持续时间。三项参数分别作用于负荷发展、联络建设费用和储能有效支撑功率，能够在保留其余案例条件的情况下明确改变。储能价格保留基准值，其专项经济分析见第5.6节。</w:t>
      </w:r>
    </w:p>
    <w:p>
      <w:pPr>
        <w:pStyle w:val="2"/>
        <w:keepNext/>
        <w:spacing w:line="280" w:lineRule="exact" w:before="120" w:after="80"/>
        <w:ind w:firstLine="0"/>
        <w:jc w:val="center"/>
      </w:pPr>
      <w:r>
        <w:rPr>
          <w:rFonts w:ascii="Times New Roman" w:hAnsi="Times New Roman" w:eastAsia="宋体"/>
          <w:b w:val="0"/>
          <w:sz w:val="21"/>
        </w:rPr>
        <w:t xml:space="preserve">表3-9 地区案例核心参数及分析方式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基准</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扰动或对照</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保持条件</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各地区2021—2025年复合计算值</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基准±2个百分点</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年度波动形态、初始设备及候选网络</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邳州1.65；市区6.85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基准的75%、100%、125%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线路长度、固定接入费用及技术能力</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正向4 h</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正向2、4、6 h</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反向支撑要求、储能价格及额定规格</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同一统计范围的站峰与区域同期峰关系</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站级与地区负荷对照</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不由两类工况估计全年系数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邳州局部样本约28%；市区研究参考40%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分别说明资料范围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地区案例按具体路径校核</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邳州1.63；市区0.32（估计值）</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两地区源荷背景对照</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不按装机比例直接缩放净负荷</w:t>
            </w:r>
          </w:p>
        </w:tc>
      </w:tr>
    </w:tbl>
    <w:p>
      <w:pPr>
        <w:pStyle w:val="2"/>
        <w:widowControl/>
        <w:spacing w:line="348" w:lineRule="exact" w:before="0" w:after="0"/>
        <w:ind w:firstLine="480"/>
        <w:jc w:val="both"/>
      </w:pPr>
      <w:r>
        <w:rPr>
          <w:rFonts w:ascii="Times New Roman" w:hAnsi="Times New Roman" w:eastAsia="方正仿宋_GBK"/>
          <w:b w:val="0"/>
          <w:sz w:val="24"/>
        </w:rPr>
        <w:t xml:space="preserve">负荷分散系数按同一统计期、同一范围的各站最大负荷之和与区域同时最大负荷之比定义[5]。各站峰值和区域同步峰值均取补齐后的全年序列。</w:t>
      </w:r>
    </w:p>
    <w:p>
      <w:pPr>
        <w:pStyle w:val="2"/>
        <w:widowControl/>
        <w:spacing w:line="348" w:lineRule="atLeast" w:before="0" w:after="0"/>
        <w:ind w:firstLine="480"/>
        <w:jc w:val="both"/>
      </w:pPr>
      <w:r>
        <w:rPr>
          <w:rFonts w:ascii="Times New Roman" w:hAnsi="Times New Roman" w:eastAsia="方正仿宋_GBK"/>
          <w:b w:val="0"/>
          <w:sz w:val="24"/>
        </w:rPr>
        <w:t xml:space="preserve">负荷分散系数记为</w:t>
      </w:r>
      <m:oMath>
        <m:sSub>
          <m:e>
            <m:r>
              <m:t>K</m:t>
            </m:r>
          </m:e>
          <m:sub>
            <m:r>
              <m:t>D</m:t>
            </m:r>
          </m:sub>
        </m:sSub>
      </m:oMath>
      <w:r>
        <w:rPr>
          <w:rFonts w:ascii="Times New Roman" w:hAnsi="Times New Roman" w:eastAsia="方正仿宋_GBK"/>
          <w:b w:val="0"/>
          <w:sz w:val="24"/>
        </w:rPr>
        <w:t xml:space="preserve">，按</w:t>
      </w:r>
      <m:oMath>
        <m:sSub>
          <m:e>
            <m:r>
              <m:t>K</m:t>
            </m:r>
          </m:e>
          <m:sub>
            <m:r>
              <m:t>D</m:t>
            </m:r>
          </m:sub>
        </m:sSub>
        <m:r>
          <m:t>=</m:t>
        </m:r>
        <m:nary>
          <m:naryPr>
            <m:chr m:val="∑"/>
            <m:limLoc m:val="undOvr"/>
            <m:subHide m:val="0"/>
            <m:supHide m:val="1"/>
          </m:naryPr>
          <m:sub>
            <m:r>
              <m:t>i</m:t>
            </m:r>
          </m:sub>
          <m:sup>
            <m:r>
              <m:t>​</m:t>
            </m:r>
          </m:sup>
          <m:e>
            <m:sSubSup>
              <m:e>
                <m:r>
                  <m:t>P</m:t>
                </m:r>
              </m:e>
              <m:sub>
                <m:r>
                  <m:t>i</m:t>
                </m:r>
                <m:r>
                  <m:t>,</m:t>
                </m:r>
                <m:r>
                  <m:rPr>
                    <m:nor/>
                    <m:sty m:val="p"/>
                  </m:rPr>
                  <m:t>max</m:t>
                </m:r>
              </m:sub>
              <m:sup>
                <m:r>
                  <m:t>+</m:t>
                </m:r>
              </m:sup>
            </m:sSubSup>
          </m:e>
        </m:nary>
        <m:r>
          <m:t>/</m:t>
        </m:r>
        <m:sSubSup>
          <m:e>
            <m:r>
              <m:t>P</m:t>
            </m:r>
          </m:e>
          <m:sub>
            <m:r>
              <m:rPr>
                <m:sty m:val="p"/>
              </m:rPr>
              <m:t>r</m:t>
            </m:r>
            <m:r>
              <m:rPr>
                <m:sty m:val="p"/>
              </m:rPr>
              <m:t>e</m:t>
            </m:r>
            <m:r>
              <m:rPr>
                <m:sty m:val="p"/>
              </m:rPr>
              <m:t>g</m:t>
            </m:r>
            <m:r>
              <m:rPr>
                <m:sty m:val="p"/>
              </m:rPr>
              <m:t>i</m:t>
            </m:r>
            <m:r>
              <m:rPr>
                <m:sty m:val="p"/>
              </m:rPr>
              <m:t>o</m:t>
            </m:r>
            <m:r>
              <m:rPr>
                <m:sty m:val="p"/>
              </m:rPr>
              <m:t>n</m:t>
            </m:r>
            <m:r>
              <m:t>,</m:t>
            </m:r>
            <m:r>
              <m:rPr>
                <m:nor/>
                <m:sty m:val="p"/>
              </m:rPr>
              <m:t>max</m:t>
            </m:r>
          </m:sub>
          <m:sup>
            <m:r>
              <m:t>+</m:t>
            </m:r>
          </m:sup>
        </m:sSubSup>
      </m:oMath>
      <w:r>
        <w:rPr>
          <w:rFonts w:ascii="Times New Roman" w:hAnsi="Times New Roman" w:eastAsia="方正仿宋_GBK"/>
          <w:b w:val="0"/>
          <w:sz w:val="24"/>
        </w:rPr>
        <w:t xml:space="preserve">计算；分子为各站最大正向净负荷之和，分母为同期地区汇总曲线的最大正向净负荷。</w:t>
      </w:r>
    </w:p>
    <w:p>
      <w:pPr>
        <w:pStyle w:val="2"/>
        <w:keepNext/>
        <w:spacing w:line="280" w:lineRule="exact" w:before="120" w:after="80"/>
        <w:ind w:firstLine="0"/>
        <w:jc w:val="center"/>
      </w:pPr>
      <w:r>
        <w:rPr>
          <w:rFonts w:ascii="Times New Roman" w:hAnsi="Times New Roman" w:eastAsia="宋体"/>
          <w:b w:val="0"/>
          <w:sz w:val="21"/>
        </w:rPr>
        <w:t xml:space="preserve">表3-10 两地区负荷分散系数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各站最大正向净负荷之和/MW</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区域最大正向净负荷/MW</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负荷分散系数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1005.50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951.66</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1455.10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1307.32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样本负荷分散系数为1.06，市区为1.11。市区各站独立峰值之和相对区域同期峰值的偏离更大，表明站间峰值时刻差异在本样本中更明显。第5.6节采用负荷分散系数1.00、1.10、1.15计算节点，覆盖两地区样本值附近的比较条件。</w:t>
      </w:r>
    </w:p>
    <w:p>
      <w:pPr>
        <w:pStyle w:val="2"/>
        <w:widowControl/>
        <w:spacing w:line="348" w:lineRule="exact" w:before="0" w:after="0"/>
        <w:ind w:firstLine="480"/>
        <w:jc w:val="both"/>
      </w:pPr>
      <w:r>
        <w:rPr>
          <w:rFonts w:ascii="Times New Roman" w:hAnsi="Times New Roman" w:eastAsia="方正仿宋_GBK"/>
          <w:b w:val="0"/>
          <w:sz w:val="24"/>
        </w:rPr>
        <w:t xml:space="preserve">邳州局部馈线样本测算的可转比例约28%，市区40%为B类区域占主导条件下的研究参考。二者的来源和统计范围不同，不将其作为两地区已核定的实际初始转供率直接比较。地区敏感性保持原有具体路径、馈线热限及邻站容量条件；初始转供率的独立作用在推广模板中按明确网络预算分析。</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用于说明两地区电源发展水平。现有案例以净负荷静态工况为输入，缺少同范围用户负荷与分布式电源出力的完整分解，故不直接按装机渗透率比例缩放净负荷。推广模板分别构造用户负荷和电源出力后，再改变分布式电源装机渗透率检验双向容量需求。</w:t>
      </w:r>
    </w:p>
    <w:p>
      <w:pPr>
        <w:pStyle w:val="5"/>
        <w:keepNext/>
        <w:numPr>
          <w:numId w:val="0"/>
        </w:numPr>
        <w:spacing w:line="390" w:lineRule="exact" w:before="160" w:after="120"/>
        <w:ind w:firstLine="0"/>
      </w:pPr>
      <w:bookmarkStart w:id="119" w:name="年最大净负荷平均增长率的影响"/>
      <w:r>
        <w:rPr>
          <w:rFonts w:ascii="Times New Roman" w:hAnsi="Times New Roman" w:eastAsia="方正仿宋_GBK"/>
          <w:b/>
          <w:sz w:val="26"/>
        </w:rPr>
        <w:t xml:space="preserve">3.5.2 年最大净负荷平均增长率的影响</w:t>
      </w:r>
      <w:bookmarkEnd w:id="119"/>
    </w:p>
    <w:p>
      <w:pPr>
        <w:pStyle w:val="FirstParagraph"/>
        <w:widowControl/>
        <w:spacing w:line="348" w:lineRule="exact" w:before="0" w:after="0"/>
        <w:ind w:firstLine="480"/>
        <w:jc w:val="both"/>
      </w:pPr>
      <w:r>
        <w:rPr>
          <w:rFonts w:ascii="Times New Roman" w:hAnsi="Times New Roman" w:eastAsia="方正仿宋_GBK"/>
          <w:b w:val="0"/>
          <w:sz w:val="24"/>
        </w:rPr>
        <w:t xml:space="preserve">以各地区2021—2025年实际负荷计算的年最大净负荷平均增长率为基准，分别增加和减少2个百分点。历史基准序列保留年度波动，扰动序列在每个年份乘以相应发展倍率，不将实际负荷替换为平滑等比曲线。第</w:t>
      </w:r>
      <m:oMath>
        <m:r>
          <m:t>y</m:t>
        </m:r>
      </m:oMath>
      <w:r>
        <w:rPr>
          <w:rFonts w:ascii="Times New Roman" w:hAnsi="Times New Roman" w:eastAsia="方正仿宋_GBK"/>
          <w:b w:val="0"/>
          <w:sz w:val="24"/>
        </w:rPr>
        <w:t xml:space="preserve">年的扰动负荷按式（3-8）构造。</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P</m:t>
                      </m:r>
                      <m:sSub>
                        <m:e>
                          <m:r>
                            <m:t>′</m:t>
                          </m:r>
                        </m:e>
                        <m:sub>
                          <m:r>
                            <m:t>y</m:t>
                          </m:r>
                        </m:sub>
                      </m:sSub>
                    </m:e>
                    <m:e>
                      <m:r>
                        <m:t>=</m:t>
                      </m:r>
                      <m:sSub>
                        <m:e>
                          <m:r>
                            <m:t>P</m:t>
                          </m:r>
                        </m:e>
                        <m:sub>
                          <m:r>
                            <m:t>y</m:t>
                          </m:r>
                        </m:sub>
                      </m:sSub>
                      <m:sSup>
                        <m:e>
                          <m:d>
                            <m:dPr>
                              <m:begChr m:val="("/>
                              <m:endChr m:val=")"/>
                              <m:grow/>
                            </m:dPr>
                            <m:e>
                              <m:f>
                                <m:fPr>
                                  <m:type m:val="bar"/>
                                </m:fPr>
                                <m:num>
                                  <m:r>
                                    <m:t>1</m:t>
                                  </m:r>
                                  <m:r>
                                    <m:t>+</m:t>
                                  </m:r>
                                  <m:acc>
                                    <m:accPr>
                                      <m:chr m:val="‾"/>
                                    </m:accPr>
                                    <m:e>
                                      <m:r>
                                        <m:t>g</m:t>
                                      </m:r>
                                    </m:e>
                                  </m:acc>
                                  <m:r>
                                    <m:t>+</m:t>
                                  </m:r>
                                  <m:r>
                                    <m:t>Δ</m:t>
                                  </m:r>
                                  <m:r>
                                    <m:t>g</m:t>
                                  </m:r>
                                </m:num>
                                <m:den>
                                  <m:r>
                                    <m:t>1</m:t>
                                  </m:r>
                                  <m:r>
                                    <m:t>+</m:t>
                                  </m:r>
                                  <m:acc>
                                    <m:accPr>
                                      <m:chr m:val="‾"/>
                                    </m:accPr>
                                    <m:e>
                                      <m:r>
                                        <m:t>g</m:t>
                                      </m:r>
                                    </m:e>
                                  </m:acc>
                                </m:den>
                              </m:f>
                            </m:e>
                          </m:d>
                        </m:e>
                        <m:sup>
                          <m:r>
                            <m:t>y</m:t>
                          </m:r>
                          <m:r>
                            <m:t>−</m:t>
                          </m:r>
                          <m:r>
                            <m:t>2021</m:t>
                          </m:r>
                        </m:sup>
                      </m:sSup>
                      <m:r>
                        <m:t>,</m:t>
                      </m:r>
                    </m:e>
                  </m:mr>
                  <m:mr>
                    <m:e>
                      <m:r>
                        <m:t>Δ</m:t>
                      </m:r>
                      <m:r>
                        <m:t>g</m:t>
                      </m:r>
                    </m:e>
                    <m:e>
                      <m:r>
                        <m:t>∈</m:t>
                      </m:r>
                      <m:r>
                        <m:t>{</m:t>
                      </m:r>
                      <m:r>
                        <m:t>−</m:t>
                      </m:r>
                      <m:r>
                        <m:t>0.02</m:t>
                      </m:r>
                      <m:r>
                        <m:t>,</m:t>
                      </m:r>
                      <m:r>
                        <m:t>0</m:t>
                      </m:r>
                      <m:r>
                        <m:t>,</m:t>
                      </m:r>
                      <m:r>
                        <m:t>0.02</m:t>
                      </m:r>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为基准年度年网供最大负荷，</w:t>
      </w:r>
      <m:oMath>
        <m:r>
          <m:t>P</m:t>
        </m:r>
        <m:sSub>
          <m:e>
            <m:r>
              <m:t>′</m:t>
            </m:r>
          </m:e>
          <m:sub>
            <m:r>
              <m:t>y</m:t>
            </m:r>
          </m:sub>
        </m:sSub>
      </m:oMath>
      <w:r>
        <w:rPr>
          <w:rFonts w:ascii="Times New Roman" w:hAnsi="Times New Roman" w:eastAsia="方正仿宋_GBK"/>
          <w:b w:val="0"/>
          <w:sz w:val="24"/>
        </w:rPr>
        <w:t xml:space="preserve">为敏感性情景负荷，单位MW；</w:t>
      </w:r>
      <m:oMath>
        <m:acc>
          <m:accPr>
            <m:chr m:val="‾"/>
          </m:accPr>
          <m:e>
            <m:r>
              <m:t>g</m:t>
            </m:r>
          </m:e>
        </m:acc>
      </m:oMath>
      <w:r>
        <w:rPr>
          <w:rFonts w:ascii="Times New Roman" w:hAnsi="Times New Roman" w:eastAsia="方正仿宋_GBK"/>
          <w:b w:val="0"/>
          <w:sz w:val="24"/>
        </w:rPr>
        <w:t xml:space="preserve">为基准年最大净负荷平均增长率，</w:t>
      </w:r>
      <m:oMath>
        <m:r>
          <m:t>Δ</m:t>
        </m:r>
        <m:r>
          <m:t>g</m:t>
        </m:r>
      </m:oMath>
      <w:r>
        <w:rPr>
          <w:rFonts w:ascii="Times New Roman" w:hAnsi="Times New Roman" w:eastAsia="方正仿宋_GBK"/>
          <w:b w:val="0"/>
          <w:sz w:val="24"/>
        </w:rPr>
        <w:t xml:space="preserve">为扰动幅度。相同年度倍率作用于各站同步功率，保留原有工况内的站间分布与负荷守恒。基期设备、候选线路热限及初始馈线能力不随负荷增长自动增加。</w:t>
      </w:r>
    </w:p>
    <w:p>
      <w:pPr>
        <w:pStyle w:val="2"/>
        <w:keepNext/>
        <w:spacing w:line="280" w:lineRule="exact" w:before="120" w:after="80"/>
        <w:ind w:firstLine="0"/>
        <w:jc w:val="center"/>
      </w:pPr>
      <w:r>
        <w:rPr>
          <w:rFonts w:ascii="Times New Roman" w:hAnsi="Times New Roman" w:eastAsia="宋体"/>
          <w:b w:val="0"/>
          <w:sz w:val="21"/>
        </w:rPr>
        <w:t xml:space="preserve">表3-11 两地区年最大净负荷平均增长率敏感性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1795.50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22016.50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2078.50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29087.82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1411.65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54243.20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1653.13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64732.35</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邳州在较低、基准及较高年最大净负荷平均增长率下，目标年负荷分别为886.87、956.45、1030.04 MW，对应主变容量1795.50、1955.50、2078.50 MVA，容载比为2.02、2.04、2.02。上述变化说明容量随设备投运调整，不能由负荷增长倍率直接推定同倍率的容载比变化。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市区在较低、基准及较高年最大净负荷平均增长率下，目标年负荷分别为1411.65、1528.82、1653.13 MW，对应主变容量3311.00、3311.00、3324.00 MVA，容载比为2.35、2.17、2.01。上述变化说明容量随设备投运调整，不能由负荷增长倍率直接推定同倍率的容载比变化。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改变后，容载比分母和设备容量需求同时变化。主变按整台规格投运，容量调整呈离散变化，故容载比与负荷发展未必同向。判断容量储备是否增加，应同时比较目标年公用主变总容量、年网供最大负荷及建设费用；仅凭容载比下降，无法认定供电能力降低。</w:t>
      </w:r>
    </w:p>
    <w:p>
      <w:pPr>
        <w:pStyle w:val="5"/>
        <w:keepNext/>
        <w:numPr>
          <w:numId w:val="0"/>
        </w:numPr>
        <w:spacing w:line="390" w:lineRule="exact" w:before="160" w:after="120"/>
        <w:ind w:firstLine="0"/>
      </w:pPr>
      <w:bookmarkStart w:id="120" w:name="线路成本系数的影响"/>
      <w:r>
        <w:rPr>
          <w:rFonts w:ascii="Times New Roman" w:hAnsi="Times New Roman" w:eastAsia="方正仿宋_GBK"/>
          <w:b/>
          <w:sz w:val="26"/>
        </w:rPr>
        <w:t xml:space="preserve">3.5.3 线路成本系数的影响</w:t>
      </w:r>
      <w:bookmarkEnd w:id="120"/>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按各地区基准值的75%、100%、125%分别设置。线路长度、固定接入费用、单项目能力及候选路径保持不变，只有单位长度造价项随线路成本系数变化。邳州和市区基准线路成本系数分别为1.65、6.85，对应3 km参考工程投资124.80万元、499.20万元。</w:t>
      </w:r>
    </w:p>
    <w:p>
      <w:pPr>
        <w:pStyle w:val="2"/>
        <w:keepNext/>
        <w:spacing w:line="280" w:lineRule="exact" w:before="120" w:after="80"/>
        <w:ind w:firstLine="0"/>
        <w:jc w:val="center"/>
      </w:pPr>
      <w:r>
        <w:rPr>
          <w:rFonts w:ascii="Times New Roman" w:hAnsi="Times New Roman" w:eastAsia="宋体"/>
          <w:b w:val="0"/>
          <w:sz w:val="21"/>
        </w:rPr>
        <w:t xml:space="preserve">表3-12 两地区线路成本系数敏感性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1921.00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24212.57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27102.99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3267.00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48469.18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8.56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67519.11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邳州线路成本系数由基准的75%增至125%时，所取得可行方案的新增联络项目数由34项变为30项，主变容量由1921.00 MVA变为1955.50 MVA，储能额定功率由2.70 MW变为0.00 MW。线路造价提高后，方案减少新增联络，并以增加主变容量补充支撑。</w:t>
      </w:r>
    </w:p>
    <w:p>
      <w:pPr>
        <w:pStyle w:val="2"/>
        <w:widowControl/>
        <w:spacing w:line="348" w:lineRule="exact" w:before="0" w:after="0"/>
        <w:ind w:firstLine="480"/>
        <w:jc w:val="both"/>
      </w:pPr>
      <w:r>
        <w:rPr>
          <w:rFonts w:ascii="Times New Roman" w:hAnsi="Times New Roman" w:eastAsia="方正仿宋_GBK"/>
          <w:b w:val="0"/>
          <w:sz w:val="24"/>
        </w:rPr>
        <w:t xml:space="preserve">市区线路成本系数由基准的75%增至125%时，所取得可行方案的新增联络项目数由74项变为64项，主变容量由3267.00 MVA变为3324.00 MVA，储能额定功率保持0.50 MW。线路造价提高后，方案减少新增联络，并以增加主变容量补充支撑。</w:t>
      </w:r>
    </w:p>
    <w:p>
      <w:pPr>
        <w:pStyle w:val="2"/>
        <w:widowControl/>
        <w:spacing w:line="348" w:lineRule="exact" w:before="0" w:after="0"/>
        <w:ind w:firstLine="480"/>
        <w:jc w:val="both"/>
      </w:pPr>
      <w:r>
        <w:rPr>
          <w:rFonts w:ascii="Times New Roman" w:hAnsi="Times New Roman" w:eastAsia="方正仿宋_GBK"/>
          <w:b w:val="0"/>
          <w:sz w:val="24"/>
        </w:rPr>
        <w:t xml:space="preserve">线路成本系数提高时，同一线路组合的费用直接增加；重新优化后还可能出现主变增容、储能及联络项目之间的替换。若容载比未变，仍需观察新增联络项目数、储能额定功率及费用现值；若容载比发生变化，则应结合主变总容量识别离散设备选择。该比较保持线路技术能力不变，避免把造价变化解释成转供能力变化。</w:t>
      </w:r>
    </w:p>
    <w:p>
      <w:pPr>
        <w:pStyle w:val="5"/>
        <w:keepNext/>
        <w:numPr>
          <w:numId w:val="0"/>
        </w:numPr>
        <w:spacing w:line="390" w:lineRule="exact" w:before="160" w:after="120"/>
        <w:ind w:firstLine="0"/>
      </w:pPr>
      <w:bookmarkStart w:id="121" w:name="储能支撑持续时间的影响"/>
      <w:r>
        <w:rPr>
          <w:rFonts w:ascii="Times New Roman" w:hAnsi="Times New Roman" w:eastAsia="方正仿宋_GBK"/>
          <w:b/>
          <w:sz w:val="26"/>
        </w:rPr>
        <w:t xml:space="preserve">3.5.4 储能支撑持续时间的影响</w:t>
      </w:r>
      <w:bookmarkEnd w:id="121"/>
    </w:p>
    <w:p>
      <w:pPr>
        <w:pStyle w:val="FirstParagraph"/>
        <w:widowControl/>
        <w:spacing w:line="348" w:lineRule="exact" w:before="0" w:after="0"/>
        <w:ind w:firstLine="480"/>
        <w:jc w:val="both"/>
      </w:pPr>
      <w:r>
        <w:rPr>
          <w:rFonts w:ascii="Times New Roman" w:hAnsi="Times New Roman" w:eastAsia="方正仿宋_GBK"/>
          <w:b w:val="0"/>
          <w:sz w:val="24"/>
        </w:rPr>
        <w:t xml:space="preserve">正向储能支撑持续时间分别取2、4、6 h。各站反向支撑要求、储能单柜额定功率与额定能量、可用电量系数及采购价格保持不变。单柜额定功率0.10 MW、额定能量215 kWh，可用电量系数0.76；三种正向持续时间下，单柜有效支撑功率分别为0.08170、0.04085、约0.02723 MW。</w:t>
      </w:r>
    </w:p>
    <w:p>
      <w:pPr>
        <w:pStyle w:val="2"/>
        <w:keepNext/>
        <w:spacing w:line="280" w:lineRule="exact" w:before="120" w:after="80"/>
        <w:ind w:firstLine="0"/>
        <w:jc w:val="center"/>
      </w:pPr>
      <w:r>
        <w:rPr>
          <w:rFonts w:ascii="Times New Roman" w:hAnsi="Times New Roman" w:eastAsia="宋体"/>
          <w:b w:val="0"/>
          <w:sz w:val="21"/>
        </w:rPr>
        <w:t xml:space="preserve">表3-13 两地区储能支撑持续时间敏感性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h（基准）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57835.89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h（基准）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 h</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58767.94</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邳州三个持续时间方案均未配置储能，主变容量为1955.50 MVA、容载比为2.04，持续时间变化未改变容量配置。</w:t>
      </w:r>
    </w:p>
    <w:p>
      <w:pPr>
        <w:pStyle w:val="2"/>
        <w:widowControl/>
        <w:spacing w:line="348" w:lineRule="exact" w:before="0" w:after="0"/>
        <w:ind w:firstLine="480"/>
        <w:jc w:val="both"/>
      </w:pPr>
      <w:r>
        <w:rPr>
          <w:rFonts w:ascii="Times New Roman" w:hAnsi="Times New Roman" w:eastAsia="方正仿宋_GBK"/>
          <w:b w:val="0"/>
          <w:sz w:val="24"/>
        </w:rPr>
        <w:t xml:space="preserve">市区在2、4、6 h正向支撑要求下，目标年主变容量分别为3324.00、3311.00、3324.00 MVA，储能额定功率分别为5.30、1.60、2.20 MW，容载比为2.17、2.17、2.17。储能有效支撑功率随持续时间折算，额定功率变化需要连同主变与联络配置判断。</w:t>
      </w:r>
    </w:p>
    <w:p>
      <w:pPr>
        <w:pStyle w:val="2"/>
        <w:widowControl/>
        <w:spacing w:line="348" w:lineRule="exact" w:before="0" w:after="0"/>
        <w:ind w:firstLine="480"/>
        <w:jc w:val="both"/>
      </w:pPr>
      <w:r>
        <w:rPr>
          <w:rFonts w:ascii="Times New Roman" w:hAnsi="Times New Roman" w:eastAsia="方正仿宋_GBK"/>
          <w:b w:val="0"/>
          <w:sz w:val="24"/>
        </w:rPr>
        <w:t xml:space="preserve">邳州区域95%峰值持续时间为2 h，市区为6 h。持续时间分析因此分别覆盖短时与较长近峰条件，并以4 h作为共同技术经济基准。近峰持续时间描述区域负荷曲线，工程所需储能能量还取决于主变N-1后的缺口幅值、持续过程及故障恢复时间，不能只按地区峰值持续时间确定储能规模。</w:t>
      </w:r>
    </w:p>
    <w:p>
      <w:pPr>
        <w:pStyle w:val="5"/>
        <w:keepNext/>
        <w:numPr>
          <w:numId w:val="0"/>
        </w:numPr>
        <w:spacing w:line="390" w:lineRule="exact" w:before="160" w:after="120"/>
        <w:ind w:firstLine="0"/>
      </w:pPr>
      <w:bookmarkStart w:id="122" w:name="三项参数的响应比较"/>
      <w:r>
        <w:rPr>
          <w:rFonts w:ascii="Times New Roman" w:hAnsi="Times New Roman" w:eastAsia="方正仿宋_GBK"/>
          <w:b/>
          <w:sz w:val="26"/>
        </w:rPr>
        <w:t xml:space="preserve">3.5.5 三项参数的响应比较</w:t>
      </w:r>
      <w:bookmarkEnd w:id="122"/>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5125459"/>
            <wp:effectExtent b="0" l="0" r="0" t="0"/>
            <wp:docPr descr="" title="" id="1" name="Picture"/>
            <a:graphic>
              <a:graphicData uri="http://schemas.openxmlformats.org/drawingml/2006/picture">
                <pic:pic>
                  <pic:nvPicPr>
                    <pic:cNvPr descr="研究报告/02图表/当前版/case_sensitivity.png" id="0" name="Picture"/>
                    <pic:cNvPicPr>
                      <a:picLocks noChangeArrowheads="1" noChangeAspect="1"/>
                    </pic:cNvPicPr>
                  </pic:nvPicPr>
                  <pic:blipFill>
                    <a:blip r:embed="rId123"/>
                    <a:stretch>
                      <a:fillRect/>
                    </a:stretch>
                  </pic:blipFill>
                  <pic:spPr bwMode="auto">
                    <a:xfrm>
                      <a:off x="0" y="0"/>
                      <a:ext cx="5120640" cy="512545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图3-7 两地区核心参数扰动下的容载比与费用响应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的扰动同时作用于各年功率规模及容载比分母；线路成本系数直接改变联络投资，设备组合可随经济条件调整；储能支撑持续时间改变单位储能可提供的持续功率。三项参数通过不同机制作用于容载比，不能将费用变化或储能规模变化直接当作容载比的同义指标。</w:t>
      </w:r>
    </w:p>
    <w:p>
      <w:pPr>
        <w:pStyle w:val="2"/>
        <w:widowControl/>
        <w:spacing w:line="348" w:lineRule="exact" w:before="0" w:after="0"/>
        <w:ind w:firstLine="480"/>
        <w:jc w:val="both"/>
      </w:pPr>
      <w:r>
        <w:rPr>
          <w:rFonts w:ascii="Times New Roman" w:hAnsi="Times New Roman" w:eastAsia="方正仿宋_GBK"/>
          <w:b w:val="0"/>
          <w:sz w:val="24"/>
        </w:rPr>
        <w:t xml:space="preserve">市区敏感性分析以零扰动方案为基准，其主变容量为3311.00 MVA、容载比为2.17、费用为58332.34万元。第五章规划方案采用3324.00 MVA，费用为58346.09万元。两种配置的费用接近。</w:t>
      </w:r>
    </w:p>
    <w:p>
      <w:pPr>
        <w:pStyle w:val="2"/>
        <w:widowControl/>
        <w:spacing w:line="348" w:lineRule="exact" w:before="0" w:after="0"/>
        <w:ind w:firstLine="480"/>
        <w:jc w:val="both"/>
      </w:pPr>
      <w:r>
        <w:rPr>
          <w:rFonts w:ascii="Times New Roman" w:hAnsi="Times New Roman" w:eastAsia="方正仿宋_GBK"/>
          <w:b w:val="0"/>
          <w:sz w:val="24"/>
        </w:rPr>
        <w:t xml:space="preserve">图中比较各情景方案的容载比与评价期费用现值。</w:t>
      </w:r>
    </w:p>
    <w:p>
      <w:pPr>
        <w:pStyle w:val="2"/>
        <w:widowControl/>
        <w:spacing w:line="348" w:lineRule="exact" w:before="0" w:after="0"/>
        <w:ind w:firstLine="480"/>
        <w:jc w:val="both"/>
      </w:pPr>
      <w:r>
        <w:rPr>
          <w:rFonts w:ascii="Times New Roman" w:hAnsi="Times New Roman" w:eastAsia="方正仿宋_GBK"/>
          <w:b w:val="0"/>
          <w:sz w:val="24"/>
        </w:rPr>
        <w:t xml:space="preserve">案例敏感性用于识别现有设备和网络条件下的响应，推广分析用于比较不同参数组合。两者共用指标定义与工程费用方法，保留各自的负荷、设备和网络基础。由案例发现的局部响应，可在推广矩阵中进一步检查适用条件；模板中的总体相关系数不替代地区案例的独立扰动结果。</w:t>
      </w:r>
    </w:p>
    <w:p>
      <w:pPr>
        <w:pStyle w:val="4"/>
        <w:keepNext/>
        <w:numPr>
          <w:numId w:val="0"/>
        </w:numPr>
        <w:spacing w:line="480" w:lineRule="exact" w:before="160" w:after="120"/>
        <w:ind w:firstLine="0"/>
      </w:pPr>
      <w:bookmarkStart w:id="1354" w:name="h354"/>
      <w:bookmarkStart w:id="124" w:name="kv负荷转接资料与仿真条件"/>
      <w:r>
        <w:rPr>
          <w:rFonts w:ascii="Times New Roman" w:hAnsi="Times New Roman" w:eastAsia="方正仿宋_GBK"/>
          <w:b/>
          <w:sz w:val="32"/>
        </w:rPr>
        <w:t xml:space="preserve">3.6 10 kV负荷转接资料与仿真条件</w:t>
      </w:r>
      <w:bookmarkEnd w:id="124"/>
      <w:bookmarkEnd w:id="1354"/>
    </w:p>
    <w:p>
      <w:pPr>
        <w:pStyle w:val="5"/>
        <w:keepNext/>
        <w:numPr>
          <w:numId w:val="0"/>
        </w:numPr>
        <w:spacing w:line="390" w:lineRule="exact" w:before="160" w:after="120"/>
        <w:ind w:firstLine="0"/>
      </w:pPr>
      <w:bookmarkStart w:id="125" w:name="现有馈线资料"/>
      <w:r>
        <w:rPr>
          <w:rFonts w:ascii="Times New Roman" w:hAnsi="Times New Roman" w:eastAsia="方正仿宋_GBK"/>
          <w:b/>
          <w:sz w:val="26"/>
        </w:rPr>
        <w:t xml:space="preserve">3.6.1 现有馈线资料</w:t>
      </w:r>
      <w:bookmarkEnd w:id="125"/>
    </w:p>
    <w:p>
      <w:pPr>
        <w:pStyle w:val="FirstParagraph"/>
        <w:widowControl/>
        <w:spacing w:line="348" w:lineRule="exact" w:before="0" w:after="0"/>
        <w:ind w:firstLine="480"/>
        <w:jc w:val="both"/>
      </w:pPr>
      <w:r>
        <w:rPr>
          <w:rFonts w:ascii="Times New Roman" w:hAnsi="Times New Roman" w:eastAsia="方正仿宋_GBK"/>
          <w:b w:val="0"/>
          <w:sz w:val="24"/>
        </w:rPr>
        <w:t xml:space="preserve">邳州局部六馈线样本的源端负荷为35.29 MW，可转移上界为9.98 MW，比值约28%。该值反映局部资料，不直接代表全县实际转供率。当前网络模型以已知联络和候选区段建立具体路径，新增单项目有效能力采用7.49 MW，并校核共享馈线及接收站余量。</w:t>
      </w:r>
    </w:p>
    <w:p>
      <w:pPr>
        <w:pStyle w:val="5"/>
        <w:keepNext/>
        <w:numPr>
          <w:numId w:val="0"/>
        </w:numPr>
        <w:spacing w:line="390" w:lineRule="exact" w:before="160" w:after="120"/>
        <w:ind w:firstLine="0"/>
      </w:pPr>
      <w:bookmarkStart w:id="126" w:name="供电分区与初始转供率"/>
      <w:r>
        <w:rPr>
          <w:rFonts w:ascii="Times New Roman" w:hAnsi="Times New Roman" w:eastAsia="方正仿宋_GBK"/>
          <w:b/>
          <w:sz w:val="26"/>
        </w:rPr>
        <w:t xml:space="preserve">3.6.2 供电分区与初始转供率</w:t>
      </w:r>
      <w:bookmarkEnd w:id="1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第7.1.2条提出，A+、A类供电区域通过中压配电网转移负荷的比例宜为50%～70%，B、C类宜为30%～50%[5]。按市区A类较少、B类较多的研究背景，采用B类区间中值40%作为参数研究基准，比较30%～50%的变化。该取值是研究假设，现有资料尚不足以计算市区A/B分区的负荷加权实际转供率。</w:t>
      </w:r>
    </w:p>
    <w:p>
      <w:pPr>
        <w:pStyle w:val="2"/>
        <w:widowControl/>
        <w:spacing w:line="348" w:lineRule="exact" w:before="0" w:after="0"/>
        <w:ind w:firstLine="480"/>
        <w:jc w:val="both"/>
      </w:pPr>
      <w:r>
        <w:rPr>
          <w:rFonts w:ascii="Times New Roman" w:hAnsi="Times New Roman" w:eastAsia="方正仿宋_GBK"/>
          <w:b w:val="0"/>
          <w:sz w:val="24"/>
        </w:rPr>
        <w:t xml:space="preserve">地区案例保留已核验的具体网络，既有边按已知资料设置，缺少存量证明的候选按新增建设计费。推广模板以初始转供率设置基期转供预算，预算以MW固定；目标年负荷增加时，不自动同比扩大既有网络能力。实际可转负荷还受源端分段、馈线热限、联络路径和邻站主变容量限制。</w:t>
      </w:r>
    </w:p>
    <w:p>
      <w:pPr>
        <w:pStyle w:val="5"/>
        <w:keepNext/>
        <w:numPr>
          <w:numId w:val="0"/>
        </w:numPr>
        <w:spacing w:line="390" w:lineRule="exact" w:before="160" w:after="120"/>
        <w:ind w:firstLine="0"/>
      </w:pPr>
      <w:bookmarkStart w:id="127" w:name="电源归属及反向功率"/>
      <w:r>
        <w:rPr>
          <w:rFonts w:ascii="Times New Roman" w:hAnsi="Times New Roman" w:eastAsia="方正仿宋_GBK"/>
          <w:b/>
          <w:sz w:val="26"/>
        </w:rPr>
        <w:t xml:space="preserve">3.6.3 电源归属及反向功率</w:t>
      </w:r>
      <w:bookmarkEnd w:id="127"/>
    </w:p>
    <w:p>
      <w:pPr>
        <w:pStyle w:val="FirstParagraph"/>
        <w:widowControl/>
        <w:spacing w:line="348" w:lineRule="exact" w:before="0" w:after="0"/>
        <w:ind w:firstLine="480"/>
        <w:jc w:val="both"/>
      </w:pPr>
      <w:r>
        <w:rPr>
          <w:rFonts w:ascii="Times New Roman" w:hAnsi="Times New Roman" w:eastAsia="方正仿宋_GBK"/>
          <w:b w:val="0"/>
          <w:sz w:val="24"/>
        </w:rPr>
        <w:t xml:space="preserve">正常转供改变用电负荷分配，电源仍保留原站归属。每个静态工况分别计算转出和转入功率，转出不能超过本站原始可转负荷，不把从其他站接收的负荷再次作为新增源端能力。转供后净负荷同时校核正向供电和反向容量，区域内部转入、转出合计相等。</w:t>
      </w:r>
    </w:p>
    <w:p>
      <w:pPr>
        <w:pStyle w:val="4"/>
        <w:keepNext/>
        <w:numPr>
          <w:numId w:val="0"/>
        </w:numPr>
        <w:spacing w:line="480" w:lineRule="exact" w:before="160" w:after="120"/>
        <w:ind w:firstLine="0"/>
      </w:pPr>
      <w:bookmarkStart w:id="1362" w:name="h362"/>
      <w:bookmarkStart w:id="128" w:name="站级负载率与配置需求"/>
      <w:r>
        <w:rPr>
          <w:rFonts w:ascii="Times New Roman" w:hAnsi="Times New Roman" w:eastAsia="方正仿宋_GBK"/>
          <w:b/>
          <w:sz w:val="32"/>
        </w:rPr>
        <w:t xml:space="preserve">3.7 站级负载率与配置需求</w:t>
      </w:r>
      <w:bookmarkEnd w:id="128"/>
      <w:bookmarkEnd w:id="1362"/>
    </w:p>
    <w:p>
      <w:pPr>
        <w:pStyle w:val="5"/>
        <w:keepNext/>
        <w:numPr>
          <w:numId w:val="0"/>
        </w:numPr>
        <w:spacing w:line="390" w:lineRule="exact" w:before="160" w:after="120"/>
        <w:ind w:firstLine="0"/>
      </w:pPr>
      <w:bookmarkStart w:id="129" w:name="邳州站级相对负载"/>
      <w:r>
        <w:rPr>
          <w:rFonts w:ascii="Times New Roman" w:hAnsi="Times New Roman" w:eastAsia="方正仿宋_GBK"/>
          <w:b/>
          <w:sz w:val="26"/>
        </w:rPr>
        <w:t xml:space="preserve">3.7.1 邳州站级相对负载</w:t>
      </w:r>
      <w:bookmarkEnd w:id="129"/>
    </w:p>
    <w:p>
      <w:pPr>
        <w:pStyle w:val="FirstParagraph"/>
        <w:widowControl/>
        <w:spacing w:line="348" w:lineRule="exact" w:before="0" w:after="0"/>
        <w:ind w:firstLine="480"/>
        <w:jc w:val="both"/>
      </w:pPr>
      <w:r>
        <w:rPr>
          <w:rFonts w:ascii="Times New Roman" w:hAnsi="Times New Roman" w:eastAsia="方正仿宋_GBK"/>
          <w:b w:val="0"/>
          <w:sz w:val="24"/>
        </w:rPr>
        <w:t xml:space="preserve">图中比较各站2022—2025年的负载率，反映年度负荷变化对相同设备结构的影响。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286422"/>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30"/>
                    <a:stretch>
                      <a:fillRect/>
                    </a:stretch>
                  </pic:blipFill>
                  <pic:spPr bwMode="auto">
                    <a:xfrm>
                      <a:off x="0" y="0"/>
                      <a:ext cx="5120640" cy="328642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图3-8 邳州站级负载率</w:t>
      </w:r>
    </w:p>
    <w:p>
      <w:pPr>
        <w:pStyle w:val="5"/>
        <w:keepNext/>
        <w:numPr>
          <w:numId w:val="0"/>
        </w:numPr>
        <w:spacing w:line="390" w:lineRule="exact" w:before="160" w:after="120"/>
        <w:ind w:firstLine="0"/>
      </w:pPr>
      <w:bookmarkStart w:id="131" w:name="市区站级相对负载"/>
      <w:r>
        <w:rPr>
          <w:rFonts w:ascii="Times New Roman" w:hAnsi="Times New Roman" w:eastAsia="方正仿宋_GBK"/>
          <w:b/>
          <w:sz w:val="26"/>
        </w:rPr>
        <w:t xml:space="preserve">3.7.2 市区站级相对负载</w:t>
      </w:r>
      <w:bookmarkEnd w:id="131"/>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3929273"/>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2"/>
                    <a:stretch>
                      <a:fillRect/>
                    </a:stretch>
                  </pic:blipFill>
                  <pic:spPr bwMode="auto">
                    <a:xfrm>
                      <a:off x="0" y="0"/>
                      <a:ext cx="5120640" cy="392927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图3-9 市区站级负载率</w:t>
      </w:r>
    </w:p>
    <w:p>
      <w:pPr>
        <w:pStyle w:val="2"/>
        <w:widowControl/>
        <w:spacing w:line="348" w:lineRule="exact" w:before="0" w:after="0"/>
        <w:ind w:firstLine="480"/>
        <w:jc w:val="both"/>
      </w:pPr>
      <w:r>
        <w:rPr>
          <w:rFonts w:ascii="Times New Roman" w:hAnsi="Times New Roman" w:eastAsia="方正仿宋_GBK"/>
          <w:b w:val="0"/>
          <w:sz w:val="24"/>
        </w:rPr>
        <w:t xml:space="preserve">市区站级图表按能够与设备资料对应的26座站列示。地区容量、负荷及费用按统一计算范围汇总，站级展示范围与地区汇总范围分别使用。</w:t>
      </w:r>
    </w:p>
    <w:p>
      <w:pPr>
        <w:pStyle w:val="5"/>
        <w:keepNext/>
        <w:numPr>
          <w:numId w:val="0"/>
        </w:numPr>
        <w:spacing w:line="390" w:lineRule="exact" w:before="160" w:after="120"/>
        <w:ind w:firstLine="0"/>
      </w:pPr>
      <w:bookmarkStart w:id="133" w:name="负载率与规划措施的联系"/>
      <w:r>
        <w:rPr>
          <w:rFonts w:ascii="Times New Roman" w:hAnsi="Times New Roman" w:eastAsia="方正仿宋_GBK"/>
          <w:b/>
          <w:sz w:val="26"/>
        </w:rPr>
        <w:t xml:space="preserve">3.7.3 负载率与规划措施的联系</w:t>
      </w:r>
      <w:bookmarkEnd w:id="133"/>
    </w:p>
    <w:p>
      <w:pPr>
        <w:pStyle w:val="FirstParagraph"/>
        <w:widowControl/>
        <w:spacing w:line="348" w:lineRule="exact" w:before="0" w:after="0"/>
        <w:ind w:firstLine="480"/>
        <w:jc w:val="both"/>
      </w:pPr>
      <w:r>
        <w:rPr>
          <w:rFonts w:ascii="Times New Roman" w:hAnsi="Times New Roman" w:eastAsia="方正仿宋_GBK"/>
          <w:b w:val="0"/>
          <w:sz w:val="24"/>
        </w:rPr>
        <w:t xml:space="preserve">站级负载率超过100%时，需要通过转供、扩容或储能满足容量需求。具体配置结合正常运行与主变N-1约束在第五章比较。</w:t>
      </w:r>
    </w:p>
    <w:p>
      <w:pPr>
        <w:pStyle w:val="5"/>
        <w:keepNext/>
        <w:numPr>
          <w:numId w:val="0"/>
        </w:numPr>
        <w:spacing w:line="390" w:lineRule="exact" w:before="160" w:after="120"/>
        <w:ind w:firstLine="0"/>
      </w:pPr>
      <w:bookmarkStart w:id="134" w:name="较高负载率站的方向与配置条件"/>
      <w:r>
        <w:rPr>
          <w:rFonts w:ascii="Times New Roman" w:hAnsi="Times New Roman" w:eastAsia="方正仿宋_GBK"/>
          <w:b/>
          <w:sz w:val="26"/>
        </w:rPr>
        <w:t xml:space="preserve">3.7.4 较高负载率站的方向与配置条件</w:t>
      </w:r>
      <w:bookmarkEnd w:id="134"/>
    </w:p>
    <w:p>
      <w:pPr>
        <w:pStyle w:val="FirstParagraph"/>
        <w:keepNext/>
        <w:spacing w:line="280" w:lineRule="exact" w:before="120" w:after="80"/>
        <w:ind w:firstLine="0"/>
        <w:jc w:val="center"/>
      </w:pPr>
      <w:r>
        <w:rPr>
          <w:rFonts w:ascii="Times New Roman" w:hAnsi="Times New Roman" w:eastAsia="宋体"/>
          <w:b w:val="0"/>
          <w:sz w:val="21"/>
        </w:rPr>
        <w:t xml:space="preserve">表3-14 2025年站级负载率较高的站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变电站</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站级负载率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主导方向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110千伏铁富变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82.17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52.21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杜村变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83.65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兴塘变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戴庄变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46.10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宿羊山变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二庙变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89.75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墩集变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55.05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邢楼变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15.68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29.65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统一变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91.55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西郊变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拾屯变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72.26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堤北变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100.47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大庙变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69.73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吴庄变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96.47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庆云桥变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石桥变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103.71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bl>
    <w:p>
      <w:pPr>
        <w:pStyle w:val="2"/>
        <w:widowControl/>
        <w:spacing w:line="348" w:lineRule="exact" w:before="0" w:after="0"/>
        <w:ind w:firstLine="480"/>
        <w:jc w:val="both"/>
      </w:pPr>
      <w:r>
        <w:rPr>
          <w:rFonts w:ascii="Times New Roman" w:hAnsi="Times New Roman" w:eastAsia="方正仿宋_GBK"/>
          <w:b w:val="0"/>
          <w:sz w:val="24"/>
        </w:rPr>
        <w:t xml:space="preserve">按初始主变容量折算后，较大净负荷站与较高负载率站不必相同。容量较小的站，即使功率绝对值不大，也可能需要更多转供或本地支撑；容量较大的站则可能承担邻站负荷。上表同时保留正反向功率和初始容量，使图中的相对压力能够对应具体设备条件。</w:t>
      </w:r>
    </w:p>
    <w:p>
      <w:pPr>
        <w:pStyle w:val="5"/>
        <w:keepNext/>
        <w:numPr>
          <w:numId w:val="0"/>
        </w:numPr>
        <w:spacing w:line="390" w:lineRule="exact" w:before="160" w:after="120"/>
        <w:ind w:firstLine="0"/>
      </w:pPr>
      <w:bookmarkStart w:id="135" w:name="站级功率的主导方向"/>
      <w:r>
        <w:rPr>
          <w:rFonts w:ascii="Times New Roman" w:hAnsi="Times New Roman" w:eastAsia="方正仿宋_GBK"/>
          <w:b/>
          <w:sz w:val="26"/>
        </w:rPr>
        <w:t xml:space="preserve">3.7.5 站级功率的主导方向</w:t>
      </w:r>
      <w:bookmarkEnd w:id="135"/>
    </w:p>
    <w:p>
      <w:pPr>
        <w:pStyle w:val="FirstParagraph"/>
        <w:keepNext/>
        <w:spacing w:line="280" w:lineRule="exact" w:before="120" w:after="80"/>
        <w:ind w:firstLine="0"/>
        <w:jc w:val="center"/>
      </w:pPr>
      <w:r>
        <w:rPr>
          <w:rFonts w:ascii="Times New Roman" w:hAnsi="Times New Roman" w:eastAsia="宋体"/>
          <w:b w:val="0"/>
          <w:sz w:val="21"/>
        </w:rPr>
        <w:t xml:space="preserve">表3-15 站级展示范围内的功率方向及相对压力</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正向幅值较大站数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反向幅值较大站数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站级负载率超过100%的站数</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r>
    </w:tbl>
    <w:p>
      <w:pPr>
        <w:pStyle w:val="2"/>
        <w:widowControl/>
        <w:spacing w:line="348" w:lineRule="exact" w:before="0" w:after="0"/>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检查转出用电负荷后是否增加本站反送需求。该方向统计未覆盖全年所有局部峰值，建设结论仍以第五章逐工况网络校核为依据。</w:t>
      </w:r>
    </w:p>
    <w:p>
      <w:pPr>
        <w:pStyle w:val="4"/>
        <w:keepNext/>
        <w:numPr>
          <w:numId w:val="0"/>
        </w:numPr>
        <w:spacing w:line="480" w:lineRule="exact" w:before="160" w:after="120"/>
        <w:ind w:firstLine="0"/>
      </w:pPr>
      <w:bookmarkStart w:id="1379" w:name="h379"/>
      <w:bookmarkStart w:id="136" w:name="运行特征的综合分析"/>
      <w:r>
        <w:rPr>
          <w:rFonts w:ascii="Times New Roman" w:hAnsi="Times New Roman" w:eastAsia="方正仿宋_GBK"/>
          <w:b/>
          <w:sz w:val="32"/>
        </w:rPr>
        <w:t xml:space="preserve">3.8 运行特征的综合分析</w:t>
      </w:r>
      <w:bookmarkEnd w:id="136"/>
      <w:bookmarkEnd w:id="1379"/>
    </w:p>
    <w:p>
      <w:pPr>
        <w:pStyle w:val="5"/>
        <w:keepNext/>
        <w:numPr>
          <w:numId w:val="0"/>
        </w:numPr>
        <w:spacing w:line="390" w:lineRule="exact" w:before="160" w:after="120"/>
        <w:ind w:firstLine="0"/>
      </w:pPr>
      <w:bookmarkStart w:id="137" w:name="容量建设与负荷变化的不同作用"/>
      <w:r>
        <w:rPr>
          <w:rFonts w:ascii="Times New Roman" w:hAnsi="Times New Roman" w:eastAsia="方正仿宋_GBK"/>
          <w:b/>
          <w:sz w:val="26"/>
        </w:rPr>
        <w:t xml:space="preserve">3.8.1 容量建设与负荷变化的不同作用</w:t>
      </w:r>
      <w:bookmarkEnd w:id="137"/>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可按容量和负荷两部分分解。先保持上年负荷并观察容量变化，再考虑分母变化，可以解释容载比增减的来源。下表采用与第五章相同的代数分解关系，将新增容量除以本年负荷作为容量变化贡献，将上年容量乘以两年负荷倒数之差作为负荷变化贡献，两项之和等于相邻年度容载比差值。</w:t>
      </w:r>
    </w:p>
    <w:p>
      <w:pPr>
        <w:pStyle w:val="2"/>
        <w:keepNext/>
        <w:spacing w:line="280" w:lineRule="exact" w:before="120" w:after="80"/>
        <w:ind w:firstLine="0"/>
        <w:jc w:val="center"/>
      </w:pPr>
      <w:r>
        <w:rPr>
          <w:rFonts w:ascii="Times New Roman" w:hAnsi="Times New Roman" w:eastAsia="宋体"/>
          <w:b w:val="0"/>
          <w:sz w:val="21"/>
        </w:rPr>
        <w:t xml:space="preserve">表3-16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由此，年度容载比偏高需要结合投产进度和当年负荷判断，不能直接等同于设备新增过多；容载比下降也需要联系存量调整和负荷兑现情况分析。</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新增用户逐步接入后，设备负载和年网供最大负荷上升，容载比相应降低。评价规划效果时，应同时观察容量、负荷和投运年份，避免用单一年份的高低值替代对完整发展过程的判断。第五章采用逐年方案，正是为了将这些变化落实到建设规模和投运时点。</w:t>
      </w:r>
    </w:p>
    <w:p>
      <w:pPr>
        <w:pStyle w:val="5"/>
        <w:keepNext/>
        <w:numPr>
          <w:numId w:val="0"/>
        </w:numPr>
        <w:spacing w:line="390" w:lineRule="exact" w:before="160" w:after="120"/>
        <w:ind w:firstLine="0"/>
      </w:pPr>
      <w:bookmarkStart w:id="138" w:name="光伏发电与用电高峰的季节关系"/>
      <w:r>
        <w:rPr>
          <w:rFonts w:ascii="Times New Roman" w:hAnsi="Times New Roman" w:eastAsia="方正仿宋_GBK"/>
          <w:b/>
          <w:sz w:val="26"/>
        </w:rPr>
        <w:t xml:space="preserve">3.8.2 光伏发电与用电高峰的季节关系</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光伏发电量与用户用电量共同决定分布式电源电量渗透率。邳州2025年月度估计中，5月分布式电源电量渗透率约60%，高于7月的38%；但7月光伏发电量约212845.47 MWh，高于5月的163851.67 MWh。其原因是7月用户用电量同步升高到562354.97 MWh，而5月为271920.09 MWh。分布式电源电量渗透率下降并不表示当月光伏发电量减少。</w:t>
      </w:r>
    </w:p>
    <w:p>
      <w:pPr>
        <w:pStyle w:val="2"/>
        <w:keepNext/>
        <w:spacing w:line="280" w:lineRule="exact" w:before="120" w:after="80"/>
        <w:ind w:firstLine="0"/>
        <w:jc w:val="center"/>
      </w:pPr>
      <w:r>
        <w:rPr>
          <w:rFonts w:ascii="Times New Roman" w:hAnsi="Times New Roman" w:eastAsia="宋体"/>
          <w:b w:val="0"/>
          <w:sz w:val="21"/>
        </w:rPr>
        <w:t xml:space="preserve">表3-17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直接对月度分布式电源电量渗透率作算术平均，会给用电量不同的月份相同权重，所得结果与季度电量之比不一定相同。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从储能配置看，较高分布式电源电量渗透率能够说明本地电源对年度用电的贡献，却不能直接确定储能额定功率和能量。储能定容还要识别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39" w:name="区域容量储备与重载设备并存"/>
      <w:r>
        <w:rPr>
          <w:rFonts w:ascii="Times New Roman" w:hAnsi="Times New Roman" w:eastAsia="方正仿宋_GBK"/>
          <w:b/>
          <w:sz w:val="26"/>
        </w:rPr>
        <w:t xml:space="preserve">3.8.3 区域容量储备与重载设备并存</w:t>
      </w:r>
      <w:bookmarkEnd w:id="139"/>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分子是公用主变总容量，不能反映容量具体分布在哪一座站。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也会改变停运后的剩余容量。两台等容量主变在N-1条件下只剩一半容量；增加一台主变后，即使正常运行负载率不高，N-1条件下的可用容量仍可能明显提高。因而，主变扩建的作用既包括增加总容量，也包括改变站内设备组合。第五章中弹性方案增加扩建项目、减少储能，需结合这一关系解释。</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联系各站峰值与区域同时峰值。系数大于1.00说明各站峰值不完全同时出现，区域峰值低于各站独立峰值之和；各站设备仍要承受本地高峰。该指标不能替代站级负载率，也不能单独说明负荷在地理空间上是否集中。本报告将负荷分散系数纳入专项敏感性分析，并结合站级负荷分配讨论容量配置。</w:t>
      </w:r>
    </w:p>
    <w:p>
      <w:pPr>
        <w:pStyle w:val="5"/>
        <w:keepNext/>
        <w:numPr>
          <w:numId w:val="0"/>
        </w:numPr>
        <w:spacing w:line="390" w:lineRule="exact" w:before="160" w:after="120"/>
        <w:ind w:firstLine="0"/>
      </w:pPr>
      <w:bookmarkStart w:id="140" w:name="两地区的容量规划重点"/>
      <w:r>
        <w:rPr>
          <w:rFonts w:ascii="Times New Roman" w:hAnsi="Times New Roman" w:eastAsia="方正仿宋_GBK"/>
          <w:b/>
          <w:sz w:val="26"/>
        </w:rPr>
        <w:t xml:space="preserve">3.8.4 两地区的容量规划重点</w:t>
      </w:r>
      <w:bookmarkEnd w:id="140"/>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MW。光伏规模和供电负荷同时发展，意味着规划不能只按照单向用电增长推算主变需求。日间反送较大的站点应结合本地负荷和电源位置安排容量，晚间正向高峰及主变N-1条件则继续决定供电储备。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不能脱离设备组合单独确定。</w:t>
      </w:r>
    </w:p>
    <w:p>
      <w:pPr>
        <w:pStyle w:val="3"/>
        <w:keepNext/>
        <w:pageBreakBefore/>
        <w:numPr>
          <w:numId w:val="0"/>
        </w:numPr>
        <w:spacing w:line="540" w:lineRule="exact" w:before="0" w:after="120"/>
        <w:ind w:firstLine="0"/>
      </w:pPr>
      <w:bookmarkStart w:id="1401" w:name="h401"/>
      <w:bookmarkStart w:id="141" w:name="第四章-基于实际工程的建设成本模型"/>
      <w:r>
        <w:rPr>
          <w:rFonts w:ascii="Times New Roman" w:hAnsi="Times New Roman" w:eastAsia="方正仿宋_GBK"/>
          <w:b/>
          <w:sz w:val="36"/>
        </w:rPr>
        <w:t xml:space="preserve">第四章 基于实际工程的建设成本模型</w:t>
      </w:r>
      <w:bookmarkEnd w:id="141"/>
      <w:bookmarkEnd w:id="1401"/>
    </w:p>
    <w:p>
      <w:pPr>
        <w:pStyle w:val="4"/>
        <w:keepNext/>
        <w:numPr>
          <w:numId w:val="0"/>
        </w:numPr>
        <w:spacing w:line="480" w:lineRule="exact" w:before="160" w:after="120"/>
        <w:ind w:firstLine="0"/>
      </w:pPr>
      <w:bookmarkStart w:id="1402" w:name="h402"/>
      <w:bookmarkStart w:id="142" w:name="成本模型的范围与建立原则"/>
      <w:r>
        <w:rPr>
          <w:rFonts w:ascii="Times New Roman" w:hAnsi="Times New Roman" w:eastAsia="方正仿宋_GBK"/>
          <w:b/>
          <w:sz w:val="32"/>
        </w:rPr>
        <w:t xml:space="preserve">4.1 成本模型的范围与建立原则</w:t>
      </w:r>
      <w:bookmarkEnd w:id="142"/>
      <w:bookmarkEnd w:id="1402"/>
    </w:p>
    <w:p>
      <w:pPr>
        <w:pStyle w:val="5"/>
        <w:keepNext/>
        <w:numPr>
          <w:numId w:val="0"/>
        </w:numPr>
        <w:spacing w:line="390" w:lineRule="exact" w:before="160" w:after="120"/>
        <w:ind w:firstLine="0"/>
      </w:pPr>
      <w:bookmarkStart w:id="143" w:name="建设改造措施与投资估算依据"/>
      <w:r>
        <w:rPr>
          <w:rFonts w:ascii="Times New Roman" w:hAnsi="Times New Roman" w:eastAsia="方正仿宋_GBK"/>
          <w:b/>
          <w:sz w:val="26"/>
        </w:rPr>
        <w:t xml:space="preserve">4.1.1 建设改造措施与投资估算依据</w:t>
      </w:r>
      <w:bookmarkEnd w:id="143"/>
    </w:p>
    <w:p>
      <w:pPr>
        <w:pStyle w:val="FirstParagraph"/>
        <w:widowControl/>
        <w:spacing w:line="348" w:lineRule="exact" w:before="0" w:after="0"/>
        <w:ind w:firstLine="480"/>
        <w:jc w:val="both"/>
      </w:pPr>
      <w:r>
        <w:rPr>
          <w:rFonts w:ascii="Times New Roman" w:hAnsi="Times New Roman" w:eastAsia="方正仿宋_GBK"/>
          <w:b w:val="0"/>
          <w:sz w:val="24"/>
        </w:rPr>
        <w:t xml:space="preserve">本研究比较新增主变、储能与10 kV联络措施的增量费用。根据分年度建设改造规模，按对应工程造价计算投资。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估算包括设备及配套建设，储能价格取成套采购及安装项目，线路价格取公开规划造价。线路成本系数、储能及主变价格倍数分别用于敏感性分析，工程范围差异在应用时另行核定[85][87][86]。</w:t>
      </w:r>
    </w:p>
    <w:p>
      <w:pPr>
        <w:pStyle w:val="5"/>
        <w:keepNext/>
        <w:numPr>
          <w:numId w:val="0"/>
        </w:numPr>
        <w:spacing w:line="390" w:lineRule="exact" w:before="160" w:after="120"/>
        <w:ind w:firstLine="0"/>
      </w:pPr>
      <w:bookmarkStart w:id="144" w:name="投资运维与更新"/>
      <w:r>
        <w:rPr>
          <w:rFonts w:ascii="Times New Roman" w:hAnsi="Times New Roman" w:eastAsia="方正仿宋_GBK"/>
          <w:b/>
          <w:sz w:val="26"/>
        </w:rPr>
        <w:t xml:space="preserve">4.1.2 投资、运维与更新</w:t>
      </w:r>
      <w:bookmarkEnd w:id="144"/>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截止于2041年。新增工程在投运年发生初始投资，次年起计固定运维；设备达到设定寿命且评价期尚需服务时，按同等实价更新。不同寿命的措施以同一现金流边界比较[10][11][12]。</w:t>
      </w:r>
    </w:p>
    <w:p>
      <w:pPr>
        <w:pStyle w:val="2"/>
        <w:widowControl/>
        <w:spacing w:line="348" w:lineRule="exact" w:before="0" w:after="0"/>
        <w:ind w:firstLine="480"/>
        <w:jc w:val="both"/>
      </w:pPr>
      <w:r>
        <w:rPr>
          <w:rFonts w:ascii="Times New Roman" w:hAnsi="Times New Roman" w:eastAsia="方正仿宋_GBK"/>
          <w:b w:val="0"/>
          <w:sz w:val="24"/>
        </w:rPr>
        <w:t xml:space="preserve">按项目经济评价边界，主变和线路寿命均取40年，储能取25年；变电和线路固定运维率显示约为初始投资的4%/年、2%/年，计算分别保留系数0.042、0.022。储能固定运维率取3%/年，折现率取6%。费用采用初始投资、年度运维和设备更新分项折现的方法[10,11,12]，各项取值作为两类方案的统一经济比较参数。评价截止年为2041年，两类方案采用相同参数。</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现值法；统一资金时间价值参数[10,11,12]</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初始投资4%/年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按初始投资比例估算年度运维[11]</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初始投资2%/年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按初始投资比例估算年度运维[12]</w:t>
            </w:r>
          </w:p>
        </w:tc>
      </w:tr>
      <w:tr>
        <w:trPr>
          <w:cantSplit/>
        </w:trPr>
        <w:tc>
          <w:tcPr>
            <w:tcW w:type="dxa" w:w="216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初始投资3%/年</w:t>
            </w:r>
          </w:p>
        </w:tc>
        <w:tc>
          <w:tcPr>
            <w:tcW w:type="dxa" w:w="382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45" w:name="增量比较的适用范围"/>
      <w:r>
        <w:rPr>
          <w:rFonts w:ascii="Times New Roman" w:hAnsi="Times New Roman" w:eastAsia="方正仿宋_GBK"/>
          <w:b/>
          <w:sz w:val="26"/>
        </w:rPr>
        <w:t xml:space="preserve">4.1.3 增量比较的适用范围</w:t>
      </w:r>
      <w:bookmarkEnd w:id="145"/>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基期按仿真设备结构确定容量，年网供最大负荷统一标定到容载比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pPr>
        <w:pStyle w:val="4"/>
        <w:keepNext/>
        <w:numPr>
          <w:numId w:val="0"/>
        </w:numPr>
        <w:spacing w:line="480" w:lineRule="exact" w:before="160" w:after="120"/>
        <w:ind w:firstLine="0"/>
      </w:pPr>
      <w:bookmarkStart w:id="1414" w:name="h414"/>
      <w:bookmarkStart w:id="146" w:name="主变工程成本系数"/>
      <w:r>
        <w:rPr>
          <w:rFonts w:ascii="Times New Roman" w:hAnsi="Times New Roman" w:eastAsia="方正仿宋_GBK"/>
          <w:b/>
          <w:sz w:val="32"/>
        </w:rPr>
        <w:t xml:space="preserve">4.2 主变工程成本系数</w:t>
      </w:r>
      <w:bookmarkEnd w:id="146"/>
      <w:bookmarkEnd w:id="1414"/>
    </w:p>
    <w:p>
      <w:pPr>
        <w:pStyle w:val="5"/>
        <w:keepNext/>
        <w:numPr>
          <w:numId w:val="0"/>
        </w:numPr>
        <w:spacing w:line="390" w:lineRule="exact" w:before="160" w:after="120"/>
        <w:ind w:firstLine="0"/>
      </w:pPr>
      <w:bookmarkStart w:id="147" w:name="替换工程案例"/>
      <w:r>
        <w:rPr>
          <w:rFonts w:ascii="Times New Roman" w:hAnsi="Times New Roman" w:eastAsia="方正仿宋_GBK"/>
          <w:b/>
          <w:sz w:val="26"/>
        </w:rPr>
        <w:t xml:space="preserve">4.2.1 替换工程案例</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两个案例采购容量分别为50 MVA和100 MVA，容量净增分别为30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被替换主变容量/MVA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1335</w:t>
            </w:r>
          </w:p>
        </w:tc>
      </w:tr>
    </w:tbl>
    <w:p>
      <w:pPr>
        <w:pStyle w:val="5"/>
        <w:keepNext/>
        <w:numPr>
          <w:numId w:val="0"/>
        </w:numPr>
        <w:spacing w:line="390" w:lineRule="exact" w:before="160" w:after="120"/>
        <w:ind w:firstLine="0"/>
      </w:pPr>
      <w:bookmarkStart w:id="148" w:name="采购容量加权系数"/>
      <w:r>
        <w:rPr>
          <w:rFonts w:ascii="Times New Roman" w:hAnsi="Times New Roman" w:eastAsia="方正仿宋_GBK"/>
          <w:b/>
          <w:sz w:val="26"/>
        </w:rPr>
        <w:t xml:space="preserve">4.2.2 采购容量加权系数</w:t>
      </w:r>
      <w:bookmarkEnd w:id="148"/>
    </w:p>
    <w:p>
      <w:pPr>
        <w:pStyle w:val="FirstParagraph"/>
        <w:widowControl/>
        <w:spacing w:line="348" w:lineRule="exact" w:before="0" w:after="0"/>
        <w:ind w:firstLine="480"/>
        <w:jc w:val="both"/>
      </w:pPr>
      <w:r>
        <w:rPr>
          <w:rFonts w:ascii="Times New Roman" w:hAnsi="Times New Roman" w:eastAsia="方正仿宋_GBK"/>
          <w:b w:val="0"/>
          <w:sz w:val="24"/>
        </w:rPr>
        <w:t xml:space="preserve">替换工程系数按两个案例静态投资之和除以新购铭牌容量之和计算，使用采购容量加权。参考系数按式（4-1）计算。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c</m:t>
                    </m:r>
                  </m:e>
                  <m:sub>
                    <m:r>
                      <m:t>T</m:t>
                    </m:r>
                  </m:sub>
                </m:sSub>
                <m:r>
                  <m:t>=</m:t>
                </m:r>
                <m:f>
                  <m:fPr>
                    <m:type m:val="bar"/>
                  </m:fPr>
                  <m:num>
                    <m:r>
                      <m:t>1151</m:t>
                    </m:r>
                    <m:r>
                      <m:t>+</m:t>
                    </m:r>
                    <m:r>
                      <m:t>1335</m:t>
                    </m:r>
                  </m:num>
                  <m:den>
                    <m:r>
                      <m:t>50</m:t>
                    </m:r>
                    <m:r>
                      <m:t>+</m:t>
                    </m:r>
                    <m:r>
                      <m:t>100</m:t>
                    </m:r>
                  </m:den>
                </m:f>
                <m:r>
                  <m:t>≈</m:t>
                </m:r>
                <m:r>
                  <m:t>16.57</m:t>
                </m:r>
                <m:r>
                  <m:t> </m:t>
                </m:r>
                <m:r>
                  <m:rPr>
                    <m:nor/>
                    <m:sty m:val="p"/>
                  </m:rPr>
                  <m:t>万元/MVA</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c</m:t>
            </m:r>
          </m:e>
          <m:sub>
            <m: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5"/>
        <w:keepNext/>
        <w:numPr>
          <w:numId w:val="0"/>
        </w:numPr>
        <w:spacing w:line="390" w:lineRule="exact" w:before="160" w:after="120"/>
        <w:ind w:firstLine="0"/>
      </w:pPr>
      <w:bookmarkStart w:id="149" w:name="净增容量与工程费用"/>
      <w:r>
        <w:rPr>
          <w:rFonts w:ascii="Times New Roman" w:hAnsi="Times New Roman" w:eastAsia="方正仿宋_GBK"/>
          <w:b/>
          <w:sz w:val="26"/>
        </w:rPr>
        <w:t xml:space="preserve">4.2.3 净增容量与工程费用</w:t>
      </w:r>
      <w:bookmarkEnd w:id="149"/>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t>i</m:t>
        </m:r>
      </m:oMath>
      <w:r>
        <w:rPr>
          <w:rFonts w:ascii="Times New Roman" w:hAnsi="Times New Roman" w:eastAsia="方正仿宋_GBK"/>
          <w:b w:val="0"/>
          <w:sz w:val="24"/>
        </w:rPr>
        <w:t xml:space="preserve">、主变安装位置</w:t>
      </w:r>
      <m:oMath>
        <m:r>
          <m:t>k</m:t>
        </m:r>
      </m:oMath>
      <w:r>
        <w:rPr>
          <w:rFonts w:ascii="Times New Roman" w:hAnsi="Times New Roman" w:eastAsia="方正仿宋_GBK"/>
          <w:b w:val="0"/>
          <w:sz w:val="24"/>
        </w:rPr>
        <w:t xml:space="preserve">、投运年份</w:t>
      </w:r>
      <m:oMath>
        <m:r>
          <m:t>y</m:t>
        </m:r>
      </m:oMath>
      <w:r>
        <w:rPr>
          <w:rFonts w:ascii="Times New Roman" w:hAnsi="Times New Roman" w:eastAsia="方正仿宋_GBK"/>
          <w:b w:val="0"/>
          <w:sz w:val="24"/>
        </w:rPr>
        <w:t xml:space="preserve">，若容量由</w:t>
      </w:r>
      <m:oMath>
        <m:sSup>
          <m:e>
            <m:r>
              <m:t>S</m:t>
            </m:r>
          </m:e>
          <m:sup>
            <m:r>
              <m:rPr>
                <m:sty m:val="p"/>
              </m:rPr>
              <m:t>o</m:t>
            </m:r>
            <m:r>
              <m:rPr>
                <m:sty m:val="p"/>
              </m:rPr>
              <m:t>l</m:t>
            </m:r>
            <m:r>
              <m:rPr>
                <m:sty m:val="p"/>
              </m:rPr>
              <m:t>d</m:t>
            </m:r>
          </m:sup>
        </m:sSup>
      </m:oMath>
      <w:r>
        <w:rPr>
          <w:rFonts w:ascii="Times New Roman" w:hAnsi="Times New Roman" w:eastAsia="方正仿宋_GBK"/>
          <w:b w:val="0"/>
          <w:sz w:val="24"/>
        </w:rPr>
        <w:t xml:space="preserve">更换为</w:t>
      </w:r>
      <m:oMath>
        <m:sSup>
          <m:e>
            <m:r>
              <m:t>S</m:t>
            </m:r>
          </m:e>
          <m:sup>
            <m:r>
              <m:rPr>
                <m:sty m:val="p"/>
              </m:rPr>
              <m:t>n</m:t>
            </m:r>
            <m:r>
              <m:rPr>
                <m:sty m:val="p"/>
              </m:rPr>
              <m:t>e</m:t>
            </m:r>
            <m:r>
              <m:rPr>
                <m:sty m:val="p"/>
              </m:rPr>
              <m:t>w</m:t>
            </m:r>
          </m:sup>
        </m:sSup>
      </m:oMath>
      <w:r>
        <w:rPr>
          <w:rFonts w:ascii="Times New Roman" w:hAnsi="Times New Roman" w:eastAsia="方正仿宋_GBK"/>
          <w:b w:val="0"/>
          <w:sz w:val="24"/>
        </w:rPr>
        <w:t xml:space="preserve">，工程投资按</w:t>
      </w:r>
      <m:oMath>
        <m:sSub>
          <m:e>
            <m:r>
              <m:t>c</m:t>
            </m:r>
          </m:e>
          <m:sub>
            <m:r>
              <m:t>T</m:t>
            </m:r>
          </m:sub>
        </m:sSub>
        <m:sSup>
          <m:e>
            <m:r>
              <m:t>S</m:t>
            </m:r>
          </m:e>
          <m:sup>
            <m:r>
              <m:rPr>
                <m:sty m:val="p"/>
              </m:rPr>
              <m:t>n</m:t>
            </m:r>
            <m:r>
              <m:rPr>
                <m:sty m:val="p"/>
              </m:rPr>
              <m:t>e</m:t>
            </m:r>
            <m:r>
              <m:rPr>
                <m:sty m:val="p"/>
              </m:rPr>
              <m:t>w</m:t>
            </m:r>
          </m:sup>
        </m:sSup>
      </m:oMath>
      <w:r>
        <w:rPr>
          <w:rFonts w:ascii="Times New Roman" w:hAnsi="Times New Roman" w:eastAsia="方正仿宋_GBK"/>
          <w:b w:val="0"/>
          <w:sz w:val="24"/>
        </w:rPr>
        <w:t xml:space="preserve">计取。设备容量增加</w:t>
      </w:r>
      <m:oMath>
        <m:sSup>
          <m:e>
            <m:r>
              <m:t>S</m:t>
            </m:r>
          </m:e>
          <m:sup>
            <m:r>
              <m:rPr>
                <m:sty m:val="p"/>
              </m:rPr>
              <m:t>n</m:t>
            </m:r>
            <m:r>
              <m:rPr>
                <m:sty m:val="p"/>
              </m:rPr>
              <m:t>e</m:t>
            </m:r>
            <m:r>
              <m:rPr>
                <m:sty m:val="p"/>
              </m:rPr>
              <m:t>w</m:t>
            </m:r>
          </m:sup>
        </m:sSup>
        <m:r>
          <m:t>−</m:t>
        </m:r>
        <m:sSup>
          <m:e>
            <m:r>
              <m:t>S</m:t>
            </m:r>
          </m:e>
          <m:sup>
            <m:r>
              <m:rPr>
                <m:sty m:val="p"/>
              </m:rPr>
              <m:t>o</m:t>
            </m:r>
            <m:r>
              <m:rPr>
                <m:sty m:val="p"/>
              </m:rPr>
              <m:t>l</m:t>
            </m:r>
            <m:r>
              <m:rPr>
                <m:sty m:val="p"/>
              </m: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I</m:t>
                          </m:r>
                        </m:e>
                        <m:sub>
                          <m:r>
                            <m:t>T</m:t>
                          </m:r>
                          <m:r>
                            <m:t>,</m:t>
                          </m:r>
                          <m:r>
                            <m:t>i</m:t>
                          </m:r>
                          <m:r>
                            <m:t>k</m:t>
                          </m:r>
                          <m:r>
                            <m:t>y</m:t>
                          </m:r>
                        </m:sub>
                      </m:sSub>
                    </m:e>
                    <m:e>
                      <m:r>
                        <m:t>=</m:t>
                      </m:r>
                      <m:sSub>
                        <m:e>
                          <m:r>
                            <m:t>c</m:t>
                          </m:r>
                        </m:e>
                        <m:sub>
                          <m:r>
                            <m:t>T</m:t>
                          </m:r>
                        </m:sub>
                      </m:sSub>
                      <m:sSubSup>
                        <m:e>
                          <m:r>
                            <m:t>S</m:t>
                          </m:r>
                        </m:e>
                        <m:sub>
                          <m:r>
                            <m:t>i</m:t>
                          </m:r>
                          <m:r>
                            <m:t>k</m:t>
                          </m:r>
                          <m:r>
                            <m:t>y</m:t>
                          </m:r>
                        </m:sub>
                        <m:sup>
                          <m:r>
                            <m:rPr>
                              <m:sty m:val="p"/>
                            </m:rPr>
                            <m:t>n</m:t>
                          </m:r>
                          <m:r>
                            <m:rPr>
                              <m:sty m:val="p"/>
                            </m:rPr>
                            <m:t>e</m:t>
                          </m:r>
                          <m:r>
                            <m:rPr>
                              <m:sty m:val="p"/>
                            </m:rPr>
                            <m:t>w</m:t>
                          </m:r>
                        </m:sup>
                      </m:sSubSup>
                      <m:r>
                        <m:t> </m:t>
                      </m:r>
                      <m:sSub>
                        <m:e>
                          <m:r>
                            <m:t>z</m:t>
                          </m:r>
                        </m:e>
                        <m:sub>
                          <m:r>
                            <m:t>i</m:t>
                          </m:r>
                          <m:r>
                            <m:t>k</m:t>
                          </m:r>
                          <m:r>
                            <m:t>y</m:t>
                          </m:r>
                        </m:sub>
                      </m:sSub>
                    </m:e>
                  </m:mr>
                  <m:mr>
                    <m:e>
                      <m:r>
                        <m:t>Δ</m:t>
                      </m:r>
                      <m:sSub>
                        <m:e>
                          <m:r>
                            <m:t>S</m:t>
                          </m:r>
                        </m:e>
                        <m:sub>
                          <m:r>
                            <m:t>i</m:t>
                          </m:r>
                          <m:r>
                            <m:t>k</m:t>
                          </m:r>
                          <m:r>
                            <m:t>y</m:t>
                          </m:r>
                        </m:sub>
                      </m:sSub>
                    </m:e>
                    <m:e>
                      <m:r>
                        <m:t>=</m:t>
                      </m:r>
                      <m:d>
                        <m:dPr>
                          <m:begChr m:val="("/>
                          <m:endChr m:val=")"/>
                          <m:grow/>
                        </m:dPr>
                        <m:e>
                          <m:sSubSup>
                            <m:e>
                              <m:r>
                                <m:t>S</m:t>
                              </m:r>
                            </m:e>
                            <m:sub>
                              <m:r>
                                <m:t>i</m:t>
                              </m:r>
                              <m:r>
                                <m:t>k</m:t>
                              </m:r>
                              <m:r>
                                <m:t>y</m:t>
                              </m:r>
                            </m:sub>
                            <m:sup>
                              <m:r>
                                <m:rPr>
                                  <m:sty m:val="p"/>
                                </m:rPr>
                                <m:t>n</m:t>
                              </m:r>
                              <m:r>
                                <m:rPr>
                                  <m:sty m:val="p"/>
                                </m:rPr>
                                <m:t>e</m:t>
                              </m:r>
                              <m:r>
                                <m:rPr>
                                  <m:sty m:val="p"/>
                                </m:rPr>
                                <m:t>w</m:t>
                              </m:r>
                            </m:sup>
                          </m:sSubSup>
                          <m:r>
                            <m:t>−</m:t>
                          </m:r>
                          <m:sSubSup>
                            <m:e>
                              <m:r>
                                <m:t>S</m:t>
                              </m:r>
                            </m:e>
                            <m:sub>
                              <m:r>
                                <m:t>i</m:t>
                              </m:r>
                              <m:r>
                                <m:t>k</m:t>
                              </m:r>
                              <m:r>
                                <m:t>,</m:t>
                              </m:r>
                              <m:r>
                                <m:t>y</m:t>
                              </m:r>
                              <m:r>
                                <m:t>−</m:t>
                              </m:r>
                              <m:r>
                                <m:t>1</m:t>
                              </m:r>
                            </m:sub>
                            <m:sup>
                              <m:r>
                                <m:rPr>
                                  <m:sty m:val="p"/>
                                </m:rPr>
                                <m:t>o</m:t>
                              </m:r>
                              <m:r>
                                <m:rPr>
                                  <m:sty m:val="p"/>
                                </m:rPr>
                                <m:t>l</m:t>
                              </m:r>
                              <m:r>
                                <m:rPr>
                                  <m:sty m:val="p"/>
                                </m:rPr>
                                <m:t>d</m:t>
                              </m:r>
                            </m:sup>
                          </m:sSubSup>
                        </m:e>
                      </m:d>
                      <m:sSub>
                        <m:e>
                          <m:r>
                            <m:t>z</m:t>
                          </m:r>
                        </m:e>
                        <m:sub>
                          <m:r>
                            <m:t>i</m:t>
                          </m:r>
                          <m:r>
                            <m:t>k</m:t>
                          </m:r>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为站号，</w:t>
      </w:r>
      <m:oMath>
        <m:r>
          <m:t>k</m:t>
        </m:r>
      </m:oMath>
      <w:r>
        <w:rPr>
          <w:rFonts w:ascii="Times New Roman" w:hAnsi="Times New Roman" w:eastAsia="方正仿宋_GBK"/>
          <w:b w:val="0"/>
          <w:sz w:val="24"/>
        </w:rPr>
        <w:t xml:space="preserve">为主变安装位置，</w:t>
      </w:r>
      <m:oMath>
        <m:r>
          <m:t>y</m:t>
        </m:r>
      </m:oMath>
      <w:r>
        <w:rPr>
          <w:rFonts w:ascii="Times New Roman" w:hAnsi="Times New Roman" w:eastAsia="方正仿宋_GBK"/>
          <w:b w:val="0"/>
          <w:sz w:val="24"/>
        </w:rPr>
        <w:t xml:space="preserve">为投运年份；</w:t>
      </w:r>
      <m:oMath>
        <m:sSub>
          <m:e>
            <m:r>
              <m:t>I</m:t>
            </m:r>
          </m:e>
          <m:sub>
            <m:r>
              <m:t>T</m:t>
            </m:r>
            <m:r>
              <m:t>,</m:t>
            </m:r>
            <m:r>
              <m:t>i</m:t>
            </m:r>
            <m:r>
              <m:t>k</m:t>
            </m:r>
            <m:r>
              <m:t>y</m:t>
            </m:r>
          </m:sub>
        </m:sSub>
      </m:oMath>
      <w:r>
        <w:rPr>
          <w:rFonts w:ascii="Times New Roman" w:hAnsi="Times New Roman" w:eastAsia="方正仿宋_GBK"/>
          <w:b w:val="0"/>
          <w:sz w:val="24"/>
        </w:rPr>
        <w:t xml:space="preserve">为更换投资，单位万元；</w:t>
      </w:r>
      <m:oMath>
        <m:sSub>
          <m:e>
            <m:r>
              <m:t>c</m:t>
            </m:r>
          </m:e>
          <m:sub>
            <m:r>
              <m:t>T</m:t>
            </m:r>
          </m:sub>
        </m:sSub>
      </m:oMath>
      <w:r>
        <w:rPr>
          <w:rFonts w:ascii="Times New Roman" w:hAnsi="Times New Roman" w:eastAsia="方正仿宋_GBK"/>
          <w:b w:val="0"/>
          <w:sz w:val="24"/>
        </w:rPr>
        <w:t xml:space="preserve">为单位采购容量工程投资，单位万元/MVA；</w:t>
      </w:r>
      <m:oMath>
        <m:sSubSup>
          <m:e>
            <m:r>
              <m:t>S</m:t>
            </m:r>
          </m:e>
          <m:sub>
            <m:r>
              <m:t>i</m:t>
            </m:r>
            <m:r>
              <m:t>k</m:t>
            </m:r>
            <m:r>
              <m:t>y</m:t>
            </m:r>
          </m:sub>
          <m:sup>
            <m:r>
              <m:rPr>
                <m:sty m:val="p"/>
              </m:rPr>
              <m:t>n</m:t>
            </m:r>
            <m:r>
              <m:rPr>
                <m:sty m:val="p"/>
              </m:rPr>
              <m:t>e</m:t>
            </m:r>
            <m:r>
              <m:rPr>
                <m:sty m:val="p"/>
              </m:rPr>
              <m:t>w</m:t>
            </m:r>
          </m:sup>
        </m:sSubSup>
      </m:oMath>
      <w:r>
        <w:rPr>
          <w:rFonts w:ascii="Times New Roman" w:hAnsi="Times New Roman" w:eastAsia="方正仿宋_GBK"/>
          <w:b w:val="0"/>
          <w:sz w:val="24"/>
        </w:rPr>
        <w:t xml:space="preserve">和</w:t>
      </w:r>
      <m:oMath>
        <m:sSubSup>
          <m:e>
            <m:r>
              <m:t>S</m:t>
            </m:r>
          </m:e>
          <m:sub>
            <m:r>
              <m:t>i</m:t>
            </m:r>
            <m:r>
              <m:t>k</m:t>
            </m:r>
            <m:r>
              <m:t>,</m:t>
            </m:r>
            <m:r>
              <m:t>y</m:t>
            </m:r>
            <m:r>
              <m:t>−</m:t>
            </m:r>
            <m:r>
              <m:t>1</m:t>
            </m:r>
          </m:sub>
          <m:sup>
            <m:r>
              <m:rPr>
                <m:sty m:val="p"/>
              </m:rPr>
              <m:t>o</m:t>
            </m:r>
            <m:r>
              <m:rPr>
                <m:sty m:val="p"/>
              </m:rPr>
              <m:t>l</m:t>
            </m:r>
            <m:r>
              <m:rPr>
                <m:sty m:val="p"/>
              </m:rPr>
              <m:t>d</m:t>
            </m:r>
          </m:sup>
        </m:sSubSup>
      </m:oMath>
      <w:r>
        <w:rPr>
          <w:rFonts w:ascii="Times New Roman" w:hAnsi="Times New Roman" w:eastAsia="方正仿宋_GBK"/>
          <w:b w:val="0"/>
          <w:sz w:val="24"/>
        </w:rPr>
        <w:t xml:space="preserve">分别为更换后、更换前容量，</w:t>
      </w:r>
      <m:oMath>
        <m:r>
          <m:t>Δ</m:t>
        </m:r>
        <m:sSub>
          <m:e>
            <m:r>
              <m:t>S</m:t>
            </m:r>
          </m:e>
          <m:sub>
            <m:r>
              <m:t>i</m:t>
            </m:r>
            <m:r>
              <m:t>k</m:t>
            </m:r>
            <m:r>
              <m:t>y</m:t>
            </m:r>
          </m:sub>
        </m:sSub>
      </m:oMath>
      <w:r>
        <w:rPr>
          <w:rFonts w:ascii="Times New Roman" w:hAnsi="Times New Roman" w:eastAsia="方正仿宋_GBK"/>
          <w:b w:val="0"/>
          <w:sz w:val="24"/>
        </w:rPr>
        <w:t xml:space="preserve">为容量净增，单位MVA；</w:t>
      </w:r>
      <m:oMath>
        <m:sSub>
          <m:e>
            <m:r>
              <m:t>z</m:t>
            </m:r>
          </m:e>
          <m:sub>
            <m:r>
              <m:t>i</m:t>
            </m:r>
            <m:r>
              <m:t>k</m:t>
            </m:r>
            <m: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50" w:name="主变扩建"/>
      <w:r>
        <w:rPr>
          <w:rFonts w:ascii="Times New Roman" w:hAnsi="Times New Roman" w:eastAsia="方正仿宋_GBK"/>
          <w:b/>
          <w:sz w:val="26"/>
        </w:rPr>
        <w:t xml:space="preserve">4.2.4 主变扩建</w:t>
      </w:r>
      <w:bookmarkEnd w:id="150"/>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T</m:t>
                    </m:r>
                    <m:r>
                      <m:t>,</m:t>
                    </m:r>
                    <m:r>
                      <m:rPr>
                        <m:sty m:val="p"/>
                      </m:rPr>
                      <m:t>e</m:t>
                    </m:r>
                    <m:r>
                      <m:rPr>
                        <m:sty m:val="p"/>
                      </m:rPr>
                      <m:t>x</m:t>
                    </m:r>
                    <m:r>
                      <m:rPr>
                        <m:sty m:val="p"/>
                      </m:rPr>
                      <m:t>p</m:t>
                    </m:r>
                  </m:sub>
                </m:sSub>
                <m:r>
                  <m:t>=</m:t>
                </m:r>
                <m:f>
                  <m:fPr>
                    <m:type m:val="bar"/>
                  </m:fPr>
                  <m:num>
                    <m:r>
                      <m:t>1206</m:t>
                    </m:r>
                    <m:r>
                      <m:t>+</m:t>
                    </m:r>
                    <m:r>
                      <m:t>1240</m:t>
                    </m:r>
                  </m:num>
                  <m:den>
                    <m:r>
                      <m:t>2</m:t>
                    </m:r>
                  </m:den>
                </m:f>
                <m:r>
                  <m:t>=</m:t>
                </m:r>
                <m:r>
                  <m:t>1223</m:t>
                </m:r>
                <m:r>
                  <m:t> </m:t>
                </m:r>
                <m:r>
                  <m:rPr>
                    <m:nor/>
                    <m:sty m:val="p"/>
                  </m:rPr>
                  <m:t>万元/项</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T</m:t>
            </m:r>
            <m:r>
              <m:t>,</m:t>
            </m:r>
            <m:r>
              <m:rPr>
                <m:sty m:val="p"/>
              </m:rPr>
              <m:t>e</m:t>
            </m:r>
            <m:r>
              <m:rPr>
                <m:sty m:val="p"/>
              </m:rPr>
              <m:t>x</m:t>
            </m:r>
            <m:r>
              <m:rPr>
                <m:sty m:val="p"/>
              </m: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主变扩建按1223万元/项计费，包含增加台数及相应配套工程。主变扩建适用于具备预留位置的站点。</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pPr>
        <w:pStyle w:val="4"/>
        <w:keepNext/>
        <w:numPr>
          <w:numId w:val="0"/>
        </w:numPr>
        <w:spacing w:line="480" w:lineRule="exact" w:before="160" w:after="120"/>
        <w:ind w:firstLine="0"/>
      </w:pPr>
      <w:bookmarkStart w:id="1433" w:name="h433"/>
      <w:bookmarkStart w:id="151" w:name="kv联络工程费用"/>
      <w:r>
        <w:rPr>
          <w:rFonts w:ascii="Times New Roman" w:hAnsi="Times New Roman" w:eastAsia="方正仿宋_GBK"/>
          <w:b/>
          <w:sz w:val="32"/>
        </w:rPr>
        <w:t xml:space="preserve">4.3 10 kV联络工程费用</w:t>
      </w:r>
      <w:bookmarkEnd w:id="151"/>
      <w:bookmarkEnd w:id="1433"/>
    </w:p>
    <w:p>
      <w:pPr>
        <w:pStyle w:val="5"/>
        <w:keepNext/>
        <w:numPr>
          <w:numId w:val="0"/>
        </w:numPr>
        <w:spacing w:line="390" w:lineRule="exact" w:before="160" w:after="120"/>
        <w:ind w:firstLine="0"/>
      </w:pPr>
      <w:bookmarkStart w:id="152" w:name="参考工程及单位造价"/>
      <w:r>
        <w:rPr>
          <w:rFonts w:ascii="Times New Roman" w:hAnsi="Times New Roman" w:eastAsia="方正仿宋_GBK"/>
          <w:b/>
          <w:sz w:val="26"/>
        </w:rPr>
        <w:t xml:space="preserve">4.3.1 参考工程及单位造价</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[87]。电缆采用含电气和土建的综合参考价180万元/km，其中土建按差额60万元/km计入研究费用。电缆工程投资范围包含电气安装及配套土建，徐州10 kV线路迁改工程公开建设内容亦包括相应电缆及通道工程[88]。</w:t>
      </w:r>
    </w:p>
    <w:p>
      <w:pPr>
        <w:pStyle w:val="5"/>
        <w:keepNext/>
        <w:numPr>
          <w:numId w:val="0"/>
        </w:numPr>
        <w:spacing w:line="390" w:lineRule="exact" w:before="160" w:after="120"/>
        <w:ind w:firstLine="0"/>
      </w:pPr>
      <w:bookmarkStart w:id="153" w:name="线路成本系数"/>
      <w:r>
        <w:rPr>
          <w:rFonts w:ascii="Times New Roman" w:hAnsi="Times New Roman" w:eastAsia="方正仿宋_GBK"/>
          <w:b/>
          <w:sz w:val="26"/>
        </w:rPr>
        <w:t xml:space="preserve">4.3.2 线路成本系数</w:t>
      </w:r>
      <w:bookmarkEnd w:id="153"/>
    </w:p>
    <w:p>
      <w:pPr>
        <w:pStyle w:val="FirstParagraph"/>
        <w:widowControl/>
        <w:spacing w:line="348" w:lineRule="exact" w:before="0" w:after="0"/>
        <w:ind w:firstLine="480"/>
        <w:jc w:val="both"/>
      </w:pPr>
      <w:r>
        <w:rPr>
          <w:rFonts w:ascii="Times New Roman" w:hAnsi="Times New Roman" w:eastAsia="方正仿宋_GBK"/>
          <w:b w:val="0"/>
          <w:sz w:val="24"/>
        </w:rPr>
        <w:t xml:space="preserve">线路造价以架空参考基价24万元/km为基准，定义线路成本系数</w:t>
      </w:r>
      <m:oMath>
        <m:sSub>
          <m:e>
            <m:r>
              <m:t>k</m:t>
            </m:r>
          </m:e>
          <m:sub>
            <m:r>
              <m:t>L</m:t>
            </m:r>
          </m:sub>
        </m:sSub>
      </m:oMath>
      <w:r>
        <w:rPr>
          <w:rFonts w:ascii="Times New Roman" w:hAnsi="Times New Roman" w:eastAsia="方正仿宋_GBK"/>
          <w:b w:val="0"/>
          <w:sz w:val="24"/>
        </w:rPr>
        <w:t xml:space="preserve">。若电缆长度占比为</w:t>
      </w:r>
      <m:oMath>
        <m:r>
          <m:t>α</m:t>
        </m:r>
      </m:oMath>
      <w:r>
        <w:rPr>
          <w:rFonts w:ascii="Times New Roman" w:hAnsi="Times New Roman" w:eastAsia="方正仿宋_GBK"/>
          <w:b w:val="0"/>
          <w:sz w:val="24"/>
        </w:rPr>
        <w:t xml:space="preserve">，电缆综合参考价为180万元/km，则单位长度综合费用为</w:t>
      </w:r>
      <m:oMath>
        <m:r>
          <m:t>24</m:t>
        </m:r>
        <m:r>
          <m:t>(</m:t>
        </m:r>
        <m:r>
          <m:t>1</m:t>
        </m:r>
        <m:r>
          <m:t>−</m:t>
        </m:r>
        <m:r>
          <m:t>α</m:t>
        </m:r>
        <m:r>
          <m:t>)</m:t>
        </m:r>
        <m:r>
          <m:t>+</m:t>
        </m:r>
        <m:r>
          <m:t>180</m:t>
        </m:r>
        <m:r>
          <m:t>α</m:t>
        </m:r>
      </m:oMath>
      <w:r>
        <w:rPr>
          <w:rFonts w:ascii="Times New Roman" w:hAnsi="Times New Roman" w:eastAsia="方正仿宋_GBK"/>
          <w:b w:val="0"/>
          <w:sz w:val="24"/>
        </w:rPr>
        <w:t xml:space="preserve">，对应</w:t>
      </w:r>
      <m:oMath>
        <m:sSub>
          <m:e>
            <m:r>
              <m:t>k</m:t>
            </m:r>
          </m:e>
          <m:sub>
            <m:r>
              <m:t>L</m:t>
            </m:r>
          </m:sub>
        </m:sSub>
        <m:r>
          <m:t>=</m:t>
        </m:r>
        <m:r>
          <m:t>1</m:t>
        </m:r>
        <m:r>
          <m:t>+</m:t>
        </m:r>
        <m:r>
          <m:t>6.5</m:t>
        </m:r>
        <m:r>
          <m:t>α</m:t>
        </m:r>
      </m:oMath>
      <w:r>
        <w:rPr>
          <w:rFonts w:ascii="Times New Roman" w:hAnsi="Times New Roman" w:eastAsia="方正仿宋_GBK"/>
          <w:b w:val="0"/>
          <w:sz w:val="24"/>
        </w:rPr>
        <w:t xml:space="preserve">。系数也可按实际工程单位长度造价与基价之比确定。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L</m:t>
                    </m:r>
                  </m:sub>
                </m:sSub>
                <m:r>
                  <m:t>=</m:t>
                </m:r>
                <m:r>
                  <m:t>24</m:t>
                </m:r>
                <m:r>
                  <m:t>L</m:t>
                </m:r>
                <m:sSub>
                  <m:e>
                    <m:r>
                      <m:t>k</m:t>
                    </m:r>
                  </m:e>
                  <m:sub>
                    <m:r>
                      <m:t>L</m:t>
                    </m:r>
                  </m:sub>
                </m:sSub>
                <m:r>
                  <m:t>+</m:t>
                </m:r>
                <m:r>
                  <m:t>6</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L</m:t>
            </m:r>
          </m:sub>
        </m:sSub>
      </m:oMath>
      <w:r>
        <w:rPr>
          <w:rFonts w:ascii="Times New Roman" w:hAnsi="Times New Roman" w:eastAsia="方正仿宋_GBK"/>
          <w:b w:val="0"/>
          <w:sz w:val="24"/>
        </w:rPr>
        <w:t xml:space="preserve">为单项目建设投资，单位万元；</w:t>
      </w:r>
      <m:oMath>
        <m:r>
          <m:t>L</m:t>
        </m:r>
      </m:oMath>
      <w:r>
        <w:rPr>
          <w:rFonts w:ascii="Times New Roman" w:hAnsi="Times New Roman" w:eastAsia="方正仿宋_GBK"/>
          <w:b w:val="0"/>
          <w:sz w:val="24"/>
        </w:rPr>
        <w:t xml:space="preserve">为线路长度，基准取3 km；</w:t>
      </w:r>
      <m:oMath>
        <m:sSub>
          <m:e>
            <m:r>
              <m:t>k</m:t>
            </m:r>
          </m:e>
          <m:sub>
            <m:r>
              <m:t>L</m:t>
            </m:r>
          </m:sub>
        </m:sSub>
      </m:oMath>
      <w:r>
        <w:rPr>
          <w:rFonts w:ascii="Times New Roman" w:hAnsi="Times New Roman" w:eastAsia="方正仿宋_GBK"/>
          <w:b w:val="0"/>
          <w:sz w:val="24"/>
        </w:rPr>
        <w:t xml:space="preserve">为无量纲线路成本系数；6万元为两台等效开关的固定接入费用。固定费用不随</w:t>
      </w:r>
      <m:oMath>
        <m:sSub>
          <m:e>
            <m:r>
              <m:t>k</m:t>
            </m:r>
          </m:e>
          <m:sub>
            <m:r>
              <m:t>L</m:t>
            </m:r>
          </m:sub>
        </m:sSub>
      </m:oMath>
      <w:r>
        <w:rPr>
          <w:rFonts w:ascii="Times New Roman" w:hAnsi="Times New Roman" w:eastAsia="方正仿宋_GBK"/>
          <w:b w:val="0"/>
          <w:sz w:val="24"/>
        </w:rPr>
        <w:t xml:space="preserve">同比缩放。</w:t>
      </w:r>
    </w:p>
    <w:p>
      <w:pPr>
        <w:pStyle w:val="2"/>
        <w:widowControl/>
        <w:spacing w:line="348" w:lineRule="exact" w:before="0" w:after="0"/>
        <w:ind w:firstLine="480"/>
        <w:jc w:val="both"/>
      </w:pPr>
      <w:r>
        <w:rPr>
          <w:rFonts w:ascii="Times New Roman" w:hAnsi="Times New Roman" w:eastAsia="方正仿宋_GBK"/>
          <w:b w:val="0"/>
          <w:sz w:val="24"/>
        </w:rPr>
        <w:t xml:space="preserve">邳州原案例项目投资124.80万元，对应</w:t>
      </w:r>
      <m:oMath>
        <m:sSub>
          <m:e>
            <m:r>
              <m:t>k</m:t>
            </m:r>
          </m:e>
          <m:sub>
            <m:r>
              <m:t>L</m:t>
            </m:r>
          </m:sub>
        </m:sSub>
        <m:r>
          <m:t>=</m:t>
        </m:r>
        <m:r>
          <m:t>1.65</m:t>
        </m:r>
      </m:oMath>
      <w:r>
        <w:rPr>
          <w:rFonts w:ascii="Times New Roman" w:hAnsi="Times New Roman" w:eastAsia="方正仿宋_GBK"/>
          <w:b w:val="0"/>
          <w:sz w:val="24"/>
        </w:rPr>
        <w:t xml:space="preserve">；市区499.20万元，对应</w:t>
      </w:r>
      <m:oMath>
        <m:sSub>
          <m:e>
            <m:r>
              <m:t>k</m:t>
            </m:r>
          </m:e>
          <m:sub>
            <m:r>
              <m:t>L</m:t>
            </m:r>
          </m:sub>
        </m:sSub>
        <m:r>
          <m:t>=</m:t>
        </m:r>
        <m:r>
          <m:t>6.85</m:t>
        </m:r>
      </m:oMath>
      <w:r>
        <w:rPr>
          <w:rFonts w:ascii="Times New Roman" w:hAnsi="Times New Roman" w:eastAsia="方正仿宋_GBK"/>
          <w:b w:val="0"/>
          <w:sz w:val="24"/>
        </w:rPr>
        <w:t xml:space="preserve">。两地区案例保留这两个工程参考费用，推广时直接改变系数，不设置</w:t>
      </w:r>
      <w:r>
        <w:rPr>
          <w:rFonts w:ascii="Times New Roman" w:hAnsi="Times New Roman" w:eastAsia="方正仿宋_GBK"/>
          <w:b w:val="0"/>
          <w:sz w:val="24"/>
        </w:rPr>
        <w:t xml:space="preserve">“</w:t>
      </w:r>
      <w:r>
        <w:rPr>
          <w:rFonts w:ascii="Times New Roman" w:hAnsi="Times New Roman" w:eastAsia="方正仿宋_GBK"/>
          <w:b w:val="0"/>
          <w:sz w:val="24"/>
        </w:rPr>
        <w:t xml:space="preserve">架空为主</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电缆为主</w:t>
      </w:r>
      <w:r>
        <w:rPr>
          <w:rFonts w:ascii="Times New Roman" w:hAnsi="Times New Roman" w:eastAsia="方正仿宋_GBK"/>
          <w:b w:val="0"/>
          <w:sz w:val="24"/>
        </w:rPr>
        <w:t xml:space="preserve">”</w:t>
      </w:r>
      <w:r>
        <w:rPr>
          <w:rFonts w:ascii="Times New Roman" w:hAnsi="Times New Roman" w:eastAsia="方正仿宋_GBK"/>
          <w:b w:val="0"/>
          <w:sz w:val="24"/>
        </w:rPr>
        <w:t xml:space="preserve">两套分类。</w:t>
      </w:r>
    </w:p>
    <w:p>
      <w:pPr>
        <w:pStyle w:val="2"/>
        <w:keepNext/>
        <w:spacing w:line="280" w:lineRule="exact" w:before="120" w:after="80"/>
        <w:ind w:firstLine="0"/>
        <w:jc w:val="center"/>
      </w:pPr>
      <w:r>
        <w:rPr>
          <w:rFonts w:ascii="Times New Roman" w:hAnsi="Times New Roman" w:eastAsia="宋体"/>
          <w:b w:val="0"/>
          <w:sz w:val="21"/>
        </w:rPr>
        <w:t xml:space="preserve">表4-3 线路成本系数与项目费用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长度/km</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单位长度费用/万元·km⁻¹</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固定接入费/万元</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项目投资/万元</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39.60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102.00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312.00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164.40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499.20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546.00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注：电缆与架空参考基价为180、24万元/km；系数统一表达单位长度综合费用。</w:t>
      </w:r>
    </w:p>
    <w:p>
      <w:pPr>
        <w:pStyle w:val="5"/>
        <w:keepNext/>
        <w:numPr>
          <w:numId w:val="0"/>
        </w:numPr>
        <w:spacing w:line="390" w:lineRule="exact" w:before="160" w:after="120"/>
        <w:ind w:firstLine="0"/>
      </w:pPr>
      <w:bookmarkStart w:id="154" w:name="联络能力与工程计费"/>
      <w:r>
        <w:rPr>
          <w:rFonts w:ascii="Times New Roman" w:hAnsi="Times New Roman" w:eastAsia="方正仿宋_GBK"/>
          <w:b/>
          <w:sz w:val="26"/>
        </w:rPr>
        <w:t xml:space="preserve">4.3.3 联络能力与工程计费</w:t>
      </w:r>
      <w:bookmarkEnd w:id="154"/>
    </w:p>
    <w:p>
      <w:pPr>
        <w:pStyle w:val="FirstParagraph"/>
        <w:widowControl/>
        <w:spacing w:line="348" w:lineRule="exact" w:before="0" w:after="0"/>
        <w:ind w:firstLine="480"/>
        <w:jc w:val="both"/>
      </w:pPr>
      <w:r>
        <w:rPr>
          <w:rFonts w:ascii="Times New Roman" w:hAnsi="Times New Roman" w:eastAsia="方正仿宋_GBK"/>
          <w:b w:val="0"/>
          <w:sz w:val="24"/>
        </w:rPr>
        <w:t xml:space="preserve">新增候选线的区段负荷参考值为7.49 MW，低于按允许电流折算的有功容量9.05 MW。模型按具体送受端馈线建立候选边，既有边不重复计原建设费，新增边按投运年计项目费用。线路价格改变时，候选路径、区段负荷及热限保持不变，用于识别经济参数的影响。</w:t>
      </w:r>
    </w:p>
    <w:p>
      <w:pPr>
        <w:pStyle w:val="2"/>
        <w:widowControl/>
        <w:spacing w:line="348" w:lineRule="exact" w:before="0" w:after="0"/>
        <w:ind w:firstLine="480"/>
        <w:jc w:val="both"/>
      </w:pPr>
      <w:r>
        <w:rPr>
          <w:rFonts w:ascii="Times New Roman" w:hAnsi="Times New Roman" w:eastAsia="方正仿宋_GBK"/>
          <w:b w:val="0"/>
          <w:sz w:val="24"/>
        </w:rPr>
        <w:t xml:space="preserve">同一馈线连接多条候选联络时，共用其源端可转负荷和接收余量。单边7.49 MW不意味着每增建一条线路都能独立增加同等地区转供能力，还需核对共用馈线和接收主变。</w:t>
      </w:r>
    </w:p>
    <w:p>
      <w:pPr>
        <w:pStyle w:val="4"/>
        <w:keepNext/>
        <w:numPr>
          <w:numId w:val="0"/>
        </w:numPr>
        <w:spacing w:line="480" w:lineRule="exact" w:before="160" w:after="120"/>
        <w:ind w:firstLine="0"/>
      </w:pPr>
      <w:bookmarkStart w:id="1445" w:name="h445"/>
      <w:bookmarkStart w:id="155" w:name="储能投资模型"/>
      <w:r>
        <w:rPr>
          <w:rFonts w:ascii="Times New Roman" w:hAnsi="Times New Roman" w:eastAsia="方正仿宋_GBK"/>
          <w:b/>
          <w:sz w:val="32"/>
        </w:rPr>
        <w:t xml:space="preserve">4.4 储能投资模型</w:t>
      </w:r>
      <w:bookmarkEnd w:id="155"/>
      <w:bookmarkEnd w:id="1445"/>
    </w:p>
    <w:p>
      <w:pPr>
        <w:pStyle w:val="5"/>
        <w:keepNext/>
        <w:numPr>
          <w:numId w:val="0"/>
        </w:numPr>
        <w:spacing w:line="390" w:lineRule="exact" w:before="160" w:after="120"/>
        <w:ind w:firstLine="0"/>
      </w:pPr>
      <w:bookmarkStart w:id="156" w:name="储能规格与采购价格依据"/>
      <w:r>
        <w:rPr>
          <w:rFonts w:ascii="Times New Roman" w:hAnsi="Times New Roman" w:eastAsia="方正仿宋_GBK"/>
          <w:b/>
          <w:sz w:val="26"/>
        </w:rPr>
        <w:t xml:space="preserve">4.4.1 储能规格与采购价格依据</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kWh柜规格。苏州采购公告的储能柜子项最高限价为27.20万元，作为单柜价格参考[89]。模型投资采用浏阳用户侧储能项目的成套中标价210.46万元，保证交付规模为1 MW/2.15 MWh，折合10柜[86]。</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储能采购价格依据[89][86]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57" w:name="成套柜单位价格"/>
      <w:r>
        <w:rPr>
          <w:rFonts w:ascii="Times New Roman" w:hAnsi="Times New Roman" w:eastAsia="方正仿宋_GBK"/>
          <w:b/>
          <w:sz w:val="26"/>
        </w:rPr>
        <w:t xml:space="preserve">4.4.2 成套柜单位价格</w:t>
      </w:r>
      <w:bookmarkEnd w:id="157"/>
    </w:p>
    <w:p>
      <w:pPr>
        <w:pStyle w:val="FirstParagraph"/>
        <w:widowControl/>
        <w:spacing w:line="348" w:lineRule="exact" w:before="0" w:after="0"/>
        <w:ind w:firstLine="480"/>
        <w:jc w:val="both"/>
      </w:pPr>
      <w:r>
        <w:rPr>
          <w:rFonts w:ascii="Times New Roman" w:hAnsi="Times New Roman" w:eastAsia="方正仿宋_GBK"/>
          <w:b w:val="0"/>
          <w:sz w:val="24"/>
        </w:rPr>
        <w:t xml:space="preserve">模型以10柜成套项目成交总投资线性折算为单柜，得到21.05万元/柜。后续按相同柜型和单位价格进行规模外推；苏州单柜最高限价用于价格对照。</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c</m:t>
                          </m:r>
                        </m:e>
                        <m:sub>
                          <m:r>
                            <m:t>B</m:t>
                          </m:r>
                        </m:sub>
                      </m:sSub>
                    </m:e>
                    <m:e>
                      <m:r>
                        <m:t>=</m:t>
                      </m:r>
                      <m:f>
                        <m:fPr>
                          <m:type m:val="bar"/>
                        </m:fPr>
                        <m:num>
                          <m:r>
                            <m:t>2104562.62</m:t>
                          </m:r>
                        </m:num>
                        <m:den>
                          <m:r>
                            <m:t>10000</m:t>
                          </m:r>
                          <m:r>
                            <m:t>×</m:t>
                          </m:r>
                          <m:r>
                            <m:t>10</m:t>
                          </m:r>
                        </m:den>
                      </m:f>
                      <m:r>
                        <m:t>≈</m:t>
                      </m:r>
                      <m:r>
                        <m:t>21.05</m:t>
                      </m:r>
                      <m:r>
                        <m:t> </m:t>
                      </m:r>
                      <m:r>
                        <m:rPr>
                          <m:nor/>
                          <m:sty m:val="p"/>
                        </m:rPr>
                        <m:t>万元/柜</m:t>
                      </m:r>
                    </m:e>
                  </m:mr>
                  <m:mr>
                    <m:e>
                      <m:sSub>
                        <m:e>
                          <m:r>
                            <m:t>I</m:t>
                          </m:r>
                        </m:e>
                        <m:sub>
                          <m:r>
                            <m:t>B</m:t>
                          </m:r>
                          <m:r>
                            <m:t>,</m:t>
                          </m:r>
                          <m:r>
                            <m:t>i</m:t>
                          </m:r>
                          <m:r>
                            <m:t>y</m:t>
                          </m:r>
                        </m:sub>
                      </m:sSub>
                    </m:e>
                    <m:e>
                      <m:r>
                        <m:t>=</m:t>
                      </m:r>
                      <m:sSub>
                        <m:e>
                          <m:r>
                            <m:t>c</m:t>
                          </m:r>
                        </m:e>
                        <m:sub>
                          <m:r>
                            <m:t>B</m:t>
                          </m:r>
                        </m:sub>
                      </m:sSub>
                      <m:r>
                        <m:t>Δ</m:t>
                      </m:r>
                      <m:sSub>
                        <m:e>
                          <m:r>
                            <m:t>n</m:t>
                          </m:r>
                        </m:e>
                        <m:sub>
                          <m:r>
                            <m:t>i</m:t>
                          </m:r>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（4-5）</w:t>
            </w:r>
          </w:p>
        </w:tc>
      </w:tr>
    </w:tbl>
    <w:p>
      <w:pPr>
        <w:pStyle w:val="FirstParagraph"/>
        <w:widowControl/>
        <w:spacing w:line="348" w:lineRule="atLeast" w:before="0" w:after="0"/>
        <w:ind w:left="0" w:right="0" w:firstLine="0" w:firstLineChars="0"/>
        <w:jc w:val="both"/>
      </w:pPr>
      <w:r>
        <w:rPr>
          <w:rFonts w:ascii="Times New Roman" w:hAnsi="Times New Roman" w:eastAsia="方正仿宋_GBK"/>
          <w:b w:val="0"/>
          <w:sz w:val="24"/>
        </w:rPr>
        <w:t xml:space="preserve">式中，</w:t>
      </w:r>
      <m:oMath>
        <m:sSub>
          <m:e>
            <m:r>
              <m:t>c</m:t>
            </m:r>
          </m:e>
          <m:sub>
            <m:r>
              <m:t>B</m:t>
            </m:r>
          </m:sub>
        </m:sSub>
      </m:oMath>
      <w:r>
        <w:rPr>
          <w:rFonts w:ascii="Times New Roman" w:hAnsi="Times New Roman" w:eastAsia="方正仿宋_GBK"/>
          <w:b w:val="0"/>
          <w:sz w:val="24"/>
        </w:rPr>
        <w:t xml:space="preserve">为单柜参考投资，</w:t>
      </w:r>
      <m:oMath>
        <m:sSub>
          <m:e>
            <m:r>
              <m:t>I</m:t>
            </m:r>
          </m:e>
          <m:sub>
            <m:r>
              <m:t>B</m:t>
            </m:r>
            <m:r>
              <m:t>,</m:t>
            </m:r>
            <m:r>
              <m:t>i</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第</w:t>
      </w:r>
      <m:oMath>
        <m:r>
          <m:t>y</m:t>
        </m:r>
      </m:oMath>
      <w:r>
        <w:rPr>
          <w:rFonts w:ascii="Times New Roman" w:hAnsi="Times New Roman" w:eastAsia="方正仿宋_GBK"/>
          <w:b w:val="0"/>
          <w:sz w:val="24"/>
        </w:rPr>
        <w:t xml:space="preserve">年新增储能投资，单位万元；新增柜数</w:t>
      </w:r>
      <m:oMath>
        <m:r>
          <m:t>Δ</m:t>
        </m:r>
        <m: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t>0.10</m:t>
        </m:r>
        <m:r>
          <m:t>Δ</m:t>
        </m:r>
        <m: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t>215</m:t>
            </m:r>
            <m:r>
              <m:t>Δ</m:t>
            </m:r>
            <m:r>
              <m:t>n</m:t>
            </m:r>
          </m:num>
          <m:den>
            <m: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58" w:name="储能有效支撑功率与持续时间"/>
      <w:r>
        <w:rPr>
          <w:rFonts w:ascii="Times New Roman" w:hAnsi="Times New Roman" w:eastAsia="方正仿宋_GBK"/>
          <w:b/>
          <w:sz w:val="26"/>
        </w:rPr>
        <w:t xml:space="preserve">4.4.3 储能有效支撑功率与持续时间</w:t>
      </w:r>
      <w:bookmarkEnd w:id="158"/>
    </w:p>
    <w:p>
      <w:pPr>
        <w:pStyle w:val="FirstParagraph"/>
        <w:widowControl/>
        <w:spacing w:line="348" w:lineRule="exact" w:before="0" w:after="0"/>
        <w:ind w:firstLine="480"/>
        <w:jc w:val="both"/>
      </w:pPr>
      <w:r>
        <w:rPr>
          <w:rFonts w:ascii="Times New Roman" w:hAnsi="Times New Roman" w:eastAsia="方正仿宋_GBK"/>
          <w:b w:val="0"/>
          <w:sz w:val="24"/>
        </w:rPr>
        <w:t xml:space="preserve">储能有效功率取额定功率与可用电量折算功率的较小值。设</w:t>
      </w:r>
      <m:oMath>
        <m:r>
          <m:t>n</m:t>
        </m:r>
      </m:oMath>
      <w:r>
        <w:rPr>
          <w:rFonts w:ascii="Times New Roman" w:hAnsi="Times New Roman" w:eastAsia="方正仿宋_GBK"/>
          <w:b w:val="0"/>
          <w:sz w:val="24"/>
        </w:rPr>
        <w:t xml:space="preserve">为储能柜数，</w:t>
      </w:r>
      <m:oMath>
        <m:r>
          <m:t>H</m:t>
        </m:r>
      </m:oMath>
      <w:r>
        <w:rPr>
          <w:rFonts w:ascii="Times New Roman" w:hAnsi="Times New Roman" w:eastAsia="方正仿宋_GBK"/>
          <w:b w:val="0"/>
          <w:sz w:val="24"/>
        </w:rPr>
        <w:t xml:space="preserve">为支撑持续时间，可用电量系数取0.76，则有：</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r>
                  <m:t>B</m:t>
                </m:r>
                <m:r>
                  <m:t>(</m:t>
                </m:r>
                <m:r>
                  <m:t>n</m:t>
                </m:r>
                <m:r>
                  <m:t>,</m:t>
                </m:r>
                <m:r>
                  <m:t>H</m:t>
                </m:r>
                <m:r>
                  <m:t>)</m:t>
                </m:r>
                <m:r>
                  <m:t>=</m:t>
                </m:r>
                <m:r>
                  <m:rPr>
                    <m:nor/>
                    <m:sty m:val="p"/>
                  </m:rPr>
                  <m:t>min</m:t>
                </m:r>
                <m:d>
                  <m:dPr>
                    <m:begChr m:val="{"/>
                    <m:endChr m:val="}"/>
                    <m:grow/>
                  </m:dPr>
                  <m:e>
                    <m:r>
                      <m:t>0.10</m:t>
                    </m:r>
                    <m:r>
                      <m:t>n</m:t>
                    </m:r>
                    <m:r>
                      <m:t>,</m:t>
                    </m:r>
                    <m:f>
                      <m:fPr>
                        <m:type m:val="bar"/>
                      </m:fPr>
                      <m:num>
                        <m:r>
                          <m:t>0.215</m:t>
                        </m:r>
                        <m:r>
                          <m:t>×</m:t>
                        </m:r>
                        <m:r>
                          <m:t>0.76</m:t>
                        </m:r>
                        <m:r>
                          <m:t>n</m:t>
                        </m:r>
                      </m:num>
                      <m:den>
                        <m:r>
                          <m:t>H</m:t>
                        </m:r>
                      </m:den>
                    </m:f>
                  </m:e>
                </m:d>
                <m:r>
                  <m:t>,</m:t>
                </m:r>
                <m:r>
                  <m:t>  </m:t>
                </m:r>
                <m:r>
                  <m:t>H</m:t>
                </m:r>
                <m:r>
                  <m:t>&gt;</m:t>
                </m:r>
                <m:r>
                  <m:t>0</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B</m:t>
        </m:r>
        <m:r>
          <m:t>(</m:t>
        </m:r>
        <m:r>
          <m:t>n</m:t>
        </m:r>
        <m:r>
          <m:t>,</m:t>
        </m:r>
        <m:r>
          <m:t>H</m:t>
        </m:r>
        <m:r>
          <m:t>)</m:t>
        </m:r>
      </m:oMath>
      <w:r>
        <w:rPr>
          <w:rFonts w:ascii="Times New Roman" w:hAnsi="Times New Roman" w:eastAsia="方正仿宋_GBK"/>
          <w:b w:val="0"/>
          <w:sz w:val="24"/>
        </w:rPr>
        <w:t xml:space="preserve">单位为MW，单柜额定能量为0.215 MWh，额定功率为0.10 MW，</w:t>
      </w:r>
      <m:oMath>
        <m:r>
          <m:t>H</m:t>
        </m:r>
      </m:oMath>
      <w:r>
        <w:rPr>
          <w:rFonts w:ascii="Times New Roman" w:hAnsi="Times New Roman" w:eastAsia="方正仿宋_GBK"/>
          <w:b w:val="0"/>
          <w:sz w:val="24"/>
        </w:rPr>
        <w:t xml:space="preserve">单位为h。10柜在4 h条件下有效功率为0.4085 MW，单位有效功率投资约515.19万元/MW。正向支撑和反向吸收分别使用相应持续时间。</w:t>
      </w:r>
    </w:p>
    <w:p>
      <w:pPr>
        <w:pStyle w:val="2"/>
        <w:keepNext/>
        <w:spacing w:line="280" w:lineRule="exact" w:before="120" w:after="80"/>
        <w:ind w:firstLine="0"/>
        <w:jc w:val="center"/>
      </w:pPr>
      <w:r>
        <w:rPr>
          <w:rFonts w:ascii="Times New Roman" w:hAnsi="Times New Roman" w:eastAsia="宋体"/>
          <w:b w:val="0"/>
          <w:sz w:val="21"/>
        </w:rPr>
        <w:t xml:space="preserve">表4-5 持续时间与储能有效功率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储能支撑持续时间/h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10柜额定能量/MWh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可用电量系数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储能有效支撑功率/MW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单位有效功率投资/万元·MW⁻¹</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210.46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257.60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515.19</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772.79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1030.39</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59"/>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图4-1 储能单位有效支撑功率投资与持续时间</w:t>
      </w:r>
    </w:p>
    <w:p>
      <w:pPr>
        <w:pStyle w:val="5"/>
        <w:keepNext/>
        <w:numPr>
          <w:numId w:val="0"/>
        </w:numPr>
        <w:spacing w:line="390" w:lineRule="exact" w:before="160" w:after="120"/>
        <w:ind w:firstLine="0"/>
      </w:pPr>
      <w:bookmarkStart w:id="160" w:name="可用能力与工程适用性"/>
      <w:r>
        <w:rPr>
          <w:rFonts w:ascii="Times New Roman" w:hAnsi="Times New Roman" w:eastAsia="方正仿宋_GBK"/>
          <w:b/>
          <w:sz w:val="26"/>
        </w:rPr>
        <w:t xml:space="preserve">4.4.4 可用能力与工程适用性</w:t>
      </w:r>
      <w:bookmarkEnd w:id="160"/>
    </w:p>
    <w:p>
      <w:pPr>
        <w:pStyle w:val="FirstParagraph"/>
        <w:widowControl/>
        <w:spacing w:line="348" w:lineRule="exact" w:before="0" w:after="0"/>
        <w:ind w:firstLine="480"/>
        <w:jc w:val="both"/>
      </w:pPr>
      <w:r>
        <w:rPr>
          <w:rFonts w:ascii="Times New Roman" w:hAnsi="Times New Roman" w:eastAsia="方正仿宋_GBK"/>
          <w:b w:val="0"/>
          <w:sz w:val="24"/>
        </w:rPr>
        <w:t xml:space="preserve">可用电量系数用于统一静态比选，不能替代运行状态约束。正向支撑需要可放电电量，反向吸收需要可充电空间。当前模型未追踪荷电状态，不能保证每次连续事件均具备设定能力。工程应用需结合保证可用电量、充放电效率、充电条件及恢复时间核定支撑能力。</w:t>
      </w:r>
    </w:p>
    <w:p>
      <w:pPr>
        <w:pStyle w:val="4"/>
        <w:keepNext/>
        <w:numPr>
          <w:numId w:val="0"/>
        </w:numPr>
        <w:spacing w:line="480" w:lineRule="exact" w:before="160" w:after="120"/>
        <w:ind w:firstLine="0"/>
      </w:pPr>
      <w:bookmarkStart w:id="1461" w:name="h461"/>
      <w:bookmarkStart w:id="161" w:name="经济参数与敏感性分析"/>
      <w:r>
        <w:rPr>
          <w:rFonts w:ascii="Times New Roman" w:hAnsi="Times New Roman" w:eastAsia="方正仿宋_GBK"/>
          <w:b/>
          <w:sz w:val="32"/>
        </w:rPr>
        <w:t xml:space="preserve">4.5 经济参数与敏感性分析</w:t>
      </w:r>
      <w:bookmarkEnd w:id="161"/>
      <w:bookmarkEnd w:id="1461"/>
    </w:p>
    <w:p>
      <w:pPr>
        <w:pStyle w:val="5"/>
        <w:keepNext/>
        <w:numPr>
          <w:numId w:val="0"/>
        </w:numPr>
        <w:spacing w:line="390" w:lineRule="exact" w:before="160" w:after="120"/>
        <w:ind w:firstLine="0"/>
      </w:pPr>
      <w:bookmarkStart w:id="162" w:name="线路成本系数的独立变化"/>
      <w:r>
        <w:rPr>
          <w:rFonts w:ascii="Times New Roman" w:hAnsi="Times New Roman" w:eastAsia="方正仿宋_GBK"/>
          <w:b/>
          <w:sz w:val="26"/>
        </w:rPr>
        <w:t xml:space="preserve">4.5.1 线路成本系数的独立变化</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推广矩阵以线路成本系数表示联络建设费用。基准长度3 km、固定接入费6万元和单边能力保持不变，仅改变单位长度费用。该设置使价格变化与新增转供能力变化可以分别分析。线路成本系数的主网格取1.00、1.65、4.25、6.85、7.50，首尾区间不以这些有限节点封闭。</w:t>
      </w:r>
    </w:p>
    <w:p>
      <w:pPr>
        <w:pStyle w:val="5"/>
        <w:keepNext/>
        <w:numPr>
          <w:numId w:val="0"/>
        </w:numPr>
        <w:spacing w:line="390" w:lineRule="exact" w:before="160" w:after="120"/>
        <w:ind w:firstLine="0"/>
      </w:pPr>
      <w:bookmarkStart w:id="163" w:name="储能价格与持续时间分别设置"/>
      <w:r>
        <w:rPr>
          <w:rFonts w:ascii="Times New Roman" w:hAnsi="Times New Roman" w:eastAsia="方正仿宋_GBK"/>
          <w:b/>
          <w:sz w:val="26"/>
        </w:rPr>
        <w:t xml:space="preserve">4.5.2 储能价格与持续时间分别设置</w:t>
      </w:r>
      <w:bookmarkEnd w:id="163"/>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储能支撑持续时间保留在主矩阵，以4 h为共同基准，比较2 h和6 h。储能价格采用相对单柜参考投资的倍数，另取0.50、0.75、1.00、1.25作专项分析。每次价格倍数较固定功率、能量规格及持续时间，价格倍数作用于新增采购费用和由其计算的固定运维费用。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B</m:t>
                    </m:r>
                  </m:sub>
                </m:sSub>
                <m:r>
                  <m:t>=</m:t>
                </m:r>
                <m:sSub>
                  <m:e>
                    <m:r>
                      <m:t>m</m:t>
                    </m:r>
                  </m:e>
                  <m:sub>
                    <m:r>
                      <m:t>B</m:t>
                    </m:r>
                  </m:sub>
                </m:sSub>
                <m:sSub>
                  <m:e>
                    <m:r>
                      <m:t>c</m:t>
                    </m:r>
                  </m:e>
                  <m:sub>
                    <m:r>
                      <m:t>B</m:t>
                    </m:r>
                  </m:sub>
                </m:sSub>
                <m:r>
                  <m:t>Δ</m:t>
                </m:r>
                <m:r>
                  <m:t>n</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m</m:t>
            </m:r>
          </m:e>
          <m:sub>
            <m:r>
              <m:t>B</m:t>
            </m:r>
          </m:sub>
        </m:sSub>
      </m:oMath>
      <w:r>
        <w:rPr>
          <w:rFonts w:ascii="Times New Roman" w:hAnsi="Times New Roman" w:eastAsia="方正仿宋_GBK"/>
          <w:b w:val="0"/>
          <w:sz w:val="24"/>
        </w:rPr>
        <w:t xml:space="preserve">为储能价格倍数，</w:t>
      </w:r>
      <m:oMath>
        <m:sSub>
          <m:e>
            <m:r>
              <m:t>c</m:t>
            </m:r>
          </m:e>
          <m:sub>
            <m:r>
              <m:t>B</m:t>
            </m:r>
          </m:sub>
        </m:sSub>
      </m:oMath>
      <w:r>
        <w:rPr>
          <w:rFonts w:ascii="Times New Roman" w:hAnsi="Times New Roman" w:eastAsia="方正仿宋_GBK"/>
          <w:b w:val="0"/>
          <w:sz w:val="24"/>
        </w:rPr>
        <w:t xml:space="preserve">为单柜参考投资，</w:t>
      </w:r>
      <m:oMath>
        <m:r>
          <m:t>Δ</m:t>
        </m:r>
        <m:r>
          <m:t>n</m:t>
        </m:r>
      </m:oMath>
      <w:r>
        <w:rPr>
          <w:rFonts w:ascii="Times New Roman" w:hAnsi="Times New Roman" w:eastAsia="方正仿宋_GBK"/>
          <w:b w:val="0"/>
          <w:sz w:val="24"/>
        </w:rPr>
        <w:t xml:space="preserve">为新增柜数。持续时间改变有效支撑功率，价格倍数改变相同设备的费用，两者在交互分析中再联合比较。</w:t>
      </w:r>
    </w:p>
    <w:p>
      <w:pPr>
        <w:pStyle w:val="5"/>
        <w:keepNext/>
        <w:numPr>
          <w:numId w:val="0"/>
        </w:numPr>
        <w:spacing w:line="390" w:lineRule="exact" w:before="160" w:after="120"/>
        <w:ind w:firstLine="0"/>
      </w:pPr>
      <w:bookmarkStart w:id="164" w:name="主变价格与费用评价参数"/>
      <w:r>
        <w:rPr>
          <w:rFonts w:ascii="Times New Roman" w:hAnsi="Times New Roman" w:eastAsia="方正仿宋_GBK"/>
          <w:b/>
          <w:sz w:val="26"/>
        </w:rPr>
        <w:t xml:space="preserve">4.5.3 主变价格与费用评价参数</w:t>
      </w:r>
      <w:bookmarkEnd w:id="164"/>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主变更换系数和第三台50 MVA扩建费用共同采用0.75、1.00、1.25倍作对照。折现率、固定运维率和设备寿命分别按基准的0.80、1.00、1.20倍变化，其他参数固定。寿命变化只有在评价期内触发更新或改变其他已计费用时才影响结果，不能将当前无响应解释为设备寿命没有经济意义。</w:t>
      </w:r>
    </w:p>
    <w:p>
      <w:pPr>
        <w:pStyle w:val="5"/>
        <w:keepNext/>
        <w:numPr>
          <w:numId w:val="0"/>
        </w:numPr>
        <w:spacing w:line="390" w:lineRule="exact" w:before="160" w:after="120"/>
        <w:ind w:firstLine="0"/>
      </w:pPr>
      <w:bookmarkStart w:id="165" w:name="经济比较与技术条件"/>
      <w:r>
        <w:rPr>
          <w:rFonts w:ascii="Times New Roman" w:hAnsi="Times New Roman" w:eastAsia="方正仿宋_GBK"/>
          <w:b/>
          <w:sz w:val="26"/>
        </w:rPr>
        <w:t xml:space="preserve">4.5.4 经济比较与技术条件</w:t>
      </w:r>
      <w:bookmarkEnd w:id="165"/>
    </w:p>
    <w:p>
      <w:pPr>
        <w:pStyle w:val="FirstParagraph"/>
        <w:widowControl/>
        <w:spacing w:line="348" w:lineRule="exact" w:before="0" w:after="0"/>
        <w:ind w:firstLine="480"/>
        <w:jc w:val="both"/>
      </w:pPr>
      <w:r>
        <w:rPr>
          <w:rFonts w:ascii="Times New Roman" w:hAnsi="Times New Roman" w:eastAsia="方正仿宋_GBK"/>
          <w:b w:val="0"/>
          <w:sz w:val="24"/>
        </w:rPr>
        <w:t xml:space="preserve">价格参数不改变主变允许规格、扩建位置及网络可行性。负荷分散系数、馈线热限、线路长度、功率因数和可用电量系数分别作辅助分析。其中线路长度直接改变项目费用，热限改变接收余量，两项不同时变化。结果分别报告容载比、费用及措施规模，避免仅凭某项费用下降推断容量必然下降。</w:t>
      </w:r>
    </w:p>
    <w:p>
      <w:pPr>
        <w:pStyle w:val="2"/>
        <w:widowControl/>
        <w:spacing w:line="348" w:lineRule="exact" w:before="0" w:after="0"/>
        <w:ind w:firstLine="480"/>
        <w:jc w:val="both"/>
      </w:pPr>
      <w:r>
        <w:rPr>
          <w:rFonts w:ascii="Times New Roman" w:hAnsi="Times New Roman" w:eastAsia="方正仿宋_GBK"/>
          <w:b w:val="0"/>
          <w:sz w:val="24"/>
        </w:rPr>
        <w:t xml:space="preserve">单位功率投资可作为工程费用的辅助比较，但不同措施的功率分母需要分别说明。主变投资对应新购整台容量，经功率因数折算后仍受N-1剩余容量约束；联络投资对应具体区段可转负荷，还受接收站余量限制；储能投资对应给定持续时间内的有效功率。三项费用相近时，其实际可替代的能力未必相同，最终经济性应由完整方案判断[30][28][10]。</w:t>
      </w:r>
    </w:p>
    <w:p>
      <w:pPr>
        <w:pStyle w:val="2"/>
        <w:widowControl/>
        <w:spacing w:line="348" w:lineRule="exact" w:before="0" w:after="0"/>
        <w:ind w:firstLine="480"/>
        <w:jc w:val="both"/>
      </w:pPr>
      <w:r>
        <w:rPr>
          <w:rFonts w:ascii="Times New Roman" w:hAnsi="Times New Roman" w:eastAsia="方正仿宋_GBK"/>
          <w:b w:val="0"/>
          <w:sz w:val="24"/>
        </w:rPr>
        <w:t xml:space="preserve">例如同一条3 km联络，系数1.65对应124.80万元，系数6.85对应499.20万元，两者所设可转负荷同为7.49 MW。提高系数只改变这条候选线路的费用，不扩大热限或可切换负荷。若邻站没有可用容量，降低线路价格仍不能消除本地供电缺口；若既有联络已经能够完成转供，则系数变化不会增加既有资产建设支出。</w:t>
      </w:r>
    </w:p>
    <w:p>
      <w:pPr>
        <w:pStyle w:val="2"/>
        <w:widowControl/>
        <w:spacing w:line="348" w:lineRule="exact" w:before="0" w:after="0"/>
        <w:ind w:firstLine="480"/>
        <w:jc w:val="both"/>
      </w:pPr>
      <w:r>
        <w:rPr>
          <w:rFonts w:ascii="Times New Roman" w:hAnsi="Times New Roman" w:eastAsia="方正仿宋_GBK"/>
          <w:b w:val="0"/>
          <w:sz w:val="24"/>
        </w:rPr>
        <w:t xml:space="preserve">储能价格分析固定100 kW/215 kWh规格及可用电量系数。10柜设备在4 h下的有效支撑功率为0.4085 MW，价格降低改变相同能力所需支出，持续时间延长则改变同一组设备能够提供的能力。分别设置价格倍数与持续时间后，可以识别费用变化是由采购价格、设备规模还是两者共同引起。</w:t>
      </w:r>
    </w:p>
    <w:p>
      <w:pPr>
        <w:pStyle w:val="4"/>
        <w:keepNext/>
        <w:numPr>
          <w:numId w:val="0"/>
        </w:numPr>
        <w:spacing w:line="480" w:lineRule="exact" w:before="160" w:after="120"/>
        <w:ind w:firstLine="0"/>
      </w:pPr>
      <w:bookmarkStart w:id="1474" w:name="h474"/>
      <w:bookmarkStart w:id="166" w:name="现金流现值计算"/>
      <w:r>
        <w:rPr>
          <w:rFonts w:ascii="Times New Roman" w:hAnsi="Times New Roman" w:eastAsia="方正仿宋_GBK"/>
          <w:b/>
          <w:sz w:val="32"/>
        </w:rPr>
        <w:t xml:space="preserve">4.6 现金流现值计算</w:t>
      </w:r>
      <w:bookmarkEnd w:id="166"/>
      <w:bookmarkEnd w:id="1474"/>
    </w:p>
    <w:p>
      <w:pPr>
        <w:pStyle w:val="5"/>
        <w:keepNext/>
        <w:numPr>
          <w:numId w:val="0"/>
        </w:numPr>
        <w:spacing w:line="390" w:lineRule="exact" w:before="160" w:after="120"/>
        <w:ind w:firstLine="0"/>
      </w:pPr>
      <w:bookmarkStart w:id="167" w:name="单项工程现值因子"/>
      <w:r>
        <w:rPr>
          <w:rFonts w:ascii="Times New Roman" w:hAnsi="Times New Roman" w:eastAsia="方正仿宋_GBK"/>
          <w:b/>
          <w:sz w:val="26"/>
        </w:rPr>
        <w:t xml:space="preserve">4.6.1 单项工程现值因子</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t>y</m:t>
        </m:r>
      </m:oMath>
      <w:r>
        <w:rPr>
          <w:rFonts w:ascii="Times New Roman" w:hAnsi="Times New Roman" w:eastAsia="方正仿宋_GBK"/>
          <w:b w:val="0"/>
          <w:sz w:val="24"/>
        </w:rPr>
        <w:t xml:space="preserve">年投运，初始投资</w:t>
      </w:r>
      <m:oMath>
        <m:r>
          <m:t>I</m:t>
        </m:r>
      </m:oMath>
      <w:r>
        <w:rPr>
          <w:rFonts w:ascii="Times New Roman" w:hAnsi="Times New Roman" w:eastAsia="方正仿宋_GBK"/>
          <w:b w:val="0"/>
          <w:sz w:val="24"/>
        </w:rPr>
        <w:t xml:space="preserve">，寿命</w:t>
      </w:r>
      <m:oMath>
        <m:r>
          <m:t>L</m:t>
        </m:r>
      </m:oMath>
      <w:r>
        <w:rPr>
          <w:rFonts w:ascii="Times New Roman" w:hAnsi="Times New Roman" w:eastAsia="方正仿宋_GBK"/>
          <w:b w:val="0"/>
          <w:sz w:val="24"/>
        </w:rPr>
        <w:t xml:space="preserve">，固定运维率</w:t>
      </w:r>
      <m:oMath>
        <m:r>
          <m:t>q</m:t>
        </m:r>
      </m:oMath>
      <w:r>
        <w:rPr>
          <w:rFonts w:ascii="Times New Roman" w:hAnsi="Times New Roman" w:eastAsia="方正仿宋_GBK"/>
          <w:b w:val="0"/>
          <w:sz w:val="24"/>
        </w:rPr>
        <w:t xml:space="preserve">，评价截止年</w:t>
      </w:r>
      <m:oMath>
        <m:r>
          <m:t>T</m:t>
        </m:r>
      </m:oMath>
      <w:r>
        <w:rPr>
          <w:rFonts w:ascii="Times New Roman" w:hAnsi="Times New Roman" w:eastAsia="方正仿宋_GBK"/>
          <w:b w:val="0"/>
          <w:sz w:val="24"/>
        </w:rPr>
        <w:t xml:space="preserve">=2041，基准年2021，折现率</w:t>
      </w:r>
      <m:oMath>
        <m:r>
          <m:t>r</m:t>
        </m:r>
      </m:oMath>
      <w:r>
        <w:rPr>
          <w:rFonts w:ascii="Times New Roman" w:hAnsi="Times New Roman" w:eastAsia="方正仿宋_GBK"/>
          <w:b w:val="0"/>
          <w:sz w:val="24"/>
        </w:rPr>
        <w:t xml:space="preserve">=6%。单项工程现值由投运投资、评价期内更新和投运次年起固定运维构成[10][11][12]。</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C</m:t>
                      </m:r>
                      <m:r>
                        <m:t>(</m:t>
                      </m:r>
                      <m:r>
                        <m:t>I</m:t>
                      </m:r>
                      <m:r>
                        <m:t>,</m:t>
                      </m:r>
                      <m:r>
                        <m:t>y</m:t>
                      </m:r>
                      <m:r>
                        <m:t>,</m:t>
                      </m:r>
                      <m:r>
                        <m:t>L</m:t>
                      </m:r>
                      <m:r>
                        <m:t>,</m:t>
                      </m:r>
                      <m:r>
                        <m:t>q</m:t>
                      </m:r>
                      <m:r>
                        <m:t>)</m:t>
                      </m:r>
                      <m:r>
                        <m:t>=</m:t>
                      </m:r>
                      <m:r>
                        <m:t>​</m:t>
                      </m:r>
                    </m:e>
                    <m:e>
                      <m:f>
                        <m:fPr>
                          <m:type m:val="bar"/>
                        </m:fPr>
                        <m:num>
                          <m:r>
                            <m:t>I</m:t>
                          </m:r>
                        </m:num>
                        <m:den>
                          <m:r>
                            <m:t>(</m:t>
                          </m:r>
                          <m:r>
                            <m:t>1</m:t>
                          </m:r>
                          <m:r>
                            <m:t>+</m:t>
                          </m:r>
                          <m:r>
                            <m:t>r</m:t>
                          </m:r>
                          <m:sSup>
                            <m:e>
                              <m:r>
                                <m:t>)</m:t>
                              </m:r>
                            </m:e>
                            <m:sup>
                              <m:r>
                                <m:t>y</m:t>
                              </m:r>
                              <m:r>
                                <m:t>−</m:t>
                              </m:r>
                              <m:r>
                                <m:t>2021</m:t>
                              </m:r>
                            </m:sup>
                          </m:sSup>
                        </m:den>
                      </m:f>
                    </m:e>
                  </m:mr>
                  <m:mr>
                    <m:e/>
                    <m:e>
                      <m:r>
                        <m:t>+</m:t>
                      </m:r>
                      <m:nary>
                        <m:naryPr>
                          <m:chr m:val="∑"/>
                          <m:limLoc m:val="undOvr"/>
                          <m:subHide m:val="0"/>
                          <m:supHide m:val="1"/>
                        </m:naryPr>
                        <m:sub>
                          <m:r>
                            <m:t>k</m:t>
                          </m:r>
                          <m:r>
                            <m:t>≥</m:t>
                          </m:r>
                          <m:r>
                            <m:t>1</m:t>
                          </m:r>
                          <m:r>
                            <m:t>,</m:t>
                          </m:r>
                          <m:r>
                            <m:t> </m:t>
                          </m:r>
                          <m:r>
                            <m:t>y</m:t>
                          </m:r>
                          <m:r>
                            <m:t>+</m:t>
                          </m:r>
                          <m:r>
                            <m:t>k</m:t>
                          </m:r>
                          <m:r>
                            <m:t>L</m:t>
                          </m:r>
                          <m:r>
                            <m:t>&lt;</m:t>
                          </m:r>
                          <m:r>
                            <m:t>T</m:t>
                          </m:r>
                        </m:sub>
                        <m:sup>
                          <m:r>
                            <m:t>​</m:t>
                          </m:r>
                        </m:sup>
                        <m:e>
                          <m:f>
                            <m:fPr>
                              <m:type m:val="bar"/>
                            </m:fPr>
                            <m:num>
                              <m:r>
                                <m:t>I</m:t>
                              </m:r>
                            </m:num>
                            <m:den>
                              <m:r>
                                <m:t>(</m:t>
                              </m:r>
                              <m:r>
                                <m:t>1</m:t>
                              </m:r>
                              <m:r>
                                <m:t>+</m:t>
                              </m:r>
                              <m:r>
                                <m:t>r</m:t>
                              </m:r>
                              <m:sSup>
                                <m:e>
                                  <m:r>
                                    <m:t>)</m:t>
                                  </m:r>
                                </m:e>
                                <m:sup>
                                  <m:r>
                                    <m:t>y</m:t>
                                  </m:r>
                                  <m:r>
                                    <m:t>+</m:t>
                                  </m:r>
                                  <m:r>
                                    <m:t>k</m:t>
                                  </m:r>
                                  <m:r>
                                    <m:t>L</m:t>
                                  </m:r>
                                  <m:r>
                                    <m:t>−</m:t>
                                  </m:r>
                                  <m:r>
                                    <m:t>2021</m:t>
                                  </m:r>
                                </m:sup>
                              </m:sSup>
                            </m:den>
                          </m:f>
                        </m:e>
                      </m:nary>
                    </m:e>
                  </m:mr>
                  <m:mr>
                    <m:e/>
                    <m:e>
                      <m:r>
                        <m:t>+</m:t>
                      </m:r>
                      <m:nary>
                        <m:naryPr>
                          <m:chr m:val="∑"/>
                          <m:limLoc m:val="undOvr"/>
                          <m:subHide m:val="0"/>
                          <m:supHide m:val="0"/>
                        </m:naryPr>
                        <m:sub>
                          <m:r>
                            <m:t>t</m:t>
                          </m:r>
                          <m:r>
                            <m:t>=</m:t>
                          </m:r>
                          <m:r>
                            <m:t>y</m:t>
                          </m:r>
                          <m:r>
                            <m:t>+</m:t>
                          </m:r>
                          <m:r>
                            <m:t>1</m:t>
                          </m:r>
                        </m:sub>
                        <m:sup>
                          <m:r>
                            <m:t>T</m:t>
                          </m:r>
                        </m:sup>
                        <m:e>
                          <m:f>
                            <m:fPr>
                              <m:type m:val="bar"/>
                            </m:fPr>
                            <m:num>
                              <m:r>
                                <m:t>q</m:t>
                              </m:r>
                              <m:r>
                                <m:t>I</m:t>
                              </m:r>
                            </m:num>
                            <m:den>
                              <m:r>
                                <m:t>(</m:t>
                              </m:r>
                              <m:r>
                                <m:t>1</m:t>
                              </m:r>
                              <m:r>
                                <m:t>+</m:t>
                              </m:r>
                              <m:r>
                                <m:t>r</m:t>
                              </m:r>
                              <m:sSup>
                                <m:e>
                                  <m:r>
                                    <m:t>)</m:t>
                                  </m:r>
                                </m:e>
                                <m:sup>
                                  <m:r>
                                    <m:t>t</m:t>
                                  </m:r>
                                  <m:r>
                                    <m:t>−</m:t>
                                  </m:r>
                                  <m:r>
                                    <m:t>2021</m:t>
                                  </m:r>
                                </m:sup>
                              </m:sSup>
                            </m:den>
                          </m:f>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C</m:t>
        </m:r>
        <m:r>
          <m:t>(</m:t>
        </m:r>
        <m:r>
          <m:t>I</m:t>
        </m:r>
        <m:r>
          <m:t>,</m:t>
        </m:r>
        <m:r>
          <m:t>y</m:t>
        </m:r>
        <m:r>
          <m:t>,</m:t>
        </m:r>
        <m:r>
          <m:t>L</m:t>
        </m:r>
        <m:r>
          <m:t>,</m:t>
        </m:r>
        <m:r>
          <m:t>q</m:t>
        </m:r>
        <m:r>
          <m:t>)</m:t>
        </m:r>
      </m:oMath>
      <w:r>
        <w:rPr>
          <w:rFonts w:ascii="Times New Roman" w:hAnsi="Times New Roman" w:eastAsia="方正仿宋_GBK"/>
          <w:b w:val="0"/>
          <w:sz w:val="24"/>
        </w:rPr>
        <w:t xml:space="preserve">为单项工程费用现值，单位万元；</w:t>
      </w:r>
      <m:oMath>
        <m:r>
          <m:t>I</m:t>
        </m:r>
      </m:oMath>
      <w:r>
        <w:rPr>
          <w:rFonts w:ascii="Times New Roman" w:hAnsi="Times New Roman" w:eastAsia="方正仿宋_GBK"/>
          <w:b w:val="0"/>
          <w:sz w:val="24"/>
        </w:rPr>
        <w:t xml:space="preserve">为初始投资，单位万元；</w:t>
      </w:r>
      <m:oMath>
        <m:r>
          <m:t>y</m:t>
        </m:r>
      </m:oMath>
      <w:r>
        <w:rPr>
          <w:rFonts w:ascii="Times New Roman" w:hAnsi="Times New Roman" w:eastAsia="方正仿宋_GBK"/>
          <w:b w:val="0"/>
          <w:sz w:val="24"/>
        </w:rPr>
        <w:t xml:space="preserve">为投运年份，</w:t>
      </w:r>
      <m:oMath>
        <m:r>
          <m:t>L</m:t>
        </m:r>
      </m:oMath>
      <w:r>
        <w:rPr>
          <w:rFonts w:ascii="Times New Roman" w:hAnsi="Times New Roman" w:eastAsia="方正仿宋_GBK"/>
          <w:b w:val="0"/>
          <w:sz w:val="24"/>
        </w:rPr>
        <w:t xml:space="preserve">为寿命，单位年；</w:t>
      </w:r>
      <m:oMath>
        <m:r>
          <m:t>q</m:t>
        </m:r>
      </m:oMath>
      <w:r>
        <w:rPr>
          <w:rFonts w:ascii="Times New Roman" w:hAnsi="Times New Roman" w:eastAsia="方正仿宋_GBK"/>
          <w:b w:val="0"/>
          <w:sz w:val="24"/>
        </w:rPr>
        <w:t xml:space="preserve">为年度固定运维占初始投资的比例，</w:t>
      </w:r>
      <m:oMath>
        <m:r>
          <m:t>r</m:t>
        </m:r>
      </m:oMath>
      <w:r>
        <w:rPr>
          <w:rFonts w:ascii="Times New Roman" w:hAnsi="Times New Roman" w:eastAsia="方正仿宋_GBK"/>
          <w:b w:val="0"/>
          <w:sz w:val="24"/>
        </w:rPr>
        <w:t xml:space="preserve">为折现率；</w:t>
      </w:r>
      <m:oMath>
        <m:r>
          <m:t>k</m:t>
        </m:r>
      </m:oMath>
      <w:r>
        <w:rPr>
          <w:rFonts w:ascii="Times New Roman" w:hAnsi="Times New Roman" w:eastAsia="方正仿宋_GBK"/>
          <w:b w:val="0"/>
          <w:sz w:val="24"/>
        </w:rPr>
        <w:t xml:space="preserve">为更新次数序号，</w:t>
      </w:r>
      <m:oMath>
        <m:r>
          <m:t>t</m:t>
        </m:r>
      </m:oMath>
      <w:r>
        <w:rPr>
          <w:rFonts w:ascii="Times New Roman" w:hAnsi="Times New Roman" w:eastAsia="方正仿宋_GBK"/>
          <w:b w:val="0"/>
          <w:sz w:val="24"/>
        </w:rPr>
        <w:t xml:space="preserve">为运维年份，</w:t>
      </w:r>
      <m:oMath>
        <m: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更新发生在</w:t>
      </w:r>
      <m:oMath>
        <m:r>
          <m:t>y</m:t>
        </m:r>
        <m:r>
          <m:t>+</m:t>
        </m:r>
        <m:r>
          <m:t>k</m:t>
        </m:r>
        <m:r>
          <m:t>L</m:t>
        </m:r>
      </m:oMath>
      <w:r>
        <w:rPr>
          <w:rFonts w:ascii="Times New Roman" w:hAnsi="Times New Roman" w:eastAsia="方正仿宋_GBK"/>
          <w:b w:val="0"/>
          <w:sz w:val="24"/>
        </w:rPr>
        <w:t xml:space="preserve">严格小于2041时，截止年达到寿命不另购一套设备。固定运维一直计至2041年。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t>I</m:t>
        </m:r>
        <m:r>
          <m:t>=</m:t>
        </m:r>
        <m:r>
          <m:t>1</m:t>
        </m:r>
      </m:oMath>
      <w:r>
        <w:rPr>
          <w:rFonts w:ascii="Times New Roman" w:hAnsi="Times New Roman" w:eastAsia="方正仿宋_GBK"/>
          <w:b w:val="0"/>
          <w:sz w:val="24"/>
        </w:rPr>
        <w:t xml:space="preserve">，得到现值因子</w:t>
      </w:r>
      <m:oMath>
        <m:r>
          <m:t>A</m:t>
        </m:r>
        <m:r>
          <m:t>(</m:t>
        </m:r>
        <m:r>
          <m:t>y</m:t>
        </m:r>
        <m:r>
          <m:t>,</m:t>
        </m:r>
        <m:r>
          <m:t>L</m:t>
        </m:r>
        <m:r>
          <m:t>,</m:t>
        </m:r>
        <m:r>
          <m:t>q</m:t>
        </m:r>
        <m:r>
          <m:t>)</m:t>
        </m:r>
      </m:oMath>
      <w:r>
        <w:rPr>
          <w:rFonts w:ascii="Times New Roman" w:hAnsi="Times New Roman" w:eastAsia="方正仿宋_GBK"/>
          <w:b w:val="0"/>
          <w:sz w:val="24"/>
        </w:rPr>
        <w:t xml:space="preserve">。主变按40年和系数0.042、线路按40年和系数0.022、储能按25年和系数0.030计算。2022—2025年投运的三类设备均未在2041年评价截止前达到设定寿命，因此本评价期内的更新支出为零。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w:t>
            </w:r>
          </w:p>
        </w:tc>
      </w:tr>
    </w:tbl>
    <w:p>
      <w:pPr>
        <w:pStyle w:val="5"/>
        <w:keepNext/>
        <w:numPr>
          <w:numId w:val="0"/>
        </w:numPr>
        <w:spacing w:line="390" w:lineRule="exact" w:before="160" w:after="120"/>
        <w:ind w:firstLine="0"/>
      </w:pPr>
      <w:bookmarkStart w:id="168" w:name="年度投运对现值的影响"/>
      <w:r>
        <w:rPr>
          <w:rFonts w:ascii="Times New Roman" w:hAnsi="Times New Roman" w:eastAsia="方正仿宋_GBK"/>
          <w:b/>
          <w:sz w:val="26"/>
        </w:rPr>
        <w:t xml:space="preserve">4.6.2 年度投运对现值的影响</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相同工程晚一年投运，初始投资折现减少，计入的运维年数也减少；更新年份相应后移。这使年度建设安排进入经济目标。建设时点在各年技术可行条件下选取。</w:t>
      </w:r>
    </w:p>
    <w:p>
      <w:pPr>
        <w:pStyle w:val="2"/>
        <w:widowControl/>
        <w:spacing w:line="348" w:lineRule="exact" w:before="0" w:after="0"/>
        <w:ind w:firstLine="480"/>
        <w:jc w:val="both"/>
      </w:pPr>
      <w:r>
        <w:rPr>
          <w:rFonts w:ascii="Times New Roman" w:hAnsi="Times New Roman" w:eastAsia="方正仿宋_GBK"/>
          <w:b w:val="0"/>
          <w:sz w:val="24"/>
        </w:rPr>
        <w:t xml:space="preserve">对于2022年已投运储能，后续新增柜按各自投运批次计算，不对全部2025年在役柜再次计首次投资。主变安装位置在不同年份先后升档，每一次更换分别计当年新购整台容量；采购批次合计用于费用，容量净增用于设备状态及容载比。</w:t>
      </w:r>
    </w:p>
    <w:p>
      <w:pPr>
        <w:pStyle w:val="5"/>
        <w:keepNext/>
        <w:numPr>
          <w:numId w:val="0"/>
        </w:numPr>
        <w:spacing w:line="390" w:lineRule="exact" w:before="160" w:after="120"/>
        <w:ind w:firstLine="0"/>
      </w:pPr>
      <w:bookmarkStart w:id="169" w:name="费用构成与结果复算"/>
      <w:r>
        <w:rPr>
          <w:rFonts w:ascii="Times New Roman" w:hAnsi="Times New Roman" w:eastAsia="方正仿宋_GBK"/>
          <w:b/>
          <w:sz w:val="26"/>
        </w:rPr>
        <w:t xml:space="preserve">4.6.3 费用构成与结果复算</w:t>
      </w:r>
      <w:bookmarkEnd w:id="169"/>
    </w:p>
    <w:p>
      <w:pPr>
        <w:pStyle w:val="FirstParagraph"/>
        <w:widowControl/>
        <w:spacing w:line="348" w:lineRule="exact" w:before="0" w:after="0"/>
        <w:ind w:firstLine="480"/>
        <w:jc w:val="both"/>
      </w:pPr>
      <w:r>
        <w:rPr>
          <w:rFonts w:ascii="Times New Roman" w:hAnsi="Times New Roman" w:eastAsia="方正仿宋_GBK"/>
          <w:b w:val="0"/>
          <w:sz w:val="24"/>
        </w:rPr>
        <w:t xml:space="preserve">全方案现值为全部建设改造项目现值之和。主变、储能和线路分别汇总后相加，应等于求解目标在所选布局中的实际费用。费用表分别列出初始建设投资和评价期费用现值。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C</m:t>
                    </m:r>
                  </m:e>
                  <m:sub>
                    <m:r>
                      <m:rPr>
                        <m:sty m:val="p"/>
                      </m:rPr>
                      <m:t>p</m:t>
                    </m:r>
                    <m:r>
                      <m:rPr>
                        <m:sty m:val="p"/>
                      </m:rPr>
                      <m:t>l</m:t>
                    </m:r>
                    <m:r>
                      <m:rPr>
                        <m:sty m:val="p"/>
                      </m:rPr>
                      <m:t>a</m:t>
                    </m:r>
                    <m:r>
                      <m:rPr>
                        <m:sty m:val="p"/>
                      </m:rPr>
                      <m:t>n</m:t>
                    </m:r>
                  </m:sub>
                </m:sSub>
                <m:r>
                  <m:t>=</m:t>
                </m:r>
                <m:nary>
                  <m:naryPr>
                    <m:chr m:val="∑"/>
                    <m:limLoc m:val="undOvr"/>
                    <m:subHide m:val="0"/>
                    <m:supHide m:val="1"/>
                  </m:naryPr>
                  <m:sub>
                    <m:r>
                      <m:t>e</m:t>
                    </m:r>
                    <m:r>
                      <m:t>∈</m:t>
                    </m:r>
                    <m:sSub>
                      <m:e>
                        <m:r>
                          <m:rPr>
                            <m:sty m:val="p"/>
                            <m:scr m:val="script"/>
                          </m:rPr>
                          <m:t>E</m:t>
                        </m:r>
                      </m:e>
                      <m:sub>
                        <m:r>
                          <m:t>T</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B</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L</m:t>
                        </m:r>
                      </m:sub>
                    </m:sSub>
                  </m:sub>
                  <m:sup>
                    <m:r>
                      <m:t>​</m:t>
                    </m:r>
                  </m:sup>
                  <m:e>
                    <m:sSub>
                      <m:e>
                        <m:r>
                          <m:t>C</m:t>
                        </m:r>
                      </m:e>
                      <m:sub>
                        <m:r>
                          <m:t>e</m:t>
                        </m:r>
                      </m:sub>
                    </m:sSub>
                  </m:e>
                </m:nary>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（4-9）</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C</m:t>
            </m:r>
          </m:e>
          <m:sub>
            <m:r>
              <m:rPr>
                <m:sty m:val="p"/>
              </m:rPr>
              <m:t>p</m:t>
            </m:r>
            <m:r>
              <m:rPr>
                <m:sty m:val="p"/>
              </m:rPr>
              <m:t>l</m:t>
            </m:r>
            <m:r>
              <m:rPr>
                <m:sty m:val="p"/>
              </m:rPr>
              <m:t>a</m:t>
            </m:r>
            <m:r>
              <m:rPr>
                <m:sty m:val="p"/>
              </m:rPr>
              <m:t>n</m:t>
            </m:r>
          </m:sub>
        </m:sSub>
      </m:oMath>
      <w:r>
        <w:rPr>
          <w:rFonts w:ascii="Times New Roman" w:hAnsi="Times New Roman" w:eastAsia="方正仿宋_GBK"/>
          <w:b w:val="0"/>
          <w:sz w:val="24"/>
        </w:rPr>
        <w:t xml:space="preserve">为方案费用现值，</w:t>
      </w:r>
      <m:oMath>
        <m:sSub>
          <m:e>
            <m:r>
              <m:t>C</m:t>
            </m:r>
          </m:e>
          <m:sub>
            <m:r>
              <m:t>e</m:t>
            </m:r>
          </m:sub>
        </m:sSub>
      </m:oMath>
      <w:r>
        <w:rPr>
          <w:rFonts w:ascii="Times New Roman" w:hAnsi="Times New Roman" w:eastAsia="方正仿宋_GBK"/>
          <w:b w:val="0"/>
          <w:sz w:val="24"/>
        </w:rPr>
        <w:t xml:space="preserve">为建设改造项目</w:t>
      </w:r>
      <m:oMath>
        <m:r>
          <m:t>e</m:t>
        </m:r>
      </m:oMath>
      <w:r>
        <w:rPr>
          <w:rFonts w:ascii="Times New Roman" w:hAnsi="Times New Roman" w:eastAsia="方正仿宋_GBK"/>
          <w:b w:val="0"/>
          <w:sz w:val="24"/>
        </w:rPr>
        <w:t xml:space="preserve">的费用现值，单位万元；</w:t>
      </w:r>
      <m:oMath>
        <m:sSub>
          <m:e>
            <m:r>
              <m:rPr>
                <m:sty m:val="p"/>
                <m:scr m:val="script"/>
              </m:rPr>
              <m:t>E</m:t>
            </m:r>
          </m:e>
          <m:sub>
            <m:r>
              <m:t>T</m:t>
            </m:r>
          </m:sub>
        </m:sSub>
      </m:oMath>
      <w:r>
        <w:rPr>
          <w:rFonts w:ascii="Times New Roman" w:hAnsi="Times New Roman" w:eastAsia="方正仿宋_GBK"/>
          <w:b w:val="0"/>
          <w:sz w:val="24"/>
        </w:rPr>
        <w:t xml:space="preserve">、</w:t>
      </w:r>
      <m:oMath>
        <m:sSub>
          <m:e>
            <m:r>
              <m:rPr>
                <m:sty m:val="p"/>
                <m:scr m:val="script"/>
              </m:rPr>
              <m:t>E</m:t>
            </m:r>
          </m:e>
          <m:sub>
            <m:r>
              <m:t>B</m:t>
            </m:r>
          </m:sub>
        </m:sSub>
      </m:oMath>
      <w:r>
        <w:rPr>
          <w:rFonts w:ascii="Times New Roman" w:hAnsi="Times New Roman" w:eastAsia="方正仿宋_GBK"/>
          <w:b w:val="0"/>
          <w:sz w:val="24"/>
        </w:rPr>
        <w:t xml:space="preserve">、</w:t>
      </w:r>
      <m:oMath>
        <m:sSub>
          <m:e>
            <m:r>
              <m:rPr>
                <m:sty m:val="p"/>
                <m:scr m:val="script"/>
              </m:rPr>
              <m:t>E</m:t>
            </m:r>
          </m:e>
          <m:sub>
            <m: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70" w:name="评价期边界与费用解释"/>
      <w:r>
        <w:rPr>
          <w:rFonts w:ascii="Times New Roman" w:hAnsi="Times New Roman" w:eastAsia="方正仿宋_GBK"/>
          <w:b/>
          <w:sz w:val="26"/>
        </w:rPr>
        <w:t xml:space="preserve">4.6.4 评价期边界与费用解释</w:t>
      </w:r>
      <w:bookmarkEnd w:id="170"/>
    </w:p>
    <w:p>
      <w:pPr>
        <w:pStyle w:val="FirstParagraph"/>
        <w:widowControl/>
        <w:spacing w:line="348" w:lineRule="exact" w:before="0" w:after="0"/>
        <w:ind w:firstLine="480"/>
        <w:jc w:val="both"/>
      </w:pPr>
      <w:r>
        <w:rPr>
          <w:rFonts w:ascii="Times New Roman" w:hAnsi="Times New Roman" w:eastAsia="方正仿宋_GBK"/>
          <w:b w:val="0"/>
          <w:sz w:val="24"/>
        </w:rPr>
        <w:t xml:space="preserve">折现率6%，主变和线路寿命40年、储能寿命25年及相应固定运维率按本章所列依据使用。更新采用与首次购置相同实价，价格情景对首次购置和更新使用相同倍数。本报告参照全寿命周期费用方法，按2021年末至2041年的共同评价期计算新增措施支出，评价期短于三类设备的完整寿命。现值结果反映这一共同期间的建设和固定运维费用，不能据此比较设备完整使用寿命的总支出。</w:t>
      </w:r>
    </w:p>
    <w:p>
      <w:pPr>
        <w:pStyle w:val="2"/>
        <w:widowControl/>
        <w:spacing w:line="348" w:lineRule="exact" w:before="0" w:after="0"/>
        <w:ind w:firstLine="480"/>
        <w:jc w:val="both"/>
      </w:pPr>
      <w:r>
        <w:rPr>
          <w:rFonts w:ascii="Times New Roman" w:hAnsi="Times New Roman" w:eastAsia="方正仿宋_GBK"/>
          <w:b w:val="0"/>
          <w:sz w:val="24"/>
        </w:rPr>
        <w:t xml:space="preserve">现有现金流尚未纳入期末残值、被替换存量设备运维费用的变化、储能充电购电及损耗，也未采用收益抵扣。不同寿命和替换时点可能使这些科目对方案费用产生不同影响。工程经济评价应在资料齐备后统一补充这些现金流，并检查方案排序；本报告费用降幅仅适用于当前列明的支出范围。</w:t>
      </w:r>
    </w:p>
    <w:p>
      <w:pPr>
        <w:pStyle w:val="5"/>
        <w:keepNext/>
        <w:numPr>
          <w:numId w:val="0"/>
        </w:numPr>
        <w:spacing w:line="390" w:lineRule="exact" w:before="160" w:after="120"/>
        <w:ind w:firstLine="0"/>
      </w:pPr>
      <w:bookmarkStart w:id="171" w:name="主变更换与扩建的投资差异"/>
      <w:r>
        <w:rPr>
          <w:rFonts w:ascii="Times New Roman" w:hAnsi="Times New Roman" w:eastAsia="方正仿宋_GBK"/>
          <w:b/>
          <w:sz w:val="26"/>
        </w:rPr>
        <w:t xml:space="preserve">4.6.5 主变更换与扩建的投资差异</w:t>
      </w:r>
      <w:bookmarkEnd w:id="171"/>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投资较低或扩建投资较高，均不能直接决定方案优先次序。若更换后仍受N-1容量约束，方案可能继续需要较多储能；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72" w:name="联络与储能的费用响应"/>
      <w:r>
        <w:rPr>
          <w:rFonts w:ascii="Times New Roman" w:hAnsi="Times New Roman" w:eastAsia="方正仿宋_GBK"/>
          <w:b/>
          <w:sz w:val="26"/>
        </w:rPr>
        <w:t xml:space="preserve">4.6.6 联络与储能的费用响应</w:t>
      </w:r>
      <w:bookmarkEnd w:id="172"/>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改变单位长度造价，固定接入费保持6万元，避免将固定项目与可变长度费用同时按比例缩放。新增联络能够发挥作用，还需送端可转负荷、共享馈线余量及邻站容量满足要求。价格变化可能只改变既定项目的费用，也可能触发主变、储能与联络之间的配置调整；第五章按固定其他输入的配对结果分别判断。</w:t>
      </w:r>
    </w:p>
    <w:p>
      <w:pPr>
        <w:pStyle w:val="2"/>
        <w:widowControl/>
        <w:spacing w:line="348" w:lineRule="exact" w:before="0" w:after="0"/>
        <w:ind w:firstLine="480"/>
        <w:jc w:val="both"/>
      </w:pPr>
      <w:r>
        <w:rPr>
          <w:rFonts w:ascii="Times New Roman" w:hAnsi="Times New Roman" w:eastAsia="方正仿宋_GBK"/>
          <w:b w:val="0"/>
          <w:sz w:val="24"/>
        </w:rPr>
        <w:t xml:space="preserve">储能费用由新增柜数及单柜价格确定，有效支撑功率由额定功率、可用电量及持续时间共同确定。4 h条件下，10柜有效功率为0.4085 MW；2 h、6 h分别为0.8170 MW、约0.2723 MW。改变持续时间后，应重新求解措施组合；改变价格时则保持持续时间及设备规格，单独检验经济响应。</w:t>
      </w:r>
    </w:p>
    <w:p>
      <w:pPr>
        <w:pStyle w:val="2"/>
        <w:widowControl/>
        <w:spacing w:line="348" w:lineRule="exact" w:before="0" w:after="0"/>
        <w:ind w:firstLine="480"/>
        <w:jc w:val="both"/>
      </w:pPr>
      <w:r>
        <w:rPr>
          <w:rFonts w:ascii="Times New Roman" w:hAnsi="Times New Roman" w:eastAsia="方正仿宋_GBK"/>
          <w:b w:val="0"/>
          <w:sz w:val="24"/>
        </w:rPr>
        <w:t xml:space="preserve">逐年比较按当年新购主变、储能柜数和新增联络项目计费，后续在役状态用于容量与供电安全校核。两地区方案费用差来自完整措施组合及投运时点，不能仅由某一类设备的数量变化推断。共同评价期截止于2041年，未触发设备更新的条件下，寿命参数变化可能不改变当前现金流。</w:t>
      </w:r>
    </w:p>
    <w:p>
      <w:pPr>
        <w:pStyle w:val="3"/>
        <w:keepNext/>
        <w:pageBreakBefore/>
        <w:numPr>
          <w:numId w:val="0"/>
        </w:numPr>
        <w:spacing w:line="540" w:lineRule="exact" w:before="0" w:after="120"/>
        <w:ind w:firstLine="0"/>
      </w:pPr>
      <w:bookmarkStart w:id="1500" w:name="h500"/>
      <w:bookmarkStart w:id="173"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73"/>
      <w:bookmarkEnd w:id="1500"/>
    </w:p>
    <w:p>
      <w:pPr>
        <w:pStyle w:val="FirstParagraph"/>
        <w:widowControl/>
        <w:spacing w:line="348" w:lineRule="exact" w:before="0" w:after="0"/>
        <w:ind w:firstLine="480"/>
        <w:jc w:val="both"/>
      </w:pPr>
      <w:r>
        <w:rPr>
          <w:rFonts w:ascii="Times New Roman" w:hAnsi="Times New Roman" w:eastAsia="方正仿宋_GBK"/>
          <w:b w:val="0"/>
          <w:sz w:val="24"/>
        </w:rPr>
        <w:t xml:space="preserve">邳州光伏接入规模较大，市区负荷较为集中，两地区的容量配置需求各有侧重。本章结合第三章运行统计与第四章工程费用，比较刚性、弹性方案的主变容量、储能配置及站间负荷转接，分析费用差异的形成原因，并归纳不同源荷和经济条件下的容载比取值特征。</w:t>
      </w:r>
    </w:p>
    <w:p>
      <w:pPr>
        <w:pStyle w:val="4"/>
        <w:keepNext/>
        <w:numPr>
          <w:numId w:val="0"/>
        </w:numPr>
        <w:spacing w:line="480" w:lineRule="exact" w:before="160" w:after="120"/>
        <w:ind w:firstLine="0"/>
      </w:pPr>
      <w:bookmarkStart w:id="1502" w:name="h502"/>
      <w:bookmarkStart w:id="174" w:name="寻优问题与共同起点"/>
      <w:r>
        <w:rPr>
          <w:rFonts w:ascii="Times New Roman" w:hAnsi="Times New Roman" w:eastAsia="方正仿宋_GBK"/>
          <w:b/>
          <w:sz w:val="32"/>
        </w:rPr>
        <w:t xml:space="preserve">5.1 寻优问题与共同起点</w:t>
      </w:r>
      <w:bookmarkEnd w:id="174"/>
      <w:bookmarkEnd w:id="1502"/>
    </w:p>
    <w:p>
      <w:pPr>
        <w:pStyle w:val="5"/>
        <w:keepNext/>
        <w:numPr>
          <w:numId w:val="0"/>
        </w:numPr>
        <w:spacing w:line="390" w:lineRule="exact" w:before="160" w:after="120"/>
        <w:ind w:firstLine="0"/>
      </w:pPr>
      <w:bookmarkStart w:id="175" w:name="年度负荷与共同仿真起点"/>
      <w:r>
        <w:rPr>
          <w:rFonts w:ascii="Times New Roman" w:hAnsi="Times New Roman" w:eastAsia="方正仿宋_GBK"/>
          <w:b/>
          <w:sz w:val="26"/>
        </w:rPr>
        <w:t xml:space="preserve">5.1.1 年度负荷与共同仿真起点</w:t>
      </w:r>
      <w:bookmarkEnd w:id="175"/>
    </w:p>
    <w:p>
      <w:pPr>
        <w:pStyle w:val="FirstParagraph"/>
        <w:widowControl/>
        <w:spacing w:line="348" w:lineRule="exact" w:before="0" w:after="0"/>
        <w:ind w:firstLine="480"/>
        <w:jc w:val="both"/>
      </w:pPr>
      <w:r>
        <w:rPr>
          <w:rFonts w:ascii="Times New Roman" w:hAnsi="Times New Roman" w:eastAsia="方正仿宋_GBK"/>
          <w:b w:val="0"/>
          <w:sz w:val="24"/>
        </w:rPr>
        <w:t xml:space="preserve">两类方案保留相同的初始设备组合。市区初始主变总容量为2900.00 MVA，邳州为1463.50 MVA；基期负荷取2021年实际统计值，两地区基期容载比按两位小数均为2.00。该设置用于方案比较，实际在役容量仍采用第三章年度统计，不叠加到仿真设备上。</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P</m:t>
                    </m:r>
                  </m:e>
                  <m:sub>
                    <m:r>
                      <m:t>c</m:t>
                    </m:r>
                    <m:r>
                      <m:t>,</m:t>
                    </m:r>
                    <m:r>
                      <m:t>y</m:t>
                    </m:r>
                  </m:sub>
                </m:sSub>
                <m:r>
                  <m:t>=</m:t>
                </m:r>
                <m:sSubSup>
                  <m:e>
                    <m:r>
                      <m:t>P</m:t>
                    </m:r>
                  </m:e>
                  <m:sub>
                    <m:r>
                      <m:t>c</m:t>
                    </m:r>
                    <m:r>
                      <m:t>,</m:t>
                    </m:r>
                    <m:r>
                      <m:t>y</m:t>
                    </m:r>
                  </m:sub>
                  <m:sup>
                    <m:r>
                      <m:rPr>
                        <m:sty m:val="p"/>
                      </m:rPr>
                      <m:t>s</m:t>
                    </m:r>
                    <m:r>
                      <m:rPr>
                        <m:sty m:val="p"/>
                      </m:rPr>
                      <m:t>t</m:t>
                    </m:r>
                    <m:r>
                      <m:rPr>
                        <m:sty m:val="p"/>
                      </m:rPr>
                      <m:t>a</m:t>
                    </m:r>
                    <m:r>
                      <m:rPr>
                        <m:sty m:val="p"/>
                      </m:rPr>
                      <m:t>t</m:t>
                    </m:r>
                  </m:sup>
                </m:sSubSup>
                <m:r>
                  <m:t>,</m:t>
                </m:r>
                <m:r>
                  <m:t> </m:t>
                </m:r>
                <m:r>
                  <m:t>y</m:t>
                </m:r>
                <m:r>
                  <m:t>=</m:t>
                </m:r>
                <m:r>
                  <m:t>2021</m:t>
                </m:r>
                <m:r>
                  <m:t>,</m:t>
                </m:r>
                <m:r>
                  <m:t>…</m:t>
                </m:r>
                <m:r>
                  <m:t>,</m:t>
                </m:r>
                <m:r>
                  <m:t>2025</m:t>
                </m:r>
                <m:r>
                  <m:t>,</m:t>
                </m:r>
                <m:r>
                  <m:t>  </m:t>
                </m:r>
                <m:sSub>
                  <m:e>
                    <m:r>
                      <m:t>R</m:t>
                    </m:r>
                  </m:e>
                  <m:sub>
                    <m:r>
                      <m:t>c</m:t>
                    </m:r>
                    <m:r>
                      <m:t>,</m:t>
                    </m:r>
                    <m:r>
                      <m:t>0</m:t>
                    </m:r>
                  </m:sub>
                </m:sSub>
                <m:r>
                  <m:t>=</m:t>
                </m:r>
                <m:f>
                  <m:fPr>
                    <m:type m:val="bar"/>
                  </m:fPr>
                  <m:num>
                    <m:sSub>
                      <m:e>
                        <m:r>
                          <m:t>S</m:t>
                        </m:r>
                      </m:e>
                      <m:sub>
                        <m:r>
                          <m:t>c</m:t>
                        </m:r>
                        <m:r>
                          <m:t>,</m:t>
                        </m:r>
                        <m:r>
                          <m:t>0</m:t>
                        </m:r>
                      </m:sub>
                    </m:sSub>
                  </m:num>
                  <m:den>
                    <m:sSub>
                      <m:e>
                        <m:r>
                          <m:t>P</m:t>
                        </m:r>
                      </m:e>
                      <m:sub>
                        <m:r>
                          <m:t>c</m:t>
                        </m:r>
                        <m:r>
                          <m:t>,</m:t>
                        </m:r>
                        <m:r>
                          <m:t>2021</m:t>
                        </m:r>
                      </m:sub>
                    </m:sSub>
                  </m:den>
                </m:f>
                <m:r>
                  <m:t>≈</m:t>
                </m:r>
                <m:r>
                  <m:t>2.00</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S</m:t>
            </m:r>
          </m:e>
          <m:sub>
            <m:r>
              <m:t>c</m:t>
            </m:r>
            <m:r>
              <m:t>,</m:t>
            </m:r>
            <m:r>
              <m:t>0</m:t>
            </m:r>
          </m:sub>
        </m:sSub>
      </m:oMath>
      <w:r>
        <w:rPr>
          <w:rFonts w:ascii="Times New Roman" w:hAnsi="Times New Roman" w:eastAsia="方正仿宋_GBK"/>
          <w:b w:val="0"/>
          <w:sz w:val="24"/>
        </w:rPr>
        <w:t xml:space="preserve">为地区</w:t>
      </w:r>
      <m:oMath>
        <m:r>
          <m:t>c</m:t>
        </m:r>
      </m:oMath>
      <w:r>
        <w:rPr>
          <w:rFonts w:ascii="Times New Roman" w:hAnsi="Times New Roman" w:eastAsia="方正仿宋_GBK"/>
          <w:b w:val="0"/>
          <w:sz w:val="24"/>
        </w:rPr>
        <w:t xml:space="preserve">的初始仿真主变总容量，单位MVA；</w:t>
      </w:r>
      <m:oMath>
        <m:sSub>
          <m:e>
            <m:r>
              <m:t>R</m:t>
            </m:r>
          </m:e>
          <m:sub>
            <m:r>
              <m:t>c</m:t>
            </m:r>
            <m:r>
              <m:t>,</m:t>
            </m:r>
            <m:r>
              <m:t>0</m:t>
            </m:r>
          </m:sub>
        </m:sSub>
      </m:oMath>
      <w:r>
        <w:rPr>
          <w:rFonts w:ascii="Times New Roman" w:hAnsi="Times New Roman" w:eastAsia="方正仿宋_GBK"/>
          <w:b w:val="0"/>
          <w:sz w:val="24"/>
        </w:rPr>
        <w:t xml:space="preserve">为基期容载比，</w:t>
      </w:r>
      <m:oMath>
        <m:sSubSup>
          <m:e>
            <m:r>
              <m:t>P</m:t>
            </m:r>
          </m:e>
          <m:sub>
            <m:r>
              <m:t>c</m:t>
            </m:r>
            <m:r>
              <m:t>,</m:t>
            </m:r>
            <m:r>
              <m:t>y</m:t>
            </m:r>
          </m:sub>
          <m:sup>
            <m:r>
              <m:rPr>
                <m:sty m:val="p"/>
              </m:rPr>
              <m:t>s</m:t>
            </m:r>
            <m:r>
              <m:rPr>
                <m:sty m:val="p"/>
              </m:rPr>
              <m:t>t</m:t>
            </m:r>
            <m:r>
              <m:rPr>
                <m:sty m:val="p"/>
              </m:rPr>
              <m:t>a</m:t>
            </m:r>
            <m:r>
              <m:rPr>
                <m:sty m:val="p"/>
              </m:rPr>
              <m:t>t</m:t>
            </m:r>
          </m:sup>
        </m:sSubSup>
      </m:oMath>
      <w:r>
        <w:rPr>
          <w:rFonts w:ascii="Times New Roman" w:hAnsi="Times New Roman" w:eastAsia="方正仿宋_GBK"/>
          <w:b w:val="0"/>
          <w:sz w:val="24"/>
        </w:rPr>
        <w:t xml:space="preserve">为同地区第</w:t>
      </w:r>
      <m:oMath>
        <m:r>
          <m:t>y</m:t>
        </m:r>
      </m:oMath>
      <w:r>
        <w:rPr>
          <w:rFonts w:ascii="Times New Roman" w:hAnsi="Times New Roman" w:eastAsia="方正仿宋_GBK"/>
          <w:b w:val="0"/>
          <w:sz w:val="24"/>
        </w:rPr>
        <w:t xml:space="preserve">年的原表网供最大负荷估计值，单位MW。已有年度负荷直接进入模型，保留2023年邳州及2022、2024年市区的负荷回落。标准复合增长率用于增长水平描述和通用情景设置，不替代已知年度负荷。</w:t>
      </w:r>
    </w:p>
    <w:p>
      <w:pPr>
        <w:pStyle w:val="2"/>
        <w:keepNext/>
        <w:spacing w:line="280" w:lineRule="exact" w:before="120" w:after="80"/>
        <w:ind w:firstLine="0"/>
        <w:jc w:val="center"/>
      </w:pPr>
      <w:r>
        <w:rPr>
          <w:rFonts w:ascii="Times New Roman" w:hAnsi="Times New Roman" w:eastAsia="宋体"/>
          <w:b w:val="0"/>
          <w:sz w:val="21"/>
        </w:rPr>
        <w:t xml:space="preserve">表5-1 实际统计与仿真起点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实际主变容量/MVA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实际年网供最大负荷/MW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仿真容量/MVA</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1463.50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2900.00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bl>
    <w:p>
      <w:pPr>
        <w:pStyle w:val="2"/>
        <w:widowControl/>
        <w:spacing w:line="348" w:lineRule="exact" w:before="0" w:after="0"/>
        <w:ind w:firstLine="480"/>
        <w:jc w:val="both"/>
      </w:pPr>
      <w:r>
        <w:rPr>
          <w:rFonts w:ascii="Times New Roman" w:hAnsi="Times New Roman" w:eastAsia="方正仿宋_GBK"/>
          <w:b w:val="0"/>
          <w:sz w:val="24"/>
        </w:rPr>
        <w:t xml:space="preserve">各站静态功率按已归档的区域正向峰值和最低净负荷工况分配，再按年度网供峰值标定。反向工况沿用同一源荷结构，属于研究情景，不表述为各历史年度实测反送极值。地区案例采用静态工况比选，未开展逐时荷电状态仿真。</w:t>
      </w:r>
    </w:p>
    <w:p>
      <w:pPr>
        <w:pStyle w:val="5"/>
        <w:keepNext/>
        <w:numPr>
          <w:numId w:val="0"/>
        </w:numPr>
        <w:spacing w:line="390" w:lineRule="exact" w:before="160" w:after="120"/>
        <w:ind w:firstLine="0"/>
      </w:pPr>
      <w:bookmarkStart w:id="176" w:name="刚性与弹性方案"/>
      <w:r>
        <w:rPr>
          <w:rFonts w:ascii="Times New Roman" w:hAnsi="Times New Roman" w:eastAsia="方正仿宋_GBK"/>
          <w:b/>
          <w:sz w:val="26"/>
        </w:rPr>
        <w:t xml:space="preserve">5.1.2 刚性与弹性方案</w:t>
      </w:r>
      <w:bookmarkEnd w:id="176"/>
    </w:p>
    <w:p>
      <w:pPr>
        <w:pStyle w:val="FirstParagraph"/>
        <w:widowControl/>
        <w:spacing w:line="348" w:lineRule="exact" w:before="0" w:after="0"/>
        <w:ind w:firstLine="480"/>
        <w:jc w:val="both"/>
      </w:pPr>
      <w:r>
        <w:rPr>
          <w:rFonts w:ascii="Times New Roman" w:hAnsi="Times New Roman" w:eastAsia="方正仿宋_GBK"/>
          <w:b w:val="0"/>
          <w:sz w:val="24"/>
        </w:rPr>
        <w:t xml:space="preserve">主变总容量随建设投运保持非减。刚性方案新增扩容受当年负荷两倍的容量限制；若负荷回落使既有容量被动超过该值，允许保留既有资产，但不能据此继续扩容。弹性方案在突破2.00的研究条件下，按费用最小选择设备组合，其上界由站点允许规格及扩建位置确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R</m:t>
                          </m:r>
                        </m:e>
                        <m:sub>
                          <m:r>
                            <m:t>c</m:t>
                          </m:r>
                          <m:r>
                            <m:t>,</m:t>
                          </m:r>
                          <m:r>
                            <m:t>s</m:t>
                          </m:r>
                          <m:r>
                            <m:t>,</m:t>
                          </m:r>
                          <m:r>
                            <m:t>y</m:t>
                          </m:r>
                        </m:sub>
                      </m:sSub>
                    </m:e>
                    <m:e>
                      <m:r>
                        <m:t>=</m:t>
                      </m:r>
                      <m:sSub>
                        <m:e>
                          <m:r>
                            <m:t>S</m:t>
                          </m:r>
                        </m:e>
                        <m:sub>
                          <m:r>
                            <m:t>c</m:t>
                          </m:r>
                          <m:r>
                            <m:t>,</m:t>
                          </m:r>
                          <m:r>
                            <m:t>s</m:t>
                          </m:r>
                          <m:r>
                            <m:t>,</m:t>
                          </m:r>
                          <m:r>
                            <m:t>y</m:t>
                          </m:r>
                        </m:sub>
                      </m:sSub>
                      <m:r>
                        <m:t>/</m:t>
                      </m:r>
                      <m:sSub>
                        <m:e>
                          <m:r>
                            <m:t>P</m:t>
                          </m:r>
                        </m:e>
                        <m:sub>
                          <m:r>
                            <m:t>c</m:t>
                          </m:r>
                          <m:r>
                            <m:t>,</m:t>
                          </m:r>
                          <m:r>
                            <m:t>y</m:t>
                          </m:r>
                        </m:sub>
                      </m:sSub>
                      <m:r>
                        <m:t>,</m:t>
                      </m:r>
                    </m:e>
                  </m:mr>
                  <m:mr>
                    <m:e>
                      <m:sSub>
                        <m:e>
                          <m:r>
                            <m:t>S</m:t>
                          </m:r>
                        </m:e>
                        <m:sub>
                          <m:r>
                            <m:t>c</m:t>
                          </m:r>
                          <m:r>
                            <m:t>,</m:t>
                          </m:r>
                          <m:r>
                            <m:rPr>
                              <m:sty m:val="p"/>
                            </m:rPr>
                            <m:t>r</m:t>
                          </m:r>
                          <m:r>
                            <m:rPr>
                              <m:sty m:val="p"/>
                            </m:rPr>
                            <m:t>i</m:t>
                          </m:r>
                          <m:r>
                            <m:rPr>
                              <m:sty m:val="p"/>
                            </m:rPr>
                            <m:t>g</m:t>
                          </m:r>
                          <m:r>
                            <m:rPr>
                              <m:sty m:val="p"/>
                            </m:rPr>
                            <m:t>i</m:t>
                          </m:r>
                          <m:r>
                            <m:rPr>
                              <m:sty m:val="p"/>
                            </m:rPr>
                            <m:t>d</m:t>
                          </m:r>
                          <m:r>
                            <m:t>,</m:t>
                          </m:r>
                          <m:r>
                            <m:t>y</m:t>
                          </m:r>
                          <m:r>
                            <m:t>−</m:t>
                          </m:r>
                          <m:r>
                            <m:t>1</m:t>
                          </m:r>
                        </m:sub>
                      </m:sSub>
                    </m:e>
                    <m:e>
                      <m:r>
                        <m:t>≤</m:t>
                      </m:r>
                      <m:sSub>
                        <m:e>
                          <m:r>
                            <m:t>S</m:t>
                          </m:r>
                        </m:e>
                        <m:sub>
                          <m:r>
                            <m:t>c</m:t>
                          </m:r>
                          <m:r>
                            <m:t>,</m:t>
                          </m:r>
                          <m:r>
                            <m:rPr>
                              <m:sty m:val="p"/>
                            </m:rPr>
                            <m:t>r</m:t>
                          </m:r>
                          <m:r>
                            <m:rPr>
                              <m:sty m:val="p"/>
                            </m:rPr>
                            <m:t>i</m:t>
                          </m:r>
                          <m:r>
                            <m:rPr>
                              <m:sty m:val="p"/>
                            </m:rPr>
                            <m:t>g</m:t>
                          </m:r>
                          <m:r>
                            <m:rPr>
                              <m:sty m:val="p"/>
                            </m:rPr>
                            <m:t>i</m:t>
                          </m:r>
                          <m:r>
                            <m:rPr>
                              <m:sty m:val="p"/>
                            </m:rPr>
                            <m:t>d</m:t>
                          </m:r>
                          <m:r>
                            <m:t>,</m:t>
                          </m:r>
                          <m:r>
                            <m:t>y</m:t>
                          </m:r>
                        </m:sub>
                      </m:sSub>
                      <m:r>
                        <m:t>≤</m:t>
                      </m:r>
                      <m:r>
                        <m:rPr>
                          <m:nor/>
                          <m:sty m:val="p"/>
                        </m:rPr>
                        <m:t>max</m:t>
                      </m:r>
                      <m:r>
                        <m:t>{</m:t>
                      </m:r>
                      <m:sSub>
                        <m:e>
                          <m:r>
                            <m:t>S</m:t>
                          </m:r>
                        </m:e>
                        <m:sub>
                          <m:r>
                            <m:t>c</m:t>
                          </m:r>
                          <m:r>
                            <m:t>,</m:t>
                          </m:r>
                          <m:r>
                            <m:rPr>
                              <m:sty m:val="p"/>
                            </m:rPr>
                            <m:t>r</m:t>
                          </m:r>
                          <m:r>
                            <m:rPr>
                              <m:sty m:val="p"/>
                            </m:rPr>
                            <m:t>i</m:t>
                          </m:r>
                          <m:r>
                            <m:rPr>
                              <m:sty m:val="p"/>
                            </m:rPr>
                            <m:t>g</m:t>
                          </m:r>
                          <m:r>
                            <m:rPr>
                              <m:sty m:val="p"/>
                            </m:rPr>
                            <m:t>i</m:t>
                          </m:r>
                          <m:r>
                            <m:rPr>
                              <m:sty m:val="p"/>
                            </m:rPr>
                            <m:t>d</m:t>
                          </m:r>
                          <m:r>
                            <m:t>,</m:t>
                          </m:r>
                          <m:r>
                            <m:t>y</m:t>
                          </m:r>
                          <m:r>
                            <m:t>−</m:t>
                          </m:r>
                          <m:r>
                            <m:t>1</m:t>
                          </m:r>
                        </m:sub>
                      </m:sSub>
                      <m:r>
                        <m:t>,</m:t>
                      </m:r>
                      <m:r>
                        <m:t>2</m:t>
                      </m:r>
                      <m:sSub>
                        <m:e>
                          <m:r>
                            <m:t>P</m:t>
                          </m:r>
                        </m:e>
                        <m:sub>
                          <m:r>
                            <m:t>c</m:t>
                          </m:r>
                          <m:r>
                            <m:t>,</m:t>
                          </m:r>
                          <m:r>
                            <m:t>y</m:t>
                          </m:r>
                        </m:sub>
                      </m:sSub>
                      <m:r>
                        <m:t>}</m:t>
                      </m:r>
                      <m:r>
                        <m:t>,</m:t>
                      </m:r>
                    </m:e>
                  </m:mr>
                  <m:mr>
                    <m:e>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e>
                    <m:e>
                      <m:r>
                        <m:t>≥</m:t>
                      </m:r>
                      <m:r>
                        <m:rPr>
                          <m:nor/>
                          <m:sty m:val="p"/>
                        </m:rPr>
                        <m:t>max</m:t>
                      </m:r>
                      <m:r>
                        <m:t>{</m:t>
                      </m:r>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r>
                            <m:t>−</m:t>
                          </m:r>
                          <m:r>
                            <m:t>1</m:t>
                          </m:r>
                        </m:sub>
                      </m:sSub>
                      <m:r>
                        <m:t>,</m:t>
                      </m:r>
                      <m:r>
                        <m:t>2.001</m:t>
                      </m:r>
                      <m:sSub>
                        <m:e>
                          <m:r>
                            <m:t>P</m:t>
                          </m:r>
                        </m:e>
                        <m:sub>
                          <m:r>
                            <m:t>c</m:t>
                          </m:r>
                          <m:r>
                            <m:t>,</m:t>
                          </m:r>
                          <m:r>
                            <m:t>y</m:t>
                          </m:r>
                        </m:sub>
                      </m:sSub>
                      <m:r>
                        <m:t>}</m:t>
                      </m:r>
                      <m:r>
                        <m:t>,</m:t>
                      </m:r>
                    </m:e>
                  </m:mr>
                  <m:mr>
                    <m:e>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e>
                    <m:e>
                      <m:r>
                        <m:t>≤</m:t>
                      </m:r>
                      <m:nary>
                        <m:naryPr>
                          <m:chr m:val="∑"/>
                          <m:limLoc m:val="undOvr"/>
                          <m:subHide m:val="0"/>
                          <m:supHide m:val="1"/>
                        </m:naryPr>
                        <m:sub>
                          <m:r>
                            <m:t>i</m:t>
                          </m:r>
                        </m:sub>
                        <m:sup>
                          <m:r>
                            <m:t>​</m:t>
                          </m:r>
                        </m:sup>
                        <m:e>
                          <m:sSubSup>
                            <m:e>
                              <m:r>
                                <m:t>S</m:t>
                              </m:r>
                            </m:e>
                            <m:sub>
                              <m:r>
                                <m:t>i</m:t>
                              </m:r>
                              <m:r>
                                <m: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sub>
                            <m:sup>
                              <m:r>
                                <m:rPr>
                                  <m:nor/>
                                  <m:sty m:val="p"/>
                                </m:rPr>
                                <m:t>max</m:t>
                              </m:r>
                            </m:sup>
                          </m:sSubSup>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s</m:t>
        </m:r>
      </m:oMath>
      <w:r>
        <w:rPr>
          <w:rFonts w:ascii="Times New Roman" w:hAnsi="Times New Roman" w:eastAsia="方正仿宋_GBK"/>
          <w:b w:val="0"/>
          <w:sz w:val="24"/>
        </w:rPr>
        <w:t xml:space="preserve">表示刚性或弹性方案，</w:t>
      </w:r>
      <m:oMath>
        <m:sSub>
          <m:e>
            <m:r>
              <m:t>S</m:t>
            </m:r>
          </m:e>
          <m:sub>
            <m:r>
              <m:t>c</m:t>
            </m:r>
            <m:r>
              <m:t>,</m:t>
            </m:r>
            <m:r>
              <m:t>s</m:t>
            </m:r>
            <m:r>
              <m:t>,</m:t>
            </m:r>
            <m:r>
              <m:t>y</m:t>
            </m:r>
          </m:sub>
        </m:sSub>
      </m:oMath>
      <w:r>
        <w:rPr>
          <w:rFonts w:ascii="Times New Roman" w:hAnsi="Times New Roman" w:eastAsia="方正仿宋_GBK"/>
          <w:b w:val="0"/>
          <w:sz w:val="24"/>
        </w:rPr>
        <w:t xml:space="preserve">为方案主变总容量；</w:t>
      </w:r>
      <m:oMath>
        <m:sSubSup>
          <m:e>
            <m:r>
              <m:t>S</m:t>
            </m:r>
          </m:e>
          <m:sub>
            <m:r>
              <m:t>i</m:t>
            </m:r>
            <m:r>
              <m: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sub>
          <m:sup>
            <m:r>
              <m:rPr>
                <m:nor/>
                <m:sty m:val="p"/>
              </m:rPr>
              <m:t>max</m:t>
            </m:r>
          </m:sup>
        </m:sSubSup>
      </m:oMath>
      <w:r>
        <w:rPr>
          <w:rFonts w:ascii="Times New Roman" w:hAnsi="Times New Roman" w:eastAsia="方正仿宋_GBK"/>
          <w:b w:val="0"/>
          <w:sz w:val="24"/>
        </w:rPr>
        <w:t xml:space="preserve">为站点</w:t>
      </w:r>
      <m:oMath>
        <m:r>
          <m:t>i</m:t>
        </m:r>
      </m:oMath>
      <w:r>
        <w:rPr>
          <w:rFonts w:ascii="Times New Roman" w:hAnsi="Times New Roman" w:eastAsia="方正仿宋_GBK"/>
          <w:b w:val="0"/>
          <w:sz w:val="24"/>
        </w:rPr>
        <w:t xml:space="preserve">在候选设备及场地条件下允许的最大容量。2.001用于表达本次弹性比选突破2.00的条件，不作为导则新增规定。容载比由容量和同年网供峰值计算，储能及线路能力不计入其分子。</w:t>
      </w:r>
    </w:p>
    <w:p>
      <w:pPr>
        <w:pStyle w:val="2"/>
        <w:widowControl/>
        <w:spacing w:line="348" w:lineRule="exact" w:before="0" w:after="0"/>
        <w:ind w:firstLine="480"/>
        <w:jc w:val="both"/>
      </w:pPr>
      <w:r>
        <w:rPr>
          <w:rFonts w:ascii="Times New Roman" w:hAnsi="Times New Roman" w:eastAsia="方正仿宋_GBK"/>
          <w:b w:val="0"/>
          <w:sz w:val="24"/>
        </w:rPr>
        <w:t xml:space="preserve">屋顶资源和光伏发展条件用于构造源荷情景。可实施的容量规模受站址、设备候选和网络条件限制，地区间容载比及费用关系由计算结果判断。</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t>P</m:t>
            </m:r>
          </m:e>
          <m:sub>
            <m:r>
              <m:rPr>
                <m:sty m:val="p"/>
              </m:rPr>
              <m:t>r</m:t>
            </m:r>
            <m:r>
              <m:rPr>
                <m:sty m:val="p"/>
              </m:rPr>
              <m:t>o</m:t>
            </m:r>
            <m:r>
              <m:rPr>
                <m:sty m:val="p"/>
              </m:rPr>
              <m:t>o</m:t>
            </m:r>
            <m:r>
              <m:rPr>
                <m:sty m:val="p"/>
              </m:rPr>
              <m:t>f</m:t>
            </m:r>
          </m:sub>
        </m:sSub>
        <m:r>
          <m:t>=</m:t>
        </m:r>
        <m:r>
          <m:t>A</m:t>
        </m:r>
        <m:r>
          <m:t>f</m:t>
        </m:r>
        <m:r>
          <m:t>d</m:t>
        </m:r>
        <m:r>
          <m:t>/</m:t>
        </m:r>
        <m:r>
          <m:t>1000</m:t>
        </m:r>
      </m:oMath>
      <w:r>
        <w:rPr>
          <w:rFonts w:ascii="Times New Roman" w:hAnsi="Times New Roman" w:eastAsia="方正仿宋_GBK"/>
          <w:b w:val="0"/>
          <w:sz w:val="24"/>
        </w:rPr>
        <w:t xml:space="preserve">估算。其中，</w:t>
      </w:r>
      <m:oMath>
        <m:r>
          <m:t>A</m:t>
        </m:r>
      </m:oMath>
      <w:r>
        <w:rPr>
          <w:rFonts w:ascii="Times New Roman" w:hAnsi="Times New Roman" w:eastAsia="方正仿宋_GBK"/>
          <w:b w:val="0"/>
          <w:sz w:val="24"/>
        </w:rPr>
        <w:t xml:space="preserve">为调查屋顶面积，单位m²；</w:t>
      </w:r>
      <m:oMath>
        <m:r>
          <m:t>f</m:t>
        </m:r>
      </m:oMath>
      <w:r>
        <w:rPr>
          <w:rFonts w:ascii="Times New Roman" w:hAnsi="Times New Roman" w:eastAsia="方正仿宋_GBK"/>
          <w:b w:val="0"/>
          <w:sz w:val="24"/>
        </w:rPr>
        <w:t xml:space="preserve">为屋顶可利用比例；</w:t>
      </w:r>
      <m:oMath>
        <m:r>
          <m:t>d</m:t>
        </m:r>
      </m:oMath>
      <w:r>
        <w:rPr>
          <w:rFonts w:ascii="Times New Roman" w:hAnsi="Times New Roman" w:eastAsia="方正仿宋_GBK"/>
          <w:b w:val="0"/>
          <w:sz w:val="24"/>
        </w:rPr>
        <w:t xml:space="preserve">为单位可用面积装机密度，单位kWp/m²；</w:t>
      </w:r>
      <m:oMath>
        <m:sSub>
          <m:e>
            <m:r>
              <m:t>P</m:t>
            </m:r>
          </m:e>
          <m:sub>
            <m:r>
              <m:rPr>
                <m:sty m:val="p"/>
              </m:rPr>
              <m:t>r</m:t>
            </m:r>
            <m:r>
              <m:rPr>
                <m:sty m:val="p"/>
              </m:rPr>
              <m:t>o</m:t>
            </m:r>
            <m:r>
              <m:rPr>
                <m:sty m:val="p"/>
              </m:rPr>
              <m:t>o</m:t>
            </m:r>
            <m:r>
              <m:rPr>
                <m:sty m:val="p"/>
              </m:rPr>
              <m:t>f</m:t>
            </m:r>
          </m:sub>
        </m:sSub>
      </m:oMath>
      <w:r>
        <w:rPr>
          <w:rFonts w:ascii="Times New Roman" w:hAnsi="Times New Roman" w:eastAsia="方正仿宋_GBK"/>
          <w:b w:val="0"/>
          <w:sz w:val="24"/>
        </w:rPr>
        <w:t xml:space="preserve">为估算装机容量，单位MWp。江苏省2009年光伏发电推进意见采用20%的屋顶可利用比例估算全省资源规模[90]，本研究以此为历史参照，并列出40%、60%两种开发程度下的估算值。徐州地铁分布式光伏项目公开资料列出可用建筑面积94900 m²、规划装机9.49 MWp，据此取装机密度0.10 kWp/m²[91]。</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可利用比例20%/MWp</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可利用比例40%/MWp</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可利用比例60%/MWp</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《江苏省分布式光伏发展实施方案（2026—2030年）》提出，2030年全省分布式光伏累计装机较2025年翻一番，达到1.20亿千瓦[92]。以装机翻倍作为地区发展情景，邳州和市区装机规模分别约为3119.28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[93]。</w:t>
      </w:r>
    </w:p>
    <w:p>
      <w:pPr>
        <w:pStyle w:val="2"/>
        <w:widowControl/>
        <w:spacing w:line="348" w:lineRule="exact" w:before="0" w:after="0"/>
        <w:ind w:firstLine="480"/>
        <w:jc w:val="both"/>
      </w:pPr>
      <w:r>
        <w:rPr>
          <w:rFonts w:ascii="Times New Roman" w:hAnsi="Times New Roman" w:eastAsia="方正仿宋_GBK"/>
          <w:b w:val="0"/>
          <w:sz w:val="24"/>
        </w:rPr>
        <w:t xml:space="preserve">屋顶资源和政策发展情景用于判断光伏规模进一步增长的研究需求。资源可开发规模不能单独推导主变容量上限：同样的装机规模，在用户负荷、光伏空间分布、联络条件及储能持续时间不同的情况下，对正反向容量的要求也不同。本研究保留上述资源分析，容量比选的最大可选值由实际设备候选与站址条件确定，不据此设置统一容载比上限。</w:t>
      </w:r>
    </w:p>
    <w:p>
      <w:pPr>
        <w:pStyle w:val="5"/>
        <w:keepNext/>
        <w:numPr>
          <w:numId w:val="0"/>
        </w:numPr>
        <w:spacing w:line="390" w:lineRule="exact" w:before="160" w:after="120"/>
        <w:ind w:firstLine="0"/>
      </w:pPr>
      <w:bookmarkStart w:id="177" w:name="指标参数的选取依据"/>
      <w:r>
        <w:rPr>
          <w:rFonts w:ascii="Times New Roman" w:hAnsi="Times New Roman" w:eastAsia="方正仿宋_GBK"/>
          <w:b/>
          <w:sz w:val="26"/>
        </w:rPr>
        <w:t xml:space="preserve">5.1.3 指标参数的选取依据</w:t>
      </w:r>
      <w:bookmarkEnd w:id="177"/>
    </w:p>
    <w:p>
      <w:pPr>
        <w:pStyle w:val="FirstParagraph"/>
        <w:widowControl/>
        <w:spacing w:line="348" w:lineRule="exact" w:before="0" w:after="0"/>
        <w:ind w:firstLine="480"/>
        <w:jc w:val="both"/>
      </w:pPr>
      <w:r>
        <w:rPr>
          <w:rFonts w:ascii="Times New Roman" w:hAnsi="Times New Roman" w:eastAsia="方正仿宋_GBK"/>
          <w:b w:val="0"/>
          <w:sz w:val="24"/>
        </w:rPr>
        <w:t xml:space="preserve">主变候选区分现有设备与新购设备。在役20、40 MVA等设备可继续保留；新购序列采用31.50、50.00、63.00、80.00 MVA，并受原设备容量、预留位置及允许扩建条件限制。增加第三台主变仅在具有预留条件的站点设置，当前候选容量为50.00 MVA。80.00 MVA方案仍需在工程阶段核实配套间隔、短路电流及站址条件。</w:t>
      </w:r>
    </w:p>
    <w:p>
      <w:pPr>
        <w:pStyle w:val="2"/>
        <w:widowControl/>
        <w:spacing w:line="348" w:lineRule="exact" w:before="0" w:after="0"/>
        <w:ind w:firstLine="480"/>
        <w:jc w:val="both"/>
      </w:pPr>
      <w:r>
        <w:rPr>
          <w:rFonts w:ascii="Times New Roman" w:hAnsi="Times New Roman" w:eastAsia="方正仿宋_GBK"/>
          <w:b w:val="0"/>
          <w:sz w:val="24"/>
        </w:rPr>
        <w:t xml:space="preserve">储能采用100 kW/215 kWh成套柜，可用电量系数为0.76。地区案例正向支撑统一取4 h，反向持续时间沿用各站原静态参数；2 h和6 h用于分析持续时间变化。采用相同储能规格和工程价格，比较容量约束变化后是否仍需配置储能。</w:t>
      </w:r>
    </w:p>
    <w:p>
      <w:pPr>
        <w:pStyle w:val="2"/>
        <w:keepNext/>
        <w:spacing w:line="280" w:lineRule="exact" w:before="120" w:after="80"/>
        <w:ind w:firstLine="0"/>
        <w:jc w:val="center"/>
      </w:pPr>
      <w:r>
        <w:rPr>
          <w:rFonts w:ascii="Times New Roman" w:hAnsi="Times New Roman" w:eastAsia="宋体"/>
          <w:b w:val="0"/>
          <w:sz w:val="21"/>
        </w:rPr>
        <w:t xml:space="preserve">表5-3 两地区共同计算条件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性质</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年度负荷</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2022—2025年逐年实际统计</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原始收资</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功率因数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0.95</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研究取值</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h</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共同对照条件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反向储能支撑持续时间</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按各站反向容量校核要求设置</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静态支撑参数</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储能规格</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 kW/215 kWh</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采购资料</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可用电量系数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0.76</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研究取值</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新增主变规格</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31.50、50、63、80 MVA</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第三台主变</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有预留条件时50 MVA</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联络项目费用</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邳州124.80、市区499.20万元/条</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保持原案例费用</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供电安全</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正常及最大单台主变N-1</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分故障工况校核</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中分布式电源装机与用户最大负荷的比值定义，用于联系装机规模和典型出力下的反向净负荷[7]。分布式电源电量渗透率仍用于地区背景分析，但在采用统一利用小时和年负荷率的模板中，与分布式电源装机渗透率存在确定换算关系，不再增加重复维度。</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年最大净负荷平均增长率采用起止负荷之比开根计算，增长分界取DL/T 5729—2023表6.3.4[5]。地区案例保留已知年度负荷，通用模板按增长率计算目标年规模。增长率同时作用于容量需求和容载比分母，后续分析同时报告主变容量及其比值。</w:t>
      </w:r>
    </w:p>
    <w:p>
      <w:pPr>
        <w:pStyle w:val="2"/>
        <w:widowControl/>
        <w:spacing w:line="348" w:lineRule="exact" w:before="0" w:after="0"/>
        <w:ind w:firstLine="480"/>
        <w:jc w:val="both"/>
      </w:pPr>
      <w:r>
        <w:rPr>
          <w:rFonts w:ascii="Times New Roman" w:hAnsi="Times New Roman" w:eastAsia="方正仿宋_GBK"/>
          <w:b w:val="0"/>
          <w:sz w:val="24"/>
        </w:rPr>
        <w:t xml:space="preserve">线路成本系数反映单位长度综合造价相对参考基价的比例，初始转供率反映基期网络能够转移的负荷比例。二者分别进入工程费用和网络能力，不能用线路价格代替转供能力[8][76]。储能支撑持续时间决定额定能量可折算的有效功率，储能价格再单独改变采购费用；这种区分与储能功率、能量联合配置方法相衔接[30][28][10]。</w:t>
      </w:r>
    </w:p>
    <w:p>
      <w:pPr>
        <w:pStyle w:val="4"/>
        <w:keepNext/>
        <w:numPr>
          <w:numId w:val="0"/>
        </w:numPr>
        <w:spacing w:line="480" w:lineRule="exact" w:before="160" w:after="120"/>
        <w:ind w:firstLine="0"/>
      </w:pPr>
      <w:bookmarkStart w:id="1527" w:name="h527"/>
      <w:bookmarkStart w:id="178" w:name="三类措施的选取与寻优方法"/>
      <w:r>
        <w:rPr>
          <w:rFonts w:ascii="Times New Roman" w:hAnsi="Times New Roman" w:eastAsia="方正仿宋_GBK"/>
          <w:b/>
          <w:sz w:val="32"/>
        </w:rPr>
        <w:t xml:space="preserve">5.2 三类措施的选取与寻优方法</w:t>
      </w:r>
      <w:bookmarkEnd w:id="178"/>
      <w:bookmarkEnd w:id="1527"/>
    </w:p>
    <w:p>
      <w:pPr>
        <w:pStyle w:val="5"/>
        <w:keepNext/>
        <w:numPr>
          <w:numId w:val="0"/>
        </w:numPr>
        <w:spacing w:line="390" w:lineRule="exact" w:before="160" w:after="120"/>
        <w:ind w:firstLine="0"/>
      </w:pPr>
      <w:bookmarkStart w:id="179" w:name="主变增容及扩建方案"/>
      <w:r>
        <w:rPr>
          <w:rFonts w:ascii="Times New Roman" w:hAnsi="Times New Roman" w:eastAsia="方正仿宋_GBK"/>
          <w:b/>
          <w:sz w:val="26"/>
        </w:rPr>
        <w:t xml:space="preserve">5.2.1 主变增容及扩建方案</w:t>
      </w:r>
      <w:bookmarkEnd w:id="179"/>
    </w:p>
    <w:p>
      <w:pPr>
        <w:pStyle w:val="FirstParagraph"/>
        <w:widowControl/>
        <w:spacing w:line="348" w:lineRule="exact" w:before="0" w:after="0"/>
        <w:ind w:firstLine="480"/>
        <w:jc w:val="both"/>
      </w:pPr>
      <w:r>
        <w:rPr>
          <w:rFonts w:ascii="Times New Roman" w:hAnsi="Times New Roman" w:eastAsia="方正仿宋_GBK"/>
          <w:b w:val="0"/>
          <w:sz w:val="24"/>
        </w:rPr>
        <w:t xml:space="preserve">每个主变安装位置从允许规格中选择一项，在后续年份维持或升档。更换主变按新购整台容量计费，新增容量用于更新在役容量，两者分别统计。储能柜数为整数，后续在役数量不得低于前一年。新增联络投运后持续可用，既有联络建设费用不重复计取。</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S</m:t>
                          </m:r>
                        </m:e>
                        <m:sub>
                          <m:r>
                            <m:t>i</m:t>
                          </m:r>
                          <m:r>
                            <m:t>,</m:t>
                          </m:r>
                          <m:r>
                            <m:t>y</m:t>
                          </m:r>
                        </m:sub>
                      </m:sSub>
                    </m:e>
                    <m:e>
                      <m:r>
                        <m:t>=</m:t>
                      </m:r>
                      <m:nary>
                        <m:naryPr>
                          <m:chr m:val="∑"/>
                          <m:limLoc m:val="undOvr"/>
                          <m:subHide m:val="0"/>
                          <m:supHide m:val="1"/>
                        </m:naryPr>
                        <m:sub>
                          <m:r>
                            <m:t>j</m:t>
                          </m:r>
                          <m:r>
                            <m:t>,</m:t>
                          </m:r>
                          <m:r>
                            <m:t>r</m:t>
                          </m:r>
                        </m:sub>
                        <m:sup>
                          <m:r>
                            <m:t>​</m:t>
                          </m:r>
                        </m:sup>
                        <m:e>
                          <m:r>
                            <m:t>r</m:t>
                          </m:r>
                        </m:e>
                      </m:nary>
                      <m:sSub>
                        <m:e>
                          <m:r>
                            <m:t>x</m:t>
                          </m:r>
                        </m:e>
                        <m:sub>
                          <m:r>
                            <m:t>i</m:t>
                          </m:r>
                          <m:r>
                            <m:t>,</m:t>
                          </m:r>
                          <m:r>
                            <m:t>j</m:t>
                          </m:r>
                          <m:r>
                            <m:t>,</m:t>
                          </m:r>
                          <m:r>
                            <m:t>r</m:t>
                          </m:r>
                          <m:r>
                            <m:t>,</m:t>
                          </m:r>
                          <m:r>
                            <m:t>y</m:t>
                          </m:r>
                        </m:sub>
                      </m:sSub>
                      <m:r>
                        <m:t>+</m:t>
                      </m:r>
                      <m:r>
                        <m:t>50</m:t>
                      </m:r>
                      <m:sSub>
                        <m:e>
                          <m:r>
                            <m:t>z</m:t>
                          </m:r>
                        </m:e>
                        <m:sub>
                          <m:r>
                            <m:t>i</m:t>
                          </m:r>
                          <m:r>
                            <m:t>,</m:t>
                          </m:r>
                          <m:r>
                            <m:t>y</m:t>
                          </m:r>
                        </m:sub>
                      </m:sSub>
                      <m:r>
                        <m:t>,</m:t>
                      </m:r>
                    </m:e>
                  </m:mr>
                  <m:mr>
                    <m:e>
                      <m:nary>
                        <m:naryPr>
                          <m:chr m:val="∑"/>
                          <m:limLoc m:val="undOvr"/>
                          <m:subHide m:val="0"/>
                          <m:supHide m:val="1"/>
                        </m:naryPr>
                        <m:sub>
                          <m:r>
                            <m:t>r</m:t>
                          </m:r>
                        </m:sub>
                        <m:sup>
                          <m:r>
                            <m:t>​</m:t>
                          </m:r>
                        </m:sup>
                        <m:e>
                          <m:sSub>
                            <m:e>
                              <m:r>
                                <m:t>x</m:t>
                              </m:r>
                            </m:e>
                            <m:sub>
                              <m:r>
                                <m:t>i</m:t>
                              </m:r>
                              <m:r>
                                <m:t>,</m:t>
                              </m:r>
                              <m:r>
                                <m:t>j</m:t>
                              </m:r>
                              <m:r>
                                <m:t>,</m:t>
                              </m:r>
                              <m:r>
                                <m:t>r</m:t>
                              </m:r>
                              <m:r>
                                <m:t>,</m:t>
                              </m:r>
                              <m:r>
                                <m:t>y</m:t>
                              </m:r>
                            </m:sub>
                          </m:sSub>
                        </m:e>
                      </m:nary>
                    </m:e>
                    <m:e>
                      <m:r>
                        <m:t>=</m:t>
                      </m:r>
                      <m:r>
                        <m:t>1</m:t>
                      </m:r>
                      <m:r>
                        <m:t>,</m:t>
                      </m:r>
                    </m:e>
                  </m:mr>
                  <m:mr>
                    <m:e>
                      <m:sSub>
                        <m:e>
                          <m:r>
                            <m:t>n</m:t>
                          </m:r>
                        </m:e>
                        <m:sub>
                          <m:r>
                            <m:t>i</m:t>
                          </m:r>
                          <m:r>
                            <m:t>,</m:t>
                          </m:r>
                          <m:r>
                            <m:t>y</m:t>
                          </m:r>
                        </m:sub>
                      </m:sSub>
                    </m:e>
                    <m:e>
                      <m:r>
                        <m:t>≥</m:t>
                      </m:r>
                      <m:sSub>
                        <m:e>
                          <m:r>
                            <m:t>n</m:t>
                          </m:r>
                        </m:e>
                        <m:sub>
                          <m:r>
                            <m:t>i</m:t>
                          </m:r>
                          <m:r>
                            <m:t>,</m:t>
                          </m:r>
                          <m:r>
                            <m:t>y</m:t>
                          </m:r>
                          <m:r>
                            <m:t>−</m:t>
                          </m:r>
                          <m:r>
                            <m:t>1</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x</m:t>
            </m:r>
          </m:e>
          <m:sub>
            <m:r>
              <m:t>i</m:t>
            </m:r>
            <m:r>
              <m:t>,</m:t>
            </m:r>
            <m:r>
              <m:t>j</m:t>
            </m:r>
            <m:r>
              <m:t>,</m:t>
            </m:r>
            <m:r>
              <m:t>r</m:t>
            </m:r>
            <m:r>
              <m:t>,</m:t>
            </m:r>
            <m:r>
              <m:t>y</m:t>
            </m:r>
          </m:sub>
        </m:sSub>
      </m:oMath>
      <w:r>
        <w:rPr>
          <w:rFonts w:ascii="Times New Roman" w:hAnsi="Times New Roman" w:eastAsia="方正仿宋_GBK"/>
          <w:b w:val="0"/>
          <w:sz w:val="24"/>
        </w:rPr>
        <w:t xml:space="preserve">表示站点</w:t>
      </w:r>
      <m:oMath>
        <m:r>
          <m:t>i</m:t>
        </m:r>
      </m:oMath>
      <w:r>
        <w:rPr>
          <w:rFonts w:ascii="Times New Roman" w:hAnsi="Times New Roman" w:eastAsia="方正仿宋_GBK"/>
          <w:b w:val="0"/>
          <w:sz w:val="24"/>
        </w:rPr>
        <w:t xml:space="preserve">第</w:t>
      </w:r>
      <m:oMath>
        <m:r>
          <m:t>j</m:t>
        </m:r>
      </m:oMath>
      <w:r>
        <w:rPr>
          <w:rFonts w:ascii="Times New Roman" w:hAnsi="Times New Roman" w:eastAsia="方正仿宋_GBK"/>
          <w:b w:val="0"/>
          <w:sz w:val="24"/>
        </w:rPr>
        <w:t xml:space="preserve">个原主变位置在第</w:t>
      </w:r>
      <m:oMath>
        <m:r>
          <m:t>y</m:t>
        </m:r>
      </m:oMath>
      <w:r>
        <w:rPr>
          <w:rFonts w:ascii="Times New Roman" w:hAnsi="Times New Roman" w:eastAsia="方正仿宋_GBK"/>
          <w:b w:val="0"/>
          <w:sz w:val="24"/>
        </w:rPr>
        <w:t xml:space="preserve">年是否采用容量</w:t>
      </w:r>
      <m:oMath>
        <m:r>
          <m:t>r</m:t>
        </m:r>
      </m:oMath>
      <w:r>
        <w:rPr>
          <w:rFonts w:ascii="Times New Roman" w:hAnsi="Times New Roman" w:eastAsia="方正仿宋_GBK"/>
          <w:b w:val="0"/>
          <w:sz w:val="24"/>
        </w:rPr>
        <w:t xml:space="preserve">，</w:t>
      </w:r>
      <m:oMath>
        <m:sSub>
          <m:e>
            <m:r>
              <m:t>z</m:t>
            </m:r>
          </m:e>
          <m:sub>
            <m:r>
              <m:t>i</m:t>
            </m:r>
            <m:r>
              <m:t>,</m:t>
            </m:r>
            <m:r>
              <m:t>y</m:t>
            </m:r>
          </m:sub>
        </m:sSub>
      </m:oMath>
      <w:r>
        <w:rPr>
          <w:rFonts w:ascii="Times New Roman" w:hAnsi="Times New Roman" w:eastAsia="方正仿宋_GBK"/>
          <w:b w:val="0"/>
          <w:sz w:val="24"/>
        </w:rPr>
        <w:t xml:space="preserve">表示第三台50 MVA主变是否在役，</w:t>
      </w:r>
      <m:oMath>
        <m:sSub>
          <m:e>
            <m:r>
              <m:t>n</m:t>
            </m:r>
          </m:e>
          <m:sub>
            <m:r>
              <m:t>i</m:t>
            </m:r>
            <m:r>
              <m:t>,</m:t>
            </m:r>
            <m:r>
              <m:t>y</m:t>
            </m:r>
          </m:sub>
        </m:sSub>
      </m:oMath>
      <w:r>
        <w:rPr>
          <w:rFonts w:ascii="Times New Roman" w:hAnsi="Times New Roman" w:eastAsia="方正仿宋_GBK"/>
          <w:b w:val="0"/>
          <w:sz w:val="24"/>
        </w:rPr>
        <w:t xml:space="preserve">为在役储能柜数。没有扩建条件的站点不设置相应候选。</w:t>
      </w:r>
    </w:p>
    <w:p>
      <w:pPr>
        <w:pStyle w:val="2"/>
        <w:widowControl/>
        <w:spacing w:line="348" w:lineRule="exact" w:before="0" w:after="0"/>
        <w:ind w:firstLine="480"/>
        <w:jc w:val="both"/>
      </w:pPr>
      <w:r>
        <w:rPr>
          <w:rFonts w:ascii="Times New Roman" w:hAnsi="Times New Roman" w:eastAsia="方正仿宋_GBK"/>
          <w:b w:val="0"/>
          <w:sz w:val="24"/>
        </w:rPr>
        <w:t xml:space="preserve">主变更换的净增容量与新购容量分别统计。将20 MVA主变更换为50 MVA，净增30 MVA，但费用按整台50 MVA及配套工程计算；第三台主变扩建增加50 MVA，并可能提高最大单台主变N-1后的剩余容量。设备结构对供电安全的影响进入约束，不能只按每MVA投资排序[85]。</w:t>
      </w:r>
    </w:p>
    <w:p>
      <w:pPr>
        <w:pStyle w:val="5"/>
        <w:keepNext/>
        <w:numPr>
          <w:numId w:val="0"/>
        </w:numPr>
        <w:spacing w:line="390" w:lineRule="exact" w:before="160" w:after="120"/>
        <w:ind w:firstLine="0"/>
      </w:pPr>
      <w:bookmarkStart w:id="180" w:name="利用既有10-kv联络能力"/>
      <w:r>
        <w:rPr>
          <w:rFonts w:ascii="Times New Roman" w:hAnsi="Times New Roman" w:eastAsia="方正仿宋_GBK"/>
          <w:b/>
          <w:sz w:val="26"/>
        </w:rPr>
        <w:t xml:space="preserve">5.2.2 利用既有10 kV联络能力</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初始转供率用于概括基期可转负荷条件。邳州局部六馈线资料可用于说明比例的计算过程：以最大电流估计本地负荷，以允许电流与已用电流之差估计接收余量，再考虑联络路径及共享馈线预算。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P</m:t>
                          </m:r>
                        </m:e>
                        <m:sub>
                          <m:r>
                            <m:t>f</m:t>
                          </m:r>
                        </m:sub>
                      </m:sSub>
                    </m:e>
                    <m:e>
                      <m:r>
                        <m:t>=</m:t>
                      </m:r>
                      <m:f>
                        <m:fPr>
                          <m:type m:val="bar"/>
                        </m:fPr>
                        <m:num>
                          <m:rad>
                            <m:radPr>
                              <m:degHide m:val="1"/>
                            </m:radPr>
                            <m:deg/>
                            <m:e>
                              <m:r>
                                <m:t>3</m:t>
                              </m:r>
                            </m:e>
                          </m:rad>
                          <m:r>
                            <m:t>U</m:t>
                          </m:r>
                          <m:sSub>
                            <m:e>
                              <m:r>
                                <m:t>I</m:t>
                              </m:r>
                            </m:e>
                            <m:sub>
                              <m:r>
                                <m:t>f</m:t>
                              </m:r>
                            </m:sub>
                          </m:sSub>
                          <m:r>
                            <m:rPr>
                              <m:nor/>
                              <m:sty m:val="p"/>
                            </m:rPr>
                            <m:t>cos</m:t>
                          </m:r>
                          <m:r>
                            <m:t>φ</m:t>
                          </m:r>
                        </m:num>
                        <m:den>
                          <m:r>
                            <m:t>1000</m:t>
                          </m:r>
                        </m:den>
                      </m:f>
                    </m:e>
                  </m:mr>
                  <m:mr>
                    <m:e>
                      <m:sSub>
                        <m:e>
                          <m:r>
                            <m:t>H</m:t>
                          </m:r>
                        </m:e>
                        <m:sub>
                          <m:r>
                            <m:t>f</m:t>
                          </m:r>
                        </m:sub>
                      </m:sSub>
                    </m:e>
                    <m:e>
                      <m:r>
                        <m:t>=</m:t>
                      </m:r>
                      <m:f>
                        <m:fPr>
                          <m:type m:val="bar"/>
                        </m:fPr>
                        <m:num>
                          <m:rad>
                            <m:radPr>
                              <m:degHide m:val="1"/>
                            </m:radPr>
                            <m:deg/>
                            <m:e>
                              <m:r>
                                <m:t>3</m:t>
                              </m:r>
                            </m:e>
                          </m:rad>
                          <m:r>
                            <m:t>U</m:t>
                          </m:r>
                          <m:r>
                            <m:rPr>
                              <m:nor/>
                              <m:sty m:val="p"/>
                            </m:rPr>
                            <m:t>max</m:t>
                          </m:r>
                          <m:r>
                            <m:t>(</m:t>
                          </m:r>
                          <m:sSubSup>
                            <m:e>
                              <m:r>
                                <m:t>I</m:t>
                              </m:r>
                            </m:e>
                            <m:sub>
                              <m:r>
                                <m:t>f</m:t>
                              </m:r>
                            </m:sub>
                            <m:sup>
                              <m:r>
                                <m:rPr>
                                  <m:sty m:val="p"/>
                                </m:rPr>
                                <m:t>a</m:t>
                              </m:r>
                              <m:r>
                                <m:rPr>
                                  <m:sty m:val="p"/>
                                </m:rPr>
                                <m:t>l</m:t>
                              </m:r>
                              <m:r>
                                <m:rPr>
                                  <m:sty m:val="p"/>
                                </m:rPr>
                                <m:t>l</m:t>
                              </m:r>
                              <m:r>
                                <m:rPr>
                                  <m:sty m:val="p"/>
                                </m:rPr>
                                <m:t>o</m:t>
                              </m:r>
                              <m:r>
                                <m:rPr>
                                  <m:sty m:val="p"/>
                                </m:rPr>
                                <m:t>w</m:t>
                              </m:r>
                            </m:sup>
                          </m:sSubSup>
                          <m:r>
                            <m:t>−</m:t>
                          </m:r>
                          <m:sSub>
                            <m:e>
                              <m:r>
                                <m:t>I</m:t>
                              </m:r>
                            </m:e>
                            <m:sub>
                              <m:r>
                                <m:t>f</m:t>
                              </m:r>
                            </m:sub>
                          </m:sSub>
                          <m:r>
                            <m:t>,</m:t>
                          </m:r>
                          <m:r>
                            <m:t>0</m:t>
                          </m:r>
                          <m:r>
                            <m:t>)</m:t>
                          </m:r>
                          <m:r>
                            <m:rPr>
                              <m:nor/>
                              <m:sty m:val="p"/>
                            </m:rPr>
                            <m:t>cos</m:t>
                          </m:r>
                          <m:r>
                            <m:t>φ</m:t>
                          </m:r>
                        </m:num>
                        <m:den>
                          <m:r>
                            <m:t>1000</m:t>
                          </m:r>
                        </m:den>
                      </m:f>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f</m:t>
        </m:r>
      </m:oMath>
      <w:r>
        <w:rPr>
          <w:rFonts w:ascii="Times New Roman" w:hAnsi="Times New Roman" w:eastAsia="方正仿宋_GBK"/>
          <w:b w:val="0"/>
          <w:sz w:val="24"/>
        </w:rPr>
        <w:t xml:space="preserve">为馈线，</w:t>
      </w:r>
      <m:oMath>
        <m:r>
          <m:t>U</m:t>
        </m:r>
      </m:oMath>
      <w:r>
        <w:rPr>
          <w:rFonts w:ascii="Times New Roman" w:hAnsi="Times New Roman" w:eastAsia="方正仿宋_GBK"/>
          <w:b w:val="0"/>
          <w:sz w:val="24"/>
        </w:rPr>
        <w:t xml:space="preserve">为线电压，取10 kV；</w:t>
      </w:r>
      <m:oMath>
        <m:sSub>
          <m:e>
            <m:r>
              <m:t>I</m:t>
            </m:r>
          </m:e>
          <m:sub>
            <m:r>
              <m:t>f</m:t>
            </m:r>
          </m:sub>
        </m:sSub>
      </m:oMath>
      <w:r>
        <w:rPr>
          <w:rFonts w:ascii="Times New Roman" w:hAnsi="Times New Roman" w:eastAsia="方正仿宋_GBK"/>
          <w:b w:val="0"/>
          <w:sz w:val="24"/>
        </w:rPr>
        <w:t xml:space="preserve">为样本最大电流，</w:t>
      </w:r>
      <m:oMath>
        <m:sSubSup>
          <m:e>
            <m:r>
              <m:t>I</m:t>
            </m:r>
          </m:e>
          <m:sub>
            <m:r>
              <m:t>f</m:t>
            </m:r>
          </m:sub>
          <m:sup>
            <m:r>
              <m:rPr>
                <m:sty m:val="p"/>
              </m:rPr>
              <m:t>a</m:t>
            </m:r>
            <m:r>
              <m:rPr>
                <m:sty m:val="p"/>
              </m:rPr>
              <m:t>l</m:t>
            </m:r>
            <m:r>
              <m:rPr>
                <m:sty m:val="p"/>
              </m:rPr>
              <m:t>l</m:t>
            </m:r>
            <m:r>
              <m:rPr>
                <m:sty m:val="p"/>
              </m:rPr>
              <m:t>o</m:t>
            </m:r>
            <m:r>
              <m:rPr>
                <m:sty m:val="p"/>
              </m:rPr>
              <m:t>w</m:t>
            </m:r>
          </m:sup>
        </m:sSubSup>
      </m:oMath>
      <w:r>
        <w:rPr>
          <w:rFonts w:ascii="Times New Roman" w:hAnsi="Times New Roman" w:eastAsia="方正仿宋_GBK"/>
          <w:b w:val="0"/>
          <w:sz w:val="24"/>
        </w:rPr>
        <w:t xml:space="preserve">为允许电流，单位A；</w:t>
      </w:r>
      <m:oMath>
        <m:r>
          <m:rPr>
            <m:nor/>
            <m:sty m:val="p"/>
          </m:rPr>
          <m:t>cos</m:t>
        </m:r>
        <m:r>
          <m:t>φ</m:t>
        </m:r>
      </m:oMath>
      <w:r>
        <w:rPr>
          <w:rFonts w:ascii="Times New Roman" w:hAnsi="Times New Roman" w:eastAsia="方正仿宋_GBK"/>
          <w:b w:val="0"/>
          <w:sz w:val="24"/>
        </w:rPr>
        <w:t xml:space="preserve">取0.95；</w:t>
      </w:r>
      <m:oMath>
        <m:sSub>
          <m:e>
            <m:r>
              <m:t>P</m:t>
            </m:r>
          </m:e>
          <m:sub>
            <m:r>
              <m:t>f</m:t>
            </m:r>
          </m:sub>
        </m:sSub>
      </m:oMath>
      <w:r>
        <w:rPr>
          <w:rFonts w:ascii="Times New Roman" w:hAnsi="Times New Roman" w:eastAsia="方正仿宋_GBK"/>
          <w:b w:val="0"/>
          <w:sz w:val="24"/>
        </w:rPr>
        <w:t xml:space="preserve">为馈线有功负荷，</w:t>
      </w:r>
      <m:oMath>
        <m:sSub>
          <m:e>
            <m:r>
              <m:t>H</m:t>
            </m:r>
          </m:e>
          <m:sub>
            <m:r>
              <m:t>f</m:t>
            </m:r>
          </m:sub>
        </m:sSub>
      </m:oMath>
      <w:r>
        <w:rPr>
          <w:rFonts w:ascii="Times New Roman" w:hAnsi="Times New Roman" w:eastAsia="方正仿宋_GBK"/>
          <w:b w:val="0"/>
          <w:sz w:val="24"/>
        </w:rPr>
        <w:t xml:space="preserve">为受端有功余量，单位MW。系数1000用于将kW换算为MW。</w:t>
      </w:r>
    </w:p>
    <w:p>
      <w:pPr>
        <w:pStyle w:val="2"/>
        <w:widowControl/>
        <w:spacing w:line="348" w:lineRule="exact" w:before="0" w:after="0"/>
        <w:ind w:firstLine="480"/>
        <w:jc w:val="both"/>
      </w:pPr>
      <w:r>
        <w:rPr>
          <w:rFonts w:ascii="Times New Roman" w:hAnsi="Times New Roman" w:eastAsia="方正仿宋_GBK"/>
          <w:b w:val="0"/>
          <w:sz w:val="24"/>
        </w:rPr>
        <w:t xml:space="preserve">对同一馈线接入的多条联络，其转出和接收任务共用同一负荷及热限预算。局部筛查的最大可转负荷为9.98 MW，样本负荷合计35.29 MW，比例约28%。该比例说明局部样本条件，不能直接认定为全县实测水平。当前地区案例按具体已知联络与候选区段建模，不按统一比例凭空增加站间连接。</w:t>
      </w:r>
    </w:p>
    <w:p>
      <w:pPr>
        <w:pStyle w:val="2"/>
        <w:widowControl/>
        <w:spacing w:line="348" w:lineRule="exact" w:before="0" w:after="0"/>
        <w:ind w:firstLine="480"/>
        <w:jc w:val="both"/>
      </w:pPr>
      <w:r>
        <w:rPr>
          <w:rFonts w:ascii="Times New Roman" w:hAnsi="Times New Roman" w:eastAsia="方正仿宋_GBK"/>
          <w:b w:val="0"/>
          <w:sz w:val="24"/>
        </w:rPr>
        <w:t xml:space="preserve">市区按A类较少、B类较多的研究背景，参数研究采用B类区间中值40%，并比较30%～50%。导则对A+、A类及B、C类的转供比例建议分别为50%～70%和30%～50%[5]。在分区负荷及存量网络核实前，40%仅作为研究参考；地区案例中缺少已核实存量边的部分仍按新增付费候选处理。</w:t>
      </w:r>
    </w:p>
    <w:p>
      <w:pPr>
        <w:pStyle w:val="5"/>
        <w:keepNext/>
        <w:numPr>
          <w:numId w:val="0"/>
        </w:numPr>
        <w:spacing w:line="390" w:lineRule="exact" w:before="160" w:after="120"/>
        <w:ind w:firstLine="0"/>
      </w:pPr>
      <w:bookmarkStart w:id="181" w:name="新建10-kv联络提升转供能力"/>
      <w:r>
        <w:rPr>
          <w:rFonts w:ascii="Times New Roman" w:hAnsi="Times New Roman" w:eastAsia="方正仿宋_GBK"/>
          <w:b/>
          <w:sz w:val="26"/>
        </w:rPr>
        <w:t xml:space="preserve">5.2.3 新建10 kV联络提升转供能力</w:t>
      </w:r>
      <w:bookmarkEnd w:id="181"/>
    </w:p>
    <w:p>
      <w:pPr>
        <w:pStyle w:val="FirstParagraph"/>
        <w:widowControl/>
        <w:spacing w:line="348" w:lineRule="exact" w:before="0" w:after="0"/>
        <w:ind w:firstLine="480"/>
        <w:jc w:val="both"/>
      </w:pPr>
      <w:r>
        <w:rPr>
          <w:rFonts w:ascii="Times New Roman" w:hAnsi="Times New Roman" w:eastAsia="方正仿宋_GBK"/>
          <w:b w:val="0"/>
          <w:sz w:val="24"/>
        </w:rPr>
        <w:t xml:space="preserve">转供通过具体馈线和站间候选边实现。每条边记录送受端、有效容量、是否既有及新增间隔需求；未建设的候选边不能承担转供。共用馈线的联络项目共同占用该馈线的可转负荷与接收余量，接收负荷还应通过邻站主变容量校核。</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Sup>
                        <m:e>
                          <m:r>
                            <m:t>q</m:t>
                          </m:r>
                        </m:e>
                        <m:sub>
                          <m:r>
                            <m:t>e</m:t>
                          </m:r>
                          <m:r>
                            <m:t>,</m:t>
                          </m:r>
                          <m:r>
                            <m:t>ω</m:t>
                          </m:r>
                        </m:sub>
                        <m:sup>
                          <m:r>
                            <m:t>a</m:t>
                          </m:r>
                          <m:r>
                            <m:t>→</m:t>
                          </m:r>
                          <m:r>
                            <m:t>b</m:t>
                          </m:r>
                        </m:sup>
                      </m:sSubSup>
                      <m:r>
                        <m:t>+</m:t>
                      </m:r>
                      <m:sSubSup>
                        <m:e>
                          <m:r>
                            <m:t>q</m:t>
                          </m:r>
                        </m:e>
                        <m:sub>
                          <m:r>
                            <m:t>e</m:t>
                          </m:r>
                          <m:r>
                            <m:t>,</m:t>
                          </m:r>
                          <m:r>
                            <m:t>ω</m:t>
                          </m:r>
                        </m:sub>
                        <m:sup>
                          <m:r>
                            <m:t>b</m:t>
                          </m:r>
                          <m:r>
                            <m:t>→</m:t>
                          </m:r>
                          <m:r>
                            <m:t>a</m:t>
                          </m:r>
                        </m:sup>
                      </m:sSubSup>
                    </m:e>
                    <m:e>
                      <m:r>
                        <m:t>≤</m:t>
                      </m:r>
                      <m:sSub>
                        <m:e>
                          <m:r>
                            <m:t>F</m:t>
                          </m:r>
                        </m:e>
                        <m:sub>
                          <m:r>
                            <m:t>e</m:t>
                          </m:r>
                        </m:sub>
                      </m:sSub>
                      <m:sSub>
                        <m:e>
                          <m:r>
                            <m:t>x</m:t>
                          </m:r>
                        </m:e>
                        <m:sub>
                          <m:r>
                            <m:t>e</m:t>
                          </m:r>
                          <m:r>
                            <m:t>,</m:t>
                          </m:r>
                          <m:r>
                            <m:t>y</m:t>
                          </m:r>
                        </m:sub>
                      </m:sSub>
                      <m:r>
                        <m:t>,</m:t>
                      </m:r>
                    </m:e>
                  </m:mr>
                  <m:mr>
                    <m:e>
                      <m:nary>
                        <m:naryPr>
                          <m:chr m:val="∑"/>
                          <m:limLoc m:val="undOvr"/>
                          <m:subHide m:val="0"/>
                          <m:supHide m:val="1"/>
                        </m:naryPr>
                        <m:sub>
                          <m:r>
                            <m:t>e</m:t>
                          </m:r>
                          <m:r>
                            <m:t>∈</m:t>
                          </m:r>
                          <m:sSubSup>
                            <m:e>
                              <m:r>
                                <m:rPr>
                                  <m:sty m:val="p"/>
                                  <m:scr m:val="script"/>
                                </m:rPr>
                                <m:t>E</m:t>
                              </m:r>
                            </m:e>
                            <m:sub>
                              <m:r>
                                <m:t>f</m:t>
                              </m:r>
                            </m:sub>
                            <m:sup>
                              <m:r>
                                <m:rPr>
                                  <m:sty m:val="p"/>
                                </m:rPr>
                                <m:t>o</m:t>
                              </m:r>
                              <m:r>
                                <m:rPr>
                                  <m:sty m:val="p"/>
                                </m:rPr>
                                <m:t>u</m:t>
                              </m:r>
                              <m:r>
                                <m:rPr>
                                  <m:sty m:val="p"/>
                                </m:rPr>
                                <m:t>t</m:t>
                              </m:r>
                            </m:sup>
                          </m:sSubSup>
                        </m:sub>
                        <m:sup>
                          <m:r>
                            <m:t>​</m:t>
                          </m:r>
                        </m:sup>
                        <m:e>
                          <m:sSub>
                            <m:e>
                              <m:r>
                                <m:t>q</m:t>
                              </m:r>
                            </m:e>
                            <m:sub>
                              <m:r>
                                <m:t>e</m:t>
                              </m:r>
                              <m:r>
                                <m:t>,</m:t>
                              </m:r>
                              <m:r>
                                <m:t>ω</m:t>
                              </m:r>
                            </m:sub>
                          </m:sSub>
                        </m:e>
                      </m:nary>
                    </m:e>
                    <m:e>
                      <m:r>
                        <m:t>≤</m:t>
                      </m:r>
                      <m:sSubSup>
                        <m:e>
                          <m:r>
                            <m:t>P</m:t>
                          </m:r>
                        </m:e>
                        <m:sub>
                          <m:r>
                            <m:t>f</m:t>
                          </m:r>
                          <m:r>
                            <m:t>,</m:t>
                          </m:r>
                          <m:r>
                            <m:t>ω</m:t>
                          </m:r>
                        </m:sub>
                        <m:sup>
                          <m:r>
                            <m:rPr>
                              <m:sty m:val="p"/>
                            </m:rPr>
                            <m:t>o</m:t>
                          </m:r>
                          <m:r>
                            <m:rPr>
                              <m:sty m:val="p"/>
                            </m:rPr>
                            <m:t>w</m:t>
                          </m:r>
                          <m:r>
                            <m:rPr>
                              <m:sty m:val="p"/>
                            </m:rPr>
                            <m:t>n</m:t>
                          </m:r>
                        </m:sup>
                      </m:sSubSup>
                      <m:r>
                        <m:t>,</m:t>
                      </m:r>
                    </m:e>
                  </m:mr>
                  <m:mr>
                    <m:e>
                      <m:nary>
                        <m:naryPr>
                          <m:chr m:val="∑"/>
                          <m:limLoc m:val="undOvr"/>
                          <m:subHide m:val="0"/>
                          <m:supHide m:val="1"/>
                        </m:naryPr>
                        <m:sub>
                          <m:r>
                            <m:t>e</m:t>
                          </m:r>
                          <m:r>
                            <m:t>∈</m:t>
                          </m:r>
                          <m:sSubSup>
                            <m:e>
                              <m:r>
                                <m:rPr>
                                  <m:sty m:val="p"/>
                                  <m:scr m:val="script"/>
                                </m:rPr>
                                <m:t>E</m:t>
                              </m:r>
                            </m:e>
                            <m:sub>
                              <m:r>
                                <m:t>f</m:t>
                              </m:r>
                            </m:sub>
                            <m:sup>
                              <m:r>
                                <m:rPr>
                                  <m:sty m:val="p"/>
                                </m:rPr>
                                <m:t>i</m:t>
                              </m:r>
                              <m:r>
                                <m:rPr>
                                  <m:sty m:val="p"/>
                                </m:rPr>
                                <m:t>n</m:t>
                              </m:r>
                            </m:sup>
                          </m:sSubSup>
                        </m:sub>
                        <m:sup>
                          <m:r>
                            <m:t>​</m:t>
                          </m:r>
                        </m:sup>
                        <m:e>
                          <m:sSub>
                            <m:e>
                              <m:r>
                                <m:t>q</m:t>
                              </m:r>
                            </m:e>
                            <m:sub>
                              <m:r>
                                <m:t>e</m:t>
                              </m:r>
                              <m:r>
                                <m:t>,</m:t>
                              </m:r>
                              <m:r>
                                <m:t>ω</m:t>
                              </m:r>
                            </m:sub>
                          </m:sSub>
                        </m:e>
                      </m:nary>
                    </m:e>
                    <m:e>
                      <m:r>
                        <m:t>≤</m:t>
                      </m:r>
                      <m:sSub>
                        <m:e>
                          <m:r>
                            <m:t>F</m:t>
                          </m:r>
                        </m:e>
                        <m:sub>
                          <m:r>
                            <m:t>f</m:t>
                          </m:r>
                        </m:sub>
                      </m:sSub>
                      <m:r>
                        <m:t>−</m:t>
                      </m:r>
                      <m:sSubSup>
                        <m:e>
                          <m:r>
                            <m:t>P</m:t>
                          </m:r>
                        </m:e>
                        <m:sub>
                          <m:r>
                            <m:t>f</m:t>
                          </m:r>
                          <m:r>
                            <m:t>,</m:t>
                          </m:r>
                          <m:r>
                            <m:t>y</m:t>
                          </m:r>
                        </m:sub>
                        <m:sup>
                          <m:r>
                            <m:rPr>
                              <m:sty m:val="p"/>
                            </m:rPr>
                            <m:t>r</m:t>
                          </m:r>
                          <m:r>
                            <m:rPr>
                              <m:sty m:val="p"/>
                            </m:rPr>
                            <m:t>e</m:t>
                          </m:r>
                          <m:r>
                            <m:rPr>
                              <m:sty m:val="p"/>
                            </m:rPr>
                            <m:t>f</m:t>
                          </m:r>
                        </m:sup>
                      </m:sSubSup>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（5-5）</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q</m:t>
            </m:r>
          </m:e>
          <m:sub>
            <m:r>
              <m:t>e</m:t>
            </m:r>
            <m:r>
              <m:t>,</m:t>
            </m:r>
            <m:r>
              <m:t>ω</m:t>
            </m:r>
          </m:sub>
        </m:sSub>
      </m:oMath>
      <w:r>
        <w:rPr>
          <w:rFonts w:ascii="Times New Roman" w:hAnsi="Times New Roman" w:eastAsia="方正仿宋_GBK"/>
          <w:b w:val="0"/>
          <w:sz w:val="24"/>
        </w:rPr>
        <w:t xml:space="preserve">为工况</w:t>
      </w:r>
      <m:oMath>
        <m:r>
          <m:t>ω</m:t>
        </m:r>
      </m:oMath>
      <w:r>
        <w:rPr>
          <w:rFonts w:ascii="Times New Roman" w:hAnsi="Times New Roman" w:eastAsia="方正仿宋_GBK"/>
          <w:b w:val="0"/>
          <w:sz w:val="24"/>
        </w:rPr>
        <w:t xml:space="preserve">下线路</w:t>
      </w:r>
      <m:oMath>
        <m:r>
          <m:t>e</m:t>
        </m:r>
      </m:oMath>
      <w:r>
        <w:rPr>
          <w:rFonts w:ascii="Times New Roman" w:hAnsi="Times New Roman" w:eastAsia="方正仿宋_GBK"/>
          <w:b w:val="0"/>
          <w:sz w:val="24"/>
        </w:rPr>
        <w:t xml:space="preserve">的转供功率，</w:t>
      </w:r>
      <m:oMath>
        <m:sSub>
          <m:e>
            <m:r>
              <m:t>F</m:t>
            </m:r>
          </m:e>
          <m:sub>
            <m:r>
              <m:t>e</m:t>
            </m:r>
          </m:sub>
        </m:sSub>
      </m:oMath>
      <w:r>
        <w:rPr>
          <w:rFonts w:ascii="Times New Roman" w:hAnsi="Times New Roman" w:eastAsia="方正仿宋_GBK"/>
          <w:b w:val="0"/>
          <w:sz w:val="24"/>
        </w:rPr>
        <w:t xml:space="preserve">为线路有效容量，</w:t>
      </w:r>
      <m:oMath>
        <m:sSub>
          <m:e>
            <m:r>
              <m:t>x</m:t>
            </m:r>
          </m:e>
          <m:sub>
            <m:r>
              <m:t>e</m:t>
            </m:r>
            <m:r>
              <m:t>,</m:t>
            </m:r>
            <m:r>
              <m:t>y</m:t>
            </m:r>
          </m:sub>
        </m:sSub>
      </m:oMath>
      <w:r>
        <w:rPr>
          <w:rFonts w:ascii="Times New Roman" w:hAnsi="Times New Roman" w:eastAsia="方正仿宋_GBK"/>
          <w:b w:val="0"/>
          <w:sz w:val="24"/>
        </w:rPr>
        <w:t xml:space="preserve">为投运状态，既有边取1。</w:t>
      </w:r>
      <m:oMath>
        <m:sSubSup>
          <m:e>
            <m:r>
              <m:t>P</m:t>
            </m:r>
          </m:e>
          <m:sub>
            <m:r>
              <m:t>f</m:t>
            </m:r>
            <m:r>
              <m:t>,</m:t>
            </m:r>
            <m:r>
              <m:t>ω</m:t>
            </m:r>
          </m:sub>
          <m:sup>
            <m:r>
              <m:rPr>
                <m:sty m:val="p"/>
              </m:rPr>
              <m:t>o</m:t>
            </m:r>
            <m:r>
              <m:rPr>
                <m:sty m:val="p"/>
              </m:rPr>
              <m:t>w</m:t>
            </m:r>
            <m:r>
              <m:rPr>
                <m:sty m:val="p"/>
              </m:rPr>
              <m:t>n</m:t>
            </m:r>
          </m:sup>
        </m:sSubSup>
      </m:oMath>
      <w:r>
        <w:rPr>
          <w:rFonts w:ascii="Times New Roman" w:hAnsi="Times New Roman" w:eastAsia="方正仿宋_GBK"/>
          <w:b w:val="0"/>
          <w:sz w:val="24"/>
        </w:rPr>
        <w:t xml:space="preserve">为馈线</w:t>
      </w:r>
      <m:oMath>
        <m:r>
          <m:t>f</m:t>
        </m:r>
      </m:oMath>
      <w:r>
        <w:rPr>
          <w:rFonts w:ascii="Times New Roman" w:hAnsi="Times New Roman" w:eastAsia="方正仿宋_GBK"/>
          <w:b w:val="0"/>
          <w:sz w:val="24"/>
        </w:rPr>
        <w:t xml:space="preserve">自身可转负荷，</w:t>
      </w:r>
      <m:oMath>
        <m:sSub>
          <m:e>
            <m:r>
              <m:t>F</m:t>
            </m:r>
          </m:e>
          <m:sub>
            <m:r>
              <m:t>f</m:t>
            </m:r>
          </m:sub>
        </m:sSub>
      </m:oMath>
      <w:r>
        <w:rPr>
          <w:rFonts w:ascii="Times New Roman" w:hAnsi="Times New Roman" w:eastAsia="方正仿宋_GBK"/>
          <w:b w:val="0"/>
          <w:sz w:val="24"/>
        </w:rPr>
        <w:t xml:space="preserve">为热限，</w:t>
      </w:r>
      <m:oMath>
        <m:sSubSup>
          <m:e>
            <m:r>
              <m:t>P</m:t>
            </m:r>
          </m:e>
          <m:sub>
            <m:r>
              <m:t>f</m:t>
            </m:r>
            <m:r>
              <m:t>,</m:t>
            </m:r>
            <m:r>
              <m:t>y</m:t>
            </m:r>
          </m:sub>
          <m:sup>
            <m:r>
              <m:rPr>
                <m:sty m:val="p"/>
              </m:rPr>
              <m:t>r</m:t>
            </m:r>
            <m:r>
              <m:rPr>
                <m:sty m:val="p"/>
              </m:rPr>
              <m:t>e</m:t>
            </m:r>
            <m:r>
              <m:rPr>
                <m:sty m:val="p"/>
              </m:rPr>
              <m:t>f</m:t>
            </m:r>
          </m:sup>
        </m:sSubSup>
      </m:oMath>
      <w:r>
        <w:rPr>
          <w:rFonts w:ascii="Times New Roman" w:hAnsi="Times New Roman" w:eastAsia="方正仿宋_GBK"/>
          <w:b w:val="0"/>
          <w:sz w:val="24"/>
        </w:rPr>
        <w:t xml:space="preserve">为接收余量计算采用的馈线负荷。各量单位均为MW，负的接收余量按0处理。送端可转负荷不包括先从其他站转入的负荷，避免重复利用同一负荷块。</w:t>
      </w:r>
    </w:p>
    <w:p>
      <w:pPr>
        <w:pStyle w:val="2"/>
        <w:widowControl/>
        <w:spacing w:line="348" w:lineRule="exact" w:before="0" w:after="0"/>
        <w:ind w:firstLine="480"/>
        <w:jc w:val="both"/>
      </w:pPr>
      <w:r>
        <w:rPr>
          <w:rFonts w:ascii="Times New Roman" w:hAnsi="Times New Roman" w:eastAsia="方正仿宋_GBK"/>
          <w:b w:val="0"/>
          <w:sz w:val="24"/>
        </w:rPr>
        <w:t xml:space="preserve">邳州保留已知存量联络及原付费候选。市区按共同上级电源及间隔资料筛选候选，馈线分配和热限含研究假设。共同上级电源只表示规划筛查条件，不证明现实已存在10 kV联络。市区没有已核实存量边的部分按新增建设计费，其费用应结合后续存量网络核查解释。</w:t>
      </w:r>
    </w:p>
    <w:p>
      <w:pPr>
        <w:pStyle w:val="2"/>
        <w:widowControl/>
        <w:spacing w:line="348" w:lineRule="exact" w:before="0" w:after="0"/>
        <w:ind w:firstLine="480"/>
        <w:jc w:val="both"/>
      </w:pPr>
      <w:r>
        <w:rPr>
          <w:rFonts w:ascii="Times New Roman" w:hAnsi="Times New Roman" w:eastAsia="方正仿宋_GBK"/>
          <w:b w:val="0"/>
          <w:sz w:val="24"/>
        </w:rPr>
        <w:t xml:space="preserve">新增联络由具体端点、可切换负荷和接收余量共同限定。每条已建设线路的工程投资计取一次，同一项目在多个正常或故障工况中可以重复使用，但各工况分别校核功率，不把互不同时发生的故障需求相加。线路投运后持续在役，后续负荷增加不自动扩大线路热限。</w:t>
      </w:r>
    </w:p>
    <w:p>
      <w:pPr>
        <w:pStyle w:val="5"/>
        <w:keepNext/>
        <w:numPr>
          <w:numId w:val="0"/>
        </w:numPr>
        <w:spacing w:line="390" w:lineRule="exact" w:before="160" w:after="120"/>
        <w:ind w:firstLine="0"/>
      </w:pPr>
      <w:bookmarkStart w:id="182" w:name="负荷转接与容量衔接"/>
      <w:r>
        <w:rPr>
          <w:rFonts w:ascii="Times New Roman" w:hAnsi="Times New Roman" w:eastAsia="方正仿宋_GBK"/>
          <w:b/>
          <w:sz w:val="26"/>
        </w:rPr>
        <w:t xml:space="preserve">5.2.4 负荷转接与容量衔接</w:t>
      </w:r>
      <w:bookmarkEnd w:id="182"/>
    </w:p>
    <w:p>
      <w:pPr>
        <w:pStyle w:val="FirstParagraph"/>
        <w:widowControl/>
        <w:spacing w:line="348" w:lineRule="exact" w:before="0" w:after="0"/>
        <w:ind w:firstLine="480"/>
        <w:jc w:val="both"/>
      </w:pPr>
      <w:r>
        <w:rPr>
          <w:rFonts w:ascii="Times New Roman" w:hAnsi="Times New Roman" w:eastAsia="方正仿宋_GBK"/>
          <w:b w:val="0"/>
          <w:sz w:val="24"/>
        </w:rPr>
        <w:t xml:space="preserve">站间转接改变供电归属，区域内部转出与承接总量相等。对每个静态工况，转接后的站级净负荷按下式计算。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P</m:t>
                      </m:r>
                      <m:sSub>
                        <m:e>
                          <m:r>
                            <m:t>′</m:t>
                          </m:r>
                        </m:e>
                        <m:sub>
                          <m:r>
                            <m:t>i</m:t>
                          </m:r>
                          <m:r>
                            <m:t>,</m:t>
                          </m:r>
                          <m:r>
                            <m:t>ω</m:t>
                          </m:r>
                        </m:sub>
                      </m:sSub>
                    </m:e>
                    <m:e>
                      <m:r>
                        <m:t>=</m:t>
                      </m:r>
                      <m:sSub>
                        <m:e>
                          <m:r>
                            <m:t>P</m:t>
                          </m:r>
                        </m:e>
                        <m:sub>
                          <m:r>
                            <m:t>i</m:t>
                          </m:r>
                          <m:r>
                            <m:t>,</m:t>
                          </m:r>
                          <m:r>
                            <m:t>ω</m:t>
                          </m:r>
                        </m:sub>
                      </m:sSub>
                      <m:r>
                        <m:t>−</m:t>
                      </m:r>
                      <m:sSubSup>
                        <m:e>
                          <m:r>
                            <m:t>Q</m:t>
                          </m:r>
                        </m:e>
                        <m:sub>
                          <m:r>
                            <m:t>i</m:t>
                          </m:r>
                          <m:r>
                            <m:t>,</m:t>
                          </m:r>
                          <m:r>
                            <m:t>ω</m:t>
                          </m:r>
                        </m:sub>
                        <m:sup>
                          <m:r>
                            <m:rPr>
                              <m:sty m:val="p"/>
                            </m:rPr>
                            <m:t>o</m:t>
                          </m:r>
                          <m:r>
                            <m:rPr>
                              <m:sty m:val="p"/>
                            </m:rPr>
                            <m:t>u</m:t>
                          </m:r>
                          <m:r>
                            <m:rPr>
                              <m:sty m:val="p"/>
                            </m:rPr>
                            <m:t>t</m:t>
                          </m:r>
                        </m:sup>
                      </m:sSubSup>
                      <m:r>
                        <m:t>+</m:t>
                      </m:r>
                      <m:sSubSup>
                        <m:e>
                          <m:r>
                            <m:t>Q</m:t>
                          </m:r>
                        </m:e>
                        <m:sub>
                          <m:r>
                            <m:t>i</m:t>
                          </m:r>
                          <m:r>
                            <m:t>,</m:t>
                          </m:r>
                          <m:r>
                            <m:t>ω</m:t>
                          </m:r>
                        </m:sub>
                        <m:sup>
                          <m:r>
                            <m:rPr>
                              <m:sty m:val="p"/>
                            </m:rPr>
                            <m:t>i</m:t>
                          </m:r>
                          <m:r>
                            <m:rPr>
                              <m:sty m:val="p"/>
                            </m:rPr>
                            <m:t>n</m:t>
                          </m:r>
                        </m:sup>
                      </m:sSubSup>
                      <m:r>
                        <m:t>,</m:t>
                      </m:r>
                    </m:e>
                  </m:mr>
                  <m:mr>
                    <m:e>
                      <m:nary>
                        <m:naryPr>
                          <m:chr m:val="∑"/>
                          <m:limLoc m:val="undOvr"/>
                          <m:subHide m:val="0"/>
                          <m:supHide m:val="1"/>
                        </m:naryPr>
                        <m:sub>
                          <m:r>
                            <m:t>i</m:t>
                          </m:r>
                        </m:sub>
                        <m:sup>
                          <m:r>
                            <m:t>​</m:t>
                          </m:r>
                        </m:sup>
                        <m:e>
                          <m:sSubSup>
                            <m:e>
                              <m:r>
                                <m:t>Q</m:t>
                              </m:r>
                            </m:e>
                            <m:sub>
                              <m:r>
                                <m:t>i</m:t>
                              </m:r>
                              <m:r>
                                <m:t>,</m:t>
                              </m:r>
                              <m:r>
                                <m:t>ω</m:t>
                              </m:r>
                            </m:sub>
                            <m:sup>
                              <m:r>
                                <m:rPr>
                                  <m:sty m:val="p"/>
                                </m:rPr>
                                <m:t>o</m:t>
                              </m:r>
                              <m:r>
                                <m:rPr>
                                  <m:sty m:val="p"/>
                                </m:rPr>
                                <m:t>u</m:t>
                              </m:r>
                              <m:r>
                                <m:rPr>
                                  <m:sty m:val="p"/>
                                </m:rPr>
                                <m:t>t</m:t>
                              </m:r>
                            </m:sup>
                          </m:sSubSup>
                        </m:e>
                      </m:nary>
                    </m:e>
                    <m:e>
                      <m:r>
                        <m:t>=</m:t>
                      </m:r>
                      <m:nary>
                        <m:naryPr>
                          <m:chr m:val="∑"/>
                          <m:limLoc m:val="undOvr"/>
                          <m:subHide m:val="0"/>
                          <m:supHide m:val="1"/>
                        </m:naryPr>
                        <m:sub>
                          <m:r>
                            <m:t>i</m:t>
                          </m:r>
                        </m:sub>
                        <m:sup>
                          <m:r>
                            <m:t>​</m:t>
                          </m:r>
                        </m:sup>
                        <m:e>
                          <m:sSubSup>
                            <m:e>
                              <m:r>
                                <m:t>Q</m:t>
                              </m:r>
                            </m:e>
                            <m:sub>
                              <m:r>
                                <m:t>i</m:t>
                              </m:r>
                              <m:r>
                                <m:t>,</m:t>
                              </m:r>
                              <m:r>
                                <m:t>ω</m:t>
                              </m:r>
                            </m:sub>
                            <m:sup>
                              <m:r>
                                <m:rPr>
                                  <m:sty m:val="p"/>
                                </m:rPr>
                                <m:t>i</m:t>
                              </m:r>
                              <m:r>
                                <m:rPr>
                                  <m:sty m:val="p"/>
                                </m:rPr>
                                <m:t>n</m:t>
                              </m:r>
                            </m:sup>
                          </m:sSubSup>
                        </m:e>
                      </m:nary>
                      <m:r>
                        <m:t>,</m:t>
                      </m:r>
                    </m:e>
                  </m:mr>
                  <m:mr>
                    <m:e>
                      <m:nary>
                        <m:naryPr>
                          <m:chr m:val="∑"/>
                          <m:limLoc m:val="undOvr"/>
                          <m:subHide m:val="0"/>
                          <m:supHide m:val="1"/>
                        </m:naryPr>
                        <m:sub>
                          <m:r>
                            <m:t>i</m:t>
                          </m:r>
                        </m:sub>
                        <m:sup>
                          <m:r>
                            <m:t>​</m:t>
                          </m:r>
                        </m:sup>
                        <m:e>
                          <m:r>
                            <m:t>P</m:t>
                          </m:r>
                        </m:e>
                      </m:nary>
                      <m:sSub>
                        <m:e>
                          <m:r>
                            <m:t>′</m:t>
                          </m:r>
                        </m:e>
                        <m:sub>
                          <m:r>
                            <m:t>i</m:t>
                          </m:r>
                          <m:r>
                            <m:t>,</m:t>
                          </m:r>
                          <m:r>
                            <m:t>ω</m:t>
                          </m:r>
                        </m:sub>
                      </m:sSub>
                    </m:e>
                    <m:e>
                      <m:r>
                        <m:t>=</m:t>
                      </m:r>
                      <m:nary>
                        <m:naryPr>
                          <m:chr m:val="∑"/>
                          <m:limLoc m:val="undOvr"/>
                          <m:subHide m:val="0"/>
                          <m:supHide m:val="1"/>
                        </m:naryPr>
                        <m:sub>
                          <m:r>
                            <m:t>i</m:t>
                          </m:r>
                        </m:sub>
                        <m:sup>
                          <m:r>
                            <m:t>​</m:t>
                          </m:r>
                        </m:sup>
                        <m:e>
                          <m:sSub>
                            <m:e>
                              <m:r>
                                <m:t>P</m:t>
                              </m:r>
                            </m:e>
                            <m:sub>
                              <m:r>
                                <m:t>i</m:t>
                              </m:r>
                              <m:r>
                                <m:t>,</m:t>
                              </m:r>
                              <m:r>
                                <m:t>ω</m:t>
                              </m:r>
                            </m:sub>
                          </m:sSub>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i</m:t>
            </m:r>
            <m:r>
              <m:t>,</m:t>
            </m:r>
            <m:r>
              <m:t>ω</m:t>
            </m:r>
          </m:sub>
        </m:sSub>
      </m:oMath>
      <w:r>
        <w:rPr>
          <w:rFonts w:ascii="Times New Roman" w:hAnsi="Times New Roman" w:eastAsia="方正仿宋_GBK"/>
          <w:b w:val="0"/>
          <w:sz w:val="24"/>
        </w:rPr>
        <w:t xml:space="preserve">和</w:t>
      </w:r>
      <m:oMath>
        <m:r>
          <m:t>P</m:t>
        </m:r>
        <m:sSub>
          <m:e>
            <m:r>
              <m:t>′</m:t>
            </m:r>
          </m:e>
          <m:sub>
            <m:r>
              <m:t>i</m:t>
            </m:r>
            <m:r>
              <m:t>,</m:t>
            </m:r>
            <m:r>
              <m:t>ω</m:t>
            </m:r>
          </m:sub>
        </m:sSub>
      </m:oMath>
      <w:r>
        <w:rPr>
          <w:rFonts w:ascii="Times New Roman" w:hAnsi="Times New Roman" w:eastAsia="方正仿宋_GBK"/>
          <w:b w:val="0"/>
          <w:sz w:val="24"/>
        </w:rPr>
        <w:t xml:space="preserve">为站点</w:t>
      </w:r>
      <m:oMath>
        <m:r>
          <m:t>i</m:t>
        </m:r>
      </m:oMath>
      <w:r>
        <w:rPr>
          <w:rFonts w:ascii="Times New Roman" w:hAnsi="Times New Roman" w:eastAsia="方正仿宋_GBK"/>
          <w:b w:val="0"/>
          <w:sz w:val="24"/>
        </w:rPr>
        <w:t xml:space="preserve">在工况</w:t>
      </w:r>
      <m:oMath>
        <m:r>
          <m:t>ω</m:t>
        </m:r>
      </m:oMath>
      <w:r>
        <w:rPr>
          <w:rFonts w:ascii="Times New Roman" w:hAnsi="Times New Roman" w:eastAsia="方正仿宋_GBK"/>
          <w:b w:val="0"/>
          <w:sz w:val="24"/>
        </w:rPr>
        <w:t xml:space="preserve">下转接前后的净负荷，</w:t>
      </w:r>
      <m:oMath>
        <m:sSubSup>
          <m:e>
            <m:r>
              <m:t>Q</m:t>
            </m:r>
          </m:e>
          <m:sub>
            <m:r>
              <m:t>i</m:t>
            </m:r>
            <m:r>
              <m:t>,</m:t>
            </m:r>
            <m:r>
              <m:t>ω</m:t>
            </m:r>
          </m:sub>
          <m:sup>
            <m:r>
              <m:rPr>
                <m:sty m:val="p"/>
              </m:rPr>
              <m:t>o</m:t>
            </m:r>
            <m:r>
              <m:rPr>
                <m:sty m:val="p"/>
              </m:rPr>
              <m:t>u</m:t>
            </m:r>
            <m:r>
              <m:rPr>
                <m:sty m:val="p"/>
              </m:rPr>
              <m:t>t</m:t>
            </m:r>
          </m:sup>
        </m:sSubSup>
      </m:oMath>
      <w:r>
        <w:rPr>
          <w:rFonts w:ascii="Times New Roman" w:hAnsi="Times New Roman" w:eastAsia="方正仿宋_GBK"/>
          <w:b w:val="0"/>
          <w:sz w:val="24"/>
        </w:rPr>
        <w:t xml:space="preserve">和</w:t>
      </w:r>
      <m:oMath>
        <m:sSubSup>
          <m:e>
            <m:r>
              <m:t>Q</m:t>
            </m:r>
          </m:e>
          <m:sub>
            <m:r>
              <m:t>i</m:t>
            </m:r>
            <m:r>
              <m:t>,</m:t>
            </m:r>
            <m:r>
              <m:t>ω</m:t>
            </m:r>
          </m:sub>
          <m:sup>
            <m:r>
              <m:rPr>
                <m:sty m:val="p"/>
              </m:rPr>
              <m:t>i</m:t>
            </m:r>
            <m:r>
              <m:rPr>
                <m:sty m:val="p"/>
              </m:rPr>
              <m:t>n</m:t>
            </m:r>
          </m:sup>
        </m:sSubSup>
      </m:oMath>
      <w:r>
        <w:rPr>
          <w:rFonts w:ascii="Times New Roman" w:hAnsi="Times New Roman" w:eastAsia="方正仿宋_GBK"/>
          <w:b w:val="0"/>
          <w:sz w:val="24"/>
        </w:rPr>
        <w:t xml:space="preserve">为转出及承接负荷，单位均为MW。正向为受电，负向为反送；电源仍归属原站，转出用电负荷可能加重本地反向功率。每个工况使用自身源荷分布，分别校核两方向容量。</w:t>
      </w:r>
    </w:p>
    <w:p>
      <w:pPr>
        <w:pStyle w:val="2"/>
        <w:widowControl/>
        <w:spacing w:line="348" w:lineRule="exact" w:before="0" w:after="0"/>
        <w:ind w:firstLine="480"/>
        <w:jc w:val="both"/>
      </w:pPr>
      <w:r>
        <w:rPr>
          <w:rFonts w:ascii="Times New Roman" w:hAnsi="Times New Roman" w:eastAsia="方正仿宋_GBK"/>
          <w:b w:val="0"/>
          <w:sz w:val="24"/>
        </w:rPr>
        <w:t xml:space="preserve">以同一工况下两站为例，原净负荷分别为80 MW和40 MW，第一站向第二站转接25 MW后，净负荷变为55 MW和65 MW，合计仍为120 MW。这一转接还必须经过已投运线路，并同时满足源端可转负荷、受端馈线余量和两站主变容量要求。算术守恒本身不能证明转接能够实施。</w:t>
      </w:r>
    </w:p>
    <w:p>
      <w:pPr>
        <w:pStyle w:val="5"/>
        <w:keepNext/>
        <w:numPr>
          <w:numId w:val="0"/>
        </w:numPr>
        <w:spacing w:line="390" w:lineRule="exact" w:before="160" w:after="120"/>
        <w:ind w:firstLine="0"/>
      </w:pPr>
      <w:bookmarkStart w:id="183" w:name="储能有效支撑功率"/>
      <w:r>
        <w:rPr>
          <w:rFonts w:ascii="Times New Roman" w:hAnsi="Times New Roman" w:eastAsia="方正仿宋_GBK"/>
          <w:b/>
          <w:sz w:val="26"/>
        </w:rPr>
        <w:t xml:space="preserve">5.2.5 储能有效支撑功率</w:t>
      </w:r>
      <w:bookmarkEnd w:id="183"/>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储能支撑同时受额定功率和可用电量限制，正反方向分别采用对应持续时间。</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Sup>
                  <m:e>
                    <m:r>
                      <m:t>B</m:t>
                    </m:r>
                  </m:e>
                  <m:sub>
                    <m:r>
                      <m:t>i</m:t>
                    </m:r>
                  </m:sub>
                  <m:sup>
                    <m:r>
                      <m:t>±</m:t>
                    </m:r>
                  </m:sup>
                </m:sSubSup>
                <m:r>
                  <m:t>=</m:t>
                </m:r>
                <m:r>
                  <m:rPr>
                    <m:nor/>
                    <m:sty m:val="p"/>
                  </m:rPr>
                  <m:t>min</m:t>
                </m:r>
                <m:d>
                  <m:dPr>
                    <m:begChr m:val="{"/>
                    <m:endChr m:val="}"/>
                    <m:grow/>
                  </m:dPr>
                  <m:e>
                    <m:r>
                      <m:t>0.10</m:t>
                    </m:r>
                    <m:sSub>
                      <m:e>
                        <m:r>
                          <m:t>n</m:t>
                        </m:r>
                      </m:e>
                      <m:sub>
                        <m:r>
                          <m:t>i</m:t>
                        </m:r>
                      </m:sub>
                    </m:sSub>
                    <m:r>
                      <m:t>,</m:t>
                    </m:r>
                    <m:f>
                      <m:fPr>
                        <m:type m:val="bar"/>
                      </m:fPr>
                      <m:num>
                        <m:r>
                          <m:t>0.215</m:t>
                        </m:r>
                        <m:r>
                          <m:t>×</m:t>
                        </m:r>
                        <m:r>
                          <m:t>0.76</m:t>
                        </m:r>
                        <m:sSub>
                          <m:e>
                            <m:r>
                              <m:t>n</m:t>
                            </m:r>
                          </m:e>
                          <m:sub>
                            <m:r>
                              <m:t>i</m:t>
                            </m:r>
                          </m:sub>
                        </m:sSub>
                      </m:num>
                      <m:den>
                        <m:sSubSup>
                          <m:e>
                            <m:r>
                              <m:t>H</m:t>
                            </m:r>
                          </m:e>
                          <m:sub>
                            <m:r>
                              <m:t>i</m:t>
                            </m:r>
                          </m:sub>
                          <m:sup>
                            <m:r>
                              <m:t>±</m:t>
                            </m:r>
                          </m:sup>
                        </m:sSubSup>
                      </m:den>
                    </m:f>
                  </m:e>
                </m:d>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Sup>
          <m:e>
            <m:r>
              <m:t>H</m:t>
            </m:r>
          </m:e>
          <m:sub>
            <m:r>
              <m:t>i</m:t>
            </m:r>
          </m:sub>
          <m:sup>
            <m:r>
              <m:t>±</m:t>
            </m:r>
          </m:sup>
        </m:sSubSup>
      </m:oMath>
      <w:r>
        <w:rPr>
          <w:rFonts w:ascii="Times New Roman" w:hAnsi="Times New Roman" w:eastAsia="方正仿宋_GBK"/>
          <w:b w:val="0"/>
          <w:sz w:val="24"/>
        </w:rPr>
        <w:t xml:space="preserve">为正向支撑或反向吸收持续时间，单位h；</w:t>
      </w:r>
      <m:oMath>
        <m:sSubSup>
          <m:e>
            <m:r>
              <m:t>B</m:t>
            </m:r>
          </m:e>
          <m:sub>
            <m:r>
              <m:t>i</m:t>
            </m:r>
          </m:sub>
          <m:sup>
            <m:r>
              <m:t>±</m:t>
            </m:r>
          </m:sup>
        </m:sSubSup>
      </m:oMath>
      <w:r>
        <w:rPr>
          <w:rFonts w:ascii="Times New Roman" w:hAnsi="Times New Roman" w:eastAsia="方正仿宋_GBK"/>
          <w:b w:val="0"/>
          <w:sz w:val="24"/>
        </w:rPr>
        <w:t xml:space="preserve">为相应有效功率，单位MW。4 h条件下每柜可提供0.04085 MW的静态支撑。该折算用于技术经济比选，不能替代工程阶段对充电条件、连续运行及保证可用电量的校核。</w:t>
      </w:r>
    </w:p>
    <w:p>
      <w:pPr>
        <w:pStyle w:val="4"/>
        <w:keepNext/>
        <w:numPr>
          <w:numId w:val="0"/>
        </w:numPr>
        <w:spacing w:line="480" w:lineRule="exact" w:before="160" w:after="120"/>
        <w:ind w:firstLine="0"/>
      </w:pPr>
      <w:bookmarkStart w:id="1549" w:name="h549"/>
      <w:bookmarkStart w:id="184" w:name="约束条件与求解流程"/>
      <w:r>
        <w:rPr>
          <w:rFonts w:ascii="Times New Roman" w:hAnsi="Times New Roman" w:eastAsia="方正仿宋_GBK"/>
          <w:b/>
          <w:sz w:val="32"/>
        </w:rPr>
        <w:t xml:space="preserve">5.3 约束条件与求解流程</w:t>
      </w:r>
      <w:bookmarkEnd w:id="184"/>
      <w:bookmarkEnd w:id="1549"/>
    </w:p>
    <w:p>
      <w:pPr>
        <w:pStyle w:val="5"/>
        <w:keepNext/>
        <w:numPr>
          <w:numId w:val="0"/>
        </w:numPr>
        <w:spacing w:line="390" w:lineRule="exact" w:before="160" w:after="120"/>
        <w:ind w:firstLine="0"/>
      </w:pPr>
      <w:bookmarkStart w:id="185" w:name="正常运行与主变n-1"/>
      <w:r>
        <w:rPr>
          <w:rFonts w:ascii="Times New Roman" w:hAnsi="Times New Roman" w:eastAsia="方正仿宋_GBK"/>
          <w:b/>
          <w:sz w:val="26"/>
        </w:rPr>
        <w:t xml:space="preserve">5.3.1 正常运行与主变N-1</w:t>
      </w:r>
      <w:bookmarkEnd w:id="185"/>
    </w:p>
    <w:p>
      <w:pPr>
        <w:pStyle w:val="FirstParagraph"/>
        <w:widowControl/>
        <w:spacing w:line="348" w:lineRule="exact" w:before="0" w:after="0"/>
        <w:ind w:firstLine="480"/>
        <w:jc w:val="both"/>
      </w:pPr>
      <w:r>
        <w:rPr>
          <w:rFonts w:ascii="Times New Roman" w:hAnsi="Times New Roman" w:eastAsia="方正仿宋_GBK"/>
          <w:b w:val="0"/>
          <w:sz w:val="24"/>
        </w:rPr>
        <w:t xml:space="preserve">每个静态工况分别校核正常运行及各站主变N-1。故障站按剩余主变容量计算，健康邻站保留全部主变，允许通过已投运线路重新安排负荷。不同故障工况互不同时发生，不能把全区各站容量同时扣减一台主变。</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m:t>
                      </m:r>
                      <m:r>
                        <m:rPr>
                          <m:nor/>
                          <m:sty m:val="p"/>
                        </m:rPr>
                        <m:t>cos</m:t>
                      </m:r>
                      <m:r>
                        <m:t>φ</m:t>
                      </m:r>
                      <m:r>
                        <m:t> </m:t>
                      </m:r>
                      <m:sSubSup>
                        <m:e>
                          <m:r>
                            <m:t>S</m:t>
                          </m:r>
                        </m:e>
                        <m:sub>
                          <m:r>
                            <m:t>i</m:t>
                          </m:r>
                          <m:r>
                            <m:t>,</m:t>
                          </m:r>
                          <m:r>
                            <m:t>ω</m:t>
                          </m:r>
                        </m:sub>
                        <m:sup>
                          <m:r>
                            <m:rPr>
                              <m:sty m:val="p"/>
                            </m:rPr>
                            <m:t>a</m:t>
                          </m:r>
                          <m:r>
                            <m:rPr>
                              <m:sty m:val="p"/>
                            </m:rPr>
                            <m:t>v</m:t>
                          </m:r>
                        </m:sup>
                      </m:sSubSup>
                      <m:r>
                        <m:t>−</m:t>
                      </m:r>
                      <m:sSubSup>
                        <m:e>
                          <m:r>
                            <m:t>B</m:t>
                          </m:r>
                        </m:e>
                        <m:sub>
                          <m:r>
                            <m:t>i</m:t>
                          </m:r>
                        </m:sub>
                        <m:sup>
                          <m:r>
                            <m:t>−</m:t>
                          </m:r>
                        </m:sup>
                      </m:sSubSup>
                    </m:e>
                    <m:e>
                      <m:r>
                        <m:t>≤</m:t>
                      </m:r>
                      <m:sSub>
                        <m:e>
                          <m:r>
                            <m:t>P</m:t>
                          </m:r>
                        </m:e>
                        <m:sub>
                          <m:r>
                            <m:t>i</m:t>
                          </m:r>
                          <m:r>
                            <m:t>,</m:t>
                          </m:r>
                          <m:r>
                            <m:t>ω</m:t>
                          </m:r>
                        </m:sub>
                      </m:sSub>
                      <m:r>
                        <m:t>−</m:t>
                      </m:r>
                      <m:sSubSup>
                        <m:e>
                          <m:r>
                            <m:t>q</m:t>
                          </m:r>
                        </m:e>
                        <m:sub>
                          <m:r>
                            <m:t>i</m:t>
                          </m:r>
                          <m:r>
                            <m:t>,</m:t>
                          </m:r>
                          <m:r>
                            <m:t>ω</m:t>
                          </m:r>
                        </m:sub>
                        <m:sup>
                          <m:r>
                            <m:rPr>
                              <m:sty m:val="p"/>
                            </m:rPr>
                            <m:t>o</m:t>
                          </m:r>
                          <m:r>
                            <m:rPr>
                              <m:sty m:val="p"/>
                            </m:rPr>
                            <m:t>u</m:t>
                          </m:r>
                          <m:r>
                            <m:rPr>
                              <m:sty m:val="p"/>
                            </m:rPr>
                            <m:t>t</m:t>
                          </m:r>
                        </m:sup>
                      </m:sSubSup>
                      <m:r>
                        <m:t>+</m:t>
                      </m:r>
                      <m:sSubSup>
                        <m:e>
                          <m:r>
                            <m:t>q</m:t>
                          </m:r>
                        </m:e>
                        <m:sub>
                          <m:r>
                            <m:t>i</m:t>
                          </m:r>
                          <m:r>
                            <m:t>,</m:t>
                          </m:r>
                          <m:r>
                            <m:t>ω</m:t>
                          </m:r>
                        </m:sub>
                        <m:sup>
                          <m:r>
                            <m:rPr>
                              <m:sty m:val="p"/>
                            </m:rPr>
                            <m:t>i</m:t>
                          </m:r>
                          <m:r>
                            <m:rPr>
                              <m:sty m:val="p"/>
                            </m:rPr>
                            <m:t>n</m:t>
                          </m:r>
                        </m:sup>
                      </m:sSubSup>
                    </m:e>
                  </m:mr>
                  <m:mr>
                    <m:e/>
                    <m:e>
                      <m:r>
                        <m:t>≤</m:t>
                      </m:r>
                      <m:r>
                        <m:rPr>
                          <m:nor/>
                          <m:sty m:val="p"/>
                        </m:rPr>
                        <m:t>cos</m:t>
                      </m:r>
                      <m:r>
                        <m:t>φ</m:t>
                      </m:r>
                      <m:r>
                        <m:t> </m:t>
                      </m:r>
                      <m:sSubSup>
                        <m:e>
                          <m:r>
                            <m:t>S</m:t>
                          </m:r>
                        </m:e>
                        <m:sub>
                          <m:r>
                            <m:t>i</m:t>
                          </m:r>
                          <m:r>
                            <m:t>,</m:t>
                          </m:r>
                          <m:r>
                            <m:t>ω</m:t>
                          </m:r>
                        </m:sub>
                        <m:sup>
                          <m:r>
                            <m:rPr>
                              <m:sty m:val="p"/>
                            </m:rPr>
                            <m:t>a</m:t>
                          </m:r>
                          <m:r>
                            <m:rPr>
                              <m:sty m:val="p"/>
                            </m:rPr>
                            <m:t>v</m:t>
                          </m:r>
                        </m:sup>
                      </m:sSubSup>
                      <m:r>
                        <m:t>+</m:t>
                      </m:r>
                      <m:sSubSup>
                        <m:e>
                          <m:r>
                            <m:t>B</m:t>
                          </m:r>
                        </m:e>
                        <m:sub>
                          <m:r>
                            <m:t>i</m:t>
                          </m:r>
                        </m:sub>
                        <m:sup>
                          <m:r>
                            <m:t>+</m:t>
                          </m:r>
                        </m:sup>
                      </m:sSubSup>
                      <m:r>
                        <m:t>,</m:t>
                      </m:r>
                    </m:e>
                  </m:mr>
                  <m:mr>
                    <m:e>
                      <m:sSubSup>
                        <m:e>
                          <m:r>
                            <m:t>S</m:t>
                          </m:r>
                        </m:e>
                        <m:sub>
                          <m:r>
                            <m:t>i</m:t>
                          </m:r>
                          <m:r>
                            <m:t>,</m:t>
                          </m:r>
                          <m:r>
                            <m:t>ω</m:t>
                          </m:r>
                        </m:sub>
                        <m:sup>
                          <m:r>
                            <m:rPr>
                              <m:sty m:val="p"/>
                            </m:rPr>
                            <m:t>a</m:t>
                          </m:r>
                          <m:r>
                            <m:rPr>
                              <m:sty m:val="p"/>
                            </m:rPr>
                            <m:t>v</m:t>
                          </m:r>
                        </m:sup>
                      </m:sSubSup>
                    </m:e>
                    <m:e>
                      <m:r>
                        <m:t>=</m:t>
                      </m:r>
                      <m:sSub>
                        <m:e>
                          <m:r>
                            <m:t>S</m:t>
                          </m:r>
                        </m:e>
                        <m:sub>
                          <m:r>
                            <m:t>i</m:t>
                          </m:r>
                        </m:sub>
                      </m:sSub>
                      <m:r>
                        <m:t>−</m:t>
                      </m:r>
                      <m:sSub>
                        <m:e>
                          <m:r>
                            <m:rPr>
                              <m:sty m:val="b"/>
                            </m:rPr>
                            <m:t>1</m:t>
                          </m:r>
                        </m:e>
                        <m:sub>
                          <m:r>
                            <m:t>i</m:t>
                          </m:r>
                          <m:r>
                            <m:rPr>
                              <m:nor/>
                              <m:sty m:val="p"/>
                            </m:rPr>
                            <m:t>为故障站</m:t>
                          </m:r>
                        </m:sub>
                      </m:sSub>
                      <m:limLow>
                        <m:e>
                          <m:r>
                            <m:rPr>
                              <m:nor/>
                              <m:sty m:val="p"/>
                            </m:rPr>
                            <m:t>max</m:t>
                          </m:r>
                        </m:e>
                        <m:lim>
                          <m:r>
                            <m:t>j</m:t>
                          </m:r>
                        </m:lim>
                      </m:limLow>
                      <m:sSub>
                        <m:e>
                          <m:r>
                            <m:t>S</m:t>
                          </m:r>
                        </m:e>
                        <m:sub>
                          <m:r>
                            <m:t>i</m:t>
                          </m:r>
                          <m:r>
                            <m:t>,</m:t>
                          </m:r>
                          <m:r>
                            <m:t>j</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i</m:t>
            </m:r>
            <m:r>
              <m:t>,</m:t>
            </m:r>
            <m:r>
              <m:t>ω</m:t>
            </m:r>
          </m:sub>
        </m:sSub>
      </m:oMath>
      <w:r>
        <w:rPr>
          <w:rFonts w:ascii="Times New Roman" w:hAnsi="Times New Roman" w:eastAsia="方正仿宋_GBK"/>
          <w:b w:val="0"/>
          <w:sz w:val="24"/>
        </w:rPr>
        <w:t xml:space="preserve">为带符号的站级净负荷，受入为正、反送为负；</w:t>
      </w:r>
      <m:oMath>
        <m:sSubSup>
          <m:e>
            <m:r>
              <m:t>S</m:t>
            </m:r>
          </m:e>
          <m:sub>
            <m:r>
              <m:t>i</m:t>
            </m:r>
            <m:r>
              <m:t>,</m:t>
            </m:r>
            <m:r>
              <m:t>ω</m:t>
            </m:r>
          </m:sub>
          <m:sup>
            <m:r>
              <m:rPr>
                <m:sty m:val="p"/>
              </m:rPr>
              <m:t>a</m:t>
            </m:r>
            <m:r>
              <m:rPr>
                <m:sty m:val="p"/>
              </m:rPr>
              <m:t>v</m:t>
            </m:r>
          </m:sup>
        </m:sSubSup>
      </m:oMath>
      <w:r>
        <w:rPr>
          <w:rFonts w:ascii="Times New Roman" w:hAnsi="Times New Roman" w:eastAsia="方正仿宋_GBK"/>
          <w:b w:val="0"/>
          <w:sz w:val="24"/>
        </w:rPr>
        <w:t xml:space="preserve">为工况下可用主变容量。正常及N-1场景共用同一建设方案，分别校核馈线和接收站能力。区县内部转出、转入功率合计相等，区域网供峰值的统计定义保持不变。</w:t>
      </w:r>
    </w:p>
    <w:p>
      <w:pPr>
        <w:pStyle w:val="5"/>
        <w:keepNext/>
        <w:numPr>
          <w:numId w:val="0"/>
        </w:numPr>
        <w:spacing w:line="390" w:lineRule="exact" w:before="160" w:after="120"/>
        <w:ind w:firstLine="0"/>
      </w:pPr>
      <w:bookmarkStart w:id="186" w:name="评价期费用目标"/>
      <w:r>
        <w:rPr>
          <w:rFonts w:ascii="Times New Roman" w:hAnsi="Times New Roman" w:eastAsia="方正仿宋_GBK"/>
          <w:b/>
          <w:sz w:val="26"/>
        </w:rPr>
        <w:t xml:space="preserve">5.3.2 评价期费用目标</w:t>
      </w:r>
      <w:bookmarkEnd w:id="186"/>
    </w:p>
    <w:p>
      <w:pPr>
        <w:pStyle w:val="FirstParagraph"/>
        <w:widowControl/>
        <w:spacing w:line="348" w:lineRule="exact" w:before="0" w:after="0"/>
        <w:ind w:firstLine="480"/>
        <w:jc w:val="both"/>
      </w:pPr>
      <w:r>
        <w:rPr>
          <w:rFonts w:ascii="Times New Roman" w:hAnsi="Times New Roman" w:eastAsia="方正仿宋_GBK"/>
          <w:b w:val="0"/>
          <w:sz w:val="24"/>
        </w:rPr>
        <w:t xml:space="preserve">目标为共同评价期内新增措施费用现值最小。工程投运当年计建设投资，次年起计固定运维，评价期内达到设定寿命的设备按统一规则更新。价格、寿命、维护费率和折现率采用第四章参数。</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rPr>
                          <m:nor/>
                          <m:sty m:val="p"/>
                        </m:rPr>
                        <m:t>min</m:t>
                      </m:r>
                      <m:sSub>
                        <m:e>
                          <m:r>
                            <m:t>C</m:t>
                          </m:r>
                        </m:e>
                        <m:sub>
                          <m:r>
                            <m:rPr>
                              <m:sty m:val="p"/>
                            </m:rPr>
                            <m:t>p</m:t>
                          </m:r>
                          <m:r>
                            <m:rPr>
                              <m:sty m:val="p"/>
                            </m:rPr>
                            <m:t>l</m:t>
                          </m:r>
                          <m:r>
                            <m:rPr>
                              <m:sty m:val="p"/>
                            </m:rPr>
                            <m:t>a</m:t>
                          </m:r>
                          <m:r>
                            <m:rPr>
                              <m:sty m:val="p"/>
                            </m:rPr>
                            <m:t>n</m:t>
                          </m:r>
                        </m:sub>
                      </m:sSub>
                      <m:r>
                        <m:t>=</m:t>
                      </m:r>
                      <m:nary>
                        <m:naryPr>
                          <m:chr m:val="∑"/>
                          <m:limLoc m:val="undOvr"/>
                          <m:subHide m:val="0"/>
                          <m:supHide m:val="1"/>
                        </m:naryPr>
                        <m:sub>
                          <m:r>
                            <m:t>y</m:t>
                          </m:r>
                        </m:sub>
                        <m:sup>
                          <m:r>
                            <m:t>​</m:t>
                          </m:r>
                        </m:sup>
                        <m:e>
                          <m:r>
                            <m:t>[</m:t>
                          </m:r>
                        </m:e>
                      </m:nary>
                    </m:e>
                    <m:e>
                      <m:sSub>
                        <m:e>
                          <m:r>
                            <m:t>I</m:t>
                          </m:r>
                        </m:e>
                        <m:sub>
                          <m:r>
                            <m:t>T</m:t>
                          </m:r>
                          <m:r>
                            <m:t>,</m:t>
                          </m:r>
                          <m:r>
                            <m:t>y</m:t>
                          </m:r>
                        </m:sub>
                      </m:sSub>
                      <m:sSub>
                        <m:e>
                          <m:r>
                            <m:t>A</m:t>
                          </m:r>
                        </m:e>
                        <m:sub>
                          <m:r>
                            <m:t>T</m:t>
                          </m:r>
                        </m:sub>
                      </m:sSub>
                      <m:r>
                        <m:t>(</m:t>
                      </m:r>
                      <m:r>
                        <m:t>y</m:t>
                      </m:r>
                      <m:r>
                        <m:t>)</m:t>
                      </m:r>
                      <m:r>
                        <m:t>+</m:t>
                      </m:r>
                      <m:sSub>
                        <m:e>
                          <m:r>
                            <m:t>I</m:t>
                          </m:r>
                        </m:e>
                        <m:sub>
                          <m:r>
                            <m:t>B</m:t>
                          </m:r>
                          <m:r>
                            <m:t>,</m:t>
                          </m:r>
                          <m:r>
                            <m:t>y</m:t>
                          </m:r>
                        </m:sub>
                      </m:sSub>
                      <m:sSub>
                        <m:e>
                          <m:r>
                            <m:t>A</m:t>
                          </m:r>
                        </m:e>
                        <m:sub>
                          <m:r>
                            <m:t>B</m:t>
                          </m:r>
                        </m:sub>
                      </m:sSub>
                      <m:r>
                        <m:t>(</m:t>
                      </m:r>
                      <m:r>
                        <m:t>y</m:t>
                      </m:r>
                      <m:r>
                        <m:t>)</m:t>
                      </m:r>
                    </m:e>
                  </m:mr>
                  <m:mr>
                    <m:e/>
                    <m:e>
                      <m:r>
                        <m:t>+</m:t>
                      </m:r>
                      <m:sSub>
                        <m:e>
                          <m:r>
                            <m:t>I</m:t>
                          </m:r>
                        </m:e>
                        <m:sub>
                          <m:r>
                            <m:t>L</m:t>
                          </m:r>
                          <m:r>
                            <m:t>,</m:t>
                          </m:r>
                          <m:r>
                            <m:t>y</m:t>
                          </m:r>
                        </m:sub>
                      </m:sSub>
                      <m:sSub>
                        <m:e>
                          <m:r>
                            <m:t>A</m:t>
                          </m:r>
                        </m:e>
                        <m:sub>
                          <m:r>
                            <m:t>L</m:t>
                          </m:r>
                        </m:sub>
                      </m:sSub>
                      <m:r>
                        <m:t>(</m:t>
                      </m:r>
                      <m:r>
                        <m:t>y</m:t>
                      </m:r>
                      <m:r>
                        <m:t>)</m:t>
                      </m:r>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（5-9）</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T</m:t>
            </m:r>
            <m:r>
              <m:t>,</m:t>
            </m:r>
            <m:r>
              <m:t>y</m:t>
            </m:r>
          </m:sub>
        </m:sSub>
      </m:oMath>
      <w:r>
        <w:rPr>
          <w:rFonts w:ascii="Times New Roman" w:hAnsi="Times New Roman" w:eastAsia="方正仿宋_GBK"/>
          <w:b w:val="0"/>
          <w:sz w:val="24"/>
        </w:rPr>
        <w:t xml:space="preserve">、</w:t>
      </w:r>
      <m:oMath>
        <m:sSub>
          <m:e>
            <m:r>
              <m:t>I</m:t>
            </m:r>
          </m:e>
          <m:sub>
            <m:r>
              <m:t>B</m:t>
            </m:r>
            <m:r>
              <m:t>,</m:t>
            </m:r>
            <m:r>
              <m:t>y</m:t>
            </m:r>
          </m:sub>
        </m:sSub>
      </m:oMath>
      <w:r>
        <w:rPr>
          <w:rFonts w:ascii="Times New Roman" w:hAnsi="Times New Roman" w:eastAsia="方正仿宋_GBK"/>
          <w:b w:val="0"/>
          <w:sz w:val="24"/>
        </w:rPr>
        <w:t xml:space="preserve">、</w:t>
      </w:r>
      <m:oMath>
        <m:sSub>
          <m:e>
            <m:r>
              <m:t>I</m:t>
            </m:r>
          </m:e>
          <m:sub>
            <m:r>
              <m:t>L</m:t>
            </m:r>
            <m:r>
              <m:t>,</m:t>
            </m:r>
            <m:r>
              <m:t>y</m:t>
            </m:r>
          </m:sub>
        </m:sSub>
      </m:oMath>
      <w:r>
        <w:rPr>
          <w:rFonts w:ascii="Times New Roman" w:hAnsi="Times New Roman" w:eastAsia="方正仿宋_GBK"/>
          <w:b w:val="0"/>
          <w:sz w:val="24"/>
        </w:rPr>
        <w:t xml:space="preserve">分别为当年新增主变、储能及联络建设投资，</w:t>
      </w:r>
      <m:oMath>
        <m:sSub>
          <m:e>
            <m:r>
              <m:t>A</m:t>
            </m:r>
          </m:e>
          <m:sub>
            <m:r>
              <m:t>T</m:t>
            </m:r>
          </m:sub>
        </m:sSub>
      </m:oMath>
      <w:r>
        <w:rPr>
          <w:rFonts w:ascii="Times New Roman" w:hAnsi="Times New Roman" w:eastAsia="方正仿宋_GBK"/>
          <w:b w:val="0"/>
          <w:sz w:val="24"/>
        </w:rPr>
        <w:t xml:space="preserve">、</w:t>
      </w:r>
      <m:oMath>
        <m:sSub>
          <m:e>
            <m:r>
              <m:t>A</m:t>
            </m:r>
          </m:e>
          <m:sub>
            <m:r>
              <m:t>B</m:t>
            </m:r>
          </m:sub>
        </m:sSub>
      </m:oMath>
      <w:r>
        <w:rPr>
          <w:rFonts w:ascii="Times New Roman" w:hAnsi="Times New Roman" w:eastAsia="方正仿宋_GBK"/>
          <w:b w:val="0"/>
          <w:sz w:val="24"/>
        </w:rPr>
        <w:t xml:space="preserve">、</w:t>
      </w:r>
      <m:oMath>
        <m:sSub>
          <m:e>
            <m:r>
              <m:t>A</m:t>
            </m:r>
          </m:e>
          <m:sub>
            <m:r>
              <m:t>L</m:t>
            </m:r>
          </m:sub>
        </m:sSub>
      </m:oMath>
      <w:r>
        <w:rPr>
          <w:rFonts w:ascii="Times New Roman" w:hAnsi="Times New Roman" w:eastAsia="方正仿宋_GBK"/>
          <w:b w:val="0"/>
          <w:sz w:val="24"/>
        </w:rPr>
        <w:t xml:space="preserve">为相应费用现值因子。供电裕度在技术约束中满足，不另设容量优先目标。相同费用附近可能存在多种离散设备组合，不能把求解器选出的单一组合表述为唯一工程方案。</w:t>
      </w:r>
    </w:p>
    <w:p>
      <w:pPr>
        <w:pStyle w:val="5"/>
        <w:keepNext/>
        <w:numPr>
          <w:numId w:val="0"/>
        </w:numPr>
        <w:spacing w:line="390" w:lineRule="exact" w:before="160" w:after="120"/>
        <w:ind w:firstLine="0"/>
      </w:pPr>
      <w:bookmarkStart w:id="187" w:name="三类措施的约束寻优流程"/>
      <w:r>
        <w:rPr>
          <w:rFonts w:ascii="Times New Roman" w:hAnsi="Times New Roman" w:eastAsia="方正仿宋_GBK"/>
          <w:b/>
          <w:sz w:val="26"/>
        </w:rPr>
        <w:t xml:space="preserve">5.3.3 三类措施的约束寻优流程</w:t>
      </w:r>
      <w:bookmarkEnd w:id="187"/>
    </w:p>
    <w:p>
      <w:pPr>
        <w:pStyle w:val="FirstParagraph"/>
        <w:widowControl/>
        <w:spacing w:line="348" w:lineRule="exact" w:before="0" w:after="0"/>
        <w:ind w:firstLine="480"/>
        <w:jc w:val="both"/>
      </w:pPr>
      <w:r>
        <w:rPr>
          <w:rFonts w:ascii="Times New Roman" w:hAnsi="Times New Roman" w:eastAsia="方正仿宋_GBK"/>
          <w:b w:val="0"/>
          <w:sz w:val="24"/>
        </w:rPr>
        <w:t xml:space="preserve">计算结果按设备状态、容量非减、功率平衡、馈线共享余量、接收站容量及费用分项逐项复核，并以独立网络算法检查各静态工况的可行性。允许储能的措施集合包含无储能方案；两组求解精度不同时，优先保留已通过核查的较低费用候选，避免将搜索差异解释为储能效益。</w:t>
      </w:r>
    </w:p>
    <w:p>
      <w:pPr>
        <w:pStyle w:val="2"/>
        <w:widowControl/>
        <w:spacing w:line="348" w:lineRule="exact" w:before="0" w:after="0"/>
        <w:ind w:firstLine="480"/>
        <w:jc w:val="both"/>
      </w:pPr>
      <w:r>
        <w:rPr>
          <w:rFonts w:ascii="Times New Roman" w:hAnsi="Times New Roman" w:eastAsia="方正仿宋_GBK"/>
          <w:b w:val="0"/>
          <w:sz w:val="24"/>
        </w:rPr>
        <w:t xml:space="preserve">正文比较通过设备与网络约束校核的可行方案，费用对应所列建设配置。求解精度及经济比较核验记录见配套资料。</w:t>
      </w:r>
    </w:p>
    <w:p>
      <w:pPr>
        <w:pStyle w:val="2"/>
        <w:widowControl/>
        <w:spacing w:line="348" w:lineRule="exact" w:before="0" w:after="0"/>
        <w:ind w:firstLine="480"/>
        <w:jc w:val="both"/>
      </w:pPr>
      <w:r>
        <w:rPr>
          <w:rFonts w:ascii="Times New Roman" w:hAnsi="Times New Roman" w:eastAsia="方正仿宋_GBK"/>
          <w:b w:val="0"/>
          <w:sz w:val="24"/>
        </w:rPr>
        <w:t xml:space="preserve">逐年寻优先载入共同初始设备和实际年度负荷，再建立允许的主变规格、扩建位置、储能柜数与联络投运状态。正常和各站最大单台主变N-1分别使用同一套建设状态，运行转接变量随工况变化。设备状态按年份衔接，避免将某年新增工程在下一年无费用拆回。</w:t>
      </w:r>
    </w:p>
    <w:p>
      <w:pPr>
        <w:pStyle w:val="2"/>
        <w:widowControl/>
        <w:spacing w:line="348" w:lineRule="exact" w:before="0" w:after="0"/>
        <w:ind w:firstLine="480"/>
        <w:jc w:val="both"/>
      </w:pPr>
      <w:r>
        <w:rPr>
          <w:rFonts w:ascii="Times New Roman" w:hAnsi="Times New Roman" w:eastAsia="方正仿宋_GBK"/>
          <w:b w:val="0"/>
          <w:sz w:val="24"/>
        </w:rPr>
        <w:t xml:space="preserve">设备选择和投运状态采用整数变量，转供功率采用连续变量。费用最小是唯一经济目标；容量储备通过规划约束体现，不在费用相近时另行偏好较大容量。取得候选后，将年度容量、采购容量、储能和线路工程分别汇总，再按第四章现金流复算费用，检查所列工程与经济结论是否对应。</w:t>
      </w:r>
    </w:p>
    <w:p>
      <w:pPr>
        <w:pStyle w:val="4"/>
        <w:keepNext/>
        <w:numPr>
          <w:numId w:val="0"/>
        </w:numPr>
        <w:spacing w:line="480" w:lineRule="exact" w:before="160" w:after="120"/>
        <w:ind w:firstLine="0"/>
      </w:pPr>
      <w:bookmarkStart w:id="1561" w:name="h561"/>
      <w:bookmarkStart w:id="188" w:name="寻优结果"/>
      <w:r>
        <w:rPr>
          <w:rFonts w:ascii="Times New Roman" w:hAnsi="Times New Roman" w:eastAsia="方正仿宋_GBK"/>
          <w:b/>
          <w:sz w:val="32"/>
        </w:rPr>
        <w:t xml:space="preserve">5.4 寻优结果</w:t>
      </w:r>
      <w:bookmarkEnd w:id="188"/>
      <w:bookmarkEnd w:id="1561"/>
    </w:p>
    <w:p>
      <w:pPr>
        <w:pStyle w:val="5"/>
        <w:keepNext/>
        <w:numPr>
          <w:numId w:val="0"/>
        </w:numPr>
        <w:spacing w:line="390" w:lineRule="exact" w:before="160" w:after="120"/>
        <w:ind w:firstLine="0"/>
      </w:pPr>
      <w:bookmarkStart w:id="189" w:name="邳州逐年方案"/>
      <w:r>
        <w:rPr>
          <w:rFonts w:ascii="Times New Roman" w:hAnsi="Times New Roman" w:eastAsia="方正仿宋_GBK"/>
          <w:b/>
          <w:sz w:val="26"/>
        </w:rPr>
        <w:t xml:space="preserve">5.4.1 邳州逐年方案</w:t>
      </w:r>
      <w:bookmarkEnd w:id="189"/>
    </w:p>
    <w:p>
      <w:pPr>
        <w:pStyle w:val="FirstParagraph"/>
        <w:widowControl/>
        <w:spacing w:line="348" w:lineRule="exact" w:before="0" w:after="0"/>
        <w:ind w:firstLine="480"/>
        <w:jc w:val="both"/>
      </w:pPr>
      <w:r>
        <w:rPr>
          <w:rFonts w:ascii="Times New Roman" w:hAnsi="Times New Roman" w:eastAsia="方正仿宋_GBK"/>
          <w:b w:val="0"/>
          <w:sz w:val="24"/>
        </w:rPr>
        <w:t xml:space="preserve">邳州弹性方案2025年主变总容量为1955.50 MVA，容载比为2.04，累计建设联络30条，储能额定功率为0.00 MW。刚性方案同期容载比为1.86。逐年变化同时受实际负荷起伏与离散设备投运影响，不能按平滑增长趋势解释。</w:t>
      </w:r>
    </w:p>
    <w:p>
      <w:pPr>
        <w:pStyle w:val="2"/>
        <w:keepNext/>
        <w:spacing w:line="280" w:lineRule="exact" w:before="120" w:after="80"/>
        <w:ind w:firstLine="0"/>
        <w:jc w:val="center"/>
      </w:pPr>
      <w:r>
        <w:rPr>
          <w:rFonts w:ascii="Times New Roman" w:hAnsi="Times New Roman" w:eastAsia="宋体"/>
          <w:b w:val="0"/>
          <w:sz w:val="21"/>
        </w:rPr>
        <w:t xml:space="preserve">表5-4 邳州逐年容量及措施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1688.50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1955.50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r>
    </w:tbl>
    <w:p>
      <w:pPr>
        <w:pStyle w:val="2"/>
        <w:keepNext/>
        <w:spacing w:line="280" w:lineRule="exact" w:before="120" w:after="80"/>
        <w:ind w:firstLine="0"/>
        <w:jc w:val="center"/>
      </w:pPr>
      <w:r>
        <w:rPr>
          <w:rFonts w:ascii="Times New Roman" w:hAnsi="Times New Roman" w:eastAsia="宋体"/>
          <w:b w:val="0"/>
          <w:sz w:val="21"/>
        </w:rPr>
        <w:t xml:space="preserve">表5-5 邳州逐年新增工程与费用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459.50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22822.84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3847.56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7660.91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469.00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855.00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23805.05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257.87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1903.06</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的年度表同时列出在役容量与当年新增工程。净增容量说明容量储备增加多少，新购容量说明更换和扩建所需采购多少设备。负荷回落年份即使不新增主变，容载比也可能升高；后续负荷恢复时，前期投运设备继续满足相应需求。</w:t>
      </w:r>
    </w:p>
    <w:p>
      <w:pPr>
        <w:pStyle w:val="5"/>
        <w:keepNext/>
        <w:numPr>
          <w:numId w:val="0"/>
        </w:numPr>
        <w:spacing w:line="390" w:lineRule="exact" w:before="160" w:after="120"/>
        <w:ind w:firstLine="0"/>
      </w:pPr>
      <w:bookmarkStart w:id="190" w:name="市区逐年方案"/>
      <w:r>
        <w:rPr>
          <w:rFonts w:ascii="Times New Roman" w:hAnsi="Times New Roman" w:eastAsia="方正仿宋_GBK"/>
          <w:b/>
          <w:sz w:val="26"/>
        </w:rPr>
        <w:t xml:space="preserve">5.4.2 市区逐年方案</w:t>
      </w:r>
      <w:bookmarkEnd w:id="190"/>
    </w:p>
    <w:p>
      <w:pPr>
        <w:pStyle w:val="FirstParagraph"/>
        <w:widowControl/>
        <w:spacing w:line="348" w:lineRule="exact" w:before="0" w:after="0"/>
        <w:ind w:firstLine="480"/>
        <w:jc w:val="both"/>
      </w:pPr>
      <w:r>
        <w:rPr>
          <w:rFonts w:ascii="Times New Roman" w:hAnsi="Times New Roman" w:eastAsia="方正仿宋_GBK"/>
          <w:b w:val="0"/>
          <w:sz w:val="24"/>
        </w:rPr>
        <w:t xml:space="preserve">市区弹性方案2025年主变总容量为3324.00 MVA，容载比为2.17，累计建设联络64条，储能额定功率为0.50 MW。刚性方案同期容载比为1.92。逐年变化同时受实际负荷起伏与离散设备投运影响，不能按平滑增长趋势解释。2022年、2024年刚性容载比超过2.00，均属于负荷回落时既有容量形成的被动超限；当年未据此新增主变容量。</w:t>
      </w:r>
    </w:p>
    <w:p>
      <w:pPr>
        <w:pStyle w:val="2"/>
        <w:keepNext/>
        <w:spacing w:line="280" w:lineRule="exact" w:before="120" w:after="80"/>
        <w:ind w:firstLine="0"/>
        <w:jc w:val="center"/>
      </w:pPr>
      <w:r>
        <w:rPr>
          <w:rFonts w:ascii="Times New Roman" w:hAnsi="Times New Roman" w:eastAsia="宋体"/>
          <w:b w:val="0"/>
          <w:sz w:val="21"/>
        </w:rPr>
        <w:t xml:space="preserve">表5-6 市区逐年容量及措施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275840"/>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191"/>
                    <a:stretch>
                      <a:fillRect/>
                    </a:stretch>
                  </pic:blipFill>
                  <pic:spPr bwMode="auto">
                    <a:xfrm>
                      <a:off x="0" y="0"/>
                      <a:ext cx="5120640" cy="22758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 邳州和市区逐年容载比</w:t>
      </w:r>
    </w:p>
    <w:p>
      <w:pPr>
        <w:pStyle w:val="2"/>
        <w:keepNext/>
        <w:spacing w:line="280" w:lineRule="exact" w:before="120" w:after="80"/>
        <w:ind w:firstLine="0"/>
        <w:jc w:val="center"/>
      </w:pPr>
      <w:r>
        <w:rPr>
          <w:rFonts w:ascii="Times New Roman" w:hAnsi="Times New Roman" w:eastAsia="宋体"/>
          <w:b w:val="0"/>
          <w:sz w:val="21"/>
        </w:rPr>
        <w:t xml:space="preserve">表5-7 市区逐年新增工程与费用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76936.96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8813.51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52170.71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6175.38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实际年度负荷在2022年、2024年回落。刚性方案的被动超限由保留既有设备形成，与当年主动增加容量不同。年度建设安排应结合两者区分，不能用一条平均增长曲线代替实际年际变化，也不能只根据容载比升降判断是否实施了增容。</w:t>
      </w:r>
    </w:p>
    <w:p>
      <w:pPr>
        <w:pStyle w:val="5"/>
        <w:keepNext/>
        <w:numPr>
          <w:numId w:val="0"/>
        </w:numPr>
        <w:spacing w:line="390" w:lineRule="exact" w:before="160" w:after="120"/>
        <w:ind w:firstLine="0"/>
      </w:pPr>
      <w:bookmarkStart w:id="192" w:name="建设规模与费用比较"/>
      <w:r>
        <w:rPr>
          <w:rFonts w:ascii="Times New Roman" w:hAnsi="Times New Roman" w:eastAsia="方正仿宋_GBK"/>
          <w:b/>
          <w:sz w:val="26"/>
        </w:rPr>
        <w:t xml:space="preserve">5.4.3 建设规模与费用比较</w:t>
      </w:r>
      <w:bookmarkEnd w:id="192"/>
    </w:p>
    <w:p>
      <w:pPr>
        <w:pStyle w:val="FirstParagraph"/>
        <w:widowControl/>
        <w:spacing w:line="348" w:lineRule="exact" w:before="0" w:after="0"/>
        <w:ind w:firstLine="480"/>
        <w:jc w:val="both"/>
      </w:pPr>
      <w:r>
        <w:rPr>
          <w:rFonts w:ascii="Times New Roman" w:hAnsi="Times New Roman" w:eastAsia="方正仿宋_GBK"/>
          <w:b w:val="0"/>
          <w:sz w:val="24"/>
        </w:rPr>
        <w:t xml:space="preserve">两地区刚性方案评价期费用现值合计120219.30万元，弹性方案为84449.61万元，减少35769.70万元，降幅约30%。</w:t>
      </w:r>
    </w:p>
    <w:p>
      <w:pPr>
        <w:pStyle w:val="2"/>
        <w:keepNext/>
        <w:spacing w:line="280" w:lineRule="exact" w:before="120" w:after="80"/>
        <w:ind w:firstLine="0"/>
        <w:jc w:val="center"/>
      </w:pPr>
      <w:r>
        <w:rPr>
          <w:rFonts w:ascii="Times New Roman" w:hAnsi="Times New Roman" w:eastAsia="宋体"/>
          <w:b w:val="0"/>
          <w:sz w:val="21"/>
        </w:rPr>
        <w:t xml:space="preserve">表5-8 两地区方案费用比较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34468.84</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85750.47</w:t>
            </w:r>
          </w:p>
        </w:tc>
      </w:tr>
      <w:tr>
        <w:trPr>
          <w:cantSplit/>
        </w:trPr>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58346.09</w:t>
            </w:r>
          </w:p>
        </w:tc>
      </w:tr>
    </w:tbl>
    <w:p>
      <w:pPr>
        <w:pStyle w:val="2"/>
        <w:keepNext/>
        <w:spacing w:line="280" w:lineRule="exact" w:before="120" w:after="80"/>
        <w:ind w:firstLine="0"/>
        <w:jc w:val="center"/>
      </w:pPr>
      <w:r>
        <w:rPr>
          <w:rFonts w:ascii="Times New Roman" w:hAnsi="Times New Roman" w:eastAsia="宋体"/>
          <w:b w:val="0"/>
          <w:sz w:val="21"/>
        </w:rPr>
        <w:t xml:space="preserve">表5-9 目标年措施规模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70.73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918.00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823.00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193"/>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图5-2 各方案新增措施评价期费用现值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275840"/>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194"/>
                    <a:stretch>
                      <a:fillRect/>
                    </a:stretch>
                  </pic:blipFill>
                  <pic:spPr bwMode="auto">
                    <a:xfrm>
                      <a:off x="0" y="0"/>
                      <a:ext cx="5120640" cy="22758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图5-3 主变新购容量与储能额定能量</w:t>
      </w:r>
    </w:p>
    <w:p>
      <w:pPr>
        <w:pStyle w:val="2"/>
        <w:widowControl/>
        <w:spacing w:line="348" w:lineRule="exact" w:before="0" w:after="0"/>
        <w:ind w:firstLine="480"/>
        <w:jc w:val="both"/>
      </w:pPr>
      <w:r>
        <w:rPr>
          <w:rFonts w:ascii="Times New Roman" w:hAnsi="Times New Roman" w:eastAsia="方正仿宋_GBK"/>
          <w:b w:val="0"/>
          <w:sz w:val="24"/>
        </w:rPr>
        <w:t xml:space="preserve">方案费用限于所设仿真起点、静态工况和工程价格。市区存量网络缺少已核实边的部分采用新增付费候选，不能将试算费用直接作为核定现状资产下的工程预算。地区间容载比关系可能随年度负荷和设备投运改变，应结合各站配置解释。</w:t>
      </w:r>
    </w:p>
    <w:p>
      <w:pPr>
        <w:pStyle w:val="2"/>
        <w:keepNext/>
        <w:spacing w:line="280" w:lineRule="exact" w:before="120" w:after="80"/>
        <w:ind w:firstLine="0"/>
        <w:jc w:val="center"/>
      </w:pPr>
      <w:r>
        <w:rPr>
          <w:rFonts w:ascii="Times New Roman" w:hAnsi="Times New Roman" w:eastAsia="宋体"/>
          <w:b w:val="0"/>
          <w:sz w:val="21"/>
        </w:rPr>
        <w:t xml:space="preserve">表5-10 主变、储能及联络费用现值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17674.27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8161.84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8632.72</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34468.84</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21903.74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4199.78</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3862.44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1272.02</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80616.00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85750.47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21083.57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124.07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37138.45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58346.09</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邳州弹性方案的主变费用现值为21903.74万元，储能为0.00万元，联络为4199.78万元；对应刚性方案分别为17674.27、8161.84、8632.72万元。三项费用共同决定方案排序，不能将总费用变化全部归因于储能减少。</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市区弹性方案的主变费用现值为21083.57万元，储能为124.07万元，联络为37138.45万元；对应刚性方案分别为3862.44、1272.02、80616.00万元。三项费用共同决定方案排序，不能将总费用变化全部归因于储能减少。</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R</m:t>
                    </m:r>
                  </m:e>
                  <m:sub>
                    <m:r>
                      <m:t>y</m:t>
                    </m:r>
                  </m:sub>
                </m:sSub>
                <m:r>
                  <m:t>−</m:t>
                </m:r>
                <m:sSub>
                  <m:e>
                    <m:r>
                      <m:t>R</m:t>
                    </m:r>
                  </m:e>
                  <m:sub>
                    <m:r>
                      <m:t>y</m:t>
                    </m:r>
                    <m:r>
                      <m:t>−</m:t>
                    </m:r>
                    <m:r>
                      <m:t>1</m:t>
                    </m:r>
                  </m:sub>
                </m:sSub>
                <m:r>
                  <m:t>=</m:t>
                </m:r>
                <m:f>
                  <m:fPr>
                    <m:type m:val="bar"/>
                  </m:fPr>
                  <m:num>
                    <m:sSub>
                      <m:e>
                        <m:r>
                          <m:t>S</m:t>
                        </m:r>
                      </m:e>
                      <m:sub>
                        <m:r>
                          <m:t>y</m:t>
                        </m:r>
                      </m:sub>
                    </m:sSub>
                    <m:r>
                      <m:t>−</m:t>
                    </m:r>
                    <m:sSub>
                      <m:e>
                        <m:r>
                          <m:t>S</m:t>
                        </m:r>
                      </m:e>
                      <m:sub>
                        <m:r>
                          <m:t>y</m:t>
                        </m:r>
                        <m:r>
                          <m:t>−</m:t>
                        </m:r>
                        <m:r>
                          <m:t>1</m:t>
                        </m:r>
                      </m:sub>
                    </m:sSub>
                  </m:num>
                  <m:den>
                    <m:sSub>
                      <m:e>
                        <m:r>
                          <m:t>P</m:t>
                        </m:r>
                      </m:e>
                      <m:sub>
                        <m:r>
                          <m:t>y</m:t>
                        </m:r>
                      </m:sub>
                    </m:sSub>
                  </m:den>
                </m:f>
                <m:r>
                  <m:t>+</m:t>
                </m:r>
                <m:sSub>
                  <m:e>
                    <m:r>
                      <m:t>S</m:t>
                    </m:r>
                  </m:e>
                  <m:sub>
                    <m:r>
                      <m:t>y</m:t>
                    </m:r>
                    <m:r>
                      <m:t>−</m:t>
                    </m:r>
                    <m:r>
                      <m:t>1</m:t>
                    </m:r>
                  </m:sub>
                </m:sSub>
                <m:d>
                  <m:dPr>
                    <m:begChr m:val="("/>
                    <m:endChr m:val=")"/>
                    <m:grow/>
                  </m:dPr>
                  <m:e>
                    <m:f>
                      <m:fPr>
                        <m:type m:val="bar"/>
                      </m:fPr>
                      <m:num>
                        <m:r>
                          <m:t>1</m:t>
                        </m:r>
                      </m:num>
                      <m:den>
                        <m:sSub>
                          <m:e>
                            <m:r>
                              <m:t>P</m:t>
                            </m:r>
                          </m:e>
                          <m:sub>
                            <m:r>
                              <m:t>y</m:t>
                            </m:r>
                          </m:sub>
                        </m:sSub>
                      </m:den>
                    </m:f>
                    <m:r>
                      <m:t>−</m:t>
                    </m:r>
                    <m:f>
                      <m:fPr>
                        <m:type m:val="bar"/>
                      </m:fPr>
                      <m:num>
                        <m:r>
                          <m:t>1</m:t>
                        </m:r>
                      </m:num>
                      <m:den>
                        <m:sSub>
                          <m:e>
                            <m:r>
                              <m:t>P</m:t>
                            </m:r>
                          </m:e>
                          <m:sub>
                            <m:r>
                              <m:t>y</m:t>
                            </m:r>
                            <m:r>
                              <m:t>−</m:t>
                            </m:r>
                            <m:r>
                              <m:t>1</m:t>
                            </m:r>
                          </m:sub>
                        </m:sSub>
                      </m:den>
                    </m:f>
                  </m:e>
                </m:d>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（5-10）</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R</m:t>
            </m:r>
          </m:e>
          <m:sub>
            <m:r>
              <m:t>y</m:t>
            </m:r>
          </m:sub>
        </m:sSub>
      </m:oMath>
      <w:r>
        <w:rPr>
          <w:rFonts w:ascii="Times New Roman" w:hAnsi="Times New Roman" w:eastAsia="方正仿宋_GBK"/>
          <w:b w:val="0"/>
          <w:sz w:val="24"/>
        </w:rPr>
        <w:t xml:space="preserve">、</w:t>
      </w:r>
      <m:oMath>
        <m:sSub>
          <m:e>
            <m:r>
              <m:t>R</m:t>
            </m:r>
          </m:e>
          <m:sub>
            <m:r>
              <m:t>y</m:t>
            </m:r>
            <m:r>
              <m:t>−</m:t>
            </m:r>
            <m:r>
              <m:t>1</m:t>
            </m:r>
          </m:sub>
        </m:sSub>
      </m:oMath>
      <w:r>
        <w:rPr>
          <w:rFonts w:ascii="Times New Roman" w:hAnsi="Times New Roman" w:eastAsia="方正仿宋_GBK"/>
          <w:b w:val="0"/>
          <w:sz w:val="24"/>
        </w:rPr>
        <w:t xml:space="preserve">为相邻两年容载比，</w:t>
      </w:r>
      <m:oMath>
        <m:r>
          <m:t>y</m:t>
        </m:r>
      </m:oMath>
      <w:r>
        <w:rPr>
          <w:rFonts w:ascii="Times New Roman" w:hAnsi="Times New Roman" w:eastAsia="方正仿宋_GBK"/>
          <w:b w:val="0"/>
          <w:sz w:val="24"/>
        </w:rPr>
        <w:t xml:space="preserve">为仿真年序号；</w:t>
      </w:r>
      <m:oMath>
        <m:sSub>
          <m:e>
            <m:r>
              <m:t>S</m:t>
            </m:r>
          </m:e>
          <m:sub>
            <m:r>
              <m:t>y</m:t>
            </m:r>
          </m:sub>
        </m:sSub>
      </m:oMath>
      <w:r>
        <w:rPr>
          <w:rFonts w:ascii="Times New Roman" w:hAnsi="Times New Roman" w:eastAsia="方正仿宋_GBK"/>
          <w:b w:val="0"/>
          <w:sz w:val="24"/>
        </w:rPr>
        <w:t xml:space="preserve">和</w:t>
      </w:r>
      <m:oMath>
        <m:sSub>
          <m:e>
            <m:r>
              <m:t>S</m:t>
            </m:r>
          </m:e>
          <m:sub>
            <m:r>
              <m:t>y</m:t>
            </m:r>
            <m:r>
              <m:t>−</m:t>
            </m:r>
            <m:r>
              <m:t>1</m:t>
            </m:r>
          </m:sub>
        </m:sSub>
      </m:oMath>
      <w:r>
        <w:rPr>
          <w:rFonts w:ascii="Times New Roman" w:hAnsi="Times New Roman" w:eastAsia="方正仿宋_GBK"/>
          <w:b w:val="0"/>
          <w:sz w:val="24"/>
        </w:rPr>
        <w:t xml:space="preserve">为相邻两年公用主变总容量，单位MVA；</w:t>
      </w:r>
      <m:oMath>
        <m:sSub>
          <m:e>
            <m:r>
              <m:t>P</m:t>
            </m:r>
          </m:e>
          <m:sub>
            <m:r>
              <m:t>y</m:t>
            </m:r>
          </m:sub>
        </m:sSub>
      </m:oMath>
      <w:r>
        <w:rPr>
          <w:rFonts w:ascii="Times New Roman" w:hAnsi="Times New Roman" w:eastAsia="方正仿宋_GBK"/>
          <w:b w:val="0"/>
          <w:sz w:val="24"/>
        </w:rPr>
        <w:t xml:space="preserve">和</w:t>
      </w:r>
      <m:oMath>
        <m:sSub>
          <m:e>
            <m:r>
              <m:t>P</m:t>
            </m:r>
          </m:e>
          <m:sub>
            <m:r>
              <m:t>y</m:t>
            </m:r>
            <m:r>
              <m:t>−</m:t>
            </m:r>
            <m: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2"/>
        <w:keepNext/>
        <w:spacing w:line="280" w:lineRule="exact" w:before="120" w:after="80"/>
        <w:ind w:firstLine="0"/>
        <w:jc w:val="center"/>
      </w:pPr>
      <w:r>
        <w:rPr>
          <w:rFonts w:ascii="Times New Roman" w:hAnsi="Times New Roman" w:eastAsia="宋体"/>
          <w:b w:val="0"/>
          <w:sz w:val="21"/>
        </w:rPr>
        <w:t xml:space="preserve">表5-11 规划容载比年度变化分解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-0.19</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-0.09</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bl>
    <w:p>
      <w:pPr>
        <w:pStyle w:val="5"/>
        <w:keepNext/>
        <w:numPr>
          <w:numId w:val="0"/>
        </w:numPr>
        <w:spacing w:line="390" w:lineRule="exact" w:before="160" w:after="120"/>
        <w:ind w:firstLine="0"/>
      </w:pPr>
      <w:bookmarkStart w:id="195" w:name="邳州逐站规划方案"/>
      <w:r>
        <w:rPr>
          <w:rFonts w:ascii="Times New Roman" w:hAnsi="Times New Roman" w:eastAsia="方正仿宋_GBK"/>
          <w:b/>
          <w:sz w:val="26"/>
        </w:rPr>
        <w:t xml:space="preserve">5.4.4 邳州逐站规划方案</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逐站分析采用区域正向峰值和最低净负荷两个同步工况，各自安排转接并分别校核，不将转接量相加。所列功率对应这些同步时刻，不作为各站全年独立极值。主变N-1按本站最大单台容量扣除，健康邻站保留正常可用容量，转供使用已投运线路。</w:t>
      </w:r>
    </w:p>
    <w:p>
      <w:pPr>
        <w:pStyle w:val="2"/>
        <w:widowControl/>
        <w:spacing w:line="348" w:lineRule="exact" w:before="0" w:after="0"/>
        <w:ind w:firstLine="480"/>
        <w:jc w:val="both"/>
      </w:pPr>
      <w:r>
        <w:rPr>
          <w:rFonts w:ascii="Times New Roman" w:hAnsi="Times New Roman" w:eastAsia="方正仿宋_GBK"/>
          <w:b w:val="0"/>
          <w:sz w:val="24"/>
        </w:rPr>
        <w:t xml:space="preserve">邳州20座站分别列示两类方案的四年设备状态及区域正向峰值正常转接，随后说明目标年两工况和本站主变N-1校核。表中储能均为在役额定功率，支撑能力另按4 h及可用电量折算。</w:t>
      </w:r>
    </w:p>
    <w:p>
      <w:pPr>
        <w:pStyle w:val="7"/>
        <w:keepNext/>
        <w:numPr>
          <w:numId w:val="0"/>
        </w:numPr>
        <w:spacing w:line="360" w:lineRule="exact" w:before="160" w:after="120"/>
        <w:ind w:firstLine="0"/>
      </w:pPr>
      <w:bookmarkStart w:id="196" w:name="千伏八义集变规划分析"/>
      <w:r>
        <w:rPr>
          <w:rFonts w:ascii="Times New Roman" w:hAnsi="Times New Roman" w:eastAsia="方正仿宋_GBK"/>
          <w:b/>
          <w:sz w:val="24"/>
        </w:rPr>
        <w:t xml:space="preserve">110千伏八义集变规划分析</w:t>
      </w:r>
      <w:bookmarkEnd w:id="19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MVA。2025年区域正向峰值工况下，本站转接前净负荷为30.29 MW；区域最低净负荷工况下为-6.39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目标年刚性方案主变容量为81.50 MVA、储能额定功率0.80 MW；弹性方案分别为81.50 MVA和0.00 MW。两类方案本站总容量相同，仍需结合主变组合和邻站转接安排解释储能配置。弹性方案2022—2025年主变总容量依次为81.50、81.50、81.50、81.50 MVA。目标年站级负载率为39%。</w:t>
      </w:r>
    </w:p>
    <w:p>
      <w:pPr>
        <w:pStyle w:val="2"/>
        <w:keepNext/>
        <w:spacing w:line="280" w:lineRule="exact" w:before="120" w:after="80"/>
        <w:ind w:firstLine="0"/>
        <w:jc w:val="center"/>
      </w:pPr>
      <w:r>
        <w:rPr>
          <w:rFonts w:ascii="Times New Roman" w:hAnsi="Times New Roman" w:eastAsia="宋体"/>
          <w:b w:val="0"/>
          <w:sz w:val="21"/>
        </w:rPr>
        <w:t xml:space="preserve">表5-12 110千伏八义集变年度配置与正向峰值正常转接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30.29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MW，转接后净负荷为30.29 MW；区域最低净负荷工况下，转接后净负荷为-6.39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MVA。重新安排转供后，两工况本站净负荷分别为29.16 MW和-6.39 MW；两方向容量约束的最小余量为0.76 MW，正向储能有效支撑功率为0.00 MW。</w:t>
      </w:r>
    </w:p>
    <w:p>
      <w:pPr>
        <w:pStyle w:val="7"/>
        <w:keepNext/>
        <w:numPr>
          <w:numId w:val="0"/>
        </w:numPr>
        <w:spacing w:line="360" w:lineRule="exact" w:before="160" w:after="120"/>
        <w:ind w:firstLine="0"/>
      </w:pPr>
      <w:bookmarkStart w:id="197" w:name="大宋变规划分析"/>
      <w:r>
        <w:rPr>
          <w:rFonts w:ascii="Times New Roman" w:hAnsi="Times New Roman" w:eastAsia="方正仿宋_GBK"/>
          <w:b/>
          <w:sz w:val="24"/>
        </w:rPr>
        <w:t xml:space="preserve">大宋变规划分析</w:t>
      </w:r>
      <w:bookmarkEnd w:id="19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MVA。2025年区域正向峰值工况下，本站转接前净负荷为69.44 MW；区域最低净负荷工况下为-31.77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MW。两类方案本站总容量相同，仍需结合主变组合和邻站转接安排解释储能配置。弹性方案2022—2025年主变总容量依次为126.00、126.00、126.00、126.00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表5-13 大宋变年度配置与正向峰值正常转接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66.94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4.78</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74.22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MW、承接4.78 MW，转接后净负荷为74.22 MW；区域最低净负荷工况下，转接后净负荷为-31.77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MVA。重新安排转供后，两工况本站净负荷分别为59.85 MW和-31.77 MW；两方向容量约束的最小余量为0.00 MW，正向储能有效支撑功率为0.00 MW。</w:t>
      </w:r>
    </w:p>
    <w:p>
      <w:pPr>
        <w:pStyle w:val="7"/>
        <w:keepNext/>
        <w:numPr>
          <w:numId w:val="0"/>
        </w:numPr>
        <w:spacing w:line="360" w:lineRule="exact" w:before="160" w:after="120"/>
        <w:ind w:firstLine="0"/>
      </w:pPr>
      <w:bookmarkStart w:id="198" w:name="戴圩变规划分析"/>
      <w:r>
        <w:rPr>
          <w:rFonts w:ascii="Times New Roman" w:hAnsi="Times New Roman" w:eastAsia="方正仿宋_GBK"/>
          <w:b/>
          <w:sz w:val="24"/>
        </w:rPr>
        <w:t xml:space="preserve">戴圩变规划分析</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MVA。2025年区域正向峰值工况下，本站转接前净负荷为27.34 MW；区域最低净负荷工况下为-24.10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MVA、储能额定功率0.20 MW；弹性方案分别为81.50 MVA和0.00 MW。弹性方案本站增加11.50 MVA容量，为本地需求及站间支援提供条件。弹性方案2022—2025年主变总容量依次为81.50、81.50、81.50、81.50 MVA。目标年站级负载率为35%。</w:t>
      </w:r>
    </w:p>
    <w:p>
      <w:pPr>
        <w:pStyle w:val="2"/>
        <w:keepNext/>
        <w:spacing w:line="280" w:lineRule="exact" w:before="120" w:after="80"/>
        <w:ind w:firstLine="0"/>
        <w:jc w:val="center"/>
      </w:pPr>
      <w:r>
        <w:rPr>
          <w:rFonts w:ascii="Times New Roman" w:hAnsi="Times New Roman" w:eastAsia="宋体"/>
          <w:b w:val="0"/>
          <w:sz w:val="21"/>
        </w:rPr>
        <w:t xml:space="preserve">表5-14 戴圩变年度配置与正向峰值正常转接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27.34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MW，转接后净负荷为27.34 MW；区域最低净负荷工况下，转接后净负荷为-24.10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MVA。重新安排转供后，两工况本站净负荷分别为27.34 MW和-24.10 MW；两方向容量约束的最小余量为2.59 MW，正向储能有效支撑功率为0.00 MW。</w:t>
      </w:r>
    </w:p>
    <w:p>
      <w:pPr>
        <w:pStyle w:val="7"/>
        <w:keepNext/>
        <w:numPr>
          <w:numId w:val="0"/>
        </w:numPr>
        <w:spacing w:line="360" w:lineRule="exact" w:before="160" w:after="120"/>
        <w:ind w:firstLine="0"/>
      </w:pPr>
      <w:bookmarkStart w:id="199" w:name="戴庄变规划分析"/>
      <w:r>
        <w:rPr>
          <w:rFonts w:ascii="Times New Roman" w:hAnsi="Times New Roman" w:eastAsia="方正仿宋_GBK"/>
          <w:b/>
          <w:sz w:val="24"/>
        </w:rPr>
        <w:t xml:space="preserve">戴庄变规划分析</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该站基期主变组合为20+31.5 MVA。2025年区域正向峰值工况下，本站转接前净负荷为30.59 MW；区域最低净负荷工况下为-46.10 MW，受入为正、反送为负。2022年更换既有主变，新购100.00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MVA、储能额定功率16.20 MW；弹性方案分别为100.00 MVA和0.00 MW。弹性方案本站增加37.00 MVA容量，为本地需求及站间支援提供条件。弹性方案2022—2025年主变总容量依次为100.00、100.00、100.00、100.00 MVA。目标年站级负载率为49%。</w:t>
      </w:r>
    </w:p>
    <w:p>
      <w:pPr>
        <w:pStyle w:val="2"/>
        <w:keepNext/>
        <w:spacing w:line="280" w:lineRule="exact" w:before="120" w:after="80"/>
        <w:ind w:firstLine="0"/>
        <w:jc w:val="center"/>
      </w:pPr>
      <w:r>
        <w:rPr>
          <w:rFonts w:ascii="Times New Roman" w:hAnsi="Times New Roman" w:eastAsia="宋体"/>
          <w:b w:val="0"/>
          <w:sz w:val="21"/>
        </w:rPr>
        <w:t xml:space="preserve">表5-15 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MW，转接后净负荷为30.59 MW；区域最低净负荷工况下，转接后净负荷为-46.10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MVA。重新安排转供后，两工况本站净负荷分别为30.59 MW和-46.10 MW；两方向容量约束的最小余量为1.40 MW，正向储能有效支撑功率为0.00 MW。</w:t>
      </w:r>
    </w:p>
    <w:p>
      <w:pPr>
        <w:pStyle w:val="7"/>
        <w:keepNext/>
        <w:numPr>
          <w:numId w:val="0"/>
        </w:numPr>
        <w:spacing w:line="360" w:lineRule="exact" w:before="160" w:after="120"/>
        <w:ind w:firstLine="0"/>
      </w:pPr>
      <w:bookmarkStart w:id="200" w:name="杜村变规划分析"/>
      <w:r>
        <w:rPr>
          <w:rFonts w:ascii="Times New Roman" w:hAnsi="Times New Roman" w:eastAsia="方正仿宋_GBK"/>
          <w:b/>
          <w:sz w:val="24"/>
        </w:rPr>
        <w:t xml:space="preserve">杜村变规划分析</w:t>
      </w:r>
      <w:bookmarkEnd w:id="20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MVA。2025年区域正向峰值工况下，本站转接前净负荷为83.65 MW；区域最低净负荷工况下为1.66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MW；弹性方案分别为130.00 MVA和0.00 MW。弹性方案本站增加50.00 MVA容量，为本地需求及站间支援提供条件。弹性方案2022—2025年主变总容量依次为130.00、130.00、130.00、130.00 MVA。目标年站级负载率为68%。</w:t>
      </w:r>
    </w:p>
    <w:p>
      <w:pPr>
        <w:pStyle w:val="2"/>
        <w:keepNext/>
        <w:spacing w:line="280" w:lineRule="exact" w:before="120" w:after="80"/>
        <w:ind w:firstLine="0"/>
        <w:jc w:val="center"/>
      </w:pPr>
      <w:r>
        <w:rPr>
          <w:rFonts w:ascii="Times New Roman" w:hAnsi="Times New Roman" w:eastAsia="宋体"/>
          <w:b w:val="0"/>
          <w:sz w:val="21"/>
        </w:rPr>
        <w:t xml:space="preserve">表5-16 杜村变年度配置与正向峰值正常转接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14.81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26.27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109.92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MW、承接26.27 MW，转接后净负荷为109.92 MW；区域最低净负荷工况下，转接后净负荷为1.66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MVA。重新安排转供后，两工况本站净负荷分别为63.77 MW和1.66 MW；两方向容量约束的最小余量为12.23 MW，正向储能有效支撑功率为0.00 MW。</w:t>
      </w:r>
    </w:p>
    <w:p>
      <w:pPr>
        <w:pStyle w:val="7"/>
        <w:keepNext/>
        <w:numPr>
          <w:numId w:val="0"/>
        </w:numPr>
        <w:spacing w:line="360" w:lineRule="exact" w:before="160" w:after="120"/>
        <w:ind w:firstLine="0"/>
      </w:pPr>
      <w:bookmarkStart w:id="201" w:name="墩集变规划分析"/>
      <w:r>
        <w:rPr>
          <w:rFonts w:ascii="Times New Roman" w:hAnsi="Times New Roman" w:eastAsia="方正仿宋_GBK"/>
          <w:b/>
          <w:sz w:val="24"/>
        </w:rPr>
        <w:t xml:space="preserve">墩集变规划分析</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MVA。2025年区域正向峰值工况下，本站转接前净负荷为55.05 MW；区域最低净负荷工况下为-35.45 MW，受入为正、反送为负。2022年更换既有主变，新购50.00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MVA、储能额定功率0.00 MW；弹性方案分别为100.00 MVA和0.00 MW。两类方案本站总容量相同，仍需结合主变组合和邻站转接安排解释储能配置。弹性方案2022—2025年主变总容量依次为100.00、100.00、100.00、100.00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表5-17 墩集变年度配置与正向峰值正常转接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56.66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MW、承接1.61 MW，转接后净负荷为56.66 MW；区域最低净负荷工况下，转接后净负荷为-35.45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MVA。重新安排转供后，两工况本站净负荷分别为47.50 MW和-35.45 MW；两方向容量约束的最小余量为0.00 MW，正向储能有效支撑功率为0.00 MW。</w:t>
      </w:r>
    </w:p>
    <w:p>
      <w:pPr>
        <w:pStyle w:val="7"/>
        <w:keepNext/>
        <w:numPr>
          <w:numId w:val="0"/>
        </w:numPr>
        <w:spacing w:line="360" w:lineRule="exact" w:before="160" w:after="120"/>
        <w:ind w:firstLine="0"/>
      </w:pPr>
      <w:bookmarkStart w:id="202" w:name="二庙变规划分析"/>
      <w:r>
        <w:rPr>
          <w:rFonts w:ascii="Times New Roman" w:hAnsi="Times New Roman" w:eastAsia="方正仿宋_GBK"/>
          <w:b/>
          <w:sz w:val="24"/>
        </w:rPr>
        <w:t xml:space="preserve">二庙变规划分析</w:t>
      </w:r>
      <w:bookmarkEnd w:id="20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该站基期主变组合为31.5+80 MVA。2025年区域正向峰值工况下，本站转接前净负荷为89.75 MW；区域最低净负荷工况下为31.86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目标年刚性方案主变容量为111.50 MVA、储能额定功率0.00 MW；弹性方案分别为160.00 MVA和0.00 MW。弹性方案本站增加48.50 MVA容量，为本地需求及站间支援提供条件。弹性方案2022—2025年主变总容量依次为160.00、160.00、160.00、160.00 MVA。目标年站级负载率为59%。</w:t>
      </w:r>
    </w:p>
    <w:p>
      <w:pPr>
        <w:pStyle w:val="2"/>
        <w:keepNext/>
        <w:spacing w:line="280" w:lineRule="exact" w:before="120" w:after="80"/>
        <w:ind w:firstLine="0"/>
        <w:jc w:val="center"/>
      </w:pPr>
      <w:r>
        <w:rPr>
          <w:rFonts w:ascii="Times New Roman" w:hAnsi="Times New Roman" w:eastAsia="宋体"/>
          <w:b w:val="0"/>
          <w:sz w:val="21"/>
        </w:rPr>
        <w:t xml:space="preserve">表5-18 二庙变年度配置与正向峰值正常转接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73.31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83.07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14.78</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104.53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MW、承接14.78 MW，转接后净负荷为104.53 MW；区域最低净负荷工况下，转接后净负荷为31.86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MVA。重新安排转供后，两工况本站净负荷分别为76.00 MW和31.86 MW；两方向容量约束的最小余量为0.00 MW，正向储能有效支撑功率为0.00 MW。</w:t>
      </w:r>
    </w:p>
    <w:p>
      <w:pPr>
        <w:pStyle w:val="7"/>
        <w:keepNext/>
        <w:numPr>
          <w:numId w:val="0"/>
        </w:numPr>
        <w:spacing w:line="360" w:lineRule="exact" w:before="160" w:after="120"/>
        <w:ind w:firstLine="0"/>
      </w:pPr>
      <w:bookmarkStart w:id="203" w:name="坊上变规划分析"/>
      <w:r>
        <w:rPr>
          <w:rFonts w:ascii="Times New Roman" w:hAnsi="Times New Roman" w:eastAsia="方正仿宋_GBK"/>
          <w:b/>
          <w:sz w:val="24"/>
        </w:rPr>
        <w:t xml:space="preserve">坊上变规划分析</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MVA。2025年区域正向峰值工况下，本站转接前净负荷为37.87 MW；区域最低净负荷工况下为-29.68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目标年刚性方案主变容量为71.50 MVA、储能额定功率0.00 MW；弹性方案分别为71.50 MVA和0.00 MW。两类方案本站总容量相同，仍需结合主变组合和邻站转接安排解释储能配置。弹性方案2022—2025年主变总容量依次为71.50、71.50、71.50、71.50 MVA。目标年站级负载率为56%。</w:t>
      </w:r>
    </w:p>
    <w:p>
      <w:pPr>
        <w:pStyle w:val="2"/>
        <w:keepNext/>
        <w:spacing w:line="280" w:lineRule="exact" w:before="120" w:after="80"/>
        <w:ind w:firstLine="0"/>
        <w:jc w:val="center"/>
      </w:pPr>
      <w:r>
        <w:rPr>
          <w:rFonts w:ascii="Times New Roman" w:hAnsi="Times New Roman" w:eastAsia="宋体"/>
          <w:b w:val="0"/>
          <w:sz w:val="21"/>
        </w:rPr>
        <w:t xml:space="preserve">表5-19 坊上变年度配置与正向峰值正常转接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MW，转接后净负荷为37.87 MW；区域最低净负荷工况下，转接后净负荷为-29.68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MVA。重新安排转供后，两工况本站净负荷分别为29.93 MW和-29.68 MW；两方向容量约束的最小余量为0.00 MW，正向储能有效支撑功率为0.00 MW。</w:t>
      </w:r>
    </w:p>
    <w:p>
      <w:pPr>
        <w:pStyle w:val="7"/>
        <w:keepNext/>
        <w:numPr>
          <w:numId w:val="0"/>
        </w:numPr>
        <w:spacing w:line="360" w:lineRule="exact" w:before="160" w:after="120"/>
        <w:ind w:firstLine="0"/>
      </w:pPr>
      <w:bookmarkStart w:id="204" w:name="富山变规划分析"/>
      <w:r>
        <w:rPr>
          <w:rFonts w:ascii="Times New Roman" w:hAnsi="Times New Roman" w:eastAsia="方正仿宋_GBK"/>
          <w:b/>
          <w:sz w:val="24"/>
        </w:rPr>
        <w:t xml:space="preserve">富山变规划分析</w:t>
      </w:r>
      <w:bookmarkEnd w:id="20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MVA。2025年区域正向峰值工况下，本站转接前净负荷为26.59 MW；区域最低净负荷工况下为-19.32 MW，受入为正、反送为负。2025年更换既有主变，新购31.50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MVA、储能额定功率0.60 MW；弹性方案分别为81.50 MVA和0.00 MW。弹性方案本站增加11.50 MVA容量，为本地需求及站间支援提供条件。弹性方案2022—2025年主变总容量依次为70.00、70.00、70.00、81.50 MVA。目标年站级负载率为34%。</w:t>
      </w:r>
    </w:p>
    <w:p>
      <w:pPr>
        <w:pStyle w:val="2"/>
        <w:keepNext/>
        <w:spacing w:line="280" w:lineRule="exact" w:before="120" w:after="80"/>
        <w:ind w:firstLine="0"/>
        <w:jc w:val="center"/>
      </w:pPr>
      <w:r>
        <w:rPr>
          <w:rFonts w:ascii="Times New Roman" w:hAnsi="Times New Roman" w:eastAsia="宋体"/>
          <w:b w:val="0"/>
          <w:sz w:val="21"/>
        </w:rPr>
        <w:t xml:space="preserve">表5-20 富山变年度配置与正向峰值正常转接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37.63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MW、承接11.04 MW，转接后净负荷为37.63 MW；区域最低净负荷工况下，转接后净负荷为-19.32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MVA。重新安排转供后，两工况本站净负荷分别为26.59 MW和-19.32 MW；两方向容量约束的最小余量为3.33 MW，正向储能有效支撑功率为0.00 MW。</w:t>
      </w:r>
    </w:p>
    <w:p>
      <w:pPr>
        <w:pStyle w:val="7"/>
        <w:keepNext/>
        <w:numPr>
          <w:numId w:val="0"/>
        </w:numPr>
        <w:spacing w:line="360" w:lineRule="exact" w:before="160" w:after="120"/>
        <w:ind w:firstLine="0"/>
      </w:pPr>
      <w:bookmarkStart w:id="205" w:name="河湾变规划分析"/>
      <w:r>
        <w:rPr>
          <w:rFonts w:ascii="Times New Roman" w:hAnsi="Times New Roman" w:eastAsia="方正仿宋_GBK"/>
          <w:b/>
          <w:sz w:val="24"/>
        </w:rPr>
        <w:t xml:space="preserve">河湾变规划分析</w:t>
      </w:r>
      <w:bookmarkEnd w:id="20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该站基期主变组合为20+80 MVA。2025年区域正向峰值工况下，本站转接前净负荷为71.29 MW；区域最低净负荷工况下为-3.50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MW；弹性方案分别为100.00 MVA和0.00 MW。弹性方案本站容量比刚性方案少60.00 MVA，区域容量增加并不要求每座站同步增容。弹性方案2022—2025年主变总容量依次为100.00、100.00、100.00、100.00 MVA。目标年站级负载率为75%。</w:t>
      </w:r>
    </w:p>
    <w:p>
      <w:pPr>
        <w:pStyle w:val="2"/>
        <w:keepNext/>
        <w:spacing w:line="280" w:lineRule="exact" w:before="120" w:after="80"/>
        <w:ind w:firstLine="0"/>
        <w:jc w:val="center"/>
      </w:pPr>
      <w:r>
        <w:rPr>
          <w:rFonts w:ascii="Times New Roman" w:hAnsi="Times New Roman" w:eastAsia="宋体"/>
          <w:b w:val="0"/>
          <w:sz w:val="21"/>
        </w:rPr>
        <w:t xml:space="preserve">表5-21 河湾变年度配置与正向峰值正常转接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29.42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目标年正常方式下，区域正向峰值工况转出41.87 MW、承接0.00 MW，转接后净负荷为29.42 MW；区域最低净负荷工况下，转接后净负荷为-3.50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本站主变N-1工况下，剩余主变容量为20.00 MVA。重新安排转供后，两工况本站净负荷分别为19.00 MW和-3.50 MW；两方向容量约束的最小余量为0.00 MW，正向储能有效支撑功率为0.00 MW。</w:t>
      </w:r>
    </w:p>
    <w:p>
      <w:pPr>
        <w:pStyle w:val="7"/>
        <w:keepNext/>
        <w:numPr>
          <w:numId w:val="0"/>
        </w:numPr>
        <w:spacing w:line="360" w:lineRule="exact" w:before="160" w:after="120"/>
        <w:ind w:firstLine="0"/>
      </w:pPr>
      <w:bookmarkStart w:id="206" w:name="邳城变规划分析"/>
      <w:r>
        <w:rPr>
          <w:rFonts w:ascii="Times New Roman" w:hAnsi="Times New Roman" w:eastAsia="方正仿宋_GBK"/>
          <w:b/>
          <w:sz w:val="24"/>
        </w:rPr>
        <w:t xml:space="preserve">邳城变规划分析</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MVA。2025年区域正向峰值工况下，本站转接前净负荷为22.90 MW；区域最低净负荷工况下为-28.74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目标年刚性方案主变容量为81.50 MVA、储能额定功率0.00 MW；弹性方案分别为81.50 MVA和0.00 MW。两类方案本站总容量相同，仍需结合主变组合和邻站转接安排解释储能配置。弹性方案2022—2025年主变总容量依次为81.50、81.50、81.50、81.50 MVA。目标年站级负载率为37%。</w:t>
      </w:r>
    </w:p>
    <w:p>
      <w:pPr>
        <w:pStyle w:val="2"/>
        <w:keepNext/>
        <w:spacing w:line="280" w:lineRule="exact" w:before="120" w:after="80"/>
        <w:ind w:firstLine="0"/>
        <w:jc w:val="center"/>
      </w:pPr>
      <w:r>
        <w:rPr>
          <w:rFonts w:ascii="Times New Roman" w:hAnsi="Times New Roman" w:eastAsia="宋体"/>
          <w:b w:val="0"/>
          <w:sz w:val="21"/>
        </w:rPr>
        <w:t xml:space="preserve">表5-22 邳城变年度配置与正向峰值正常转接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22.90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MW，转接后净负荷为22.90 MW；区域最低净负荷工况下，转接后净负荷为-28.74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MVA。重新安排转供后，两工况本站净负荷分别为22.90 MW和-28.74 MW；两方向容量约束的最小余量为1.18 MW，正向储能有效支撑功率为0.00 MW。</w:t>
      </w:r>
    </w:p>
    <w:p>
      <w:pPr>
        <w:pStyle w:val="7"/>
        <w:keepNext/>
        <w:numPr>
          <w:numId w:val="0"/>
        </w:numPr>
        <w:spacing w:line="360" w:lineRule="exact" w:before="160" w:after="120"/>
        <w:ind w:firstLine="0"/>
      </w:pPr>
      <w:bookmarkStart w:id="207" w:name="邳州变规划分析"/>
      <w:r>
        <w:rPr>
          <w:rFonts w:ascii="Times New Roman" w:hAnsi="Times New Roman" w:eastAsia="方正仿宋_GBK"/>
          <w:b/>
          <w:sz w:val="24"/>
        </w:rPr>
        <w:t xml:space="preserve">邳州变规划分析</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该站基期主变组合为31.5+80 MVA。2025年区域正向峰值工况下，本站转接前净负荷为67.97 MW；区域最低净负荷工况下为11.99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MW；弹性方案分别为143.00 MVA和0.00 MW。弹性方案本站增加13.00 MVA容量，为本地需求及站间支援提供条件。弹性方案2022—2025年主变总容量依次为143.00、143.00、143.00、143.00 MVA。目标年站级负载率为50%。</w:t>
      </w:r>
    </w:p>
    <w:p>
      <w:pPr>
        <w:pStyle w:val="2"/>
        <w:keepNext/>
        <w:spacing w:line="280" w:lineRule="exact" w:before="120" w:after="80"/>
        <w:ind w:firstLine="0"/>
        <w:jc w:val="center"/>
      </w:pPr>
      <w:r>
        <w:rPr>
          <w:rFonts w:ascii="Times New Roman" w:hAnsi="Times New Roman" w:eastAsia="宋体"/>
          <w:b w:val="0"/>
          <w:sz w:val="21"/>
        </w:rPr>
        <w:t xml:space="preserve">表5-23 邳州变年度配置与正向峰值正常转接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19.48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81.37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MW、承接13.40 MW，转接后净负荷为81.37 MW；区域最低净负荷工况下，转接后净负荷为11.99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MVA。重新安排转供后，两工况本站净负荷分别为59.09 MW和11.99 MW；两方向容量约束的最小余量为0.76 MW，正向储能有效支撑功率为0.00 MW。</w:t>
      </w:r>
    </w:p>
    <w:p>
      <w:pPr>
        <w:pStyle w:val="7"/>
        <w:keepNext/>
        <w:numPr>
          <w:numId w:val="0"/>
        </w:numPr>
        <w:spacing w:line="360" w:lineRule="exact" w:before="160" w:after="120"/>
        <w:ind w:firstLine="0"/>
      </w:pPr>
      <w:bookmarkStart w:id="208" w:name="宿羊山变规划分析"/>
      <w:r>
        <w:rPr>
          <w:rFonts w:ascii="Times New Roman" w:hAnsi="Times New Roman" w:eastAsia="方正仿宋_GBK"/>
          <w:b/>
          <w:sz w:val="24"/>
        </w:rPr>
        <w:t xml:space="preserve">宿羊山变规划分析</w:t>
      </w:r>
      <w:bookmarkEnd w:id="20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MVA。2025年区域正向峰值工况下，本站转接前净负荷为61.43 MW；区域最低净负荷工况下为-22.13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目标年刚性方案主变容量为71.50 MVA、储能额定功率0.00 MW；弹性方案分别为71.50 MVA和0.00 MW。两类方案本站总容量相同，仍需结合主变组合和邻站转接安排解释储能配置。弹性方案2022—2025年主变总容量依次为71.50、71.50、71.50、71.50 MVA。目标年站级负载率为90%。</w:t>
      </w:r>
    </w:p>
    <w:p>
      <w:pPr>
        <w:pStyle w:val="2"/>
        <w:keepNext/>
        <w:spacing w:line="280" w:lineRule="exact" w:before="120" w:after="80"/>
        <w:ind w:firstLine="0"/>
        <w:jc w:val="center"/>
      </w:pPr>
      <w:r>
        <w:rPr>
          <w:rFonts w:ascii="Times New Roman" w:hAnsi="Times New Roman" w:eastAsia="宋体"/>
          <w:b w:val="0"/>
          <w:sz w:val="21"/>
        </w:rPr>
        <w:t xml:space="preserve">表5-24 宿羊山变年度配置与正向峰值正常转接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40.17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45.61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目标年正常方式下，区域正向峰值工况转出15.82 MW、承接0.00 MW，转接后净负荷为45.61 MW；区域最低净负荷工况下，转接后净负荷为-22.13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MVA。重新安排转供后，两工况本站净负荷分别为29.93 MW和-22.13 MW；两方向容量约束的最小余量为0.00 MW，正向储能有效支撑功率为0.00 MW。</w:t>
      </w:r>
    </w:p>
    <w:p>
      <w:pPr>
        <w:pStyle w:val="7"/>
        <w:keepNext/>
        <w:numPr>
          <w:numId w:val="0"/>
        </w:numPr>
        <w:spacing w:line="360" w:lineRule="exact" w:before="160" w:after="120"/>
        <w:ind w:firstLine="0"/>
      </w:pPr>
      <w:bookmarkStart w:id="209" w:name="千伏铁富变规划分析"/>
      <w:r>
        <w:rPr>
          <w:rFonts w:ascii="Times New Roman" w:hAnsi="Times New Roman" w:eastAsia="方正仿宋_GBK"/>
          <w:b/>
          <w:sz w:val="24"/>
        </w:rPr>
        <w:t xml:space="preserve">110千伏铁富变规划分析</w:t>
      </w:r>
      <w:bookmarkEnd w:id="20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MVA。2025年区域正向峰值工况下，本站转接前净负荷为82.17 MW；区域最低净负荷工况下为-52.21 MW，受入为正、反送为负。2022年更换既有主变，新购160.00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MW；弹性方案分别为160.00 MVA和0.00 MW。两类方案本站总容量相同，仍需结合主变组合和邻站转接安排解释储能配置。弹性方案2022—2025年主变总容量依次为160.00、160.00、160.00、160.00 MVA。目标年站级负载率为54%。</w:t>
      </w:r>
    </w:p>
    <w:p>
      <w:pPr>
        <w:pStyle w:val="2"/>
        <w:keepNext/>
        <w:spacing w:line="280" w:lineRule="exact" w:before="120" w:after="80"/>
        <w:ind w:firstLine="0"/>
        <w:jc w:val="center"/>
      </w:pPr>
      <w:r>
        <w:rPr>
          <w:rFonts w:ascii="Times New Roman" w:hAnsi="Times New Roman" w:eastAsia="宋体"/>
          <w:b w:val="0"/>
          <w:sz w:val="21"/>
        </w:rPr>
        <w:t xml:space="preserve">表5-25 110千伏铁富变年度配置与正向峰值正常转接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82.17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MW，转接后净负荷为82.17 MW；区域最低净负荷工况下，转接后净负荷为-52.21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MVA。重新安排转供后，两工况本站净负荷分别为76.00 MW和-52.21 MW；两方向容量约束的最小余量为0.00 MW，正向储能有效支撑功率为0.00 MW。</w:t>
      </w:r>
    </w:p>
    <w:p>
      <w:pPr>
        <w:pStyle w:val="7"/>
        <w:keepNext/>
        <w:numPr>
          <w:numId w:val="0"/>
        </w:numPr>
        <w:spacing w:line="360" w:lineRule="exact" w:before="160" w:after="120"/>
        <w:ind w:firstLine="0"/>
      </w:pPr>
      <w:bookmarkStart w:id="210" w:name="土山变规划分析"/>
      <w:r>
        <w:rPr>
          <w:rFonts w:ascii="Times New Roman" w:hAnsi="Times New Roman" w:eastAsia="方正仿宋_GBK"/>
          <w:b/>
          <w:sz w:val="24"/>
        </w:rPr>
        <w:t xml:space="preserve">土山变规划分析</w:t>
      </w:r>
      <w:bookmarkEnd w:id="21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MVA。2025年区域正向峰值工况下，本站转接前净负荷为39.87 MW；区域最低净负荷工况下为-36.41 MW，受入为正、反送为负。2022年更换既有主变，新购50.00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MVA、储能额定功率1.90 MW；弹性方案分别为100.00 MVA和0.00 MW。两类方案本站总容量相同，仍需结合主变组合和邻站转接安排解释储能配置。弹性方案2022—2025年主变总容量依次为100.00、100.00、100.00、100.00 MVA。目标年站级负载率为42%。</w:t>
      </w:r>
    </w:p>
    <w:p>
      <w:pPr>
        <w:pStyle w:val="2"/>
        <w:keepNext/>
        <w:spacing w:line="280" w:lineRule="exact" w:before="120" w:after="80"/>
        <w:ind w:firstLine="0"/>
        <w:jc w:val="center"/>
      </w:pPr>
      <w:r>
        <w:rPr>
          <w:rFonts w:ascii="Times New Roman" w:hAnsi="Times New Roman" w:eastAsia="宋体"/>
          <w:b w:val="0"/>
          <w:sz w:val="21"/>
        </w:rPr>
        <w:t xml:space="preserve">表5-26 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MW，转接后净负荷为39.87 MW；区域最低净负荷工况下，转接后净负荷为-36.41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MVA。重新安排转供后，两工况本站净负荷分别为39.87 MW和-36.41 MW；两方向容量约束的最小余量为7.63 MW，正向储能有效支撑功率为0.00 MW。</w:t>
      </w:r>
    </w:p>
    <w:p>
      <w:pPr>
        <w:pStyle w:val="7"/>
        <w:keepNext/>
        <w:numPr>
          <w:numId w:val="0"/>
        </w:numPr>
        <w:spacing w:line="360" w:lineRule="exact" w:before="160" w:after="120"/>
        <w:ind w:firstLine="0"/>
      </w:pPr>
      <w:bookmarkStart w:id="211" w:name="汶河变规划分析"/>
      <w:r>
        <w:rPr>
          <w:rFonts w:ascii="Times New Roman" w:hAnsi="Times New Roman" w:eastAsia="方正仿宋_GBK"/>
          <w:b/>
          <w:sz w:val="24"/>
        </w:rPr>
        <w:t xml:space="preserve">汶河变规划分析</w:t>
      </w:r>
      <w:bookmarkEnd w:id="21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该站基期主变组合为20+31.5 MVA。2025年区域正向峰值工况下，本站转接前净负荷为22.81 MW；区域最低净负荷工况下为-27.24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MVA、储能额定功率0.00 MW；弹性方案分别为63.00 MVA和0.00 MW。两类方案本站总容量相同，仍需结合主变组合和邻站转接安排解释储能配置。弹性方案2022—2025年主变总容量依次为63.00、63.00、63.00、63.00 MVA。目标年站级负载率为46%。</w:t>
      </w:r>
    </w:p>
    <w:p>
      <w:pPr>
        <w:pStyle w:val="2"/>
        <w:keepNext/>
        <w:spacing w:line="280" w:lineRule="exact" w:before="120" w:after="80"/>
        <w:ind w:firstLine="0"/>
        <w:jc w:val="center"/>
      </w:pPr>
      <w:r>
        <w:rPr>
          <w:rFonts w:ascii="Times New Roman" w:hAnsi="Times New Roman" w:eastAsia="宋体"/>
          <w:b w:val="0"/>
          <w:sz w:val="21"/>
        </w:rPr>
        <w:t xml:space="preserve">表5-27 汶河变年度配置与正向峰值正常转接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22.81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MW，转接后净负荷为22.81 MW；区域最低净负荷工况下，转接后净负荷为-27.24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MVA。重新安排转供后，两工况本站净负荷分别为22.81 MW和-27.24 MW；两方向容量约束的最小余量为2.69 MW，正向储能有效支撑功率为0.00 MW。</w:t>
      </w:r>
    </w:p>
    <w:p>
      <w:pPr>
        <w:pStyle w:val="7"/>
        <w:keepNext/>
        <w:numPr>
          <w:numId w:val="0"/>
        </w:numPr>
        <w:spacing w:line="360" w:lineRule="exact" w:before="160" w:after="120"/>
        <w:ind w:firstLine="0"/>
      </w:pPr>
      <w:bookmarkStart w:id="212" w:name="吴闸变规划分析"/>
      <w:r>
        <w:rPr>
          <w:rFonts w:ascii="Times New Roman" w:hAnsi="Times New Roman" w:eastAsia="方正仿宋_GBK"/>
          <w:b/>
          <w:sz w:val="24"/>
        </w:rPr>
        <w:t xml:space="preserve">吴闸变规划分析</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MVA。2025年区域正向峰值工况下，本站转接前净负荷为48.18 MW；区域最低净负荷工况下为2.19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MVA、储能额定功率0.00 MW；弹性方案分别为70.00 MVA和0.00 MW。两类方案本站总容量相同，仍需结合主变组合和邻站转接安排解释储能配置。弹性方案2022—2025年主变总容量依次为70.00、70.00、70.00、70.00 MVA。目标年站级负载率为72%。</w:t>
      </w:r>
    </w:p>
    <w:p>
      <w:pPr>
        <w:pStyle w:val="2"/>
        <w:keepNext/>
        <w:spacing w:line="280" w:lineRule="exact" w:before="120" w:after="80"/>
        <w:ind w:firstLine="0"/>
        <w:jc w:val="center"/>
      </w:pPr>
      <w:r>
        <w:rPr>
          <w:rFonts w:ascii="Times New Roman" w:hAnsi="Times New Roman" w:eastAsia="宋体"/>
          <w:b w:val="0"/>
          <w:sz w:val="21"/>
        </w:rPr>
        <w:t xml:space="preserve">表5-28 吴闸变年度配置与正向峰值正常转接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26.57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目标年正常方式下，区域正向峰值工况转出21.61 MW、承接0.00 MW，转接后净负荷为26.57 MW；区域最低净负荷工况下，转接后净负荷为2.19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本站主变N-1工况下，剩余主变容量为20.00 MVA。重新安排转供后，两工况本站净负荷分别为19.00 MW和2.19 MW；两方向容量约束的最小余量为0.00 MW，正向储能有效支撑功率为0.00 MW。</w:t>
      </w:r>
    </w:p>
    <w:p>
      <w:pPr>
        <w:pStyle w:val="7"/>
        <w:keepNext/>
        <w:numPr>
          <w:numId w:val="0"/>
        </w:numPr>
        <w:spacing w:line="360" w:lineRule="exact" w:before="160" w:after="120"/>
        <w:ind w:firstLine="0"/>
      </w:pPr>
      <w:bookmarkStart w:id="213" w:name="邢楼变规划分析"/>
      <w:r>
        <w:rPr>
          <w:rFonts w:ascii="Times New Roman" w:hAnsi="Times New Roman" w:eastAsia="方正仿宋_GBK"/>
          <w:b/>
          <w:sz w:val="24"/>
        </w:rPr>
        <w:t xml:space="preserve">邢楼变规划分析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该站基期主变组合为20+20 MVA。2025年区域正向峰值工况下，本站转接前净负荷为15.68 MW；区域最低净负荷工况下为-29.65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MVA、储能额定功率0.00 MW；弹性方案分别为63.00 MVA和0.00 MW。两类方案本站总容量相同，仍需结合主变组合和邻站转接安排解释储能配置。弹性方案2022—2025年主变总容量依次为63.00、63.00、63.00、63.00 MVA。目标年站级负载率为50%。</w:t>
      </w:r>
    </w:p>
    <w:p>
      <w:pPr>
        <w:pStyle w:val="2"/>
        <w:keepNext/>
        <w:spacing w:line="280" w:lineRule="exact" w:before="120" w:after="80"/>
        <w:ind w:firstLine="0"/>
        <w:jc w:val="center"/>
      </w:pPr>
      <w:r>
        <w:rPr>
          <w:rFonts w:ascii="Times New Roman" w:hAnsi="Times New Roman" w:eastAsia="宋体"/>
          <w:b w:val="0"/>
          <w:sz w:val="21"/>
        </w:rPr>
        <w:t xml:space="preserve">表5-29 邢楼变年度配置与正向峰值正常转接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15.68</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MW，转接后净负荷为15.68 MW；区域最低净负荷工况下，转接后净负荷为-29.65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MVA。重新安排转供后，两工况本站净负荷分别为15.68 MW和-29.65 MW；两方向容量约束的最小余量为0.28 MW，正向储能有效支撑功率为0.00 MW。</w:t>
      </w:r>
    </w:p>
    <w:p>
      <w:pPr>
        <w:pStyle w:val="7"/>
        <w:keepNext/>
        <w:numPr>
          <w:numId w:val="0"/>
        </w:numPr>
        <w:spacing w:line="360" w:lineRule="exact" w:before="160" w:after="120"/>
        <w:ind w:firstLine="0"/>
      </w:pPr>
      <w:bookmarkStart w:id="214" w:name="兴塘变规划分析"/>
      <w:r>
        <w:rPr>
          <w:rFonts w:ascii="Times New Roman" w:hAnsi="Times New Roman" w:eastAsia="方正仿宋_GBK"/>
          <w:b/>
          <w:sz w:val="24"/>
        </w:rPr>
        <w:t xml:space="preserve">兴塘变规划分析</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该站基期主变组合为20+20 MVA。2025年区域正向峰值工况下，本站转接前净负荷为39.15 MW；区域最低净负荷工况下为-30.66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目标年刚性方案主变容量为40.00 MVA、储能额定功率11.70 MW；弹性方案分别为90.00 MVA和0.00 MW。弹性方案本站增加50.00 MVA容量，为本地需求及站间支援提供条件。弹性方案2022—2025年主变总容量依次为90.00、90.00、90.00、90.00 MVA。目标年站级负载率为46%。</w:t>
      </w:r>
    </w:p>
    <w:p>
      <w:pPr>
        <w:pStyle w:val="2"/>
        <w:keepNext/>
        <w:spacing w:line="280" w:lineRule="exact" w:before="120" w:after="80"/>
        <w:ind w:firstLine="0"/>
        <w:jc w:val="center"/>
      </w:pPr>
      <w:r>
        <w:rPr>
          <w:rFonts w:ascii="Times New Roman" w:hAnsi="Times New Roman" w:eastAsia="宋体"/>
          <w:b w:val="0"/>
          <w:sz w:val="21"/>
        </w:rPr>
        <w:t xml:space="preserve">表5-30 兴塘变年度配置与正向峰值正常转接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31.65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39.15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MW，转接后净负荷为39.15 MW；区域最低净负荷工况下，转接后净负荷为-30.66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MVA。重新安排转供后，两工况本站净负荷分别为38.00 MW和-30.66 MW；两方向容量约束的最小余量为0.00 MW，正向储能有效支撑功率为0.00 MW。</w:t>
      </w:r>
    </w:p>
    <w:p>
      <w:pPr>
        <w:pStyle w:val="7"/>
        <w:keepNext/>
        <w:numPr>
          <w:numId w:val="0"/>
        </w:numPr>
        <w:spacing w:line="360" w:lineRule="exact" w:before="160" w:after="120"/>
        <w:ind w:firstLine="0"/>
      </w:pPr>
      <w:bookmarkStart w:id="215" w:name="议堂变规划分析"/>
      <w:r>
        <w:rPr>
          <w:rFonts w:ascii="Times New Roman" w:hAnsi="Times New Roman" w:eastAsia="方正仿宋_GBK"/>
          <w:b/>
          <w:sz w:val="24"/>
        </w:rPr>
        <w:t xml:space="preserve">议堂变规划分析</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MVA。2025年区域正向峰值工况下，本站转接前净负荷为34.43 MW；区域最低净负荷工况下为-21.58 MW，受入为正、反送为负。2025年更换既有主变，新购31.50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MVA、储能额定功率1.50 MW；弹性方案分别为81.50 MVA和0.00 MW。弹性方案本站增加11.50 MVA容量，为本地需求及站间支援提供条件。弹性方案2022—2025年主变总容量依次为70.00、70.00、70.00、81.50 MVA。目标年站级负载率为44%。</w:t>
      </w:r>
    </w:p>
    <w:p>
      <w:pPr>
        <w:pStyle w:val="2"/>
        <w:keepNext/>
        <w:spacing w:line="280" w:lineRule="exact" w:before="120" w:after="80"/>
        <w:ind w:firstLine="0"/>
        <w:jc w:val="center"/>
      </w:pPr>
      <w:r>
        <w:rPr>
          <w:rFonts w:ascii="Times New Roman" w:hAnsi="Times New Roman" w:eastAsia="宋体"/>
          <w:b w:val="0"/>
          <w:sz w:val="21"/>
        </w:rPr>
        <w:t xml:space="preserve">表5-31 议堂变年度配置与正向峰值正常转接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41.92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MW、承接7.42 MW，转接后净负荷为41.85 MW；区域最低净负荷工况下，转接后净负荷为-21.58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MVA。重新安排转供后，两工况本站净负荷分别为19.48 MW和-21.58 MW；两方向容量约束的最小余量为8.35 MW，正向储能有效支撑功率为0.00 MW。</w:t>
      </w:r>
    </w:p>
    <w:p>
      <w:pPr>
        <w:pStyle w:val="5"/>
        <w:keepNext/>
        <w:numPr>
          <w:numId w:val="0"/>
        </w:numPr>
        <w:spacing w:line="390" w:lineRule="exact" w:before="160" w:after="120"/>
        <w:ind w:firstLine="0"/>
      </w:pPr>
      <w:bookmarkStart w:id="216" w:name="市区逐站规划方案"/>
      <w:r>
        <w:rPr>
          <w:rFonts w:ascii="Times New Roman" w:hAnsi="Times New Roman" w:eastAsia="方正仿宋_GBK"/>
          <w:b/>
          <w:sz w:val="26"/>
        </w:rPr>
        <w:t xml:space="preserve">5.4.5 市区逐站规划方案</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市区26座具备设备对应资料的变电站分别列示逐年配置、正常转接及主变N-1校核结果。各站分析结合本地需求与邻站支援任务，说明设备组合和建设时点的差异。</w:t>
      </w:r>
    </w:p>
    <w:p>
      <w:pPr>
        <w:pStyle w:val="7"/>
        <w:keepNext/>
        <w:numPr>
          <w:numId w:val="0"/>
        </w:numPr>
        <w:spacing w:line="360" w:lineRule="exact" w:before="160" w:after="120"/>
        <w:ind w:firstLine="0"/>
      </w:pPr>
      <w:bookmarkStart w:id="217" w:name="大黄山变规划分析"/>
      <w:r>
        <w:rPr>
          <w:rFonts w:ascii="Times New Roman" w:hAnsi="Times New Roman" w:eastAsia="方正仿宋_GBK"/>
          <w:b/>
          <w:sz w:val="24"/>
        </w:rPr>
        <w:t xml:space="preserve">大黄山变规划分析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MVA。2025年区域正向峰值工况下，本站转接前净负荷为30.59 MW；区域最低净负荷工况下为-32.17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目标年刚性方案主变容量为103.00 MVA、储能额定功率0.00 MW；弹性方案分别为103.00 MVA和0.00 MW。两类方案本站总容量相同，仍需结合主变组合和邻站转接安排解释储能配置。弹性方案2022—2025年主变总容量依次为103.00、103.00、103.00、103.00 MVA。目标年站级负载率为33%。</w:t>
      </w:r>
    </w:p>
    <w:p>
      <w:pPr>
        <w:pStyle w:val="2"/>
        <w:keepNext/>
        <w:spacing w:line="280" w:lineRule="exact" w:before="120" w:after="80"/>
        <w:ind w:firstLine="0"/>
        <w:jc w:val="center"/>
      </w:pPr>
      <w:r>
        <w:rPr>
          <w:rFonts w:ascii="Times New Roman" w:hAnsi="Times New Roman" w:eastAsia="宋体"/>
          <w:b w:val="0"/>
          <w:sz w:val="21"/>
        </w:rPr>
        <w:t xml:space="preserve">表5-32 大黄山变年度配置与正向峰值正常转接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MW，转接后净负荷为30.59 MW；区域最低净负荷工况下，转接后净负荷为-32.17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MVA。重新安排转供后，两工况本站净负荷分别为30.59 MW和-32.17 MW；两方向容量约束的最小余量为5.83 MW，正向储能有效支撑功率为0.00 MW。</w:t>
      </w:r>
    </w:p>
    <w:p>
      <w:pPr>
        <w:pStyle w:val="7"/>
        <w:keepNext/>
        <w:numPr>
          <w:numId w:val="0"/>
        </w:numPr>
        <w:spacing w:line="360" w:lineRule="exact" w:before="160" w:after="120"/>
        <w:ind w:firstLine="0"/>
      </w:pPr>
      <w:bookmarkStart w:id="218" w:name="大庙变规划分析"/>
      <w:r>
        <w:rPr>
          <w:rFonts w:ascii="Times New Roman" w:hAnsi="Times New Roman" w:eastAsia="方正仿宋_GBK"/>
          <w:b/>
          <w:sz w:val="24"/>
        </w:rPr>
        <w:t xml:space="preserve">大庙变规划分析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MVA。2025年区域正向峰值工况下，本站转接前净负荷为69.73 MW；区域最低净负荷工况下为1.68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MW；弹性方案分别为140.00 MVA和0.00 MW。弹性方案本站增加50.00 MVA容量，为本地需求及站间支援提供条件。弹性方案2022—2025年主变总容量依次为140.00、140.00、140.00、140.00 MVA。目标年站级负载率为52%。</w:t>
      </w:r>
    </w:p>
    <w:p>
      <w:pPr>
        <w:pStyle w:val="2"/>
        <w:keepNext/>
        <w:spacing w:line="280" w:lineRule="exact" w:before="120" w:after="80"/>
        <w:ind w:firstLine="0"/>
        <w:jc w:val="center"/>
      </w:pPr>
      <w:r>
        <w:rPr>
          <w:rFonts w:ascii="Times New Roman" w:hAnsi="Times New Roman" w:eastAsia="宋体"/>
          <w:b w:val="0"/>
          <w:sz w:val="21"/>
        </w:rPr>
        <w:t xml:space="preserve">表5-33 大庙变年度配置与正向峰值正常转接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69.73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MW，转接后净负荷为69.73 MW；区域最低净负荷工况下，转接后净负荷为1.68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MVA。重新安排转供后，两工况本站净负荷分别为69.73 MW和1.68 MW；两方向容量约束的最小余量为15.77 MW，正向储能有效支撑功率为0.00 MW。</w:t>
      </w:r>
    </w:p>
    <w:p>
      <w:pPr>
        <w:pStyle w:val="7"/>
        <w:keepNext/>
        <w:numPr>
          <w:numId w:val="0"/>
        </w:numPr>
        <w:spacing w:line="360" w:lineRule="exact" w:before="160" w:after="120"/>
        <w:ind w:firstLine="0"/>
      </w:pPr>
      <w:bookmarkStart w:id="219" w:name="堤北变规划分析"/>
      <w:r>
        <w:rPr>
          <w:rFonts w:ascii="Times New Roman" w:hAnsi="Times New Roman" w:eastAsia="方正仿宋_GBK"/>
          <w:b/>
          <w:sz w:val="24"/>
        </w:rPr>
        <w:t xml:space="preserve">堤北变规划分析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MVA。2025年区域正向峰值工况下，本站转接前净负荷为100.47 MW；区域最低净负荷工况下为32.89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MW。两类方案本站总容量相同，仍需结合主变组合和邻站转接安排解释储能配置。弹性方案2022—2025年主变总容量依次为126.00、126.00、126.00、126.00 MVA。目标年站级负载率为84%。</w:t>
      </w:r>
    </w:p>
    <w:p>
      <w:pPr>
        <w:pStyle w:val="2"/>
        <w:keepNext/>
        <w:spacing w:line="280" w:lineRule="exact" w:before="120" w:after="80"/>
        <w:ind w:firstLine="0"/>
        <w:jc w:val="center"/>
      </w:pPr>
      <w:r>
        <w:rPr>
          <w:rFonts w:ascii="Times New Roman" w:hAnsi="Times New Roman" w:eastAsia="宋体"/>
          <w:b w:val="0"/>
          <w:sz w:val="21"/>
        </w:rPr>
        <w:t xml:space="preserve">表5-34 堤北变年度配置与正向峰值正常转接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101.87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71.41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80.38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75.55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13.86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86.62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目标年正常方式下，区域正向峰值工况转出13.86 MW、承接0.00 MW，转接后净负荷为86.62 MW；区域最低净负荷工况下，转接后净负荷为32.89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MVA。重新安排转供后，两工况本站净负荷分别为58.90 MW和32.89 MW；两方向容量约束的最小余量为0.95 MW，正向储能有效支撑功率为0.00 MW。</w:t>
      </w:r>
    </w:p>
    <w:p>
      <w:pPr>
        <w:pStyle w:val="7"/>
        <w:keepNext/>
        <w:numPr>
          <w:numId w:val="0"/>
        </w:numPr>
        <w:spacing w:line="360" w:lineRule="exact" w:before="160" w:after="120"/>
        <w:ind w:firstLine="0"/>
      </w:pPr>
      <w:bookmarkStart w:id="220" w:name="翟山变规划分析"/>
      <w:r>
        <w:rPr>
          <w:rFonts w:ascii="Times New Roman" w:hAnsi="Times New Roman" w:eastAsia="方正仿宋_GBK"/>
          <w:b/>
          <w:sz w:val="24"/>
        </w:rPr>
        <w:t xml:space="preserve">翟山变规划分析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该站基期主变组合为40+80 MVA。2025年区域正向峰值工况下，本站转接前净负荷为87.01 MW；区域最低净负荷工况下为26.76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目标年刚性方案主变容量为120.00 MVA、储能额定功率0.00 MW；弹性方案分别为160.00 MVA和0.00 MW。弹性方案本站增加40.00 MVA容量，为本地需求及站间支援提供条件。弹性方案2022—2025年主变总容量依次为160.00、160.00、160.00、160.00 MVA。目标年站级负载率为57%。</w:t>
      </w:r>
    </w:p>
    <w:p>
      <w:pPr>
        <w:pStyle w:val="2"/>
        <w:keepNext/>
        <w:spacing w:line="280" w:lineRule="exact" w:before="120" w:after="80"/>
        <w:ind w:firstLine="0"/>
        <w:jc w:val="center"/>
      </w:pPr>
      <w:r>
        <w:rPr>
          <w:rFonts w:ascii="Times New Roman" w:hAnsi="Times New Roman" w:eastAsia="宋体"/>
          <w:b w:val="0"/>
          <w:sz w:val="21"/>
        </w:rPr>
        <w:t xml:space="preserve">表5-35 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15.78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16.99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82.49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87.01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MW，转接后净负荷为87.01 MW；区域最低净负荷工况下，转接后净负荷为26.76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MVA。重新安排转供后，两工况本站净负荷分别为72.98 MW和26.76 MW；两方向容量约束的最小余量为3.02 MW，正向储能有效支撑功率为0.00 MW。</w:t>
      </w:r>
    </w:p>
    <w:p>
      <w:pPr>
        <w:pStyle w:val="7"/>
        <w:keepNext/>
        <w:numPr>
          <w:numId w:val="0"/>
        </w:numPr>
        <w:spacing w:line="360" w:lineRule="exact" w:before="160" w:after="120"/>
        <w:ind w:firstLine="0"/>
      </w:pPr>
      <w:bookmarkStart w:id="221" w:name="古彭变规划分析"/>
      <w:r>
        <w:rPr>
          <w:rFonts w:ascii="Times New Roman" w:hAnsi="Times New Roman" w:eastAsia="方正仿宋_GBK"/>
          <w:b/>
          <w:sz w:val="24"/>
        </w:rPr>
        <w:t xml:space="preserve">古彭变规划分析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MVA。2025年区域正向峰值工况下，本站转接前净负荷为60.03 MW；区域最低净负荷工况下为24.10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MW；弹性方案分别为130.00 MVA和0.00 MW。两类方案本站总容量相同，仍需结合主变组合和邻站转接安排解释储能配置。弹性方案2022—2025年主变总容量依次为130.00、130.00、130.00、130.00 MVA。目标年站级负载率为49%。</w:t>
      </w:r>
    </w:p>
    <w:p>
      <w:pPr>
        <w:pStyle w:val="2"/>
        <w:keepNext/>
        <w:spacing w:line="280" w:lineRule="exact" w:before="120" w:after="80"/>
        <w:ind w:firstLine="0"/>
        <w:jc w:val="center"/>
      </w:pPr>
      <w:r>
        <w:rPr>
          <w:rFonts w:ascii="Times New Roman" w:hAnsi="Times New Roman" w:eastAsia="宋体"/>
          <w:b w:val="0"/>
          <w:sz w:val="21"/>
        </w:rPr>
        <w:t xml:space="preserve">表5-36 古彭变年度配置与正向峰值正常转接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66.54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MW，转接后净负荷为60.03 MW；区域最低净负荷工况下，转接后净负荷为24.10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MVA。重新安排转供后，两工况本站净负荷分别为45.90 MW和24.10 MW；两方向容量约束的最小余量为1.60 MW，正向储能有效支撑功率为0.00 MW。</w:t>
      </w:r>
    </w:p>
    <w:p>
      <w:pPr>
        <w:pStyle w:val="7"/>
        <w:keepNext/>
        <w:numPr>
          <w:numId w:val="0"/>
        </w:numPr>
        <w:spacing w:line="360" w:lineRule="exact" w:before="160" w:after="120"/>
        <w:ind w:firstLine="0"/>
      </w:pPr>
      <w:bookmarkStart w:id="222" w:name="花园变规划分析"/>
      <w:r>
        <w:rPr>
          <w:rFonts w:ascii="Times New Roman" w:hAnsi="Times New Roman" w:eastAsia="方正仿宋_GBK"/>
          <w:b/>
          <w:sz w:val="24"/>
        </w:rPr>
        <w:t xml:space="preserve">花园变规划分析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MVA。2025年区域正向峰值工况下，本站转接前净负荷为49.60 MW；区域最低净负荷工况下为19.62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MVA。目标年站级负载率为65%。</w:t>
      </w:r>
    </w:p>
    <w:p>
      <w:pPr>
        <w:pStyle w:val="2"/>
        <w:keepNext/>
        <w:spacing w:line="280" w:lineRule="exact" w:before="120" w:after="80"/>
        <w:ind w:firstLine="0"/>
        <w:jc w:val="center"/>
      </w:pPr>
      <w:r>
        <w:rPr>
          <w:rFonts w:ascii="Times New Roman" w:hAnsi="Times New Roman" w:eastAsia="宋体"/>
          <w:b w:val="0"/>
          <w:sz w:val="21"/>
        </w:rPr>
        <w:t xml:space="preserve">表5-37 花园变年度配置与正向峰值正常转接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54.22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56.21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60.16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MW，转接后净负荷为49.60 MW；区域最低净负荷工况下，转接后净负荷为19.62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MVA。重新安排转供后，两工况本站净负荷分别为36.66 MW和19.62 MW；两方向容量约束的最小余量为1.34 MW，正向储能有效支撑功率为0.00 MW。</w:t>
      </w:r>
    </w:p>
    <w:p>
      <w:pPr>
        <w:pStyle w:val="7"/>
        <w:keepNext/>
        <w:numPr>
          <w:numId w:val="0"/>
        </w:numPr>
        <w:spacing w:line="360" w:lineRule="exact" w:before="160" w:after="120"/>
        <w:ind w:firstLine="0"/>
      </w:pPr>
      <w:bookmarkStart w:id="223" w:name="惠民变规划分析"/>
      <w:r>
        <w:rPr>
          <w:rFonts w:ascii="Times New Roman" w:hAnsi="Times New Roman" w:eastAsia="方正仿宋_GBK"/>
          <w:b/>
          <w:sz w:val="24"/>
        </w:rPr>
        <w:t xml:space="preserve">惠民变规划分析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MVA。2025年区域正向峰值工况下，本站转接前净负荷为74.38 MW；区域最低净负荷工况下为24.04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目标年刚性方案主变容量为113.00 MVA、储能额定功率1.80 MW；弹性方案分别为153.00 MVA和0.00 MW。弹性方案本站增加40.00 MVA容量，为本地需求及站间支援提供条件。弹性方案2022—2025年主变总容量依次为153.00、153.00、153.00、153.00 MVA。目标年站级负载率为51%。</w:t>
      </w:r>
    </w:p>
    <w:p>
      <w:pPr>
        <w:pStyle w:val="2"/>
        <w:keepNext/>
        <w:spacing w:line="280" w:lineRule="exact" w:before="120" w:after="80"/>
        <w:ind w:firstLine="0"/>
        <w:jc w:val="center"/>
      </w:pPr>
      <w:r>
        <w:rPr>
          <w:rFonts w:ascii="Times New Roman" w:hAnsi="Times New Roman" w:eastAsia="宋体"/>
          <w:b w:val="0"/>
          <w:sz w:val="21"/>
        </w:rPr>
        <w:t xml:space="preserve">表5-38 惠民变年度配置与正向峰值正常转接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74.38</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MW，转接后净负荷为74.38 MW；区域最低净负荷工况下，转接后净负荷为24.04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MVA。重新安排转供后，两工况本站净负荷分别为74.38 MW和24.04 MW；两方向容量约束的最小余量为11.12 MW，正向储能有效支撑功率为0.00 MW。</w:t>
      </w:r>
    </w:p>
    <w:p>
      <w:pPr>
        <w:pStyle w:val="7"/>
        <w:keepNext/>
        <w:numPr>
          <w:numId w:val="0"/>
        </w:numPr>
        <w:spacing w:line="360" w:lineRule="exact" w:before="160" w:after="120"/>
        <w:ind w:firstLine="0"/>
      </w:pPr>
      <w:bookmarkStart w:id="224" w:name="夹河变规划分析"/>
      <w:r>
        <w:rPr>
          <w:rFonts w:ascii="Times New Roman" w:hAnsi="Times New Roman" w:eastAsia="方正仿宋_GBK"/>
          <w:b/>
          <w:sz w:val="24"/>
        </w:rPr>
        <w:t xml:space="preserve">夹河变规划分析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MVA。2025年区域正向峰值工况下，本站转接前净负荷为46.06 MW；区域最低净负荷工况下为-6.81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MVA。目标年站级负载率为61%。</w:t>
      </w:r>
    </w:p>
    <w:p>
      <w:pPr>
        <w:pStyle w:val="2"/>
        <w:keepNext/>
        <w:spacing w:line="280" w:lineRule="exact" w:before="120" w:after="80"/>
        <w:ind w:firstLine="0"/>
        <w:jc w:val="center"/>
      </w:pPr>
      <w:r>
        <w:rPr>
          <w:rFonts w:ascii="Times New Roman" w:hAnsi="Times New Roman" w:eastAsia="宋体"/>
          <w:b w:val="0"/>
          <w:sz w:val="21"/>
        </w:rPr>
        <w:t xml:space="preserve">表5-39 夹河变年度配置与正向峰值正常转接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48.95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46.06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MW，转接后净负荷为46.06 MW；区域最低净负荷工况下，转接后净负荷为-6.81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MVA。重新安排转供后，两工况本站净负荷分别为35.43 MW和-6.81 MW；两方向容量约束的最小余量为2.57 MW，正向储能有效支撑功率为0.00 MW。</w:t>
      </w:r>
    </w:p>
    <w:p>
      <w:pPr>
        <w:pStyle w:val="7"/>
        <w:keepNext/>
        <w:numPr>
          <w:numId w:val="0"/>
        </w:numPr>
        <w:spacing w:line="360" w:lineRule="exact" w:before="160" w:after="120"/>
        <w:ind w:firstLine="0"/>
      </w:pPr>
      <w:bookmarkStart w:id="225" w:name="开元变规划分析"/>
      <w:r>
        <w:rPr>
          <w:rFonts w:ascii="Times New Roman" w:hAnsi="Times New Roman" w:eastAsia="方正仿宋_GBK"/>
          <w:b/>
          <w:sz w:val="24"/>
        </w:rPr>
        <w:t xml:space="preserve">开元变规划分析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MVA。2025年区域正向峰值工况下，本站转接前净负荷为56.24 MW；区域最低净负荷工况下为13.51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目标年刚性方案主变容量为103.00 MVA、储能额定功率0.00 MW；弹性方案分别为126.00 MVA和0.00 MW。弹性方案本站增加23.00 MVA容量，为本地需求及站间支援提供条件。弹性方案2022—2025年主变总容量依次为126.00、126.00、126.00、126.00 MVA。目标年站级负载率为47%。</w:t>
      </w:r>
    </w:p>
    <w:p>
      <w:pPr>
        <w:pStyle w:val="2"/>
        <w:keepNext/>
        <w:spacing w:line="280" w:lineRule="exact" w:before="120" w:after="80"/>
        <w:ind w:firstLine="0"/>
        <w:jc w:val="center"/>
      </w:pPr>
      <w:r>
        <w:rPr>
          <w:rFonts w:ascii="Times New Roman" w:hAnsi="Times New Roman" w:eastAsia="宋体"/>
          <w:b w:val="0"/>
          <w:sz w:val="21"/>
        </w:rPr>
        <w:t xml:space="preserve">表5-40 开元变年度配置与正向峰值正常转接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68.46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MW，转接后净负荷为56.24 MW；区域最低净负荷工况下，转接后净负荷为13.51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MVA。重新安排转供后，两工况本站净负荷分别为48.21 MW和13.51 MW；两方向容量约束的最小余量为11.64 MW，正向储能有效支撑功率为0.00 MW。</w:t>
      </w:r>
    </w:p>
    <w:p>
      <w:pPr>
        <w:pStyle w:val="7"/>
        <w:keepNext/>
        <w:numPr>
          <w:numId w:val="0"/>
        </w:numPr>
        <w:spacing w:line="360" w:lineRule="exact" w:before="160" w:after="120"/>
        <w:ind w:firstLine="0"/>
      </w:pPr>
      <w:bookmarkStart w:id="226" w:name="奎山变规划分析"/>
      <w:r>
        <w:rPr>
          <w:rFonts w:ascii="Times New Roman" w:hAnsi="Times New Roman" w:eastAsia="方正仿宋_GBK"/>
          <w:b/>
          <w:sz w:val="24"/>
        </w:rPr>
        <w:t xml:space="preserve">奎山变规划分析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MVA。2025年区域正向峰值工况下，本站转接前净负荷为71.44 MW；区域最低净负荷工况下为22.48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MW；弹性方案分别为130.00 MVA和0.00 MW。两类方案本站总容量相同，仍需结合主变组合和邻站转接安排解释储能配置。弹性方案2022—2025年主变总容量依次为130.00、130.00、130.00、130.00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表5-41 奎山变年度配置与正向峰值正常转接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14.27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69.07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67.73</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71.44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MW，转接后净负荷为71.44 MW；区域最低净负荷工况下，转接后净负荷为22.48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MVA。重新安排转供后，两工况本站净负荷分别为47.50 MW和22.48 MW；两方向容量约束的最小余量为0.00 MW，正向储能有效支撑功率为0.00 MW。</w:t>
      </w:r>
    </w:p>
    <w:p>
      <w:pPr>
        <w:pStyle w:val="7"/>
        <w:keepNext/>
        <w:numPr>
          <w:numId w:val="0"/>
        </w:numPr>
        <w:spacing w:line="360" w:lineRule="exact" w:before="160" w:after="120"/>
        <w:ind w:firstLine="0"/>
      </w:pPr>
      <w:bookmarkStart w:id="227" w:name="刘湾变规划分析"/>
      <w:r>
        <w:rPr>
          <w:rFonts w:ascii="Times New Roman" w:hAnsi="Times New Roman" w:eastAsia="方正仿宋_GBK"/>
          <w:b/>
          <w:sz w:val="24"/>
        </w:rPr>
        <w:t xml:space="preserve">刘湾变规划分析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MVA。2025年区域正向峰值工况下，本站转接前净负荷为60.43 MW；区域最低净负荷工况下为2.04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MW；弹性方案分别为90.00 MVA和0.00 MW。两类方案本站总容量相同，仍需结合主变组合和邻站转接安排解释储能配置。弹性方案2022—2025年主变总容量依次为90.00、90.00、90.00、90.00 MVA。目标年站级负载率为71%。</w:t>
      </w:r>
    </w:p>
    <w:p>
      <w:pPr>
        <w:pStyle w:val="2"/>
        <w:keepNext/>
        <w:spacing w:line="280" w:lineRule="exact" w:before="120" w:after="80"/>
        <w:ind w:firstLine="0"/>
        <w:jc w:val="center"/>
      </w:pPr>
      <w:r>
        <w:rPr>
          <w:rFonts w:ascii="Times New Roman" w:hAnsi="Times New Roman" w:eastAsia="宋体"/>
          <w:b w:val="0"/>
          <w:sz w:val="21"/>
        </w:rPr>
        <w:t xml:space="preserve">表5-42 刘湾变年度配置与正向峰值正常转接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67.95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目标年正常方式下，区域正向峰值工况转出7.25 MW、承接6.93 MW，转接后净负荷为60.11 MW；区域最低净负荷工况下，转接后净负荷为2.04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MVA。重新安排转供后，两工况本站净负荷分别为36.26 MW和2.04 MW；两方向容量约束的最小余量为1.74 MW，正向储能有效支撑功率为0.00 MW。</w:t>
      </w:r>
    </w:p>
    <w:p>
      <w:pPr>
        <w:pStyle w:val="7"/>
        <w:keepNext/>
        <w:numPr>
          <w:numId w:val="0"/>
        </w:numPr>
        <w:spacing w:line="360" w:lineRule="exact" w:before="160" w:after="120"/>
        <w:ind w:firstLine="0"/>
      </w:pPr>
      <w:bookmarkStart w:id="228" w:name="龙湖变规划分析"/>
      <w:r>
        <w:rPr>
          <w:rFonts w:ascii="Times New Roman" w:hAnsi="Times New Roman" w:eastAsia="方正仿宋_GBK"/>
          <w:b/>
          <w:sz w:val="24"/>
        </w:rPr>
        <w:t xml:space="preserve">龙湖变规划分析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MVA。2025年区域正向峰值工况下，本站转接前净负荷为28.53 MW；区域最低净负荷工况下为9.38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MVA。目标年站级负载率为38%。</w:t>
      </w:r>
    </w:p>
    <w:p>
      <w:pPr>
        <w:pStyle w:val="2"/>
        <w:keepNext/>
        <w:spacing w:line="280" w:lineRule="exact" w:before="120" w:after="80"/>
        <w:ind w:firstLine="0"/>
        <w:jc w:val="center"/>
      </w:pPr>
      <w:r>
        <w:rPr>
          <w:rFonts w:ascii="Times New Roman" w:hAnsi="Times New Roman" w:eastAsia="宋体"/>
          <w:b w:val="0"/>
          <w:sz w:val="21"/>
        </w:rPr>
        <w:t xml:space="preserve">表5-43 龙湖变年度配置与正向峰值正常转接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MW，转接后净负荷为28.53 MW；区域最低净负荷工况下，转接后净负荷为9.38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MVA。重新安排转供后，两工况本站净负荷分别为28.53 MW和9.38 MW；两方向容量约束的最小余量为9.47 MW，正向储能有效支撑功率为0.00 MW。</w:t>
      </w:r>
    </w:p>
    <w:p>
      <w:pPr>
        <w:pStyle w:val="7"/>
        <w:keepNext/>
        <w:numPr>
          <w:numId w:val="0"/>
        </w:numPr>
        <w:spacing w:line="360" w:lineRule="exact" w:before="160" w:after="120"/>
        <w:ind w:firstLine="0"/>
      </w:pPr>
      <w:bookmarkStart w:id="229" w:name="千伏庞庄变规划分析"/>
      <w:r>
        <w:rPr>
          <w:rFonts w:ascii="Times New Roman" w:hAnsi="Times New Roman" w:eastAsia="方正仿宋_GBK"/>
          <w:b/>
          <w:sz w:val="24"/>
        </w:rPr>
        <w:t xml:space="preserve">110千伏庞庄变规划分析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MVA。2025年区域正向峰值工况下，本站转接前净负荷为9.50 MW；区域最低净负荷工况下为-6.87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MVA。目标年站级负载率为13%。</w:t>
      </w:r>
    </w:p>
    <w:p>
      <w:pPr>
        <w:pStyle w:val="2"/>
        <w:keepNext/>
        <w:spacing w:line="280" w:lineRule="exact" w:before="120" w:after="80"/>
        <w:ind w:firstLine="0"/>
        <w:jc w:val="center"/>
      </w:pPr>
      <w:r>
        <w:rPr>
          <w:rFonts w:ascii="Times New Roman" w:hAnsi="Times New Roman" w:eastAsia="宋体"/>
          <w:b w:val="0"/>
          <w:sz w:val="21"/>
        </w:rPr>
        <w:t xml:space="preserve">表5-44 110千伏庞庄变年度配置与正向峰值正常转接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MW，转接后净负荷为9.50 MW；区域最低净负荷工况下，转接后净负荷为-6.87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MVA。重新安排转供后，两工况本站净负荷分别为9.50 MW和-6.87 MW；两方向容量约束的最小余量为28.50 MW，正向储能有效支撑功率为0.00 MW。</w:t>
      </w:r>
    </w:p>
    <w:p>
      <w:pPr>
        <w:pStyle w:val="7"/>
        <w:keepNext/>
        <w:numPr>
          <w:numId w:val="0"/>
        </w:numPr>
        <w:spacing w:line="360" w:lineRule="exact" w:before="160" w:after="120"/>
        <w:ind w:firstLine="0"/>
      </w:pPr>
      <w:bookmarkStart w:id="230" w:name="彭场变规划分析"/>
      <w:r>
        <w:rPr>
          <w:rFonts w:ascii="Times New Roman" w:hAnsi="Times New Roman" w:eastAsia="方正仿宋_GBK"/>
          <w:b/>
          <w:sz w:val="24"/>
        </w:rPr>
        <w:t xml:space="preserve">彭场变规划分析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MVA。2025年区域正向峰值工况下，本站转接前净负荷为55.66 MW；区域最低净负荷工况下为7.76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MVA、储能额定功率0.40 MW；弹性方案分别为140.00 MVA和0.00 MW。弹性方案本站增加40.00 MVA容量，为本地需求及站间支援提供条件。弹性方案2022—2025年主变总容量依次为140.00、140.00、140.00、140.00 MVA。目标年站级负载率为42%。</w:t>
      </w:r>
    </w:p>
    <w:p>
      <w:pPr>
        <w:pStyle w:val="2"/>
        <w:keepNext/>
        <w:spacing w:line="280" w:lineRule="exact" w:before="120" w:after="80"/>
        <w:ind w:firstLine="0"/>
        <w:jc w:val="center"/>
      </w:pPr>
      <w:r>
        <w:rPr>
          <w:rFonts w:ascii="Times New Roman" w:hAnsi="Times New Roman" w:eastAsia="宋体"/>
          <w:b w:val="0"/>
          <w:sz w:val="21"/>
        </w:rPr>
        <w:t xml:space="preserve">表5-45 彭场变年度配置与正向峰值正常转接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55.66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MW，转接后净负荷为55.66 MW；区域最低净负荷工况下，转接后净负荷为7.76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MVA。重新安排转供后，两工况本站净负荷分别为55.66 MW和7.76 MW；两方向容量约束的最小余量为29.84 MW，正向储能有效支撑功率为0.00 MW。</w:t>
      </w:r>
    </w:p>
    <w:p>
      <w:pPr>
        <w:pStyle w:val="7"/>
        <w:keepNext/>
        <w:numPr>
          <w:numId w:val="0"/>
        </w:numPr>
        <w:spacing w:line="360" w:lineRule="exact" w:before="160" w:after="120"/>
        <w:ind w:firstLine="0"/>
      </w:pPr>
      <w:bookmarkStart w:id="231" w:name="庆云桥变规划分析"/>
      <w:r>
        <w:rPr>
          <w:rFonts w:ascii="Times New Roman" w:hAnsi="Times New Roman" w:eastAsia="方正仿宋_GBK"/>
          <w:b/>
          <w:sz w:val="24"/>
        </w:rPr>
        <w:t xml:space="preserve">庆云桥变规划分析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MVA。2025年区域正向峰值工况下，本站转接前净负荷为58.45 MW；区域最低净负荷工况下为17.85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MVA。目标年站级负载率为77%。</w:t>
      </w:r>
    </w:p>
    <w:p>
      <w:pPr>
        <w:pStyle w:val="2"/>
        <w:keepNext/>
        <w:spacing w:line="280" w:lineRule="exact" w:before="120" w:after="80"/>
        <w:ind w:firstLine="0"/>
        <w:jc w:val="center"/>
      </w:pPr>
      <w:r>
        <w:rPr>
          <w:rFonts w:ascii="Times New Roman" w:hAnsi="Times New Roman" w:eastAsia="宋体"/>
          <w:b w:val="0"/>
          <w:sz w:val="21"/>
        </w:rPr>
        <w:t xml:space="preserve">表5-46 庆云桥变年度配置与正向峰值正常转接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61.25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47.85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62.72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目标年正常方式下，区域正向峰值工况转出2.66 MW、承接6.93 MW，转接后净负荷为62.72 MW；区域最低净负荷工况下，转接后净负荷为17.85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MVA。重新安排转供后，两工况本站净负荷分别为37.19 MW和17.85 MW；两方向容量约束的最小余量为0.81 MW，正向储能有效支撑功率为0.00 MW。</w:t>
      </w:r>
    </w:p>
    <w:p>
      <w:pPr>
        <w:pStyle w:val="7"/>
        <w:keepNext/>
        <w:numPr>
          <w:numId w:val="0"/>
        </w:numPr>
        <w:spacing w:line="360" w:lineRule="exact" w:before="160" w:after="120"/>
        <w:ind w:firstLine="0"/>
      </w:pPr>
      <w:bookmarkStart w:id="232" w:name="山南变规划分析"/>
      <w:r>
        <w:rPr>
          <w:rFonts w:ascii="Times New Roman" w:hAnsi="Times New Roman" w:eastAsia="方正仿宋_GBK"/>
          <w:b/>
          <w:sz w:val="24"/>
        </w:rPr>
        <w:t xml:space="preserve">山南变规划分析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MVA。2025年区域正向峰值工况下，本站转接前净负荷为5.80 MW；区域最低净负荷工况下为0.64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MVA。目标年站级负载率为8%。</w:t>
      </w:r>
    </w:p>
    <w:p>
      <w:pPr>
        <w:pStyle w:val="2"/>
        <w:keepNext/>
        <w:spacing w:line="280" w:lineRule="exact" w:before="120" w:after="80"/>
        <w:ind w:firstLine="0"/>
        <w:jc w:val="center"/>
      </w:pPr>
      <w:r>
        <w:rPr>
          <w:rFonts w:ascii="Times New Roman" w:hAnsi="Times New Roman" w:eastAsia="宋体"/>
          <w:b w:val="0"/>
          <w:sz w:val="21"/>
        </w:rPr>
        <w:t xml:space="preserve">表5-47 山南变年度配置与正向峰值正常转接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MW，转接后净负荷为5.80 MW；区域最低净负荷工况下，转接后净负荷为0.64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MVA。重新安排转供后，两工况本站净负荷分别为5.80 MW和0.64 MW；两方向容量约束的最小余量为32.20 MW，正向储能有效支撑功率为0.00 MW。</w:t>
      </w:r>
    </w:p>
    <w:p>
      <w:pPr>
        <w:pStyle w:val="7"/>
        <w:keepNext/>
        <w:numPr>
          <w:numId w:val="0"/>
        </w:numPr>
        <w:spacing w:line="360" w:lineRule="exact" w:before="160" w:after="120"/>
        <w:ind w:firstLine="0"/>
      </w:pPr>
      <w:bookmarkStart w:id="233" w:name="升辉变规划分析"/>
      <w:r>
        <w:rPr>
          <w:rFonts w:ascii="Times New Roman" w:hAnsi="Times New Roman" w:eastAsia="方正仿宋_GBK"/>
          <w:b/>
          <w:sz w:val="24"/>
        </w:rPr>
        <w:t xml:space="preserve">升辉变规划分析</w:t>
      </w:r>
      <w:bookmarkEnd w:id="23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该站基期主变组合为80+80 MVA。2025年区域正向峰值工况下，本站转接前净负荷为28.55 MW；区域最低净负荷工况下为11.59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MW；弹性方案分别为160.00 MVA和0.00 MW。两类方案本站总容量相同，仍需结合主变组合和邻站转接安排解释储能配置。弹性方案2022—2025年主变总容量依次为160.00、160.00、160.00、160.00 MVA。目标年站级负载率为19%。</w:t>
      </w:r>
    </w:p>
    <w:p>
      <w:pPr>
        <w:pStyle w:val="2"/>
        <w:keepNext/>
        <w:spacing w:line="280" w:lineRule="exact" w:before="120" w:after="80"/>
        <w:ind w:firstLine="0"/>
        <w:jc w:val="center"/>
      </w:pPr>
      <w:r>
        <w:rPr>
          <w:rFonts w:ascii="Times New Roman" w:hAnsi="Times New Roman" w:eastAsia="宋体"/>
          <w:b w:val="0"/>
          <w:sz w:val="21"/>
        </w:rPr>
        <w:t xml:space="preserve">表5-48 升辉变年度配置与正向峰值正常转接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28.55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MW，转接后净负荷为28.55 MW；区域最低净负荷工况下，转接后净负荷为11.59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MVA。重新安排转供后，两工况本站净负荷分别为28.55 MW和11.59 MW；两方向容量约束的最小余量为47.45 MW，正向储能有效支撑功率为0.00 MW。</w:t>
      </w:r>
    </w:p>
    <w:p>
      <w:pPr>
        <w:pStyle w:val="7"/>
        <w:keepNext/>
        <w:numPr>
          <w:numId w:val="0"/>
        </w:numPr>
        <w:spacing w:line="360" w:lineRule="exact" w:before="160" w:after="120"/>
        <w:ind w:firstLine="0"/>
      </w:pPr>
      <w:bookmarkStart w:id="234" w:name="石桥变规划分析"/>
      <w:r>
        <w:rPr>
          <w:rFonts w:ascii="Times New Roman" w:hAnsi="Times New Roman" w:eastAsia="方正仿宋_GBK"/>
          <w:b/>
          <w:sz w:val="24"/>
        </w:rPr>
        <w:t xml:space="preserve">石桥变规划分析</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该站基期主变组合为63+80 MVA。2025年区域正向峰值工况下，本站转接前净负荷为103.71 MW；区域最低净负荷工况下为2.91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MVA、储能额定功率0.80 MW；弹性方案分别为160.00 MVA和0.00 MW。两类方案本站总容量相同，仍需结合主变组合和邻站转接安排解释储能配置。弹性方案2022—2025年主变总容量依次为160.00、160.00、160.00、160.00 MVA。目标年站级负载率为68%。</w:t>
      </w:r>
    </w:p>
    <w:p>
      <w:pPr>
        <w:pStyle w:val="2"/>
        <w:keepNext/>
        <w:spacing w:line="280" w:lineRule="exact" w:before="120" w:after="80"/>
        <w:ind w:firstLine="0"/>
        <w:jc w:val="center"/>
      </w:pPr>
      <w:r>
        <w:rPr>
          <w:rFonts w:ascii="Times New Roman" w:hAnsi="Times New Roman" w:eastAsia="宋体"/>
          <w:b w:val="0"/>
          <w:sz w:val="21"/>
        </w:rPr>
        <w:t xml:space="preserve">表5-49 石桥变年度配置与正向峰值正常转接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105.20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27.16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116.87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MW、承接13.15 MW，转接后净负荷为116.87 MW；区域最低净负荷工况下，转接后净负荷为2.91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MVA。重新安排转供后，两工况本站净负荷分别为74.08 MW和2.91 MW；两方向容量约束的最小余量为1.92 MW，正向储能有效支撑功率为0.00 MW。</w:t>
      </w:r>
    </w:p>
    <w:p>
      <w:pPr>
        <w:pStyle w:val="7"/>
        <w:keepNext/>
        <w:numPr>
          <w:numId w:val="0"/>
        </w:numPr>
        <w:spacing w:line="360" w:lineRule="exact" w:before="160" w:after="120"/>
        <w:ind w:firstLine="0"/>
      </w:pPr>
      <w:bookmarkStart w:id="235" w:name="拾屯变规划分析"/>
      <w:r>
        <w:rPr>
          <w:rFonts w:ascii="Times New Roman" w:hAnsi="Times New Roman" w:eastAsia="方正仿宋_GBK"/>
          <w:b/>
          <w:sz w:val="24"/>
        </w:rPr>
        <w:t xml:space="preserve">拾屯变规划分析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MVA。2025年区域正向峰值工况下，本站转接前净负荷为72.26 MW；区域最低净负荷工况下为4.74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MW；弹性方案分别为130.00 MVA和0.00 MW。弹性方案本站增加50.00 MVA容量，为本地需求及站间支援提供条件。弹性方案2022—2025年主变总容量依次为130.00、130.00、130.00、130.00 MVA。目标年站级负载率为59%。</w:t>
      </w:r>
    </w:p>
    <w:p>
      <w:pPr>
        <w:pStyle w:val="2"/>
        <w:keepNext/>
        <w:spacing w:line="280" w:lineRule="exact" w:before="120" w:after="80"/>
        <w:ind w:firstLine="0"/>
        <w:jc w:val="center"/>
      </w:pPr>
      <w:r>
        <w:rPr>
          <w:rFonts w:ascii="Times New Roman" w:hAnsi="Times New Roman" w:eastAsia="宋体"/>
          <w:b w:val="0"/>
          <w:sz w:val="21"/>
        </w:rPr>
        <w:t xml:space="preserve">表5-50 拾屯变年度配置与正向峰值正常转接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48.93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72.26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MW，转接后净负荷为72.26 MW；区域最低净负荷工况下，转接后净负荷为4.74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MVA。重新安排转供后，两工况本站净负荷分别为68.13 MW和4.74 MW；两方向容量约束的最小余量为7.87 MW，正向储能有效支撑功率为0.00 MW。</w:t>
      </w:r>
    </w:p>
    <w:p>
      <w:pPr>
        <w:pStyle w:val="7"/>
        <w:keepNext/>
        <w:numPr>
          <w:numId w:val="0"/>
        </w:numPr>
        <w:spacing w:line="360" w:lineRule="exact" w:before="160" w:after="120"/>
        <w:ind w:firstLine="0"/>
      </w:pPr>
      <w:bookmarkStart w:id="236" w:name="统一变规划分析"/>
      <w:r>
        <w:rPr>
          <w:rFonts w:ascii="Times New Roman" w:hAnsi="Times New Roman" w:eastAsia="方正仿宋_GBK"/>
          <w:b/>
          <w:sz w:val="24"/>
        </w:rPr>
        <w:t xml:space="preserve">统一变规划分析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MVA。2025年区域正向峰值工况下，本站转接前净负荷为91.55 MW；区域最低净负荷工况下为14.84 MW，受入为正、反送为负。2022年更换既有主变，新购160.00 MVA；2023年新增储能0.50 MW/1.07 MWh。</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MW；弹性方案分别为160.00 MVA和0.50 MW。弹性方案本站增加80.00 MVA容量，为本地需求及站间支援提供条件。弹性方案2022—2025年主变总容量依次为160.00、160.00、160.00、160.00 MVA。目标年站级负载率为60%。</w:t>
      </w:r>
    </w:p>
    <w:p>
      <w:pPr>
        <w:pStyle w:val="2"/>
        <w:keepNext/>
        <w:spacing w:line="280" w:lineRule="exact" w:before="120" w:after="80"/>
        <w:ind w:firstLine="0"/>
        <w:jc w:val="center"/>
      </w:pPr>
      <w:r>
        <w:rPr>
          <w:rFonts w:ascii="Times New Roman" w:hAnsi="Times New Roman" w:eastAsia="宋体"/>
          <w:b w:val="0"/>
          <w:sz w:val="21"/>
        </w:rPr>
        <w:t xml:space="preserve">表5-51 统一变年度配置与正向峰值正常转接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45.57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86.80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91.55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MW，转接后净负荷为91.55 MW；区域最低净负荷工况下，转接后净负荷为14.84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MVA。重新安排转供后，两工况本站净负荷分别为75.53 MW和14.84 MW；两方向容量约束的最小余量为0.67 MW，正向储能有效支撑功率为0.20 MW。</w:t>
      </w:r>
    </w:p>
    <w:p>
      <w:pPr>
        <w:pStyle w:val="7"/>
        <w:keepNext/>
        <w:numPr>
          <w:numId w:val="0"/>
        </w:numPr>
        <w:spacing w:line="360" w:lineRule="exact" w:before="160" w:after="120"/>
        <w:ind w:firstLine="0"/>
      </w:pPr>
      <w:bookmarkStart w:id="237" w:name="吴庄变规划分析"/>
      <w:r>
        <w:rPr>
          <w:rFonts w:ascii="Times New Roman" w:hAnsi="Times New Roman" w:eastAsia="方正仿宋_GBK"/>
          <w:b/>
          <w:sz w:val="24"/>
        </w:rPr>
        <w:t xml:space="preserve">吴庄变规划分析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MVA。2025年区域正向峰值工况下，本站转接前净负荷为96.47 MW；区域最低净负荷工况下为31.10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MW；弹性方案分别为160.00 MVA和0.00 MW。弹性方案本站增加30.00 MVA容量，为本地需求及站间支援提供条件。弹性方案2022—2025年主变总容量依次为160.00、160.00、160.00、160.00 MVA。目标年站级负载率为63%。</w:t>
      </w:r>
    </w:p>
    <w:p>
      <w:pPr>
        <w:pStyle w:val="2"/>
        <w:keepNext/>
        <w:spacing w:line="280" w:lineRule="exact" w:before="120" w:after="80"/>
        <w:ind w:firstLine="0"/>
        <w:jc w:val="center"/>
      </w:pPr>
      <w:r>
        <w:rPr>
          <w:rFonts w:ascii="Times New Roman" w:hAnsi="Times New Roman" w:eastAsia="宋体"/>
          <w:b w:val="0"/>
          <w:sz w:val="21"/>
        </w:rPr>
        <w:t xml:space="preserve">表5-52 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68.60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98.48</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MW、承接7.40 MW，转接后净负荷为103.87 MW；区域最低净负荷工况下，转接后净负荷为31.10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MVA。重新安排转供后，两工况本站净负荷分别为74.77 MW和31.10 MW；两方向容量约束的最小余量为1.23 MW，正向储能有效支撑功率为0.00 MW。</w:t>
      </w:r>
    </w:p>
    <w:p>
      <w:pPr>
        <w:pStyle w:val="7"/>
        <w:keepNext/>
        <w:numPr>
          <w:numId w:val="0"/>
        </w:numPr>
        <w:spacing w:line="360" w:lineRule="exact" w:before="160" w:after="120"/>
        <w:ind w:firstLine="0"/>
      </w:pPr>
      <w:bookmarkStart w:id="238" w:name="西郊变规划分析"/>
      <w:r>
        <w:rPr>
          <w:rFonts w:ascii="Times New Roman" w:hAnsi="Times New Roman" w:eastAsia="方正仿宋_GBK"/>
          <w:b/>
          <w:sz w:val="24"/>
        </w:rPr>
        <w:t xml:space="preserve">西郊变规划分析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MVA。2025年区域正向峰值工况下，本站转接前净负荷为128.27 MW；区域最低净负荷工况下为32.04 MW，受入为正、反送为负。2022年更换既有主变，新购160.00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MW；弹性方案分别为160.00 MVA和0.00 MW。弹性方案本站增加34.00 MVA容量，为本地需求及站间支援提供条件。弹性方案2022—2025年主变总容量依次为160.00、160.00、160.00、160.00 MVA。目标年站级负载率为84%。</w:t>
      </w:r>
    </w:p>
    <w:p>
      <w:pPr>
        <w:pStyle w:val="2"/>
        <w:keepNext/>
        <w:spacing w:line="280" w:lineRule="exact" w:before="120" w:after="80"/>
        <w:ind w:firstLine="0"/>
        <w:jc w:val="center"/>
      </w:pPr>
      <w:r>
        <w:rPr>
          <w:rFonts w:ascii="Times New Roman" w:hAnsi="Times New Roman" w:eastAsia="宋体"/>
          <w:b w:val="0"/>
          <w:sz w:val="21"/>
        </w:rPr>
        <w:t xml:space="preserve">表5-53 西郊变年度配置与正向峰值正常转接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34.67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37.42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78.93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132.26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122.15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123.53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目标年正常方式下，区域正向峰值工况转出7.40 MW、承接2.66 MW，转接后净负荷为123.53 MW；区域最低净负荷工况下，转接后净负荷为32.04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MVA。重新安排转供后，两工况本站净负荷分别为74.00 MW和32.04 MW；两方向容量约束的最小余量为2.00 MW，正向储能有效支撑功率为0.00 MW。</w:t>
      </w:r>
    </w:p>
    <w:p>
      <w:pPr>
        <w:pStyle w:val="7"/>
        <w:keepNext/>
        <w:numPr>
          <w:numId w:val="0"/>
        </w:numPr>
        <w:spacing w:line="360" w:lineRule="exact" w:before="160" w:after="120"/>
        <w:ind w:firstLine="0"/>
      </w:pPr>
      <w:bookmarkStart w:id="239" w:name="祥和变规划分析"/>
      <w:r>
        <w:rPr>
          <w:rFonts w:ascii="Times New Roman" w:hAnsi="Times New Roman" w:eastAsia="方正仿宋_GBK"/>
          <w:b/>
          <w:sz w:val="24"/>
        </w:rPr>
        <w:t xml:space="preserve">祥和变规划分析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MVA。2025年区域正向峰值工况下，本站转接前净负荷为19.35 MW；区域最低净负荷工况下为5.17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MW；弹性方案分别为90.00 MVA和0.00 MW。两类方案本站总容量相同，仍需结合主变组合和邻站转接安排解释储能配置。弹性方案2022—2025年主变总容量依次为90.00、90.00、90.00、90.00 MVA。目标年站级负载率为23%。</w:t>
      </w:r>
    </w:p>
    <w:p>
      <w:pPr>
        <w:pStyle w:val="2"/>
        <w:keepNext/>
        <w:spacing w:line="280" w:lineRule="exact" w:before="120" w:after="80"/>
        <w:ind w:firstLine="0"/>
        <w:jc w:val="center"/>
      </w:pPr>
      <w:r>
        <w:rPr>
          <w:rFonts w:ascii="Times New Roman" w:hAnsi="Times New Roman" w:eastAsia="宋体"/>
          <w:b w:val="0"/>
          <w:sz w:val="21"/>
        </w:rPr>
        <w:t xml:space="preserve">表5-54 祥和变年度配置与正向峰值正常转接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24.28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19.35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MW，转接后净负荷为19.35 MW；区域最低净负荷工况下，转接后净负荷为5.17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MVA。重新安排转供后，两工况本站净负荷分别为19.35 MW和5.17 MW；两方向容量约束的最小余量为18.65 MW，正向储能有效支撑功率为0.00 MW。</w:t>
      </w:r>
    </w:p>
    <w:p>
      <w:pPr>
        <w:pStyle w:val="7"/>
        <w:keepNext/>
        <w:numPr>
          <w:numId w:val="0"/>
        </w:numPr>
        <w:spacing w:line="360" w:lineRule="exact" w:before="160" w:after="120"/>
        <w:ind w:firstLine="0"/>
      </w:pPr>
      <w:bookmarkStart w:id="240" w:name="响山变规划分析"/>
      <w:r>
        <w:rPr>
          <w:rFonts w:ascii="Times New Roman" w:hAnsi="Times New Roman" w:eastAsia="方正仿宋_GBK"/>
          <w:b/>
          <w:sz w:val="24"/>
        </w:rPr>
        <w:t xml:space="preserve">响山变规划分析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MVA。2025年区域正向峰值工况下，本站转接前净负荷为53.11 MW；区域最低净负荷工况下为11.38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MVA、储能额定功率1.80 MW；弹性方案分别为80.00 MVA和0.00 MW。两类方案本站总容量相同，仍需结合主变组合和邻站转接安排解释储能配置。弹性方案2022—2025年主变总容量依次为80.00、80.00、80.00、80.00 MVA。目标年站级负载率为70%。</w:t>
      </w:r>
    </w:p>
    <w:p>
      <w:pPr>
        <w:pStyle w:val="2"/>
        <w:keepNext/>
        <w:spacing w:line="280" w:lineRule="exact" w:before="120" w:after="80"/>
        <w:ind w:firstLine="0"/>
        <w:jc w:val="center"/>
      </w:pPr>
      <w:r>
        <w:rPr>
          <w:rFonts w:ascii="Times New Roman" w:hAnsi="Times New Roman" w:eastAsia="宋体"/>
          <w:b w:val="0"/>
          <w:sz w:val="21"/>
        </w:rPr>
        <w:t xml:space="preserve">表5-55 响山变年度配置与正向峰值正常转接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63.54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目标年正常方式下，区域正向峰值工况转出5.90 MW、承接0.00 MW，转接后净负荷为47.21 MW；区域最低净负荷工况下，转接后净负荷为11.38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MVA。重新安排转供后，两工况本站净负荷分别为38.00 MW和11.38 MW；两方向容量约束的最小余量为0.00 MW，正向储能有效支撑功率为0.00 MW。</w:t>
      </w:r>
    </w:p>
    <w:p>
      <w:pPr>
        <w:pStyle w:val="7"/>
        <w:keepNext/>
        <w:numPr>
          <w:numId w:val="0"/>
        </w:numPr>
        <w:spacing w:line="360" w:lineRule="exact" w:before="160" w:after="120"/>
        <w:ind w:firstLine="0"/>
      </w:pPr>
      <w:bookmarkStart w:id="241" w:name="玉潭变规划分析"/>
      <w:r>
        <w:rPr>
          <w:rFonts w:ascii="Times New Roman" w:hAnsi="Times New Roman" w:eastAsia="方正仿宋_GBK"/>
          <w:b/>
          <w:sz w:val="24"/>
        </w:rPr>
        <w:t xml:space="preserve">玉潭变规划分析</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MVA。2025年区域正向峰值工况下，本站转接前净负荷为45.03 MW；区域最低净负荷工况下为9.12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MW。两类方案本站总容量相同，仍需结合主变组合和邻站转接安排解释储能配置。弹性方案2022—2025年主变总容量依次为126.00、126.00、126.00、126.00 MVA。目标年站级负载率为38%。</w:t>
      </w:r>
    </w:p>
    <w:p>
      <w:pPr>
        <w:pStyle w:val="2"/>
        <w:keepNext/>
        <w:spacing w:line="280" w:lineRule="exact" w:before="120" w:after="80"/>
        <w:ind w:firstLine="0"/>
        <w:jc w:val="center"/>
      </w:pPr>
      <w:r>
        <w:rPr>
          <w:rFonts w:ascii="Times New Roman" w:hAnsi="Times New Roman" w:eastAsia="宋体"/>
          <w:b w:val="0"/>
          <w:sz w:val="21"/>
        </w:rPr>
        <w:t xml:space="preserve">表5-56 玉潭变年度配置与正向峰值正常转接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45.03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MW，转接后净负荷为45.03 MW；区域最低净负荷工况下，转接后净负荷为9.12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MVA。重新安排转供后，两工况本站净负荷分别为45.03 MW和9.12 MW；两方向容量约束的最小余量为14.82 MW，正向储能有效支撑功率为0.00 MW。</w:t>
      </w:r>
    </w:p>
    <w:p>
      <w:pPr>
        <w:pStyle w:val="7"/>
        <w:keepNext/>
        <w:numPr>
          <w:numId w:val="0"/>
        </w:numPr>
        <w:spacing w:line="360" w:lineRule="exact" w:before="160" w:after="120"/>
        <w:ind w:firstLine="0"/>
      </w:pPr>
      <w:bookmarkStart w:id="242" w:name="茱萸变规划分析"/>
      <w:r>
        <w:rPr>
          <w:rFonts w:ascii="Times New Roman" w:hAnsi="Times New Roman" w:eastAsia="方正仿宋_GBK"/>
          <w:b/>
          <w:sz w:val="24"/>
        </w:rPr>
        <w:t xml:space="preserve">茱萸变规划分析</w:t>
      </w:r>
      <w:bookmarkEnd w:id="24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MVA。2025年区域正向峰值工况下，本站转接前净负荷为11.51 MW；区域最低净负荷工况下为-4.81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MW。两类方案本站总容量相同，仍需结合主变组合和邻站转接安排解释储能配置。弹性方案2022—2025年主变总容量依次为80.00、80.00、80.00、80.00 MVA。目标年站级负载率为15%。</w:t>
      </w:r>
    </w:p>
    <w:p>
      <w:pPr>
        <w:pStyle w:val="2"/>
        <w:keepNext/>
        <w:spacing w:line="280" w:lineRule="exact" w:before="120" w:after="80"/>
        <w:ind w:firstLine="0"/>
        <w:jc w:val="center"/>
      </w:pPr>
      <w:r>
        <w:rPr>
          <w:rFonts w:ascii="Times New Roman" w:hAnsi="Times New Roman" w:eastAsia="宋体"/>
          <w:b w:val="0"/>
          <w:sz w:val="21"/>
        </w:rPr>
        <w:t xml:space="preserve">表5-57 茱萸变年度配置与正向峰值正常转接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11.51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MW，转接后净负荷为11.51 MW；区域最低净负荷工况下，转接后净负荷为-4.81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MVA。重新安排转供后，两工况本站净负荷分别为11.51 MW和-4.81 MW；两方向容量约束的最小余量为26.49 MW，正向储能有效支撑功率为0.00 MW。</w:t>
      </w:r>
    </w:p>
    <w:p>
      <w:pPr>
        <w:pStyle w:val="5"/>
        <w:keepNext/>
        <w:numPr>
          <w:numId w:val="0"/>
        </w:numPr>
        <w:spacing w:line="390" w:lineRule="exact" w:before="160" w:after="120"/>
        <w:ind w:firstLine="0"/>
      </w:pPr>
      <w:bookmarkStart w:id="243" w:name="目标年设备配置的站间差异"/>
      <w:r>
        <w:rPr>
          <w:rFonts w:ascii="Times New Roman" w:hAnsi="Times New Roman" w:eastAsia="方正仿宋_GBK"/>
          <w:b/>
          <w:sz w:val="26"/>
        </w:rPr>
        <w:t xml:space="preserve">5.4.6 目标年设备配置的站间差异</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区域总容量可以由更换较大主变、增加主变台数或两者结合形成。总容量相近的站，在最大单台主变N-1后的剩余容量也可能不同，因此需要同时列示设备组合与配储地点。</w:t>
      </w:r>
    </w:p>
    <w:p>
      <w:pPr>
        <w:pStyle w:val="2"/>
        <w:keepNext/>
        <w:spacing w:line="280" w:lineRule="exact" w:before="120" w:after="80"/>
        <w:ind w:firstLine="0"/>
        <w:jc w:val="center"/>
      </w:pPr>
      <w:r>
        <w:rPr>
          <w:rFonts w:ascii="Times New Roman" w:hAnsi="Times New Roman" w:eastAsia="宋体"/>
          <w:b w:val="0"/>
          <w:sz w:val="21"/>
        </w:rPr>
        <w:t xml:space="preserve">表5-58 站级展示范围内目标年主变台数与配储站数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两台主变站数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三台主变站数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三台主变站占比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配储站数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邳州刚性方案的站级展示范围内，共20座站，其中0座配置三台主变、20座配置两台主变；配储站7座，储能额定功率合计32.90 MW。</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邳州弹性方案的站级展示范围内，共20座站，其中2座配置三台主变、18座配置两台主变；配储站0座，储能额定功率合计0.00 MW。</w:t>
      </w:r>
    </w:p>
    <w:p>
      <w:pPr>
        <w:pStyle w:val="2"/>
        <w:widowControl/>
        <w:spacing w:line="348" w:lineRule="exact" w:before="0" w:after="0"/>
        <w:ind w:firstLine="480"/>
        <w:jc w:val="both"/>
      </w:pPr>
      <w:r>
        <w:rPr>
          <w:rFonts w:ascii="Times New Roman" w:hAnsi="Times New Roman" w:eastAsia="方正仿宋_GBK"/>
          <w:b w:val="0"/>
          <w:sz w:val="24"/>
        </w:rPr>
        <w:t xml:space="preserve">市区刚性方案的站级展示范围内，共26座站，其中0座配置三台主变、26座配置两台主变；配储站4座，储能额定功率合计4.80 MW。</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市区弹性方案的站级展示范围内，共26座站，其中4座配置三台主变、22座配置两台主变；配储站1座，储能额定功率合计0.50 MW。</w:t>
      </w:r>
    </w:p>
    <w:p>
      <w:pPr>
        <w:pStyle w:val="2"/>
        <w:widowControl/>
        <w:spacing w:line="348" w:lineRule="exact" w:before="0" w:after="0"/>
        <w:ind w:firstLine="480"/>
        <w:jc w:val="both"/>
      </w:pPr>
      <w:r>
        <w:rPr>
          <w:rFonts w:ascii="Times New Roman" w:hAnsi="Times New Roman" w:eastAsia="方正仿宋_GBK"/>
          <w:b w:val="0"/>
          <w:sz w:val="24"/>
        </w:rPr>
        <w:t xml:space="preserve">这些设备结果为区域推荐区间提供了具体工程含义：同一容载比可以由不同站内设备结构构成，区间选择需要与主变台数、规格及站间任务相对应。先比较各站需求，再归纳区域指标，能够解释新增容量用于哪些站点，以及费用变化来自哪些建设措施。</w:t>
      </w:r>
    </w:p>
    <w:p>
      <w:pPr>
        <w:pStyle w:val="2"/>
        <w:widowControl/>
        <w:spacing w:line="348" w:lineRule="exact" w:before="0" w:after="0"/>
        <w:ind w:firstLine="480"/>
        <w:jc w:val="both"/>
      </w:pPr>
      <w:r>
        <w:rPr>
          <w:rFonts w:ascii="Times New Roman" w:hAnsi="Times New Roman" w:eastAsia="方正仿宋_GBK"/>
          <w:b w:val="0"/>
          <w:sz w:val="24"/>
        </w:rPr>
        <w:t xml:space="preserve">主变台数增加可以改变最大单台容量占本站总容量的比例，但是否扩建还取决于预留位置、邻站支援及工程费用。部分站保留两台主变，通过具体线路利用邻站余量；部分站更换主变或增加第三台，承担本地和邻站任务。逐站结果中的不同建设方式共同形成地区容载比，不能由地区比值反推每座站采用相同配置。</w:t>
      </w:r>
    </w:p>
    <w:p>
      <w:pPr>
        <w:pStyle w:val="4"/>
        <w:keepNext/>
        <w:numPr>
          <w:numId w:val="0"/>
        </w:numPr>
        <w:spacing w:line="480" w:lineRule="exact" w:before="160" w:after="120"/>
        <w:ind w:firstLine="0"/>
      </w:pPr>
      <w:bookmarkStart w:id="1879" w:name="h879"/>
      <w:bookmarkStart w:id="244" w:name="措施作用与工程衔接"/>
      <w:r>
        <w:rPr>
          <w:rFonts w:ascii="Times New Roman" w:hAnsi="Times New Roman" w:eastAsia="方正仿宋_GBK"/>
          <w:b/>
          <w:sz w:val="32"/>
        </w:rPr>
        <w:t xml:space="preserve">5.5 措施作用与工程衔接</w:t>
      </w:r>
      <w:bookmarkEnd w:id="244"/>
      <w:bookmarkEnd w:id="1879"/>
    </w:p>
    <w:p>
      <w:pPr>
        <w:pStyle w:val="5"/>
        <w:keepNext/>
        <w:numPr>
          <w:numId w:val="0"/>
        </w:numPr>
        <w:spacing w:line="390" w:lineRule="exact" w:before="160" w:after="120"/>
        <w:ind w:firstLine="0"/>
      </w:pPr>
      <w:bookmarkStart w:id="245" w:name="逐年负荷转接与站间任务"/>
      <w:r>
        <w:rPr>
          <w:rFonts w:ascii="Times New Roman" w:hAnsi="Times New Roman" w:eastAsia="方正仿宋_GBK"/>
          <w:b/>
          <w:sz w:val="26"/>
        </w:rPr>
        <w:t xml:space="preserve">5.5.1 逐年负荷转接与站间任务</w:t>
      </w:r>
      <w:bookmarkEnd w:id="245"/>
    </w:p>
    <w:p>
      <w:pPr>
        <w:pStyle w:val="FirstParagraph"/>
        <w:widowControl/>
        <w:spacing w:line="348" w:lineRule="exact" w:before="0" w:after="0"/>
        <w:ind w:firstLine="480"/>
        <w:jc w:val="both"/>
      </w:pPr>
      <w:r>
        <w:rPr>
          <w:rFonts w:ascii="Times New Roman" w:hAnsi="Times New Roman" w:eastAsia="方正仿宋_GBK"/>
          <w:b w:val="0"/>
          <w:sz w:val="24"/>
        </w:rPr>
        <w:t xml:space="preserve">联络建设数量、线路允许转供能力和实际转接功率是不同量。新增线路按建设数量计投资，可转能力受线路及两端设备限制，实际转接功率则按具体运行工况确定。下面分别列示区域正向峰值与最低净负荷两种正常工况，不把不同工况的转接功率累加。</w:t>
      </w:r>
    </w:p>
    <w:p>
      <w:pPr>
        <w:pStyle w:val="2"/>
        <w:keepNext/>
        <w:spacing w:line="280" w:lineRule="exact" w:before="120" w:after="80"/>
        <w:ind w:firstLine="0"/>
        <w:jc w:val="center"/>
      </w:pPr>
      <w:r>
        <w:rPr>
          <w:rFonts w:ascii="Times New Roman" w:hAnsi="Times New Roman" w:eastAsia="宋体"/>
          <w:b w:val="0"/>
          <w:sz w:val="21"/>
        </w:rPr>
        <w:t xml:space="preserve">表5-59 邳州正常方式下的分工况转接任务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6.73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49.58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49.58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18.63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19.48</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10.92</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79.30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79.30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26.27</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注：两工况分别统计转接量。</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邳州弹性方案在区域正向峰值、正常运行条件下，2022年转接合计0.00 MW，2025年为79.30 MW；目标年承担转出和承接任务的站数分别为3座、7座，单站最大转出、承接量分别为41.87 MW、26.27 MW。转接量同时受年度负荷和设备投运影响，不能仅由地区增长率判断。目标年正常转接中，经既有边和新增边的功率分别为0.00 MW、79.30 MW；N-1条件另按故障站逐一安排，不将不同故障的功率相加。</w:t>
      </w:r>
    </w:p>
    <w:p>
      <w:pPr>
        <w:pStyle w:val="2"/>
        <w:keepNext/>
        <w:spacing w:line="280" w:lineRule="exact" w:before="120" w:after="80"/>
        <w:ind w:firstLine="0"/>
        <w:jc w:val="center"/>
      </w:pPr>
      <w:r>
        <w:rPr>
          <w:rFonts w:ascii="Times New Roman" w:hAnsi="Times New Roman" w:eastAsia="宋体"/>
          <w:b w:val="0"/>
          <w:sz w:val="21"/>
        </w:rPr>
        <w:t xml:space="preserve">表5-60 市区正常方式下的分工况转接任务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124.65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124.65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36.46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19.34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162.41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162.41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43.87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20.82</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162.64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162.64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23.26</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185.90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185.90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49.33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17.84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9.74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13.98</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19.71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13.86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13.15</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注：两工况分别统计转接量。</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市区弹性方案在区域正向峰值、正常运行条件下，2022年转接合计24.87 MW，2025年为37.07 MW；目标年承担转出和承接任务的站数分别为5座、5座，单站最大转出、承接量分别为13.86 MW、13.15 MW。转接量同时受年度负荷和设备投运影响，不能仅由地区增长率判断。目标年正常转接中，经既有边和新增边的功率分别为0.00 MW、37.07 MW；N-1条件另按故障站逐一安排，不将不同故障的功率相加。</w:t>
      </w:r>
    </w:p>
    <w:p>
      <w:pPr>
        <w:pStyle w:val="2"/>
        <w:widowControl/>
        <w:spacing w:line="348" w:lineRule="exact" w:before="0" w:after="0"/>
        <w:ind w:firstLine="480"/>
        <w:jc w:val="both"/>
      </w:pPr>
      <w:r>
        <w:rPr>
          <w:rFonts w:ascii="Times New Roman" w:hAnsi="Times New Roman" w:eastAsia="方正仿宋_GBK"/>
          <w:b w:val="0"/>
          <w:sz w:val="24"/>
        </w:rPr>
        <w:t xml:space="preserve">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pPr>
        <w:pStyle w:val="2"/>
        <w:widowControl/>
        <w:spacing w:line="348" w:lineRule="exact" w:before="0" w:after="0"/>
        <w:ind w:firstLine="480"/>
        <w:jc w:val="both"/>
      </w:pPr>
      <w:r>
        <w:rPr>
          <w:rFonts w:ascii="Times New Roman" w:hAnsi="Times New Roman" w:eastAsia="方正仿宋_GBK"/>
          <w:b w:val="0"/>
          <w:sz w:val="24"/>
        </w:rPr>
        <w:t xml:space="preserve">费用目标没有要求正常转接量最小，因此同一设备布局下还可能存在其他可行的负荷分配。表中转接量用于说明当前候选的网络利用，不作为唯一调度指令。后续工程安排应结合开关位置、实际负荷块和操作条件确定具体转供方式。</w:t>
      </w:r>
    </w:p>
    <w:p>
      <w:pPr>
        <w:pStyle w:val="5"/>
        <w:keepNext/>
        <w:numPr>
          <w:numId w:val="0"/>
        </w:numPr>
        <w:spacing w:line="390" w:lineRule="exact" w:before="160" w:after="120"/>
        <w:ind w:firstLine="0"/>
      </w:pPr>
      <w:bookmarkStart w:id="246" w:name="主变储能与联络的共同作用"/>
      <w:r>
        <w:rPr>
          <w:rFonts w:ascii="Times New Roman" w:hAnsi="Times New Roman" w:eastAsia="方正仿宋_GBK"/>
          <w:b/>
          <w:sz w:val="26"/>
        </w:rPr>
        <w:t xml:space="preserve">5.5.2 主变、储能与联络的共同作用</w:t>
      </w:r>
      <w:bookmarkEnd w:id="246"/>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仅增加联络条数，不能保证按额定能力等比例增加地区可转负荷。</w:t>
      </w:r>
    </w:p>
    <w:p>
      <w:pPr>
        <w:pStyle w:val="2"/>
        <w:widowControl/>
        <w:spacing w:line="348" w:lineRule="exact" w:before="0" w:after="0"/>
        <w:ind w:firstLine="480"/>
        <w:jc w:val="both"/>
      </w:pPr>
      <w:r>
        <w:rPr>
          <w:rFonts w:ascii="Times New Roman" w:hAnsi="Times New Roman" w:eastAsia="方正仿宋_GBK"/>
          <w:b w:val="0"/>
          <w:sz w:val="24"/>
        </w:rPr>
        <w:t xml:space="preserve">正常供电与N-1条件的转接任务分别校核。正常方式下未充分使用的线路，可能承担故障时的必要支援；正常负载率较低的主变，也可能用于承接邻站故障负荷。设备经济性应按共同约束下的整体方案判断，不能只凭某个正常时刻的利用率认定冗余。</w:t>
      </w:r>
    </w:p>
    <w:p>
      <w:pPr>
        <w:pStyle w:val="5"/>
        <w:keepNext/>
        <w:numPr>
          <w:numId w:val="0"/>
        </w:numPr>
        <w:spacing w:line="390" w:lineRule="exact" w:before="160" w:after="120"/>
        <w:ind w:firstLine="0"/>
      </w:pPr>
      <w:bookmarkStart w:id="247" w:name="储能支撑持续时间与地区方案"/>
      <w:r>
        <w:rPr>
          <w:rFonts w:ascii="Times New Roman" w:hAnsi="Times New Roman" w:eastAsia="方正仿宋_GBK"/>
          <w:b/>
          <w:sz w:val="26"/>
        </w:rPr>
        <w:t xml:space="preserve">5.5.3 储能支撑持续时间与地区方案</w:t>
      </w:r>
      <w:bookmarkEnd w:id="247"/>
    </w:p>
    <w:p>
      <w:pPr>
        <w:pStyle w:val="FirstParagraph"/>
        <w:widowControl/>
        <w:spacing w:line="348" w:lineRule="exact" w:before="0" w:after="0"/>
        <w:ind w:firstLine="480"/>
        <w:jc w:val="both"/>
      </w:pPr>
      <w:r>
        <w:rPr>
          <w:rFonts w:ascii="Times New Roman" w:hAnsi="Times New Roman" w:eastAsia="方正仿宋_GBK"/>
          <w:b w:val="0"/>
          <w:sz w:val="24"/>
        </w:rPr>
        <w:t xml:space="preserve">两地区规划方案采用4 h正向储能支撑持续时间，储能有效功率按额定功率及可用电量共同限制。邳州弹性方案未配置储能，其给定设备组合的可行性不直接受储能持续时间影响；市区弹性方案配置0.50 MW/1.075 MWh储能，4 h条件下对应正向有效支撑功率0.20425 MW。所需有效功率与铭牌功率分别统计。</w:t>
      </w:r>
    </w:p>
    <w:p>
      <w:pPr>
        <w:pStyle w:val="2"/>
        <w:widowControl/>
        <w:spacing w:line="348" w:lineRule="exact" w:before="0" w:after="0"/>
        <w:ind w:firstLine="480"/>
        <w:jc w:val="both"/>
      </w:pPr>
      <w:r>
        <w:rPr>
          <w:rFonts w:ascii="Times New Roman" w:hAnsi="Times New Roman" w:eastAsia="方正仿宋_GBK"/>
          <w:b w:val="0"/>
          <w:sz w:val="24"/>
        </w:rPr>
        <w:t xml:space="preserve">两地区2、4、6 h独立扰动结果见第3.5节。持续时间延长是否引起主变或联络方案调整，取决于本地缺口、邻站余量以及储能与其他措施的费用关系。区域95%峰值持续时间用于描述运行特征，正向与反向储能支撑条件分别核定。</w:t>
      </w:r>
    </w:p>
    <w:p>
      <w:pPr>
        <w:pStyle w:val="5"/>
        <w:keepNext/>
        <w:numPr>
          <w:numId w:val="0"/>
        </w:numPr>
        <w:spacing w:line="390" w:lineRule="exact" w:before="160" w:after="120"/>
        <w:ind w:firstLine="0"/>
      </w:pPr>
      <w:bookmarkStart w:id="248" w:name="刚性条件下无储能方案的可行性"/>
      <w:r>
        <w:rPr>
          <w:rFonts w:ascii="Times New Roman" w:hAnsi="Times New Roman" w:eastAsia="方正仿宋_GBK"/>
          <w:b/>
          <w:sz w:val="26"/>
        </w:rPr>
        <w:t xml:space="preserve">5.5.4 刚性条件下无储能方案的可行性</w:t>
      </w:r>
      <w:bookmarkEnd w:id="248"/>
    </w:p>
    <w:p>
      <w:pPr>
        <w:pStyle w:val="FirstParagraph"/>
        <w:widowControl/>
        <w:spacing w:line="348" w:lineRule="exact" w:before="0" w:after="0"/>
        <w:ind w:firstLine="480"/>
        <w:jc w:val="both"/>
      </w:pPr>
      <w:r>
        <w:rPr>
          <w:rFonts w:ascii="Times New Roman" w:hAnsi="Times New Roman" w:eastAsia="方正仿宋_GBK"/>
          <w:b w:val="0"/>
          <w:sz w:val="24"/>
        </w:rPr>
        <w:t xml:space="preserve">无储能对照保留主变扩容与10 kV联络建设，并比较固定初始主变、固定刚性含储能候选主变布局等边界。两地区完整四年刚性无储能模型均未取得可行方案，已有独立必要容量下界用于解释限制来源。储能变量固定为零后，2/4/6 h的折算系数不影响这一无储能边界。</w:t>
      </w:r>
    </w:p>
    <w:p>
      <w:pPr>
        <w:pStyle w:val="2"/>
        <w:keepNext/>
        <w:spacing w:line="280" w:lineRule="exact" w:before="120" w:after="80"/>
        <w:ind w:firstLine="0"/>
        <w:jc w:val="center"/>
      </w:pPr>
      <w:r>
        <w:rPr>
          <w:rFonts w:ascii="Times New Roman" w:hAnsi="Times New Roman" w:eastAsia="宋体"/>
          <w:b w:val="0"/>
          <w:sz w:val="21"/>
        </w:rPr>
        <w:t xml:space="preserve">表5-61 无储能容量必要条件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刚性宽松容量上界/MVA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无储能必要容量下界/MVA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超出上界/MVA</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2927.00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1650.01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1730.00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79.99</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下界在全部候选可用、放松接收站容量和部分实施限制的条件下计算，属于偏宽松的必要条件。必要容量仍超过刚性允许范围，说明当前候选集合内单靠联络无法弥补相关缺口。该结果不等于现实地区普遍必须配置储能；弹性方案可通过允许的主变增容和付费联络满足同一静态约束。</w:t>
      </w:r>
    </w:p>
    <w:p>
      <w:pPr>
        <w:pStyle w:val="4"/>
        <w:keepNext/>
        <w:numPr>
          <w:numId w:val="0"/>
        </w:numPr>
        <w:spacing w:line="480" w:lineRule="exact" w:before="160" w:after="120"/>
        <w:ind w:firstLine="0"/>
      </w:pPr>
      <w:bookmarkStart w:id="1900" w:name="h900"/>
      <w:bookmarkStart w:id="249" w:name="参数拓展与通用推荐矩阵"/>
      <w:r>
        <w:rPr>
          <w:rFonts w:ascii="Times New Roman" w:hAnsi="Times New Roman" w:eastAsia="方正仿宋_GBK"/>
          <w:b/>
          <w:sz w:val="32"/>
        </w:rPr>
        <w:t xml:space="preserve">5.6 参数拓展与通用推荐矩阵</w:t>
      </w:r>
      <w:bookmarkEnd w:id="249"/>
      <w:bookmarkEnd w:id="1900"/>
    </w:p>
    <w:p>
      <w:pPr>
        <w:pStyle w:val="5"/>
        <w:keepNext/>
        <w:numPr>
          <w:numId w:val="0"/>
        </w:numPr>
        <w:spacing w:line="390" w:lineRule="exact" w:before="160" w:after="120"/>
        <w:ind w:firstLine="0"/>
      </w:pPr>
      <w:bookmarkStart w:id="250" w:name="核心参数及区间设置"/>
      <w:r>
        <w:rPr>
          <w:rFonts w:ascii="Times New Roman" w:hAnsi="Times New Roman" w:eastAsia="方正仿宋_GBK"/>
          <w:b/>
          <w:sz w:val="26"/>
        </w:rPr>
        <w:t xml:space="preserve">5.6.1 核心参数及区间设置</w:t>
      </w:r>
      <w:bookmarkEnd w:id="250"/>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采用分布式电源装机渗透率、年最大净负荷平均增长率、线路成本系数、初始转供率、储能支撑持续时间和负荷分散系数六项参数。储能价格单独分析。供电区域类别用于核对规划技术要求，线路造价差异由线路成本系数表示；具体设备及网络条件按片区资料确定。</w:t>
      </w:r>
    </w:p>
    <w:p>
      <w:pPr>
        <w:pStyle w:val="2"/>
        <w:keepNext/>
        <w:spacing w:line="280" w:lineRule="exact" w:before="120" w:after="80"/>
        <w:ind w:firstLine="0"/>
        <w:jc w:val="center"/>
      </w:pPr>
      <w:r>
        <w:rPr>
          <w:rFonts w:ascii="Times New Roman" w:hAnsi="Times New Roman" w:eastAsia="宋体"/>
          <w:b w:val="0"/>
          <w:sz w:val="21"/>
        </w:rPr>
        <w:t xml:space="preserve">表5-62 推广矩阵参数区间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区间</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取值依据</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≤1.00；(1.00, 2.00]；&gt;2.00</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 4%]；(4%, 7%]；&gt;7%</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DL/T 5729—2023表6.3.4</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≤1.65；(1.65, 6.85]；&gt;6.85</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≤30%；(30%, 50%]；&gt;50%</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h；(2 h, 4 h]；&gt;4 h</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≤1.10；&gt;1.10</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bl>
    <w:p>
      <w:pPr>
        <w:pStyle w:val="2"/>
        <w:widowControl/>
        <w:spacing w:line="348" w:lineRule="exact" w:before="0" w:after="0"/>
        <w:ind w:firstLine="480"/>
        <w:jc w:val="both"/>
      </w:pPr>
      <w:r>
        <w:rPr>
          <w:rFonts w:ascii="Times New Roman" w:hAnsi="Times New Roman" w:eastAsia="方正仿宋_GBK"/>
          <w:b w:val="0"/>
          <w:sz w:val="24"/>
        </w:rPr>
        <w:t xml:space="preserve">注：负荷分散系数按定义不小于1；分布式电源装机渗透率和线路成本系数非负；初始转供率在0～100%内；储能支撑持续时间为正。</w:t>
      </w:r>
    </w:p>
    <w:p>
      <w:pPr>
        <w:pStyle w:val="2"/>
        <w:widowControl/>
        <w:spacing w:line="348" w:lineRule="exact" w:before="0" w:after="0"/>
        <w:ind w:firstLine="480"/>
        <w:jc w:val="both"/>
      </w:pPr>
      <w:r>
        <w:rPr>
          <w:rFonts w:ascii="Times New Roman" w:hAnsi="Times New Roman" w:eastAsia="方正仿宋_GBK"/>
          <w:b w:val="0"/>
          <w:sz w:val="24"/>
        </w:rPr>
        <w:t xml:space="preserve">增长率分档直接采用DL/T 5729—2023表6.3.4，其他参数采用同样的首尾开口形式，分界值为本研究设置。参数分类不以有限采样点的最小、最大值截断；负增长属于首档，超过10%的增长率仍属于末档。参数固有定义仍有效，如转供比例不超过100%、持续时间为正。</w:t>
      </w:r>
    </w:p>
    <w:p>
      <w:pPr>
        <w:pStyle w:val="2"/>
        <w:widowControl/>
        <w:spacing w:line="348" w:lineRule="exact" w:before="0" w:after="0"/>
        <w:ind w:firstLine="480"/>
        <w:jc w:val="both"/>
      </w:pPr>
      <w:r>
        <w:rPr>
          <w:rFonts w:ascii="Times New Roman" w:hAnsi="Times New Roman" w:eastAsia="方正仿宋_GBK"/>
          <w:b w:val="0"/>
          <w:sz w:val="24"/>
        </w:rPr>
        <w:t xml:space="preserve">容载比推荐区间取相应参数组合下可行配置的最小值与最大值。</w:t>
      </w:r>
    </w:p>
    <w:p>
      <w:pPr>
        <w:pStyle w:val="5"/>
        <w:keepNext/>
        <w:numPr>
          <w:numId w:val="0"/>
        </w:numPr>
        <w:spacing w:line="390" w:lineRule="exact" w:before="160" w:after="120"/>
        <w:ind w:firstLine="0"/>
      </w:pPr>
      <w:bookmarkStart w:id="251" w:name="五站模板及源荷构造"/>
      <w:r>
        <w:rPr>
          <w:rFonts w:ascii="Times New Roman" w:hAnsi="Times New Roman" w:eastAsia="方正仿宋_GBK"/>
          <w:b/>
          <w:sz w:val="26"/>
        </w:rPr>
        <w:t xml:space="preserve">5.6.2 五站模板及源荷构造</w:t>
      </w:r>
      <w:bookmarkEnd w:id="251"/>
    </w:p>
    <w:p>
      <w:pPr>
        <w:pStyle w:val="FirstParagraph"/>
        <w:widowControl/>
        <w:spacing w:line="348" w:lineRule="exact" w:before="0" w:after="0"/>
        <w:ind w:firstLine="480"/>
        <w:jc w:val="both"/>
      </w:pPr>
      <w:r>
        <w:rPr>
          <w:rFonts w:ascii="Times New Roman" w:hAnsi="Times New Roman" w:eastAsia="方正仿宋_GBK"/>
          <w:b w:val="0"/>
          <w:sz w:val="24"/>
        </w:rPr>
        <w:t xml:space="preserve">模板含5座站，每站初始两台50 MVA主变，区域基期网供峰值250 MW。正常晚峰假设光伏不出力，用户最大负荷与正向网供峰值相等；日间负荷取峰值的30%，光伏出力系数取0.75，装机按独立空间权重分配。</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P</m:t>
                          </m:r>
                        </m:e>
                        <m:sub>
                          <m:r>
                            <m:t>y</m:t>
                          </m:r>
                        </m:sub>
                      </m:sSub>
                    </m:e>
                    <m:e>
                      <m:r>
                        <m:t>=</m:t>
                      </m:r>
                      <m:r>
                        <m:t>250</m:t>
                      </m:r>
                      <m:r>
                        <m:t>(</m:t>
                      </m:r>
                      <m:r>
                        <m:t>1</m:t>
                      </m:r>
                      <m:r>
                        <m:t>+</m:t>
                      </m:r>
                      <m:r>
                        <m:t>g</m:t>
                      </m:r>
                      <m:sSup>
                        <m:e>
                          <m:r>
                            <m:t>)</m:t>
                          </m:r>
                        </m:e>
                        <m:sup>
                          <m:r>
                            <m:t>4</m:t>
                          </m:r>
                        </m:sup>
                      </m:sSup>
                      <m:r>
                        <m:t>,</m:t>
                      </m:r>
                    </m:e>
                  </m:mr>
                  <m:mr>
                    <m:e>
                      <m:sSub>
                        <m:e>
                          <m:r>
                            <m:t>P</m:t>
                          </m:r>
                        </m:e>
                        <m:sub>
                          <m:r>
                            <m:t>i</m:t>
                          </m:r>
                          <m:r>
                            <m:t>,</m:t>
                          </m:r>
                          <m:r>
                            <m:rPr>
                              <m:sty m:val="p"/>
                            </m:rPr>
                            <m:t>e</m:t>
                          </m:r>
                          <m:r>
                            <m:rPr>
                              <m:sty m:val="p"/>
                            </m:rPr>
                            <m:t>v</m:t>
                          </m:r>
                          <m:r>
                            <m:rPr>
                              <m:sty m:val="p"/>
                            </m:rPr>
                            <m:t>e</m:t>
                          </m:r>
                          <m:r>
                            <m:rPr>
                              <m:sty m:val="p"/>
                            </m:rPr>
                            <m:t>n</m:t>
                          </m:r>
                          <m:r>
                            <m:rPr>
                              <m:sty m:val="p"/>
                            </m:rPr>
                            <m:t>i</m:t>
                          </m:r>
                          <m:r>
                            <m:rPr>
                              <m:sty m:val="p"/>
                            </m:rPr>
                            <m:t>n</m:t>
                          </m:r>
                          <m:r>
                            <m:rPr>
                              <m:sty m:val="p"/>
                            </m:rPr>
                            <m:t>g</m:t>
                          </m:r>
                        </m:sub>
                      </m:sSub>
                    </m:e>
                    <m:e>
                      <m:r>
                        <m:t>=</m:t>
                      </m:r>
                      <m:sSubSup>
                        <m:e>
                          <m:r>
                            <m:t>w</m:t>
                          </m:r>
                        </m:e>
                        <m:sub>
                          <m:r>
                            <m:t>i</m:t>
                          </m:r>
                        </m:sub>
                        <m:sup>
                          <m:r>
                            <m:t>L</m:t>
                          </m:r>
                        </m:sup>
                      </m:sSubSup>
                      <m:sSub>
                        <m:e>
                          <m:r>
                            <m:t>P</m:t>
                          </m:r>
                        </m:e>
                        <m:sub>
                          <m:r>
                            <m:t>y</m:t>
                          </m:r>
                        </m:sub>
                      </m:sSub>
                      <m:r>
                        <m:t>,</m:t>
                      </m:r>
                    </m:e>
                  </m:mr>
                  <m:mr>
                    <m:e>
                      <m:sSub>
                        <m:e>
                          <m:r>
                            <m:t>P</m:t>
                          </m:r>
                        </m:e>
                        <m:sub>
                          <m:r>
                            <m:t>i</m:t>
                          </m:r>
                          <m:r>
                            <m:t>,</m:t>
                          </m:r>
                          <m:r>
                            <m:rPr>
                              <m:sty m:val="p"/>
                            </m:rPr>
                            <m:t>d</m:t>
                          </m:r>
                          <m:r>
                            <m:rPr>
                              <m:sty m:val="p"/>
                            </m:rPr>
                            <m:t>a</m:t>
                          </m:r>
                          <m:r>
                            <m:rPr>
                              <m:sty m:val="p"/>
                            </m:rPr>
                            <m:t>y</m:t>
                          </m:r>
                        </m:sub>
                      </m:sSub>
                    </m:e>
                    <m:e>
                      <m:r>
                        <m:t>=</m:t>
                      </m:r>
                      <m:r>
                        <m:t>0.30</m:t>
                      </m:r>
                      <m:sSubSup>
                        <m:e>
                          <m:r>
                            <m:t>w</m:t>
                          </m:r>
                        </m:e>
                        <m:sub>
                          <m:r>
                            <m:t>i</m:t>
                          </m:r>
                        </m:sub>
                        <m:sup>
                          <m:r>
                            <m:t>L</m:t>
                          </m:r>
                        </m:sup>
                      </m:sSubSup>
                      <m:sSub>
                        <m:e>
                          <m:r>
                            <m:t>P</m:t>
                          </m:r>
                        </m:e>
                        <m:sub>
                          <m:r>
                            <m:t>y</m:t>
                          </m:r>
                        </m:sub>
                      </m:sSub>
                      <m:r>
                        <m:t>−</m:t>
                      </m:r>
                      <m:r>
                        <m:t>0.75</m:t>
                      </m:r>
                      <m:r>
                        <m:t>η</m:t>
                      </m:r>
                      <m:sSubSup>
                        <m:e>
                          <m:r>
                            <m:t>w</m:t>
                          </m:r>
                        </m:e>
                        <m:sub>
                          <m:r>
                            <m:t>i</m:t>
                          </m:r>
                        </m:sub>
                        <m:sup>
                          <m:r>
                            <m:t>G</m:t>
                          </m:r>
                        </m:sup>
                      </m:sSubSup>
                      <m:sSub>
                        <m:e>
                          <m:r>
                            <m:t>P</m:t>
                          </m:r>
                        </m:e>
                        <m:sub>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η</m:t>
        </m:r>
      </m:oMath>
      <w:r>
        <w:rPr>
          <w:rFonts w:ascii="Times New Roman" w:hAnsi="Times New Roman" w:eastAsia="方正仿宋_GBK"/>
          <w:b w:val="0"/>
          <w:sz w:val="24"/>
        </w:rPr>
        <w:t xml:space="preserve">为分布式电源装机渗透率，</w:t>
      </w:r>
      <m:oMath>
        <m:sSubSup>
          <m:e>
            <m:r>
              <m:t>w</m:t>
            </m:r>
          </m:e>
          <m:sub>
            <m:r>
              <m:t>i</m:t>
            </m:r>
          </m:sub>
          <m:sup>
            <m:r>
              <m:t>L</m:t>
            </m:r>
          </m:sup>
        </m:sSubSup>
      </m:oMath>
      <w:r>
        <w:rPr>
          <w:rFonts w:ascii="Times New Roman" w:hAnsi="Times New Roman" w:eastAsia="方正仿宋_GBK"/>
          <w:b w:val="0"/>
          <w:sz w:val="24"/>
        </w:rPr>
        <w:t xml:space="preserve">和</w:t>
      </w:r>
      <m:oMath>
        <m:sSubSup>
          <m:e>
            <m:r>
              <m:t>w</m:t>
            </m:r>
          </m:e>
          <m:sub>
            <m:r>
              <m:t>i</m:t>
            </m:r>
          </m:sub>
          <m:sup>
            <m:r>
              <m:t>G</m:t>
            </m:r>
          </m:sup>
        </m:sSubSup>
      </m:oMath>
      <w:r>
        <w:rPr>
          <w:rFonts w:ascii="Times New Roman" w:hAnsi="Times New Roman" w:eastAsia="方正仿宋_GBK"/>
          <w:b w:val="0"/>
          <w:sz w:val="24"/>
        </w:rPr>
        <w:t xml:space="preserve">分别为负荷及光伏分配权重，两组权重各自合计为1。负荷分散系数取1.00、1.10、1.15，单参数详细切片采用1.10作为基准，各站非同时峰值通过额外静态场景表达，场景内区域负荷合计仍为</w:t>
      </w:r>
      <m:oMath>
        <m:sSub>
          <m:e>
            <m:r>
              <m:t>P</m:t>
            </m:r>
          </m:e>
          <m:sub>
            <m:r>
              <m:t>y</m:t>
            </m:r>
          </m:sub>
        </m:sSub>
      </m:oMath>
      <w:r>
        <w:rPr>
          <w:rFonts w:ascii="Times New Roman" w:hAnsi="Times New Roman" w:eastAsia="方正仿宋_GBK"/>
          <w:b w:val="0"/>
          <w:sz w:val="24"/>
        </w:rPr>
        <w:t xml:space="preserve">，不将站峰之和用作容载比分母。</w:t>
      </w:r>
    </w:p>
    <w:p>
      <w:pPr>
        <w:pStyle w:val="2"/>
        <w:widowControl/>
        <w:spacing w:line="348" w:lineRule="exact" w:before="0" w:after="0"/>
        <w:ind w:firstLine="480"/>
        <w:jc w:val="both"/>
      </w:pPr>
      <w:r>
        <w:rPr>
          <w:rFonts w:ascii="Times New Roman" w:hAnsi="Times New Roman" w:eastAsia="方正仿宋_GBK"/>
          <w:b w:val="0"/>
          <w:sz w:val="24"/>
        </w:rPr>
        <w:t xml:space="preserve">既有联络以相邻站网络表示，新增候选按具体馈线端点配置。初始转供预算按基期MW固定，线路热限不随年度负荷免费增长。初始转供率是网络设置参数，实际转供量由馈线、邻站容量和运行工况共同确定。另以增加邻接关系的模板检查结构影响。</w:t>
      </w:r>
    </w:p>
    <w:p>
      <w:pPr>
        <w:pStyle w:val="2"/>
        <w:keepNext/>
        <w:spacing w:line="280" w:lineRule="exact" w:before="120" w:after="80"/>
        <w:ind w:firstLine="0"/>
        <w:jc w:val="center"/>
      </w:pPr>
      <w:r>
        <w:rPr>
          <w:rFonts w:ascii="Times New Roman" w:hAnsi="Times New Roman" w:eastAsia="宋体"/>
          <w:b w:val="0"/>
          <w:sz w:val="21"/>
        </w:rPr>
        <w:t xml:space="preserve">表5-63 五站模板与有限采样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w:t>
            </w:r>
          </w:p>
        </w:tc>
        <w:tc>
          <w:tcPr>
            <w:tcW w:type="dxa" w:w="4156"/>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设置</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初始设备</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5站，每站2×50 MVA；允许第三台50 MVA</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基期网供峰值</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 MW</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目标时点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基期后第4年</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负荷权重</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0.10、0.15、0.20、0.25、0.30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光伏权重</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0.08、0.14、0.18、0.25、0.35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日间负荷系数/光伏出力系数</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0.30/0.75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1.00、1.10、1.15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0、0.50、1.00、1.50、2.00、2.50、3.00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年最大净负荷平均增长率计算节点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0～10%；含导则分界及区间内节点</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线路成本系数节点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1.00、1.65、4.25、6.85、7.50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初始转供率节点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30%、40%、50%、60%、70%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2、4、6 h</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线路长度/新增单边能力</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 km/7.49 MW</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候选结构</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相邻站联络为基准，增加邻接关系作对照</w:t>
            </w:r>
          </w:p>
        </w:tc>
      </w:tr>
    </w:tbl>
    <w:p>
      <w:pPr>
        <w:pStyle w:val="2"/>
        <w:widowControl/>
        <w:spacing w:line="348" w:lineRule="exact" w:before="0" w:after="0"/>
        <w:ind w:firstLine="480"/>
        <w:jc w:val="both"/>
      </w:pPr>
      <w:r>
        <w:rPr>
          <w:rFonts w:ascii="Times New Roman" w:hAnsi="Times New Roman" w:eastAsia="方正仿宋_GBK"/>
          <w:b w:val="0"/>
          <w:sz w:val="24"/>
        </w:rPr>
        <w:t xml:space="preserve">线路成本按</w:t>
      </w:r>
      <m:oMath>
        <m:sSub>
          <m:e>
            <m:r>
              <m:t>I</m:t>
            </m:r>
          </m:e>
          <m:sub>
            <m:r>
              <m:t>L</m:t>
            </m:r>
          </m:sub>
        </m:sSub>
        <m:r>
          <m:t>=</m:t>
        </m:r>
        <m:r>
          <m:t>24</m:t>
        </m:r>
        <m:r>
          <m:t>L</m:t>
        </m:r>
        <m:sSub>
          <m:e>
            <m:r>
              <m:t>k</m:t>
            </m:r>
          </m:e>
          <m:sub>
            <m:r>
              <m:t>L</m:t>
            </m:r>
          </m:sub>
        </m:sSub>
        <m:r>
          <m:t>+</m:t>
        </m:r>
        <m:r>
          <m:t>6</m:t>
        </m:r>
      </m:oMath>
      <w:r>
        <w:rPr>
          <w:rFonts w:ascii="Times New Roman" w:hAnsi="Times New Roman" w:eastAsia="方正仿宋_GBK"/>
          <w:b w:val="0"/>
          <w:sz w:val="24"/>
        </w:rPr>
        <w:t xml:space="preserve">计算，单位万元。</w:t>
      </w:r>
      <m:oMath>
        <m:r>
          <m:t>L</m:t>
        </m:r>
      </m:oMath>
      <w:r>
        <w:rPr>
          <w:rFonts w:ascii="Times New Roman" w:hAnsi="Times New Roman" w:eastAsia="方正仿宋_GBK"/>
          <w:b w:val="0"/>
          <w:sz w:val="24"/>
        </w:rPr>
        <w:t xml:space="preserve">为线路长度，基准为3 km；</w:t>
      </w:r>
      <m:oMath>
        <m:sSub>
          <m:e>
            <m:r>
              <m:t>k</m:t>
            </m:r>
          </m:e>
          <m:sub>
            <m:r>
              <m:t>L</m:t>
            </m:r>
          </m:sub>
        </m:sSub>
      </m:oMath>
      <w:r>
        <w:rPr>
          <w:rFonts w:ascii="Times New Roman" w:hAnsi="Times New Roman" w:eastAsia="方正仿宋_GBK"/>
          <w:b w:val="0"/>
          <w:sz w:val="24"/>
        </w:rPr>
        <w:t xml:space="preserve">为相对架空基价的单位长度造价系数。固定接入费用6万元独立计取。系数1.65、6.85分别对应所用参考基价下10%、90%的电缆长度构成，作为线路成本系数的取值依据。</w:t>
      </w:r>
    </w:p>
    <w:p>
      <w:pPr>
        <w:pStyle w:val="5"/>
        <w:keepNext/>
        <w:numPr>
          <w:numId w:val="0"/>
        </w:numPr>
        <w:spacing w:line="390" w:lineRule="exact" w:before="160" w:after="120"/>
        <w:ind w:firstLine="0"/>
      </w:pPr>
      <w:bookmarkStart w:id="252" w:name="推荐矩阵及查表方法"/>
      <w:r>
        <w:rPr>
          <w:rFonts w:ascii="Times New Roman" w:hAnsi="Times New Roman" w:eastAsia="方正仿宋_GBK"/>
          <w:b/>
          <w:sz w:val="26"/>
        </w:rPr>
        <w:t xml:space="preserve">5.6.3 推荐矩阵及查表方法</w:t>
      </w:r>
      <w:bookmarkEnd w:id="252"/>
    </w:p>
    <w:p>
      <w:pPr>
        <w:pStyle w:val="FirstParagraph"/>
        <w:widowControl/>
        <w:spacing w:line="348" w:lineRule="exact" w:before="0" w:after="0"/>
        <w:ind w:firstLine="480"/>
        <w:jc w:val="both"/>
      </w:pPr>
      <w:r>
        <w:rPr>
          <w:rFonts w:ascii="Times New Roman" w:hAnsi="Times New Roman" w:eastAsia="方正仿宋_GBK"/>
          <w:b w:val="0"/>
          <w:sz w:val="24"/>
        </w:rPr>
        <w:t xml:space="preserve">推广计算覆盖12600组参数组合，按负荷分散系数分为两组，共形成648个参数区间单元。负荷分散系数不大于1.10组包括1.00、1.10两个计算节点，大于1.10组采用1.15节点；储能支撑持续时间采用2、4、6 h节点。全部结果通过设备及网络约束核验。容载比计算值总体为2.01～3.28，区间形式覆盖参数定义域，数值结论限于已计算节点及所设模板。</w:t>
      </w:r>
    </w:p>
    <w:p>
      <w:pPr>
        <w:pStyle w:val="2"/>
        <w:keepNext/>
        <w:spacing w:line="280" w:lineRule="exact" w:before="120" w:after="80"/>
        <w:ind w:firstLine="0"/>
        <w:jc w:val="center"/>
      </w:pPr>
      <w:r>
        <w:rPr>
          <w:rFonts w:ascii="Times New Roman" w:hAnsi="Times New Roman" w:eastAsia="宋体"/>
          <w:b w:val="0"/>
          <w:sz w:val="21"/>
        </w:rPr>
        <w:t xml:space="preserve">表5-64 负荷分散系数≤1.10、分布式电源装机渗透率≤1.00、储能支撑持续时间≤2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表5-65 负荷分散系数≤1.10、分布式电源装机渗透率(1.00, 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bl>
    <w:p>
      <w:pPr>
        <w:pStyle w:val="2"/>
        <w:keepNext/>
        <w:spacing w:line="280" w:lineRule="exact" w:before="120" w:after="80"/>
        <w:ind w:firstLine="0"/>
        <w:jc w:val="center"/>
      </w:pPr>
      <w:r>
        <w:rPr>
          <w:rFonts w:ascii="Times New Roman" w:hAnsi="Times New Roman" w:eastAsia="宋体"/>
          <w:b w:val="0"/>
          <w:sz w:val="21"/>
        </w:rPr>
        <w:t xml:space="preserve">表5-66 负荷分散系数≤1.10、分布式电源装机渗透率&gt;2.00、储能支撑持续时间≤2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bl>
    <w:p>
      <w:pPr>
        <w:pStyle w:val="2"/>
        <w:keepNext/>
        <w:spacing w:line="280" w:lineRule="exact" w:before="120" w:after="80"/>
        <w:ind w:firstLine="0"/>
        <w:jc w:val="center"/>
      </w:pPr>
      <w:r>
        <w:rPr>
          <w:rFonts w:ascii="Times New Roman" w:hAnsi="Times New Roman" w:eastAsia="宋体"/>
          <w:b w:val="0"/>
          <w:sz w:val="21"/>
        </w:rPr>
        <w:t xml:space="preserve">表5-67 负荷分散系数≤1.10、分布式电源装机渗透率≤1.00、储能支撑持续时间(2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表5-68 负荷分散系数≤1.10、分布式电源装机渗透率(1.00, 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表5-69 负荷分散系数≤1.10、分布式电源装机渗透率&gt;2.00、储能支撑持续时间(2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表5-70 负荷分散系数≤1.10、分布式电源装机渗透率≤1.00、储能支撑持续时间&gt;4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表5-71 负荷分散系数≤1.10、分布式电源装机渗透率(1.00, 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表5-72 负荷分散系数≤1.10、分布式电源装机渗透率&gt;2.00、储能支撑持续时间&gt;4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表5-73 负荷分散系数&gt;1.10、分布式电源装机渗透率≤1.00、储能支撑持续时间≤2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2.05～2.09</w:t>
            </w:r>
          </w:p>
        </w:tc>
      </w:tr>
    </w:tbl>
    <w:p>
      <w:pPr>
        <w:pStyle w:val="2"/>
        <w:keepNext/>
        <w:spacing w:line="280" w:lineRule="exact" w:before="120" w:after="80"/>
        <w:ind w:firstLine="0"/>
        <w:jc w:val="center"/>
      </w:pPr>
      <w:r>
        <w:rPr>
          <w:rFonts w:ascii="Times New Roman" w:hAnsi="Times New Roman" w:eastAsia="宋体"/>
          <w:b w:val="0"/>
          <w:sz w:val="21"/>
        </w:rPr>
        <w:t xml:space="preserve">表5-74 负荷分散系数&gt;1.10、分布式电源装机渗透率(1.00, 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bl>
    <w:p>
      <w:pPr>
        <w:pStyle w:val="2"/>
        <w:keepNext/>
        <w:spacing w:line="280" w:lineRule="exact" w:before="120" w:after="80"/>
        <w:ind w:firstLine="0"/>
        <w:jc w:val="center"/>
      </w:pPr>
      <w:r>
        <w:rPr>
          <w:rFonts w:ascii="Times New Roman" w:hAnsi="Times New Roman" w:eastAsia="宋体"/>
          <w:b w:val="0"/>
          <w:sz w:val="21"/>
        </w:rPr>
        <w:t xml:space="preserve">表5-75 负荷分散系数&gt;1.10、分布式电源装机渗透率&gt;2.00、储能支撑持续时间≤2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bl>
    <w:p>
      <w:pPr>
        <w:pStyle w:val="2"/>
        <w:keepNext/>
        <w:spacing w:line="280" w:lineRule="exact" w:before="120" w:after="80"/>
        <w:ind w:firstLine="0"/>
        <w:jc w:val="center"/>
      </w:pPr>
      <w:r>
        <w:rPr>
          <w:rFonts w:ascii="Times New Roman" w:hAnsi="Times New Roman" w:eastAsia="宋体"/>
          <w:b w:val="0"/>
          <w:sz w:val="21"/>
        </w:rPr>
        <w:t xml:space="preserve">表5-76 负荷分散系数&gt;1.10、分布式电源装机渗透率≤1.00、储能支撑持续时间(2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2.05～2.09</w:t>
            </w:r>
          </w:p>
        </w:tc>
      </w:tr>
    </w:tbl>
    <w:p>
      <w:pPr>
        <w:pStyle w:val="2"/>
        <w:keepNext/>
        <w:spacing w:line="280" w:lineRule="exact" w:before="120" w:after="80"/>
        <w:ind w:firstLine="0"/>
        <w:jc w:val="center"/>
      </w:pPr>
      <w:r>
        <w:rPr>
          <w:rFonts w:ascii="Times New Roman" w:hAnsi="Times New Roman" w:eastAsia="宋体"/>
          <w:b w:val="0"/>
          <w:sz w:val="21"/>
        </w:rPr>
        <w:t xml:space="preserve">表5-77 负荷分散系数&gt;1.10、分布式电源装机渗透率(1.00, 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表5-78 负荷分散系数&gt;1.10、分布式电源装机渗透率&gt;2.00、储能支撑持续时间(2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表5-79 负荷分散系数&gt;1.10、分布式电源装机渗透率≤1.00、储能支撑持续时间&gt;4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2.03～2.15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2.05～2.15</w:t>
            </w:r>
          </w:p>
        </w:tc>
      </w:tr>
    </w:tbl>
    <w:p>
      <w:pPr>
        <w:pStyle w:val="2"/>
        <w:keepNext/>
        <w:spacing w:line="280" w:lineRule="exact" w:before="120" w:after="80"/>
        <w:ind w:firstLine="0"/>
        <w:jc w:val="center"/>
      </w:pPr>
      <w:r>
        <w:rPr>
          <w:rFonts w:ascii="Times New Roman" w:hAnsi="Times New Roman" w:eastAsia="宋体"/>
          <w:b w:val="0"/>
          <w:sz w:val="21"/>
        </w:rPr>
        <w:t xml:space="preserve">表5-80 负荷分散系数&gt;1.10、分布式电源装机渗透率(1.00, 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表5-81 负荷分散系数&gt;1.10、分布式电源装机渗透率&gt;2.00、储能支撑持续时间&gt;4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widowControl/>
        <w:spacing w:line="348" w:lineRule="exact" w:before="0" w:after="0"/>
        <w:ind w:firstLine="480"/>
        <w:jc w:val="both"/>
      </w:pPr>
      <w:r>
        <w:rPr>
          <w:rFonts w:ascii="Times New Roman" w:hAnsi="Times New Roman" w:eastAsia="方正仿宋_GBK"/>
          <w:b w:val="0"/>
          <w:sz w:val="24"/>
        </w:rPr>
        <w:t xml:space="preserve">查表先按负荷分散系数确定分组，再确定其余五项输入所在区间，再核对该单元的已计算参数和模板条件。表中范围用于给定条件下的初步方案比选，最终容量须按实际主变规格、站间网络和储能条件重新落实。首尾档的新增计算点仍归原区间；超出已验证条件时补充计算，不改变区间端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88036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53"/>
                    <a:stretch>
                      <a:fillRect/>
                    </a:stretch>
                  </pic:blipFill>
                  <pic:spPr bwMode="auto">
                    <a:xfrm>
                      <a:off x="0" y="0"/>
                      <a:ext cx="5120640" cy="288036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图5-4 分布式电源装机渗透率与年最大净负荷平均增长率变化下的容载比（负荷分散系数1.10）</w:t>
      </w:r>
    </w:p>
    <w:p>
      <w:pPr>
        <w:pStyle w:val="2"/>
        <w:widowControl/>
        <w:spacing w:line="348" w:lineRule="exact" w:before="0" w:after="0"/>
        <w:ind w:firstLine="480"/>
        <w:jc w:val="both"/>
      </w:pPr>
      <w:r>
        <w:rPr>
          <w:rFonts w:ascii="Times New Roman" w:hAnsi="Times New Roman" w:eastAsia="方正仿宋_GBK"/>
          <w:b w:val="0"/>
          <w:sz w:val="24"/>
        </w:rPr>
        <w:t xml:space="preserve">图示固定线路成本系数4.25、初始转供率40%、储能支撑持续时间4 h和负荷分散系数1.10。颜色表示相应计算节点的容载比，完整分类结果以上述六参数矩阵为准。</w:t>
      </w:r>
    </w:p>
    <w:p>
      <w:pPr>
        <w:pStyle w:val="5"/>
        <w:keepNext/>
        <w:numPr>
          <w:numId w:val="0"/>
        </w:numPr>
        <w:spacing w:line="390" w:lineRule="exact" w:before="160" w:after="120"/>
        <w:ind w:firstLine="0"/>
      </w:pPr>
      <w:bookmarkStart w:id="254" w:name="主参数的受控变化"/>
      <w:r>
        <w:rPr>
          <w:rFonts w:ascii="Times New Roman" w:hAnsi="Times New Roman" w:eastAsia="方正仿宋_GBK"/>
          <w:b/>
          <w:sz w:val="26"/>
        </w:rPr>
        <w:t xml:space="preserve">5.6.4 主参数的受控变化</w:t>
      </w:r>
      <w:bookmarkEnd w:id="254"/>
    </w:p>
    <w:p>
      <w:pPr>
        <w:pStyle w:val="FirstParagraph"/>
        <w:keepNext/>
        <w:spacing w:line="280" w:lineRule="exact" w:before="120" w:after="80"/>
        <w:ind w:firstLine="0"/>
        <w:jc w:val="center"/>
      </w:pPr>
      <w:r>
        <w:rPr>
          <w:rFonts w:ascii="Times New Roman" w:hAnsi="Times New Roman" w:eastAsia="宋体"/>
          <w:b w:val="0"/>
          <w:sz w:val="21"/>
        </w:rPr>
        <w:t xml:space="preserve">表5-82 推广参数与容载比、评价期费用现值的相关性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容载比Pearson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容载比Spearman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费用Pearson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费用Spearman</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0.28</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0.05</w:t>
            </w:r>
          </w:p>
        </w:tc>
      </w:tr>
    </w:tbl>
    <w:p>
      <w:pPr>
        <w:pStyle w:val="2"/>
        <w:widowControl/>
        <w:spacing w:line="348" w:lineRule="exact" w:before="0" w:after="0"/>
        <w:ind w:firstLine="480"/>
        <w:jc w:val="both"/>
      </w:pPr>
      <w:r>
        <w:rPr>
          <w:rFonts w:ascii="Times New Roman" w:hAnsi="Times New Roman" w:eastAsia="方正仿宋_GBK"/>
          <w:b w:val="0"/>
          <w:sz w:val="24"/>
        </w:rPr>
        <w:t xml:space="preserve">推广计算中，Pearson相关系数描述参数与结果的线性共同变化，Spearman秩相关系数描述排序关系[94][95]。六项输入采用独立全因子组合。参数与容载比的总体相关受取值范围及其他参数组合影响，因此同时进行固定其他输入的配对比较。</w:t>
      </w:r>
    </w:p>
    <w:p>
      <w:pPr>
        <w:pStyle w:val="2"/>
        <w:keepNext/>
        <w:spacing w:line="280" w:lineRule="exact" w:before="120" w:after="80"/>
        <w:ind w:firstLine="0"/>
        <w:jc w:val="center"/>
      </w:pPr>
      <w:r>
        <w:rPr>
          <w:rFonts w:ascii="Times New Roman" w:hAnsi="Times New Roman" w:eastAsia="宋体"/>
          <w:b w:val="0"/>
          <w:sz w:val="21"/>
        </w:rPr>
        <w:t xml:space="preserve">表5-83 核心参数最低与最高计算节点的配对变化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配对数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平均容载比差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最大绝对差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容载比变化占比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平均费用差/万元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70331.67</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26395.44</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99.69</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-893.18</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13945.02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4200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587.64</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提高后，日间反向功率需求增加；年最大净负荷平均增长率同时改变容量需求和容载比分母。负荷分散系数在区域同时最大负荷不变的条件下改变各站独立峰值，从而影响局部主变N-1及站间支援要求。线路成本系数、初始转供率和储能支撑持续时间分别作用于工程费用、存量转供预算和储能有效支撑功率，需结合设备组合解释响应。</w:t>
      </w:r>
    </w:p>
    <w:p>
      <w:pPr>
        <w:pStyle w:val="2"/>
        <w:widowControl/>
        <w:spacing w:line="348" w:lineRule="exact" w:before="0" w:after="0"/>
        <w:ind w:firstLine="480"/>
        <w:jc w:val="both"/>
      </w:pPr>
      <w:r>
        <w:rPr>
          <w:rFonts w:ascii="Times New Roman" w:hAnsi="Times New Roman" w:eastAsia="方正仿宋_GBK"/>
          <w:b w:val="0"/>
          <w:sz w:val="24"/>
        </w:rPr>
        <w:t xml:space="preserve">比较按固定其余输入后的参数配对进行。平均变化反映总体方向，最大变化和发生变化的配对比例用于识别离散设备切换。增长率同时改变目标年容量需求及容载比分母，因此容载比降低不必然意味着主变容量减少。费用接近而设备组合不唯一时，小幅容载比变化仅作为候选配置差异分析。</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负荷分散系数用于反映各站独立峰值与区域同时峰值的差异。以下固定年最大净负荷平均增长率4%、线路成本系数4.25、初始转供率40%和储能支撑持续时间4 h，分别考察负荷分散系数1.00、1.10、1.15。各站非同时峰值通过额外工况计入，区域同时最大负荷保持一致。</w:t>
      </w:r>
    </w:p>
    <w:p>
      <w:pPr>
        <w:pStyle w:val="2"/>
        <w:keepNext/>
        <w:spacing w:line="280" w:lineRule="exact" w:before="120" w:after="80"/>
        <w:ind w:firstLine="0"/>
        <w:jc w:val="center"/>
      </w:pPr>
      <w:r>
        <w:rPr>
          <w:rFonts w:ascii="Times New Roman" w:hAnsi="Times New Roman" w:eastAsia="宋体"/>
          <w:b w:val="0"/>
          <w:sz w:val="21"/>
        </w:rPr>
        <w:t xml:space="preserve">表5-84 不同负荷分散系数下的设备组合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分布式电源装机渗透率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负荷分散系数</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3363.97</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33901.05</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分布式电源装机渗透率为0.50时，三种负荷分散系数下的公用主变总容量均为600.00 MVA、容载比均为2.05，新增联络项目数分别为0、1、2。容量比值相同仍存在网络建设差异，说明负荷分散系数不能因总体相关较弱而从分类条件中删除。分布式电源装机渗透率为2.50时，三组均采用820.00 MVA主变容量及103.10 MW储能额定功率，反向容量要求在这些节点中起主要作用，负荷分散系数变化未触发设备切换。</w:t>
      </w:r>
    </w:p>
    <w:p>
      <w:pPr>
        <w:pStyle w:val="2"/>
        <w:widowControl/>
        <w:spacing w:line="348" w:lineRule="exact" w:before="0" w:after="0"/>
        <w:ind w:firstLine="480"/>
        <w:jc w:val="both"/>
      </w:pPr>
      <w:r>
        <w:rPr>
          <w:rFonts w:ascii="Times New Roman" w:hAnsi="Times New Roman" w:eastAsia="方正仿宋_GBK"/>
          <w:b w:val="0"/>
          <w:sz w:val="24"/>
        </w:rPr>
        <w:t xml:space="preserve">以下在分布式电源装机渗透率0.50下分别比较线路成本系数和初始转供率。除变化参数外，增长率取4%、储能支撑持续时间取4 h；线路成本变化时初始转供率为40%，转供率变化时线路成本系数为4.25。</w:t>
      </w:r>
    </w:p>
    <w:p>
      <w:pPr>
        <w:pStyle w:val="2"/>
        <w:keepNext/>
        <w:spacing w:line="280" w:lineRule="exact" w:before="120" w:after="80"/>
        <w:ind w:firstLine="0"/>
        <w:jc w:val="center"/>
      </w:pPr>
      <w:r>
        <w:rPr>
          <w:rFonts w:ascii="Times New Roman" w:hAnsi="Times New Roman" w:eastAsia="宋体"/>
          <w:b w:val="0"/>
          <w:sz w:val="21"/>
        </w:rPr>
        <w:t xml:space="preserve">表5-85 线路成本系数变化（分布式电源装机渗透率0.50）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2880.64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3243.14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3288.45</w:t>
            </w:r>
          </w:p>
        </w:tc>
      </w:tr>
    </w:tbl>
    <w:p>
      <w:pPr>
        <w:pStyle w:val="2"/>
        <w:widowControl/>
        <w:spacing w:line="348" w:lineRule="exact" w:before="0" w:after="0"/>
        <w:ind w:firstLine="480"/>
        <w:jc w:val="both"/>
      </w:pPr>
      <w:r>
        <w:rPr>
          <w:rFonts w:ascii="Times New Roman" w:hAnsi="Times New Roman" w:eastAsia="方正仿宋_GBK"/>
          <w:b w:val="0"/>
          <w:sz w:val="24"/>
        </w:rPr>
        <w:t xml:space="preserve">线路成本系数从1.00提高至7.50，方案始终采用600.00 MVA主变和1条新增联络，未配置储能。费用增加453.12万元，来自同一联络项目的造价上涨；在这组条件下，改用其他措施尚不具备费用优势。</w:t>
      </w:r>
    </w:p>
    <w:p>
      <w:pPr>
        <w:pStyle w:val="2"/>
        <w:widowControl/>
        <w:spacing w:line="348" w:lineRule="exact" w:before="0" w:after="0"/>
        <w:ind w:firstLine="480"/>
        <w:jc w:val="both"/>
      </w:pPr>
      <w:r>
        <w:rPr>
          <w:rFonts w:ascii="Times New Roman" w:hAnsi="Times New Roman" w:eastAsia="方正仿宋_GBK"/>
          <w:b w:val="0"/>
          <w:sz w:val="24"/>
        </w:rPr>
        <w:t xml:space="preserve">主网格的端点配对还包含设备替换情形，其发生比例与容量变化见核心参数配对表。</w:t>
      </w:r>
    </w:p>
    <w:p>
      <w:pPr>
        <w:pStyle w:val="2"/>
        <w:keepNext/>
        <w:spacing w:line="280" w:lineRule="exact" w:before="120" w:after="80"/>
        <w:ind w:firstLine="0"/>
        <w:jc w:val="center"/>
      </w:pPr>
      <w:r>
        <w:rPr>
          <w:rFonts w:ascii="Times New Roman" w:hAnsi="Times New Roman" w:eastAsia="宋体"/>
          <w:b w:val="0"/>
          <w:sz w:val="21"/>
        </w:rPr>
        <w:t xml:space="preserve">表5-86 初始转供率变化（分布式电源装机渗透率0.50）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2759.81</w:t>
            </w:r>
          </w:p>
        </w:tc>
      </w:tr>
    </w:tbl>
    <w:p>
      <w:pPr>
        <w:pStyle w:val="2"/>
        <w:widowControl/>
        <w:spacing w:line="348" w:lineRule="exact" w:before="0" w:after="0"/>
        <w:ind w:firstLine="480"/>
        <w:jc w:val="both"/>
      </w:pPr>
      <w:r>
        <w:rPr>
          <w:rFonts w:ascii="Times New Roman" w:hAnsi="Times New Roman" w:eastAsia="方正仿宋_GBK"/>
          <w:b w:val="0"/>
          <w:sz w:val="24"/>
        </w:rPr>
        <w:t xml:space="preserve">初始转供率由30%提高至40%时，既有网络支援增强，主变容量从650.00 MVA降至600.00 MVA，并新增1条联络。提高至60%后，既有联络已能满足转接需求，新增联络取消，费用降至2759.81万元。主变容量与线路建设分别在不同取值处发生调整。</w:t>
      </w:r>
    </w:p>
    <w:p>
      <w:pPr>
        <w:pStyle w:val="2"/>
        <w:widowControl/>
        <w:spacing w:line="348" w:lineRule="exact" w:before="0" w:after="0"/>
        <w:ind w:firstLine="480"/>
        <w:jc w:val="both"/>
      </w:pPr>
      <w:r>
        <w:rPr>
          <w:rFonts w:ascii="Times New Roman" w:hAnsi="Times New Roman" w:eastAsia="方正仿宋_GBK"/>
          <w:b w:val="0"/>
          <w:sz w:val="24"/>
        </w:rPr>
        <w:t xml:space="preserve">既有转供能力可替代部分新增容量或联络工程，替代程度取决于邻站余量、馈线共享条件和网络结构。</w:t>
      </w:r>
    </w:p>
    <w:p>
      <w:pPr>
        <w:pStyle w:val="5"/>
        <w:keepNext/>
        <w:numPr>
          <w:numId w:val="0"/>
        </w:numPr>
        <w:spacing w:line="390" w:lineRule="exact" w:before="160" w:after="120"/>
        <w:ind w:firstLine="0"/>
      </w:pPr>
      <w:bookmarkStart w:id="255" w:name="分布式电源装机规模与双向容量需求"/>
      <w:r>
        <w:rPr>
          <w:rFonts w:ascii="Times New Roman" w:hAnsi="Times New Roman" w:eastAsia="方正仿宋_GBK"/>
          <w:b/>
          <w:sz w:val="26"/>
        </w:rPr>
        <w:t xml:space="preserve">5.6.5 分布式电源装机规模与双向容量需求</w:t>
      </w:r>
      <w:bookmarkEnd w:id="255"/>
    </w:p>
    <w:p>
      <w:pPr>
        <w:pStyle w:val="FirstParagraph"/>
        <w:widowControl/>
        <w:spacing w:line="348" w:lineRule="exact" w:before="0" w:after="0"/>
        <w:ind w:firstLine="480"/>
        <w:jc w:val="both"/>
      </w:pPr>
      <w:r>
        <w:rPr>
          <w:rFonts w:ascii="Times New Roman" w:hAnsi="Times New Roman" w:eastAsia="方正仿宋_GBK"/>
          <w:b w:val="0"/>
          <w:sz w:val="24"/>
        </w:rPr>
        <w:t xml:space="preserve">分别观察初始转供率30%和70%的条件。其余参数固定为增长率4%、线路成本系数4.25、储能支撑持续时间4 h，负荷分散系数为1.10。</w:t>
      </w:r>
    </w:p>
    <w:p>
      <w:pPr>
        <w:pStyle w:val="7"/>
        <w:keepNext/>
        <w:numPr>
          <w:numId w:val="0"/>
        </w:numPr>
        <w:spacing w:line="360" w:lineRule="exact" w:before="160" w:after="120"/>
        <w:ind w:firstLine="0"/>
      </w:pPr>
      <w:bookmarkStart w:id="256" w:name="初始转供率30"/>
      <w:r>
        <w:rPr>
          <w:rFonts w:ascii="Times New Roman" w:hAnsi="Times New Roman" w:eastAsia="方正仿宋_GBK"/>
          <w:b/>
          <w:sz w:val="24"/>
        </w:rPr>
        <w:t xml:space="preserve">初始转供率30%</w:t>
      </w:r>
      <w:bookmarkEnd w:id="256"/>
    </w:p>
    <w:p>
      <w:pPr>
        <w:pStyle w:val="FirstParagraph"/>
        <w:keepNext/>
        <w:spacing w:line="280" w:lineRule="exact" w:before="120" w:after="80"/>
        <w:ind w:firstLine="0"/>
        <w:jc w:val="center"/>
      </w:pPr>
      <w:r>
        <w:rPr>
          <w:rFonts w:ascii="Times New Roman" w:hAnsi="Times New Roman" w:eastAsia="宋体"/>
          <w:b w:val="0"/>
          <w:sz w:val="21"/>
        </w:rPr>
        <w:t xml:space="preserve">表5-87 分布式电源装机渗透率变化（初始转供率30%）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装机渗透率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9543.03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2.89</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524.17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66823.01</w:t>
            </w:r>
          </w:p>
        </w:tc>
      </w:tr>
    </w:tbl>
    <w:p>
      <w:pPr>
        <w:pStyle w:val="2"/>
        <w:widowControl/>
        <w:spacing w:line="348" w:lineRule="exact" w:before="0" w:after="0"/>
        <w:ind w:firstLine="480"/>
        <w:jc w:val="both"/>
      </w:pPr>
      <w:r>
        <w:rPr>
          <w:rFonts w:ascii="Times New Roman" w:hAnsi="Times New Roman" w:eastAsia="方正仿宋_GBK"/>
          <w:b w:val="0"/>
          <w:sz w:val="24"/>
        </w:rPr>
        <w:t xml:space="preserve">装机渗透率不超过1.50的计算点采用650.00 MVA主变，未配置储能。提高至2.00后，日间反向输送需求推动主变和储能同时增加；达到3.00时，主变容量为846.00 MVA，储能额定功率为243.80 MW，费用升至66823.01万元。</w:t>
      </w:r>
    </w:p>
    <w:p>
      <w:pPr>
        <w:pStyle w:val="7"/>
        <w:keepNext/>
        <w:numPr>
          <w:numId w:val="0"/>
        </w:numPr>
        <w:spacing w:line="360" w:lineRule="exact" w:before="160" w:after="120"/>
        <w:ind w:firstLine="0"/>
      </w:pPr>
      <w:bookmarkStart w:id="257" w:name="初始转供率70"/>
      <w:r>
        <w:rPr>
          <w:rFonts w:ascii="Times New Roman" w:hAnsi="Times New Roman" w:eastAsia="方正仿宋_GBK"/>
          <w:b/>
          <w:sz w:val="24"/>
        </w:rPr>
        <w:t xml:space="preserve">初始转供率70%</w:t>
      </w:r>
      <w:bookmarkEnd w:id="257"/>
    </w:p>
    <w:p>
      <w:pPr>
        <w:pStyle w:val="FirstParagraph"/>
        <w:keepNext/>
        <w:spacing w:line="280" w:lineRule="exact" w:before="120" w:after="80"/>
        <w:ind w:firstLine="0"/>
        <w:jc w:val="center"/>
      </w:pPr>
      <w:r>
        <w:rPr>
          <w:rFonts w:ascii="Times New Roman" w:hAnsi="Times New Roman" w:eastAsia="宋体"/>
          <w:b w:val="0"/>
          <w:sz w:val="21"/>
        </w:rPr>
        <w:t xml:space="preserve">表5-88 分布式电源装机渗透率变化（初始转供率70%）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装机渗透率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9543.03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2.89</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524.17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66823.01</w:t>
            </w:r>
          </w:p>
        </w:tc>
      </w:tr>
    </w:tbl>
    <w:p>
      <w:pPr>
        <w:pStyle w:val="2"/>
        <w:widowControl/>
        <w:spacing w:line="348" w:lineRule="exact" w:before="0" w:after="0"/>
        <w:ind w:firstLine="480"/>
        <w:jc w:val="both"/>
      </w:pPr>
      <w:r>
        <w:rPr>
          <w:rFonts w:ascii="Times New Roman" w:hAnsi="Times New Roman" w:eastAsia="方正仿宋_GBK"/>
          <w:b w:val="0"/>
          <w:sz w:val="24"/>
        </w:rPr>
        <w:t xml:space="preserve">较强的既有转供能力使装机渗透率不超过1.50时的主变容量降至600.00 MVA。装机渗透率达到2.00及以上后，两组转供条件对应的配置相同，反向容量需求成为这些计算点的主要约束。</w:t>
      </w:r>
    </w:p>
    <w:p>
      <w:pPr>
        <w:pStyle w:val="2"/>
        <w:widowControl/>
        <w:spacing w:line="348" w:lineRule="exact" w:before="0" w:after="0"/>
        <w:ind w:firstLine="480"/>
        <w:jc w:val="both"/>
      </w:pPr>
      <w:r>
        <w:rPr>
          <w:rFonts w:ascii="Times New Roman" w:hAnsi="Times New Roman" w:eastAsia="方正仿宋_GBK"/>
          <w:b w:val="0"/>
          <w:sz w:val="24"/>
        </w:rPr>
        <w:t xml:space="preserve">装机规模增加时，日间光伏出力可能超过本地用电需求，主变和储能需要吸收或输送相应反向功率。站间转接只调整用电负荷归属，电源保留在原站，因此正向供电所需的负荷转出与日间反向容量不一定具有相同改善方向。模型对两方向分别校核，不能只按区域装机与总容量之比判断承载能力。</w:t>
      </w:r>
    </w:p>
    <w:p>
      <w:pPr>
        <w:pStyle w:val="2"/>
        <w:widowControl/>
        <w:spacing w:line="348" w:lineRule="exact" w:before="0" w:after="0"/>
        <w:ind w:firstLine="480"/>
        <w:jc w:val="both"/>
      </w:pPr>
      <w:r>
        <w:rPr>
          <w:rFonts w:ascii="Times New Roman" w:hAnsi="Times New Roman" w:eastAsia="方正仿宋_GBK"/>
          <w:b w:val="0"/>
          <w:sz w:val="24"/>
        </w:rPr>
        <w:t xml:space="preserve">两组转供条件下的逐点结果同时列出主变、储能和线路规模。主变候选受设备规格及扩建位置限制，当容量接近候选上限时，继续增加装机规模可能更多体现为储能需求和费用增加。高分布式电源装机渗透率档为首尾开口分类，表中有限节点只说明已计算条件，不能证明任意高装机规模均可由当前设备集合满足。</w:t>
      </w:r>
    </w:p>
    <w:p>
      <w:pPr>
        <w:pStyle w:val="5"/>
        <w:keepNext/>
        <w:numPr>
          <w:numId w:val="0"/>
        </w:numPr>
        <w:spacing w:line="390" w:lineRule="exact" w:before="160" w:after="120"/>
        <w:ind w:firstLine="0"/>
      </w:pPr>
      <w:bookmarkStart w:id="258" w:name="负荷增长与主变建设时序"/>
      <w:r>
        <w:rPr>
          <w:rFonts w:ascii="Times New Roman" w:hAnsi="Times New Roman" w:eastAsia="方正仿宋_GBK"/>
          <w:b/>
          <w:sz w:val="26"/>
        </w:rPr>
        <w:t xml:space="preserve">5.6.6 负荷增长与主变建设时序</w:t>
      </w:r>
      <w:bookmarkEnd w:id="258"/>
    </w:p>
    <w:p>
      <w:pPr>
        <w:pStyle w:val="FirstParagraph"/>
        <w:widowControl/>
        <w:spacing w:line="348" w:lineRule="exact" w:before="0" w:after="0"/>
        <w:ind w:firstLine="480"/>
        <w:jc w:val="both"/>
      </w:pPr>
      <w:r>
        <w:rPr>
          <w:rFonts w:ascii="Times New Roman" w:hAnsi="Times New Roman" w:eastAsia="方正仿宋_GBK"/>
          <w:b w:val="0"/>
          <w:sz w:val="24"/>
        </w:rPr>
        <w:t xml:space="preserve">增长率按导则区间取代表节点，保留2%、4%、7%分界，并列示区间内及末档计算点。以下在分布式电源装机渗透率0.50、2.50下分别改变增长率，线路成本系数4.25、初始转供率40%、支撑持续时间4 h保持不变。</w:t>
      </w:r>
    </w:p>
    <w:p>
      <w:pPr>
        <w:pStyle w:val="7"/>
        <w:keepNext/>
        <w:numPr>
          <w:numId w:val="0"/>
        </w:numPr>
        <w:spacing w:line="360" w:lineRule="exact" w:before="160" w:after="120"/>
        <w:ind w:firstLine="0"/>
      </w:pPr>
      <w:bookmarkStart w:id="259" w:name="分布式电源装机渗透率0.50"/>
      <w:r>
        <w:rPr>
          <w:rFonts w:ascii="Times New Roman" w:hAnsi="Times New Roman" w:eastAsia="方正仿宋_GBK"/>
          <w:b/>
          <w:sz w:val="24"/>
        </w:rPr>
        <w:t xml:space="preserve">分布式电源装机渗透率0.50</w:t>
      </w:r>
      <w:bookmarkEnd w:id="259"/>
    </w:p>
    <w:p>
      <w:pPr>
        <w:pStyle w:val="FirstParagraph"/>
        <w:keepNext/>
        <w:spacing w:line="280" w:lineRule="exact" w:before="120" w:after="80"/>
        <w:ind w:firstLine="0"/>
        <w:jc w:val="center"/>
      </w:pPr>
      <w:r>
        <w:rPr>
          <w:rFonts w:ascii="Times New Roman" w:hAnsi="Times New Roman" w:eastAsia="宋体"/>
          <w:b w:val="0"/>
          <w:sz w:val="21"/>
        </w:rPr>
        <w:t xml:space="preserve">表5-89 负荷增长率变化（分布式电源装机渗透率0.50）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1379.91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1747.16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281.38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4441.80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327.70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7875.78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340.12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8511.56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366.03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10867.72</w:t>
            </w:r>
          </w:p>
        </w:tc>
      </w:tr>
    </w:tbl>
    <w:p>
      <w:pPr>
        <w:pStyle w:val="2"/>
        <w:widowControl/>
        <w:spacing w:line="348" w:lineRule="exact" w:before="0" w:after="0"/>
        <w:ind w:firstLine="480"/>
        <w:jc w:val="both"/>
      </w:pPr>
      <w:r>
        <w:rPr>
          <w:rFonts w:ascii="Times New Roman" w:hAnsi="Times New Roman" w:eastAsia="方正仿宋_GBK"/>
          <w:b w:val="0"/>
          <w:sz w:val="24"/>
        </w:rPr>
        <w:t xml:space="preserve">增长率提高后，主变容量随目标年负荷分档增加。0%与10%两个节点的容量分别为550.00 MVA、786.00 MVA，而容载比分别为2.20、2.15；负荷与容量不同步增长，使中间节点的容载比呈阶梯式波动。</w:t>
      </w:r>
    </w:p>
    <w:p>
      <w:pPr>
        <w:pStyle w:val="7"/>
        <w:keepNext/>
        <w:numPr>
          <w:numId w:val="0"/>
        </w:numPr>
        <w:spacing w:line="360" w:lineRule="exact" w:before="160" w:after="120"/>
        <w:ind w:firstLine="0"/>
      </w:pPr>
      <w:bookmarkStart w:id="260" w:name="分布式电源装机渗透率2.50"/>
      <w:r>
        <w:rPr>
          <w:rFonts w:ascii="Times New Roman" w:hAnsi="Times New Roman" w:eastAsia="方正仿宋_GBK"/>
          <w:b/>
          <w:sz w:val="24"/>
        </w:rPr>
        <w:t xml:space="preserve">分布式电源装机渗透率2.50</w:t>
      </w:r>
      <w:bookmarkEnd w:id="260"/>
    </w:p>
    <w:p>
      <w:pPr>
        <w:pStyle w:val="FirstParagraph"/>
        <w:keepNext/>
        <w:spacing w:line="280" w:lineRule="exact" w:before="120" w:after="80"/>
        <w:ind w:firstLine="0"/>
        <w:jc w:val="center"/>
      </w:pPr>
      <w:r>
        <w:rPr>
          <w:rFonts w:ascii="Times New Roman" w:hAnsi="Times New Roman" w:eastAsia="宋体"/>
          <w:b w:val="0"/>
          <w:sz w:val="21"/>
        </w:rPr>
        <w:t xml:space="preserve">表5-90 负荷增长率变化（分布式电源装机渗透率2.50）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113.52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19981.89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156.52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26682.86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281.38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188.77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30577.26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39093.11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327.70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356.04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47478.61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340.12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194.80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53822.05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366.03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255.60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549.54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69386.45</w:t>
            </w:r>
          </w:p>
        </w:tc>
      </w:tr>
    </w:tbl>
    <w:p>
      <w:pPr>
        <w:pStyle w:val="2"/>
        <w:widowControl/>
        <w:spacing w:line="348" w:lineRule="exact" w:before="0" w:after="0"/>
        <w:ind w:firstLine="480"/>
        <w:jc w:val="both"/>
      </w:pPr>
      <w:r>
        <w:rPr>
          <w:rFonts w:ascii="Times New Roman" w:hAnsi="Times New Roman" w:eastAsia="方正仿宋_GBK"/>
          <w:b w:val="0"/>
          <w:sz w:val="24"/>
        </w:rPr>
        <w:t xml:space="preserve">较高装机渗透率下，增长率提高同时放大正向与反向容量需求。主变容量由760.00 MVA增至846.00 MVA，储能额定功率由52.80 MW增至255.60 MW；费用随两类设备规模增加，容载比则因目标年负荷增长更快而降至2.31。</w:t>
      </w:r>
    </w:p>
    <w:p>
      <w:pPr>
        <w:pStyle w:val="2"/>
        <w:widowControl/>
        <w:spacing w:line="348" w:lineRule="exact" w:before="0" w:after="0"/>
        <w:ind w:firstLine="480"/>
        <w:jc w:val="both"/>
      </w:pPr>
      <w:r>
        <w:rPr>
          <w:rFonts w:ascii="Times New Roman" w:hAnsi="Times New Roman" w:eastAsia="方正仿宋_GBK"/>
          <w:b w:val="0"/>
          <w:sz w:val="24"/>
        </w:rPr>
        <w:t xml:space="preserve">容载比同时取决于分子容量和分母负荷。增长率提高后，目标年负荷增加，主变容量按离散规格投运，其增幅未必与负荷一致。因此较高增长情景下的容载比降低，不表示设备容量一定减少，也不直接表示发展储备不足。比较应同时读取目标年MW、主变MVA和相应建设措施。</w:t>
      </w:r>
    </w:p>
    <w:p>
      <w:pPr>
        <w:pStyle w:val="2"/>
        <w:widowControl/>
        <w:spacing w:line="348" w:lineRule="exact" w:before="0" w:after="0"/>
        <w:ind w:firstLine="480"/>
        <w:jc w:val="both"/>
      </w:pPr>
      <w:r>
        <w:rPr>
          <w:rFonts w:ascii="Times New Roman" w:hAnsi="Times New Roman" w:eastAsia="方正仿宋_GBK"/>
          <w:b w:val="0"/>
          <w:sz w:val="24"/>
        </w:rPr>
        <w:t xml:space="preserve">案例采用逐年建设安排，推广采用目标年配置，两者从不同角度反映负荷变化影响。前者判断何时建设，后者比较给定目标时点的容量规模。实际规划将推荐区间落实到项目时，还需结合近期已投产主变和中间年份供电需求，不能只按末年总容量平均分配年度投资。</w:t>
      </w:r>
    </w:p>
    <w:p>
      <w:pPr>
        <w:pStyle w:val="5"/>
        <w:keepNext/>
        <w:numPr>
          <w:numId w:val="0"/>
        </w:numPr>
        <w:spacing w:line="390" w:lineRule="exact" w:before="160" w:after="120"/>
        <w:ind w:firstLine="0"/>
      </w:pPr>
      <w:bookmarkStart w:id="261" w:name="储能支撑持续时间与配置变化"/>
      <w:r>
        <w:rPr>
          <w:rFonts w:ascii="Times New Roman" w:hAnsi="Times New Roman" w:eastAsia="方正仿宋_GBK"/>
          <w:b/>
          <w:sz w:val="26"/>
        </w:rPr>
        <w:t xml:space="preserve">5.6.7 储能支撑持续时间与配置变化</w:t>
      </w:r>
      <w:bookmarkEnd w:id="261"/>
    </w:p>
    <w:p>
      <w:pPr>
        <w:pStyle w:val="FirstParagraph"/>
        <w:widowControl/>
        <w:spacing w:line="348" w:lineRule="exact" w:before="0" w:after="0"/>
        <w:ind w:firstLine="480"/>
        <w:jc w:val="both"/>
      </w:pPr>
      <w:r>
        <w:rPr>
          <w:rFonts w:ascii="Times New Roman" w:hAnsi="Times New Roman" w:eastAsia="方正仿宋_GBK"/>
          <w:b w:val="0"/>
          <w:sz w:val="24"/>
        </w:rPr>
        <w:t xml:space="preserve">储能同时受到额定功率和可用电量限制。单柜可用电量为0.215×0.76 MWh，在4 h支撑要求下折算0.04085 MW。持续时间延长改变的是设备有效功率；若本地功率缺口保持不变，所需柜数及费用可能增加，也可能促使方案改用主变增容或联络支援。</w:t>
      </w:r>
    </w:p>
    <w:p>
      <w:pPr>
        <w:pStyle w:val="2"/>
        <w:widowControl/>
        <w:spacing w:line="348" w:lineRule="exact" w:before="0" w:after="0"/>
        <w:ind w:firstLine="480"/>
        <w:jc w:val="both"/>
      </w:pPr>
      <w:r>
        <w:rPr>
          <w:rFonts w:ascii="Times New Roman" w:hAnsi="Times New Roman" w:eastAsia="方正仿宋_GBK"/>
          <w:b w:val="0"/>
          <w:sz w:val="24"/>
        </w:rPr>
        <w:t xml:space="preserve">以下固定增长率4%、线路成本系数4.25和初始转供率40%，在分布式电源装机渗透率2.50下比较2、4、6 h。持续时间为规划支撑条件，与运行曲线提取的95%近峰事件时长分别使用。</w:t>
      </w:r>
    </w:p>
    <w:p>
      <w:pPr>
        <w:pStyle w:val="2"/>
        <w:keepNext/>
        <w:spacing w:line="280" w:lineRule="exact" w:before="120" w:after="80"/>
        <w:ind w:firstLine="0"/>
        <w:jc w:val="center"/>
      </w:pPr>
      <w:r>
        <w:rPr>
          <w:rFonts w:ascii="Times New Roman" w:hAnsi="Times New Roman" w:eastAsia="宋体"/>
          <w:b w:val="0"/>
          <w:sz w:val="21"/>
        </w:rPr>
        <w:t xml:space="preserve">表5-91 储能支撑持续时间变化（分布式电源装机渗透率2.50）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支撑持续时间/h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22713.14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45110.68</w:t>
            </w:r>
          </w:p>
        </w:tc>
      </w:tr>
    </w:tbl>
    <w:p>
      <w:pPr>
        <w:pStyle w:val="2"/>
        <w:widowControl/>
        <w:spacing w:line="348" w:lineRule="exact" w:before="0" w:after="0"/>
        <w:ind w:firstLine="480"/>
        <w:jc w:val="both"/>
      </w:pPr>
      <w:r>
        <w:rPr>
          <w:rFonts w:ascii="Times New Roman" w:hAnsi="Times New Roman" w:eastAsia="方正仿宋_GBK"/>
          <w:b w:val="0"/>
          <w:sz w:val="24"/>
        </w:rPr>
        <w:t xml:space="preserve">支撑持续时间从2 h延长至6 h，主变容量保持820.00 MVA，储能额定功率从51.60 MW增至154.70 MW，额定能量相应增加。费用由22713.14万元增至45110.68万元，增加主要来自满足持续支撑要求所需的储能规模。</w:t>
      </w:r>
    </w:p>
    <w:p>
      <w:pPr>
        <w:pStyle w:val="2"/>
        <w:widowControl/>
        <w:spacing w:line="348" w:lineRule="exact" w:before="0" w:after="0"/>
        <w:ind w:firstLine="480"/>
        <w:jc w:val="both"/>
      </w:pPr>
      <w:r>
        <w:rPr>
          <w:rFonts w:ascii="Times New Roman" w:hAnsi="Times New Roman" w:eastAsia="方正仿宋_GBK"/>
          <w:b w:val="0"/>
          <w:sz w:val="24"/>
        </w:rPr>
        <w:t xml:space="preserve">主网格的其他参数组合还出现主变配置切换，发生比例与容量变化见核心参数配对表。</w:t>
      </w:r>
    </w:p>
    <w:p>
      <w:pPr>
        <w:pStyle w:val="5"/>
        <w:keepNext/>
        <w:numPr>
          <w:numId w:val="0"/>
        </w:numPr>
        <w:spacing w:line="390" w:lineRule="exact" w:before="160" w:after="120"/>
        <w:ind w:firstLine="0"/>
      </w:pPr>
      <w:bookmarkStart w:id="262" w:name="储能价格的专项比较"/>
      <w:r>
        <w:rPr>
          <w:rFonts w:ascii="Times New Roman" w:hAnsi="Times New Roman" w:eastAsia="方正仿宋_GBK"/>
          <w:b/>
          <w:sz w:val="26"/>
        </w:rPr>
        <w:t xml:space="preserve">5.6.8 储能价格的专项比较</w:t>
      </w:r>
      <w:bookmarkEnd w:id="262"/>
    </w:p>
    <w:p>
      <w:pPr>
        <w:pStyle w:val="FirstParagraph"/>
        <w:widowControl/>
        <w:spacing w:line="348" w:lineRule="exact" w:before="0" w:after="0"/>
        <w:ind w:firstLine="480"/>
        <w:jc w:val="both"/>
      </w:pPr>
      <w:r>
        <w:rPr>
          <w:rFonts w:ascii="Times New Roman" w:hAnsi="Times New Roman" w:eastAsia="方正仿宋_GBK"/>
          <w:b w:val="0"/>
          <w:sz w:val="24"/>
        </w:rPr>
        <w:t xml:space="preserve">储能价格在给定储能支撑持续时间下独立变化。以下取分布式电源装机渗透率2.50，比较2、4、6 h支撑要求下的配置与费用变化，设备功率、能量与可用电量系数保持一致。其余参数为增长率4%、线路成本系数4.25和初始转供率40%。</w:t>
      </w:r>
    </w:p>
    <w:p>
      <w:pPr>
        <w:pStyle w:val="7"/>
        <w:keepNext/>
        <w:numPr>
          <w:numId w:val="0"/>
        </w:numPr>
        <w:spacing w:line="360" w:lineRule="exact" w:before="160" w:after="120"/>
        <w:ind w:firstLine="0"/>
      </w:pPr>
      <w:bookmarkStart w:id="263" w:name="h支撑条件下的设备替换"/>
      <w:r>
        <w:rPr>
          <w:rFonts w:ascii="Times New Roman" w:hAnsi="Times New Roman" w:eastAsia="方正仿宋_GBK"/>
          <w:b/>
          <w:sz w:val="24"/>
        </w:rPr>
        <w:t xml:space="preserve">2 h支撑条件下的设备替换</w:t>
      </w:r>
      <w:bookmarkEnd w:id="263"/>
    </w:p>
    <w:p>
      <w:pPr>
        <w:pStyle w:val="FirstParagraph"/>
        <w:keepNext/>
        <w:spacing w:line="280" w:lineRule="exact" w:before="120" w:after="80"/>
        <w:ind w:firstLine="0"/>
        <w:jc w:val="center"/>
      </w:pPr>
      <w:r>
        <w:rPr>
          <w:rFonts w:ascii="Times New Roman" w:hAnsi="Times New Roman" w:eastAsia="宋体"/>
          <w:b w:val="0"/>
          <w:sz w:val="21"/>
        </w:rPr>
        <w:t xml:space="preserve">表5-92 储能价格变化（分布式电源装机渗透率2.50、持续时间2 h）</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76.30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16799.31</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19910.73</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22713.14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25515.55</w:t>
            </w:r>
          </w:p>
        </w:tc>
      </w:tr>
    </w:tbl>
    <w:p>
      <w:pPr>
        <w:pStyle w:val="2"/>
        <w:widowControl/>
        <w:spacing w:line="348" w:lineRule="exact" w:before="0" w:after="0"/>
        <w:ind w:firstLine="480"/>
        <w:jc w:val="both"/>
      </w:pPr>
      <w:r>
        <w:rPr>
          <w:rFonts w:ascii="Times New Roman" w:hAnsi="Times New Roman" w:eastAsia="方正仿宋_GBK"/>
          <w:b w:val="0"/>
          <w:sz w:val="24"/>
        </w:rPr>
        <w:t xml:space="preserve">价格为参考值的0.50倍时，方案采用760.00 MVA主变和76.30 MW储能。价格提高至0.75倍后，主变增至820.00 MVA，储能减少24.70 MW，容载比相应提高至2.80。此后价格继续上涨至1.25倍，设备组合保持不变，费用随储能单价增加。</w:t>
      </w:r>
    </w:p>
    <w:p>
      <w:pPr>
        <w:pStyle w:val="7"/>
        <w:keepNext/>
        <w:numPr>
          <w:numId w:val="0"/>
        </w:numPr>
        <w:spacing w:line="360" w:lineRule="exact" w:before="160" w:after="120"/>
        <w:ind w:firstLine="0"/>
      </w:pPr>
      <w:bookmarkStart w:id="264" w:name="h支撑条件下的费用变化"/>
      <w:r>
        <w:rPr>
          <w:rFonts w:ascii="Times New Roman" w:hAnsi="Times New Roman" w:eastAsia="方正仿宋_GBK"/>
          <w:b/>
          <w:sz w:val="24"/>
        </w:rPr>
        <w:t xml:space="preserve">4、6 h支撑条件下的费用变化</w:t>
      </w:r>
      <w:bookmarkEnd w:id="264"/>
    </w:p>
    <w:p>
      <w:pPr>
        <w:pStyle w:val="FirstParagraph"/>
        <w:widowControl/>
        <w:spacing w:line="348" w:lineRule="exact" w:before="0" w:after="0"/>
        <w:ind w:firstLine="480"/>
        <w:jc w:val="both"/>
      </w:pPr>
      <w:r>
        <w:rPr>
          <w:rFonts w:ascii="Times New Roman" w:hAnsi="Times New Roman" w:eastAsia="方正仿宋_GBK"/>
          <w:b w:val="0"/>
          <w:sz w:val="24"/>
        </w:rPr>
        <w:t xml:space="preserve">两种支撑条件下的主变容量均为820.00 MVA，容载比均为2.80；储能额定功率分别为103.10 MW、154.70 MW。价格变化未引起设备替换，较长支撑时间需要更多储能，其费用对单价更敏感。</w:t>
      </w:r>
    </w:p>
    <w:p>
      <w:pPr>
        <w:pStyle w:val="2"/>
        <w:keepNext/>
        <w:spacing w:line="280" w:lineRule="exact" w:before="120" w:after="80"/>
        <w:ind w:firstLine="0"/>
        <w:jc w:val="center"/>
      </w:pPr>
      <w:r>
        <w:rPr>
          <w:rFonts w:ascii="Times New Roman" w:hAnsi="Times New Roman" w:eastAsia="宋体"/>
          <w:b w:val="0"/>
          <w:sz w:val="21"/>
        </w:rPr>
        <w:t xml:space="preserve">表5-93 储能价格对4、6 h方案费用的影响</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4 h费用现值/万元</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6 h费用现值/万元</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22702.28</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28307.09</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28301.66</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36708.89</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45110.68</w:t>
            </w:r>
          </w:p>
        </w:tc>
      </w:tr>
      <w:tr>
        <w:trPr>
          <w:cantSplit/>
        </w:trPr>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39500.43</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53512.48</w:t>
            </w:r>
          </w:p>
        </w:tc>
      </w:tr>
    </w:tbl>
    <w:p>
      <w:pPr>
        <w:pStyle w:val="5"/>
        <w:keepNext/>
        <w:numPr>
          <w:numId w:val="0"/>
        </w:numPr>
        <w:spacing w:line="390" w:lineRule="exact" w:before="160" w:after="120"/>
        <w:ind w:firstLine="0"/>
      </w:pPr>
      <w:bookmarkStart w:id="265" w:name="储能价格及辅助参数敏感性"/>
      <w:r>
        <w:rPr>
          <w:rFonts w:ascii="Times New Roman" w:hAnsi="Times New Roman" w:eastAsia="方正仿宋_GBK"/>
          <w:b/>
          <w:sz w:val="26"/>
        </w:rPr>
        <w:t xml:space="preserve">5.6.9 储能价格及辅助参数敏感性</w:t>
      </w:r>
      <w:bookmarkEnd w:id="265"/>
    </w:p>
    <w:p>
      <w:pPr>
        <w:pStyle w:val="FirstParagraph"/>
        <w:keepNext/>
        <w:spacing w:line="280" w:lineRule="exact" w:before="120" w:after="80"/>
        <w:ind w:firstLine="0"/>
        <w:jc w:val="center"/>
      </w:pPr>
      <w:r>
        <w:rPr>
          <w:rFonts w:ascii="Times New Roman" w:hAnsi="Times New Roman" w:eastAsia="宋体"/>
          <w:b w:val="0"/>
          <w:sz w:val="21"/>
        </w:rPr>
        <w:t xml:space="preserve">表5-94 辅助参数单因素配对变化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低值→高值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配对数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平均容载比差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最大绝对差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平均费用差/万元</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储能价格倍数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 → 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8453.30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主变价格倍数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0.75 → 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3565.83</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可用电量系数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0.65 → 0.85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-3081.20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线路长度/km</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 → 5.0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197.51</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馈线热限倍数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0.8 → 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-0.09</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-1305.47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功率因数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 → 0.98</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-2913.62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第三台主变候选</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不允许 → 允许</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-26753.13</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 MVA主变候选</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不允许 → 允许</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-5743.86</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候选联络拓扑</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增密网络 → 相邻站网络</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折现率倍数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0.8 → 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-2465.27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设备寿命倍数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0.8 → 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固定运维率倍数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0.8 → 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1903.48</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负荷分配权重</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基准分配 → 较均匀分配</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2016.03</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弹性比选下限</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 → 2.001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注：设备候选由不允许变为允许；拓扑及空间分布为类别对照，顺序不表示连续数值。比选下限变化仅为研究约束诊断，不并入主矩阵。</w:t>
      </w:r>
    </w:p>
    <w:p>
      <w:pPr>
        <w:pStyle w:val="2"/>
        <w:widowControl/>
        <w:spacing w:line="348" w:lineRule="exact" w:before="0" w:after="0"/>
        <w:ind w:firstLine="480"/>
        <w:jc w:val="both"/>
      </w:pPr>
      <w:r>
        <w:rPr>
          <w:rFonts w:ascii="Times New Roman" w:hAnsi="Times New Roman" w:eastAsia="方正仿宋_GBK"/>
          <w:b w:val="0"/>
          <w:sz w:val="24"/>
        </w:rPr>
        <w:t xml:space="preserve">储能价格在固定持续时间下单独变化，费用变化包含采购规模和措施组合的调整。馈线热限、扩建位置和候选拓扑直接改变技术可行集合，应与价格参数分别解释。设备寿命变化在本次评价期内未必触发更新，响应为零时仅说明当前现金流时段尚未进入相应寿命边界。</w:t>
      </w:r>
    </w:p>
    <w:p>
      <w:pPr>
        <w:pStyle w:val="2"/>
        <w:widowControl/>
        <w:spacing w:line="348" w:lineRule="exact" w:before="0" w:after="0"/>
        <w:ind w:firstLine="480"/>
        <w:jc w:val="both"/>
      </w:pPr>
      <w:r>
        <w:rPr>
          <w:rFonts w:ascii="Times New Roman" w:hAnsi="Times New Roman" w:eastAsia="方正仿宋_GBK"/>
          <w:b w:val="0"/>
          <w:sz w:val="24"/>
        </w:rPr>
        <w:t xml:space="preserve">辅助参数包括主变及储能价格、可用电量系数、功率因数、线路长度、馈线热限、设备扩建条件、候选拓扑和费用评价参数。每次固定其他条件后改变一项，避免把线路价格和转供能力同时变化造成的效果混为一项。</w:t>
      </w:r>
    </w:p>
    <w:p>
      <w:pPr>
        <w:pStyle w:val="2"/>
        <w:keepNext/>
        <w:spacing w:line="280" w:lineRule="exact" w:before="120" w:after="80"/>
        <w:ind w:firstLine="0"/>
        <w:jc w:val="center"/>
      </w:pPr>
      <w:r>
        <w:rPr>
          <w:rFonts w:ascii="Times New Roman" w:hAnsi="Times New Roman" w:eastAsia="宋体"/>
          <w:b w:val="0"/>
          <w:sz w:val="21"/>
        </w:rPr>
        <w:t xml:space="preserve">表5-95 两参数交互差分</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交互参数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比较节点</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容载比交互差</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费用交互差/万元</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 × 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 7.5]；[0.3, 0.7]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 × 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 2.5]；[0.3, 0.7]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1379.91</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 × 储能支撑持续时间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 2.5]；[2, 6]</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22397.54</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 × 储能价格（分布式电源装机渗透率0.50）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 h；0.50/1.25倍</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 × 储能价格（分布式电源装机渗透率2.50）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 h；0.50/1.25倍</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-0.21</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16489.14</w:t>
            </w:r>
          </w:p>
        </w:tc>
      </w:tr>
    </w:tbl>
    <w:p>
      <w:pPr>
        <w:pStyle w:val="2"/>
        <w:widowControl/>
        <w:spacing w:line="348" w:lineRule="exact" w:before="0" w:after="0"/>
        <w:ind w:firstLine="480"/>
        <w:jc w:val="both"/>
      </w:pPr>
      <w:r>
        <w:rPr>
          <w:rFonts w:ascii="Times New Roman" w:hAnsi="Times New Roman" w:eastAsia="方正仿宋_GBK"/>
          <w:b w:val="0"/>
          <w:sz w:val="24"/>
        </w:rPr>
        <w:t xml:space="preserve">注：交互差为高高−高低−低高+低低；未列参数采用基准值。</w:t>
      </w:r>
    </w:p>
    <w:p>
      <w:pPr>
        <w:pStyle w:val="2"/>
        <w:widowControl/>
        <w:spacing w:line="348" w:lineRule="exact" w:before="0" w:after="0"/>
        <w:ind w:firstLine="480"/>
        <w:jc w:val="both"/>
      </w:pPr>
      <w:r>
        <w:rPr>
          <w:rFonts w:ascii="Times New Roman" w:hAnsi="Times New Roman" w:eastAsia="方正仿宋_GBK"/>
          <w:b w:val="0"/>
          <w:sz w:val="24"/>
        </w:rPr>
        <w:t xml:space="preserve">线路成本与初始转供率的交互反映存量网络和新增措施的替代条件；持续时间与储能价格的交互反映功率需求转化为储能能量及投资后的变化。交互差分限于所设离散点，不作连续单调关系或因果关系的无条件推断。</w:t>
      </w:r>
    </w:p>
    <w:p>
      <w:pPr>
        <w:pStyle w:val="5"/>
        <w:keepNext/>
        <w:numPr>
          <w:numId w:val="0"/>
        </w:numPr>
        <w:spacing w:line="390" w:lineRule="exact" w:before="160" w:after="120"/>
        <w:ind w:firstLine="0"/>
      </w:pPr>
      <w:bookmarkStart w:id="266" w:name="首尾档与计算结果的验证范围"/>
      <w:r>
        <w:rPr>
          <w:rFonts w:ascii="Times New Roman" w:hAnsi="Times New Roman" w:eastAsia="方正仿宋_GBK"/>
          <w:b/>
          <w:sz w:val="26"/>
        </w:rPr>
        <w:t xml:space="preserve">5.6.10 首尾档与计算结果的验证范围</w:t>
      </w:r>
      <w:bookmarkEnd w:id="266"/>
    </w:p>
    <w:p>
      <w:pPr>
        <w:pStyle w:val="FirstParagraph"/>
        <w:keepNext/>
        <w:spacing w:line="280" w:lineRule="exact" w:before="120" w:after="80"/>
        <w:ind w:firstLine="0"/>
        <w:jc w:val="center"/>
      </w:pPr>
      <w:r>
        <w:rPr>
          <w:rFonts w:ascii="Times New Roman" w:hAnsi="Times New Roman" w:eastAsia="宋体"/>
          <w:b w:val="0"/>
          <w:sz w:val="21"/>
        </w:rPr>
        <w:t xml:space="preserve">表5-96 首尾区间补充点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补充值</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组数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核验结果</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3.27～3.39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2.17～3.30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2.01～2.13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2.05～2.80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2.05～2.80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2.22～2.80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2.05～2.80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2.05～2.80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全部可行</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全部可行</w:t>
            </w:r>
          </w:p>
        </w:tc>
      </w:tr>
    </w:tbl>
    <w:p>
      <w:pPr>
        <w:pStyle w:val="2"/>
        <w:widowControl/>
        <w:spacing w:line="348" w:lineRule="exact" w:before="0" w:after="0"/>
        <w:ind w:firstLine="480"/>
        <w:jc w:val="both"/>
      </w:pPr>
      <w:r>
        <w:rPr>
          <w:rFonts w:ascii="Times New Roman" w:hAnsi="Times New Roman" w:eastAsia="方正仿宋_GBK"/>
          <w:b w:val="0"/>
          <w:sz w:val="24"/>
        </w:rPr>
        <w:t xml:space="preserve">初始网格以有限节点计算，并补充负增长、高增长、较高分布式电源装机渗透率和首尾成本等检查点。参数区间完整覆盖相应定义域，计算得到的容载比范围只对应已验证条件。个别参数组不能满足固定设备候选时，报告不可行及限制条件，不因所属区间已有可行结果而填入推荐值。</w:t>
      </w:r>
    </w:p>
    <w:p>
      <w:pPr>
        <w:pStyle w:val="4"/>
        <w:keepNext/>
        <w:numPr>
          <w:numId w:val="0"/>
        </w:numPr>
        <w:spacing w:line="480" w:lineRule="exact" w:before="160" w:after="120"/>
        <w:ind w:firstLine="0"/>
      </w:pPr>
      <w:bookmarkStart w:id="1998" w:name="h998"/>
      <w:bookmarkStart w:id="267" w:name="规划建议"/>
      <w:r>
        <w:rPr>
          <w:rFonts w:ascii="Times New Roman" w:hAnsi="Times New Roman" w:eastAsia="方正仿宋_GBK"/>
          <w:b/>
          <w:sz w:val="32"/>
        </w:rPr>
        <w:t xml:space="preserve">5.7 规划建议</w:t>
      </w:r>
      <w:bookmarkEnd w:id="267"/>
      <w:bookmarkEnd w:id="1998"/>
    </w:p>
    <w:p>
      <w:pPr>
        <w:pStyle w:val="5"/>
        <w:keepNext/>
        <w:numPr>
          <w:numId w:val="0"/>
        </w:numPr>
        <w:spacing w:line="390" w:lineRule="exact" w:before="160" w:after="120"/>
        <w:ind w:firstLine="0"/>
      </w:pPr>
      <w:bookmarkStart w:id="268" w:name="按源荷条件和网络能力选取容量"/>
      <w:r>
        <w:rPr>
          <w:rFonts w:ascii="Times New Roman" w:hAnsi="Times New Roman" w:eastAsia="方正仿宋_GBK"/>
          <w:b/>
          <w:sz w:val="26"/>
        </w:rPr>
        <w:t xml:space="preserve">5.7.1 按源荷条件和网络能力选取容量</w:t>
      </w:r>
      <w:bookmarkEnd w:id="268"/>
    </w:p>
    <w:p>
      <w:pPr>
        <w:pStyle w:val="FirstParagraph"/>
        <w:widowControl/>
        <w:spacing w:line="348" w:lineRule="exact" w:before="0" w:after="0"/>
        <w:ind w:firstLine="480"/>
        <w:jc w:val="both"/>
      </w:pPr>
      <w:r>
        <w:rPr>
          <w:rFonts w:ascii="Times New Roman" w:hAnsi="Times New Roman" w:eastAsia="方正仿宋_GBK"/>
          <w:b w:val="0"/>
          <w:sz w:val="24"/>
        </w:rPr>
        <w:t xml:space="preserve">邳州应同时校核晚间正向供电与日间反向输送，市区重点核实局部负荷、存量10 kV联络和邻站承接能力。市区A/B分区资料不足时，可采用40%作为B类主导的研究参考，比较30%—50%的网络条件；该比例不能直接生成无路径的免费转供能力。待取得分区负荷和存量网络后，再按一致的负荷基数核定区域参数。</w:t>
      </w:r>
    </w:p>
    <w:p>
      <w:pPr>
        <w:pStyle w:val="5"/>
        <w:keepNext/>
        <w:numPr>
          <w:numId w:val="0"/>
        </w:numPr>
        <w:spacing w:line="390" w:lineRule="exact" w:before="160" w:after="120"/>
        <w:ind w:firstLine="0"/>
      </w:pPr>
      <w:bookmarkStart w:id="269" w:name="统筹主变储能及联络建设"/>
      <w:r>
        <w:rPr>
          <w:rFonts w:ascii="Times New Roman" w:hAnsi="Times New Roman" w:eastAsia="方正仿宋_GBK"/>
          <w:b/>
          <w:sz w:val="26"/>
        </w:rPr>
        <w:t xml:space="preserve">5.7.2 统筹主变、储能及联络建设</w:t>
      </w:r>
      <w:bookmarkEnd w:id="269"/>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不直接按光伏装机比例配置。</w:t>
      </w:r>
    </w:p>
    <w:p>
      <w:pPr>
        <w:pStyle w:val="5"/>
        <w:keepNext/>
        <w:numPr>
          <w:numId w:val="0"/>
        </w:numPr>
        <w:spacing w:line="390" w:lineRule="exact" w:before="160" w:after="120"/>
        <w:ind w:firstLine="0"/>
      </w:pPr>
      <w:bookmarkStart w:id="270" w:name="保留参数区间滚动更新计算依据"/>
      <w:r>
        <w:rPr>
          <w:rFonts w:ascii="Times New Roman" w:hAnsi="Times New Roman" w:eastAsia="方正仿宋_GBK"/>
          <w:b/>
          <w:sz w:val="26"/>
        </w:rPr>
        <w:t xml:space="preserve">5.7.3 保留参数区间，滚动更新计算依据</w:t>
      </w:r>
      <w:bookmarkEnd w:id="270"/>
    </w:p>
    <w:p>
      <w:pPr>
        <w:pStyle w:val="FirstParagraph"/>
        <w:widowControl/>
        <w:spacing w:line="348" w:lineRule="exact" w:before="0" w:after="0"/>
        <w:ind w:firstLine="480"/>
        <w:jc w:val="both"/>
      </w:pPr>
      <w:r>
        <w:rPr>
          <w:rFonts w:ascii="Times New Roman" w:hAnsi="Times New Roman" w:eastAsia="方正仿宋_GBK"/>
          <w:b w:val="0"/>
          <w:sz w:val="24"/>
        </w:rPr>
        <w:t xml:space="preserve">参数查表沿用首尾开口区间，年度新增数据用于更新各区间内的计算结果和适用条件。线路造价、储能采购价、可用间隔或候选网络改变后，重新比较费用和配置，保持容载比、设备方案及工程投入之间的一致关系。</w:t>
      </w:r>
    </w:p>
    <w:p>
      <w:pPr>
        <w:pStyle w:val="5"/>
        <w:keepNext/>
        <w:numPr>
          <w:numId w:val="0"/>
        </w:numPr>
        <w:spacing w:line="390" w:lineRule="exact" w:before="160" w:after="120"/>
        <w:ind w:firstLine="0"/>
      </w:pPr>
      <w:bookmarkStart w:id="271" w:name="相同源荷条件下的推荐区间选择"/>
      <w:r>
        <w:rPr>
          <w:rFonts w:ascii="Times New Roman" w:hAnsi="Times New Roman" w:eastAsia="方正仿宋_GBK"/>
          <w:b/>
          <w:sz w:val="26"/>
        </w:rPr>
        <w:t xml:space="preserve">5.7.4 相同源荷条件下的推荐区间选择</w:t>
      </w:r>
      <w:bookmarkEnd w:id="271"/>
    </w:p>
    <w:p>
      <w:pPr>
        <w:pStyle w:val="FirstParagraph"/>
        <w:widowControl/>
        <w:spacing w:line="348" w:lineRule="exact" w:before="0" w:after="0"/>
        <w:ind w:firstLine="480"/>
        <w:jc w:val="both"/>
      </w:pPr>
      <w:r>
        <w:rPr>
          <w:rFonts w:ascii="Times New Roman" w:hAnsi="Times New Roman" w:eastAsia="方正仿宋_GBK"/>
          <w:b w:val="0"/>
          <w:sz w:val="24"/>
        </w:rPr>
        <w:t xml:space="preserve">以分布式电源装机渗透率1.50、增长率4%、线路成本系数4.25和持续时间4 h为例，比较不同初始转供率。增长率4%归入大于2%且不大于4%的档，持续时间4 h归入大于2 h且不大于4 h的档，均按左开右闭原则确定。</w:t>
      </w:r>
    </w:p>
    <w:p>
      <w:pPr>
        <w:pStyle w:val="2"/>
        <w:keepNext/>
        <w:spacing w:line="280" w:lineRule="exact" w:before="120" w:after="80"/>
        <w:ind w:firstLine="0"/>
        <w:jc w:val="center"/>
      </w:pPr>
      <w:r>
        <w:rPr>
          <w:rFonts w:ascii="Times New Roman" w:hAnsi="Times New Roman" w:eastAsia="宋体"/>
          <w:b w:val="0"/>
          <w:sz w:val="21"/>
        </w:rPr>
        <w:t xml:space="preserve">表5-97 相同源荷和成本条件下不同初始转供率的配置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2759.81</w:t>
            </w:r>
          </w:p>
        </w:tc>
      </w:tr>
    </w:tbl>
    <w:p>
      <w:pPr>
        <w:pStyle w:val="2"/>
        <w:widowControl/>
        <w:spacing w:line="348" w:lineRule="exact" w:before="0" w:after="0"/>
        <w:ind w:firstLine="480"/>
        <w:jc w:val="both"/>
      </w:pPr>
      <w:r>
        <w:rPr>
          <w:rFonts w:ascii="Times New Roman" w:hAnsi="Times New Roman" w:eastAsia="方正仿宋_GBK"/>
          <w:b w:val="0"/>
          <w:sz w:val="24"/>
        </w:rPr>
        <w:t xml:space="preserve">注：分布式电源装机渗透率1.50，增长率4%，线路成本系数4.25，持续时间4 h。</w:t>
      </w:r>
    </w:p>
    <w:p>
      <w:pPr>
        <w:pStyle w:val="2"/>
        <w:widowControl/>
        <w:spacing w:line="348" w:lineRule="exact" w:before="0" w:after="0"/>
        <w:ind w:firstLine="480"/>
        <w:jc w:val="both"/>
      </w:pPr>
      <w:r>
        <w:rPr>
          <w:rFonts w:ascii="Times New Roman" w:hAnsi="Times New Roman" w:eastAsia="方正仿宋_GBK"/>
          <w:b w:val="0"/>
          <w:sz w:val="24"/>
        </w:rPr>
        <w:t xml:space="preserve">查表使用输入区间，工程落实使用具体参数及设备组合。相同源荷和价格下的初始转供率变化，表示网络条件改变，需有对应存量路径和馈线能力支撑。若实际初始设备、负荷空间分布或扩建位置与模板不同，应重新计算设备配置，不能直接把模板容量按地区负荷等比例放大。</w:t>
      </w:r>
    </w:p>
    <w:p>
      <w:pPr>
        <w:pStyle w:val="2"/>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推荐区间与地区年网供最大负荷结合，可得到区域主变容量的初步范围。例如年网供最大负荷1000.00 MW时，容载比每变化0.10，对应公用主变总容量变化100.00 MVA。这一数量关系说明，小幅比值差异在较大区域内也会对应明确的设备规模。容量分配仍应按各站正反向负荷和主变N-1条件安排，不能只按区域总量平均分配。</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有多组设备组合。对具备扩建位置且停运后剩余容量不足的站，增加主变台数可能较有利；对已有较大主变但峰值缺口较短的站，储能可能补充局部需求；对邻站余量较大且联络条件较好的站，负荷转接能够减少本站新增容量。区域推荐值应与逐站措施一并形成，便于解释容量储备的来源和投资用途。</w:t>
      </w:r>
    </w:p>
    <w:p>
      <w:pPr>
        <w:pStyle w:val="5"/>
        <w:keepNext/>
        <w:numPr>
          <w:numId w:val="0"/>
        </w:numPr>
        <w:spacing w:line="390" w:lineRule="exact" w:before="160" w:after="120"/>
        <w:ind w:firstLine="0"/>
      </w:pPr>
      <w:bookmarkStart w:id="272" w:name="邳州与市区建设措施的综合比较"/>
      <w:r>
        <w:rPr>
          <w:rFonts w:ascii="Times New Roman" w:hAnsi="Times New Roman" w:eastAsia="方正仿宋_GBK"/>
          <w:b/>
          <w:sz w:val="26"/>
        </w:rPr>
        <w:t xml:space="preserve">5.7.5 邳州与市区建设措施的综合比较</w:t>
      </w:r>
      <w:bookmarkEnd w:id="272"/>
    </w:p>
    <w:p>
      <w:pPr>
        <w:pStyle w:val="FirstParagraph"/>
        <w:widowControl/>
        <w:spacing w:line="348" w:lineRule="exact" w:before="0" w:after="0"/>
        <w:ind w:firstLine="480"/>
        <w:jc w:val="both"/>
      </w:pPr>
      <w:r>
        <w:rPr>
          <w:rFonts w:ascii="Times New Roman" w:hAnsi="Times New Roman" w:eastAsia="方正仿宋_GBK"/>
          <w:b w:val="0"/>
          <w:sz w:val="24"/>
        </w:rPr>
        <w:t xml:space="preserve">两地区的弹性方案均增加了区域主变容量，但逐站建设方式并不一致。部分站更换既有主变，部分站扩建第三台，部分站保持原有设备并利用邻站支援。地区比值反映总容量与负荷的关系，逐站年度表反映设备和转供任务，两者共同说明新增容量的具体用途。</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邳州弹性方案目标年主变容量1955.50 MVA、容载比2.04，未配置储能，累计新增联络30条。市区为3324.00 MVA、容载比2.17，储能0.50 MW/1.075 MWh，累计新增联络64条。不同地区的容量和费用关系由实际年度负荷、仿真设备及候选网络共同形成，不预设排序。</w:t>
      </w:r>
    </w:p>
    <w:p>
      <w:pPr>
        <w:pStyle w:val="2"/>
        <w:widowControl/>
        <w:spacing w:line="348" w:lineRule="exact" w:before="0" w:after="0"/>
        <w:ind w:firstLine="480"/>
        <w:jc w:val="both"/>
      </w:pPr>
      <w:r>
        <w:rPr>
          <w:rFonts w:ascii="Times New Roman" w:hAnsi="Times New Roman" w:eastAsia="方正仿宋_GBK"/>
          <w:b w:val="0"/>
          <w:sz w:val="24"/>
        </w:rPr>
        <w:t xml:space="preserve">两地区刚性方案评价期费用现值合计120219.30万元，弹性方案为84449.61万元，减少约30%。后续若完善市区存量网络或调整工程价格，应同时更新技术约束和费用，重新核对具体建设组合。</w:t>
      </w:r>
    </w:p>
    <w:p>
      <w:pPr>
        <w:pStyle w:val="2"/>
        <w:widowControl/>
        <w:spacing w:line="348" w:lineRule="exact" w:before="0" w:after="0"/>
        <w:ind w:firstLine="480"/>
        <w:jc w:val="both"/>
      </w:pPr>
      <w:r>
        <w:rPr>
          <w:rFonts w:ascii="Times New Roman" w:hAnsi="Times New Roman" w:eastAsia="方正仿宋_GBK"/>
          <w:b w:val="0"/>
          <w:sz w:val="24"/>
        </w:rPr>
        <w:t xml:space="preserve">年度建设需先满足当年需求，再利用后续在役容量。实际负荷回落可以增加同一容量下的比值，负荷恢复可以消耗已有储备；整台主变的离散投运又使容量按项目变化。推荐区间提供前期比选范围，逐站工程和建设时点用于落实</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的规划方案。</w:t>
      </w:r>
    </w:p>
    <w:p>
      <w:pPr>
        <w:pStyle w:val="3"/>
        <w:keepNext/>
        <w:pageBreakBefore/>
        <w:numPr>
          <w:numId w:val="0"/>
        </w:numPr>
        <w:spacing w:line="540" w:lineRule="exact" w:before="0" w:after="120"/>
        <w:ind w:firstLine="0"/>
      </w:pPr>
      <w:bookmarkStart w:id="2017" w:name="h1017"/>
      <w:bookmarkStart w:id="273" w:name="第六章-结论与建议"/>
      <w:r>
        <w:rPr>
          <w:rFonts w:ascii="Times New Roman" w:hAnsi="Times New Roman" w:eastAsia="方正仿宋_GBK"/>
          <w:b/>
          <w:sz w:val="36"/>
        </w:rPr>
        <w:t xml:space="preserve">第六章 结论与建议</w:t>
      </w:r>
      <w:bookmarkEnd w:id="273"/>
      <w:bookmarkEnd w:id="2017"/>
    </w:p>
    <w:p>
      <w:pPr>
        <w:pStyle w:val="FirstParagraph"/>
        <w:widowControl/>
        <w:spacing w:line="348" w:lineRule="exact" w:before="0" w:after="0"/>
        <w:ind w:firstLine="480"/>
        <w:jc w:val="both"/>
      </w:pPr>
      <w:r>
        <w:rPr>
          <w:rFonts w:ascii="Times New Roman" w:hAnsi="Times New Roman" w:eastAsia="方正仿宋_GBK"/>
          <w:b w:val="0"/>
          <w:sz w:val="24"/>
        </w:rPr>
        <w:t xml:space="preserve">本项目针对分布式新能源接入后110 kV变电容量配置与站级运行需求的变化，以邳州和市区为案例，分析源荷特征，建立工程费用模型，并开展主变增容、储能和10 kV联络的联合寻优。在两地区刚性与弹性方案对比基础上，进一步拓展源荷及经济参数，形成弹性容载比推荐区间及适用条件，供不同片区比选。</w:t>
      </w:r>
    </w:p>
    <w:p>
      <w:pPr>
        <w:pStyle w:val="4"/>
        <w:keepNext/>
        <w:numPr>
          <w:numId w:val="0"/>
        </w:numPr>
        <w:spacing w:line="480" w:lineRule="exact" w:before="160" w:after="120"/>
        <w:ind w:firstLine="0"/>
      </w:pPr>
      <w:bookmarkStart w:id="2019" w:name="h1019"/>
      <w:bookmarkStart w:id="274" w:name="主要研究结论"/>
      <w:r>
        <w:rPr>
          <w:rFonts w:ascii="Times New Roman" w:hAnsi="Times New Roman" w:eastAsia="方正仿宋_GBK"/>
          <w:b/>
          <w:sz w:val="32"/>
        </w:rPr>
        <w:t xml:space="preserve">6.1 主要研究结论</w:t>
      </w:r>
      <w:bookmarkEnd w:id="274"/>
      <w:bookmarkEnd w:id="2019"/>
    </w:p>
    <w:p>
      <w:pPr>
        <w:pStyle w:val="5"/>
        <w:keepNext/>
        <w:numPr>
          <w:numId w:val="0"/>
        </w:numPr>
        <w:spacing w:line="390" w:lineRule="exact" w:before="160" w:after="120"/>
        <w:ind w:firstLine="0"/>
      </w:pPr>
      <w:bookmarkStart w:id="275" w:name="容载比与局部容量压力应结合分析"/>
      <w:r>
        <w:rPr>
          <w:rFonts w:ascii="Times New Roman" w:hAnsi="Times New Roman" w:eastAsia="方正仿宋_GBK"/>
          <w:b/>
          <w:sz w:val="26"/>
        </w:rPr>
        <w:t xml:space="preserve">6.1.1 容载比与局部容量压力应结合分析</w:t>
      </w:r>
      <w:bookmarkEnd w:id="275"/>
    </w:p>
    <w:p>
      <w:pPr>
        <w:pStyle w:val="FirstParagraph"/>
        <w:widowControl/>
        <w:spacing w:line="348" w:lineRule="exact" w:before="0" w:after="0"/>
        <w:ind w:firstLine="480"/>
        <w:jc w:val="both"/>
      </w:pPr>
      <w:r>
        <w:rPr>
          <w:rFonts w:ascii="Times New Roman" w:hAnsi="Times New Roman" w:eastAsia="方正仿宋_GBK"/>
          <w:b w:val="0"/>
          <w:sz w:val="24"/>
        </w:rPr>
        <w:t xml:space="preserve">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pPr>
        <w:pStyle w:val="2"/>
        <w:widowControl/>
        <w:spacing w:line="348" w:lineRule="exact" w:before="0" w:after="0"/>
        <w:ind w:firstLine="480"/>
        <w:jc w:val="both"/>
      </w:pPr>
      <w:r>
        <w:rPr>
          <w:rFonts w:ascii="Times New Roman" w:hAnsi="Times New Roman" w:eastAsia="方正仿宋_GBK"/>
          <w:b w:val="0"/>
          <w:sz w:val="24"/>
        </w:rPr>
        <w:t xml:space="preserve">2021—2025年年最大净负荷平均增长率按复合开根方式计算，邳州为7%、市区为1%。地区案例采用实际年度负荷，保留负荷回落及其引起的容载比变化，不以平均增长曲线替换已知数据。</w:t>
      </w:r>
    </w:p>
    <w:p>
      <w:pPr>
        <w:pStyle w:val="2"/>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5"/>
        <w:keepNext/>
        <w:numPr>
          <w:numId w:val="0"/>
        </w:numPr>
        <w:spacing w:line="390" w:lineRule="exact" w:before="160" w:after="120"/>
        <w:ind w:firstLine="0"/>
      </w:pPr>
      <w:bookmarkStart w:id="276" w:name="弹性容量配置降低了所设条件下的方案费用"/>
      <w:r>
        <w:rPr>
          <w:rFonts w:ascii="Times New Roman" w:hAnsi="Times New Roman" w:eastAsia="方正仿宋_GBK"/>
          <w:b/>
          <w:sz w:val="26"/>
        </w:rPr>
        <w:t xml:space="preserve">6.1.2 弹性容量配置降低了所设条件下的方案费用</w:t>
      </w:r>
      <w:bookmarkEnd w:id="276"/>
    </w:p>
    <w:p>
      <w:pPr>
        <w:pStyle w:val="FirstParagraph"/>
        <w:widowControl/>
        <w:spacing w:line="348" w:lineRule="exact" w:before="0" w:after="0"/>
        <w:ind w:firstLine="480"/>
        <w:jc w:val="both"/>
      </w:pPr>
      <w:r>
        <w:rPr>
          <w:rFonts w:ascii="Times New Roman" w:hAnsi="Times New Roman" w:eastAsia="方正仿宋_GBK"/>
          <w:b w:val="0"/>
          <w:sz w:val="24"/>
        </w:rPr>
        <w:t xml:space="preserve">在相同初始设备、年度负荷、候选网络和4 h正向储能支撑条件下，邳州弹性方案2025年主变容量为1955.50 MVA、容载比2.04；市区为3324.00 MVA、2.17。两地区刚性可行方案费用合计120219.30万元，弹性合计84449.61万元，当前候选费用减少30%。</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邳州弹性方案未配置储能，市区配置0.50 MW/1.075 MWh。刚性方案中，两地区目标年储能额定功率分别为32.90 MW、4.80 MW。增容和联络能够减少储能需求，但是否完全替代储能取决于局部网络、设备候选和持续时间。当前刚性无储能四年模型不可行，2022年必要容量下界已超过刚性允许范围；该结论限于本研究候选集合。</w:t>
      </w:r>
    </w:p>
    <w:p>
      <w:pPr>
        <w:pStyle w:val="5"/>
        <w:keepNext/>
        <w:numPr>
          <w:numId w:val="0"/>
        </w:numPr>
        <w:spacing w:line="390" w:lineRule="exact" w:before="160" w:after="120"/>
        <w:ind w:firstLine="0"/>
      </w:pPr>
      <w:bookmarkStart w:id="277"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77"/>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48" w:lineRule="exact" w:before="0" w:after="0"/>
        <w:ind w:firstLine="480"/>
        <w:jc w:val="both"/>
      </w:pPr>
      <w:r>
        <w:rPr>
          <w:rFonts w:ascii="Times New Roman" w:hAnsi="Times New Roman" w:eastAsia="方正仿宋_GBK"/>
          <w:b w:val="0"/>
          <w:sz w:val="24"/>
        </w:rPr>
        <w:t xml:space="preserve">当前模型将转接功率绑定具体馈线和站间候选，既有边不重复计建设费用，新增边按投运年计费。共用馈线的联络共用可转负荷和接收余量，邻站主变同时通过容量校核。市区40%为B类主导背景下的参数研究参考，尚不能作为已核实的地区实际转供率。</w:t>
      </w:r>
    </w:p>
    <w:p>
      <w:pPr>
        <w:pStyle w:val="5"/>
        <w:keepNext/>
        <w:numPr>
          <w:numId w:val="0"/>
        </w:numPr>
        <w:spacing w:line="390" w:lineRule="exact" w:before="160" w:after="120"/>
        <w:ind w:firstLine="0"/>
      </w:pPr>
      <w:bookmarkStart w:id="278" w:name="六参数矩阵给出有条件的容载比范围"/>
      <w:r>
        <w:rPr>
          <w:rFonts w:ascii="Times New Roman" w:hAnsi="Times New Roman" w:eastAsia="方正仿宋_GBK"/>
          <w:b/>
          <w:sz w:val="26"/>
        </w:rPr>
        <w:t xml:space="preserve">6.1.4 六参数矩阵给出有条件的容载比范围</w:t>
      </w:r>
      <w:bookmarkEnd w:id="278"/>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采用分布式电源装机渗透率、年最大净负荷平均增长率、线路成本系数、初始转供率、储能支撑持续时间及负荷分散系数，储能价格另作专项分析。12600组推广计算形成648个参数区间单元，容载比计算值总体为2.01～3.28。该总体范围包含不同源荷和网络条件，不作为所有地区共用的推荐上下限。</w:t>
      </w:r>
    </w:p>
    <w:p>
      <w:pPr>
        <w:pStyle w:val="2"/>
        <w:widowControl/>
        <w:spacing w:line="348" w:lineRule="exact" w:before="0" w:after="0"/>
        <w:ind w:firstLine="480"/>
        <w:jc w:val="both"/>
      </w:pPr>
      <w:r>
        <w:rPr>
          <w:rFonts w:ascii="Times New Roman" w:hAnsi="Times New Roman" w:eastAsia="方正仿宋_GBK"/>
          <w:b w:val="0"/>
          <w:sz w:val="24"/>
        </w:rPr>
        <w:t xml:space="preserve">输入参数采用首尾开口区间，增长分界与DL/T 5729—2023表6.3.4一致；其他分界为研究设置。容载比输出仍取已验证样本的有限范围，不因输入区间开口而延伸。分布式电源装机渗透率与容载比在主网格中的Pearson系数为0.81，年最大净负荷平均增长率为-0.30；线路成本系数的总体相关较弱，但局部配对仍出现配置切换。相关分析与受控配对、交互差分结合解释，不能仅凭总体相关删除参数。</w:t>
      </w:r>
    </w:p>
    <w:p>
      <w:pPr>
        <w:pStyle w:val="4"/>
        <w:keepNext/>
        <w:numPr>
          <w:numId w:val="0"/>
        </w:numPr>
        <w:spacing w:line="480" w:lineRule="exact" w:before="160" w:after="120"/>
        <w:ind w:firstLine="0"/>
      </w:pPr>
      <w:bookmarkStart w:id="2033" w:name="h1033"/>
      <w:bookmarkStart w:id="279" w:name="规划应用建议"/>
      <w:r>
        <w:rPr>
          <w:rFonts w:ascii="Times New Roman" w:hAnsi="Times New Roman" w:eastAsia="方正仿宋_GBK"/>
          <w:b/>
          <w:sz w:val="32"/>
        </w:rPr>
        <w:t xml:space="preserve">6.2 规划应用建议</w:t>
      </w:r>
      <w:bookmarkEnd w:id="279"/>
      <w:bookmarkEnd w:id="2033"/>
    </w:p>
    <w:p>
      <w:pPr>
        <w:pStyle w:val="5"/>
        <w:keepNext/>
        <w:numPr>
          <w:numId w:val="0"/>
        </w:numPr>
        <w:spacing w:line="390" w:lineRule="exact" w:before="160" w:after="120"/>
        <w:ind w:firstLine="0"/>
      </w:pPr>
      <w:bookmarkStart w:id="280" w:name="按输入区间查表再落实设备方案"/>
      <w:r>
        <w:rPr>
          <w:rFonts w:ascii="Times New Roman" w:hAnsi="Times New Roman" w:eastAsia="方正仿宋_GBK"/>
          <w:b/>
          <w:sz w:val="26"/>
        </w:rPr>
        <w:t xml:space="preserve">6.2.1 按输入区间查表，再落实设备方案</w:t>
      </w:r>
      <w:bookmarkEnd w:id="280"/>
    </w:p>
    <w:p>
      <w:pPr>
        <w:pStyle w:val="FirstParagraph"/>
        <w:widowControl/>
        <w:spacing w:line="348" w:lineRule="exact" w:before="0" w:after="0"/>
        <w:ind w:firstLine="480"/>
        <w:jc w:val="both"/>
      </w:pPr>
      <w:r>
        <w:rPr>
          <w:rFonts w:ascii="Times New Roman" w:hAnsi="Times New Roman" w:eastAsia="方正仿宋_GBK"/>
          <w:b w:val="0"/>
          <w:sz w:val="24"/>
        </w:rPr>
        <w:t xml:space="preserve">先按同一统计范围计算源荷指标和复合增长率，以完整精度判断参数区间；再核对初始主变、负荷分散系数、联络路径及可扩建位置。查表范围用于初步比选，最终容载比应由可实施的设备组合与同年网供峰值计算。最大容量由设备和站址条件确定。</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281" w:name="核实分区转供能力与储能支撑条件"/>
      <w:r>
        <w:rPr>
          <w:rFonts w:ascii="Times New Roman" w:hAnsi="Times New Roman" w:eastAsia="方正仿宋_GBK"/>
          <w:b/>
          <w:sz w:val="26"/>
        </w:rPr>
        <w:t xml:space="preserve">6.2.2 核实分区转供能力与储能支撑条件</w:t>
      </w:r>
      <w:bookmarkEnd w:id="281"/>
    </w:p>
    <w:p>
      <w:pPr>
        <w:pStyle w:val="FirstParagraph"/>
        <w:widowControl/>
        <w:spacing w:line="348" w:lineRule="exact" w:before="0" w:after="0"/>
        <w:ind w:firstLine="480"/>
        <w:jc w:val="both"/>
      </w:pPr>
      <w:r>
        <w:rPr>
          <w:rFonts w:ascii="Times New Roman" w:hAnsi="Times New Roman" w:eastAsia="方正仿宋_GBK"/>
          <w:b w:val="0"/>
          <w:sz w:val="24"/>
        </w:rPr>
        <w:t xml:space="preserve">市区按A类较少、B类较多的研究背景，以40%作为B类区间中值参考，比较30%～50%；待分区负荷及存量网络资料齐备后，核定实际转供率。现有联络须对应具体路径，新增联络按建设项目计费，并共同校核馈线接收余量和邻站主变能力。</w:t>
      </w:r>
    </w:p>
    <w:p>
      <w:pPr>
        <w:pStyle w:val="2"/>
        <w:widowControl/>
        <w:spacing w:line="348" w:lineRule="exact" w:before="0" w:after="0"/>
        <w:ind w:firstLine="480"/>
        <w:jc w:val="both"/>
      </w:pPr>
      <w:r>
        <w:rPr>
          <w:rFonts w:ascii="Times New Roman" w:hAnsi="Times New Roman" w:eastAsia="方正仿宋_GBK"/>
          <w:b w:val="0"/>
          <w:sz w:val="24"/>
        </w:rPr>
        <w:t xml:space="preserve">储能4 h用于本次统一比较，工程应用结合地区网供峰值曲线、容量缺口持续时间及故障恢复条件确定实际需求。可用电量与充电空间均需校核，不能把95%近峰事件时长直接等同于储能保证支撑时间。</w:t>
      </w:r>
    </w:p>
    <w:p>
      <w:pPr>
        <w:pStyle w:val="2"/>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5"/>
        <w:keepNext/>
        <w:numPr>
          <w:numId w:val="0"/>
        </w:numPr>
        <w:spacing w:line="390" w:lineRule="exact" w:before="160" w:after="120"/>
        <w:ind w:firstLine="0"/>
      </w:pPr>
      <w:bookmarkStart w:id="282" w:name="随数据和工程条件更新结果"/>
      <w:r>
        <w:rPr>
          <w:rFonts w:ascii="Times New Roman" w:hAnsi="Times New Roman" w:eastAsia="方正仿宋_GBK"/>
          <w:b/>
          <w:sz w:val="26"/>
        </w:rPr>
        <w:t xml:space="preserve">6.2.3 随数据和工程条件更新结果</w:t>
      </w:r>
      <w:bookmarkEnd w:id="282"/>
    </w:p>
    <w:p>
      <w:pPr>
        <w:pStyle w:val="FirstParagraph"/>
        <w:widowControl/>
        <w:spacing w:line="348" w:lineRule="exact" w:before="0" w:after="0"/>
        <w:ind w:firstLine="480"/>
        <w:jc w:val="both"/>
      </w:pPr>
      <w:r>
        <w:rPr>
          <w:rFonts w:ascii="Times New Roman" w:hAnsi="Times New Roman" w:eastAsia="方正仿宋_GBK"/>
          <w:b w:val="0"/>
          <w:sz w:val="24"/>
        </w:rPr>
        <w:t xml:space="preserve">保留输入参数的区间形式，新增年度资料用于更新区间内的计算节点和设备配置。线路造价、储能价格、负荷分布或可用间隔改变后，按统一费用范围重新比较，不仅调整表中比值。</w:t>
      </w:r>
    </w:p>
    <w:p>
      <w:pPr>
        <w:pStyle w:val="2"/>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pPr>
        <w:pStyle w:val="4"/>
        <w:keepNext/>
        <w:numPr>
          <w:numId w:val="0"/>
        </w:numPr>
        <w:spacing w:line="480" w:lineRule="exact" w:before="160" w:after="120"/>
        <w:ind w:firstLine="0"/>
      </w:pPr>
      <w:bookmarkStart w:id="2045" w:name="h1045"/>
      <w:bookmarkStart w:id="283" w:name="后续研究方向"/>
      <w:r>
        <w:rPr>
          <w:rFonts w:ascii="Times New Roman" w:hAnsi="Times New Roman" w:eastAsia="方正仿宋_GBK"/>
          <w:b/>
          <w:sz w:val="32"/>
        </w:rPr>
        <w:t xml:space="preserve">6.3 后续研究方向</w:t>
      </w:r>
      <w:bookmarkEnd w:id="283"/>
      <w:bookmarkEnd w:id="2045"/>
    </w:p>
    <w:p>
      <w:pPr>
        <w:pStyle w:val="FirstParagraph"/>
        <w:widowControl/>
        <w:spacing w:line="348" w:lineRule="exact" w:before="0" w:after="0"/>
        <w:ind w:firstLine="480"/>
        <w:jc w:val="both"/>
      </w:pPr>
      <w:r>
        <w:rPr>
          <w:rFonts w:ascii="Times New Roman" w:hAnsi="Times New Roman" w:eastAsia="方正仿宋_GBK"/>
          <w:b w:val="0"/>
          <w:sz w:val="24"/>
        </w:rPr>
        <w:t xml:space="preserve">当前地区案例采用两类静态工况，未开展逐时荷电状态、电压或保护仿真；市区部分网络能力及设备条件采用研究假设。费用包括共同评价期内的建设、固定运维及规定更新，尚未纳入期末残值、储能充电和损耗等科目。研究结果用于当前假定下的技术经济比选，具体建设需以核定网络和工程资料进一步校核。</w:t>
      </w:r>
    </w:p>
    <w:p>
      <w:pPr>
        <w:pStyle w:val="5"/>
        <w:keepNext/>
        <w:numPr>
          <w:numId w:val="0"/>
        </w:numPr>
        <w:spacing w:line="390" w:lineRule="exact" w:before="160" w:after="120"/>
        <w:ind w:firstLine="0"/>
      </w:pPr>
      <w:bookmarkStart w:id="284" w:name="深化储能运行与实际网络校核"/>
      <w:r>
        <w:rPr>
          <w:rFonts w:ascii="Times New Roman" w:hAnsi="Times New Roman" w:eastAsia="方正仿宋_GBK"/>
          <w:b/>
          <w:sz w:val="26"/>
        </w:rPr>
        <w:t xml:space="preserve">6.3.1 深化储能运行与实际网络校核</w:t>
      </w:r>
      <w:bookmarkEnd w:id="284"/>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pPr>
        <w:pStyle w:val="5"/>
        <w:keepNext/>
        <w:numPr>
          <w:numId w:val="0"/>
        </w:numPr>
        <w:spacing w:line="390" w:lineRule="exact" w:before="160" w:after="120"/>
        <w:ind w:firstLine="0"/>
      </w:pPr>
      <w:bookmarkStart w:id="285" w:name="拓展片区结构和经济参数"/>
      <w:r>
        <w:rPr>
          <w:rFonts w:ascii="Times New Roman" w:hAnsi="Times New Roman" w:eastAsia="方正仿宋_GBK"/>
          <w:b/>
          <w:sz w:val="26"/>
        </w:rPr>
        <w:t xml:space="preserve">6.3.2 拓展片区结构和经济参数</w:t>
      </w:r>
      <w:bookmarkEnd w:id="285"/>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pPr>
        <w:pStyle w:val="3"/>
        <w:keepNext/>
        <w:pageBreakBefore/>
        <w:numPr>
          <w:numId w:val="0"/>
        </w:numPr>
        <w:spacing w:line="540" w:lineRule="exact" w:before="0" w:after="120"/>
        <w:ind w:firstLine="0"/>
      </w:pPr>
      <w:bookmarkStart w:id="2051" w:name="h1051"/>
      <w:bookmarkStart w:id="286" w:name="参考文献"/>
      <w:r>
        <w:rPr>
          <w:rFonts w:ascii="Times New Roman" w:hAnsi="Times New Roman" w:eastAsia="方正仿宋_GBK"/>
          <w:b/>
          <w:sz w:val="36"/>
        </w:rPr>
        <w:t xml:space="preserve">参考文献</w:t>
      </w:r>
      <w:bookmarkEnd w:id="286"/>
      <w:bookmarkEnd w:id="2051"/>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[9]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[12]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[13]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[14]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[15]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[16]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[17]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[18]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[19]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[20]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[21]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[22]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[23]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[24]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[25]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[26]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[27]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[28]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[29]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[30]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[31]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[32]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[33]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[34]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[35]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[36]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[37]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[38]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[39]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[40]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[41]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[42]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[43]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[44]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[45]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[46]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[47]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[48]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[49]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[50]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[51]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[52]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[53]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[54]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[55]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[56]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[57]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[58]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[59]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[60]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[61]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[62]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[63]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[64]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[65]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[87]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[88]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[89]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[90]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[91]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[92]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[93] 李阳彤, 王主丁, 陈琳, 等. 基于变电站容量概率规划的分布式电源可信度和有源配电网容载比计算分析[J]. 电网技术, 2026, 50(2): 619-628. DOI: 10.13335/j.1000-3673.pst.2024.1440.</w:t>
      </w:r>
    </w:p>
    <w:p>
      <w:pPr>
        <w:pStyle w:val="2"/>
        <w:widowControl/>
        <w:spacing w:line="320" w:lineRule="exact" w:before="0" w:after="80"/>
        <w:ind w:firstLine="0"/>
        <w:jc w:val="left"/>
      </w:pPr>
      <w:r>
        <w:rPr>
          <w:rFonts w:ascii="Times New Roman" w:hAnsi="Times New Roman" w:eastAsia="方正仿宋_GBK"/>
          <w:b w:val="0"/>
          <w:sz w:val="21"/>
        </w:rPr>
        <w:t xml:space="preserve">[94]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[95] National Institute of Standards and Technology. Dataplot: Rank Correlation Independence Test[EB/OL]. [2026-10-07]. https://www.itl.nist.gov/div898/software/dataplot/refman1/auxillar/rankcorr.htm.</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191" Type="http://schemas.openxmlformats.org/officeDocument/2006/relationships/image" Target="media/rId191.png"/><Relationship Id="rId98" Type="http://schemas.openxmlformats.org/officeDocument/2006/relationships/image" Target="media/rId98.png"/><Relationship Id="rId111" Type="http://schemas.openxmlformats.org/officeDocument/2006/relationships/image" Target="media/rId111.png"/><Relationship Id="rId123" Type="http://schemas.openxmlformats.org/officeDocument/2006/relationships/image" Target="media/rId123.png"/><Relationship Id="rId132" Type="http://schemas.openxmlformats.org/officeDocument/2006/relationships/image" Target="media/rId132.png"/><Relationship Id="rId114" Type="http://schemas.openxmlformats.org/officeDocument/2006/relationships/image" Target="media/rId114.png"/><Relationship Id="rId193" Type="http://schemas.openxmlformats.org/officeDocument/2006/relationships/image" Target="media/rId193.png"/><Relationship Id="rId109" Type="http://schemas.openxmlformats.org/officeDocument/2006/relationships/image" Target="media/rId109.png"/><Relationship Id="rId194" Type="http://schemas.openxmlformats.org/officeDocument/2006/relationships/image" Target="media/rId194.png"/><Relationship Id="rId130" Type="http://schemas.openxmlformats.org/officeDocument/2006/relationships/image" Target="media/rId130.png"/><Relationship Id="rId113" Type="http://schemas.openxmlformats.org/officeDocument/2006/relationships/image" Target="media/rId113.png"/><Relationship Id="rId253" Type="http://schemas.openxmlformats.org/officeDocument/2006/relationships/image" Target="media/rId253.png"/><Relationship Id="rId103" Type="http://schemas.openxmlformats.org/officeDocument/2006/relationships/image" Target="media/rId103.png"/><Relationship Id="rId159" Type="http://schemas.openxmlformats.org/officeDocument/2006/relationships/image" Target="media/rId159.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143</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2026-10-11T04:26:18Z</dcterms:created>
  <dcterms:modified xsi:type="dcterms:W3CDTF">2026-10-11T04:26:18Z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