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2"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h32 \h </w:instrText>
      </w:r>
      <w:r>
        <w:rPr>
          <w:rFonts w:ascii="Times New Roman" w:hAnsi="Times New Roman" w:eastAsia="方正仿宋_GBK"/>
          <w:b w:val="0"/>
          <w:sz w:val="24"/>
        </w:rPr>
        <w:fldChar w:fldCharType="separate"/>
      </w:r>
      <w:r>
        <w:rPr>
          <w:rFonts w:ascii="Times New Roman" w:hAnsi="Times New Roman" w:eastAsia="方正仿宋_GBK"/>
          <w:b w:val="0"/>
          <w:sz w:val="24"/>
        </w:rPr>
        <w:t>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5"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h45 \h </w:instrText>
      </w:r>
      <w:r>
        <w:rPr>
          <w:rFonts w:ascii="Times New Roman" w:hAnsi="Times New Roman" w:eastAsia="方正仿宋_GBK"/>
          <w:b w:val="0"/>
          <w:sz w:val="24"/>
        </w:rPr>
        <w:fldChar w:fldCharType="separate"/>
      </w:r>
      <w:r>
        <w:rPr>
          <w:rFonts w:ascii="Times New Roman" w:hAnsi="Times New Roman" w:eastAsia="方正仿宋_GBK"/>
          <w:b w:val="0"/>
          <w:sz w:val="24"/>
        </w:rPr>
        <w:t>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7"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h57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3"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h73 \h </w:instrText>
      </w:r>
      <w:r>
        <w:rPr>
          <w:rFonts w:ascii="Times New Roman" w:hAnsi="Times New Roman" w:eastAsia="方正仿宋_GBK"/>
          <w:b w:val="0"/>
          <w:sz w:val="24"/>
        </w:rPr>
        <w:fldChar w:fldCharType="separate"/>
      </w:r>
      <w:r>
        <w:rPr>
          <w:rFonts w:ascii="Times New Roman" w:hAnsi="Times New Roman" w:eastAsia="方正仿宋_GBK"/>
          <w:b w:val="0"/>
          <w:sz w:val="24"/>
        </w:rPr>
        <w:t>10</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76"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h76 \h </w:instrText>
      </w:r>
      <w:r>
        <w:rPr>
          <w:rFonts w:ascii="Times New Roman" w:hAnsi="Times New Roman" w:eastAsia="方正仿宋_GBK"/>
          <w:b/>
          <w:sz w:val="24"/>
        </w:rPr>
        <w:fldChar w:fldCharType="separate"/>
      </w:r>
      <w:r>
        <w:rPr>
          <w:rFonts w:ascii="Times New Roman" w:hAnsi="Times New Roman" w:eastAsia="方正仿宋_GBK"/>
          <w:b/>
          <w:sz w:val="24"/>
        </w:rPr>
        <w:t>12</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9"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h79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1"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h101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39"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h139 \h </w:instrText>
      </w:r>
      <w:r>
        <w:rPr>
          <w:rFonts w:ascii="Times New Roman" w:hAnsi="Times New Roman" w:eastAsia="方正仿宋_GBK"/>
          <w:b w:val="0"/>
          <w:sz w:val="24"/>
        </w:rPr>
        <w:fldChar w:fldCharType="separate"/>
      </w:r>
      <w:r>
        <w:rPr>
          <w:rFonts w:ascii="Times New Roman" w:hAnsi="Times New Roman" w:eastAsia="方正仿宋_GBK"/>
          <w:b w:val="0"/>
          <w:sz w:val="24"/>
        </w:rPr>
        <w:t>19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53"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h153 \h </w:instrText>
      </w:r>
      <w:r>
        <w:rPr>
          <w:rFonts w:ascii="Times New Roman" w:hAnsi="Times New Roman" w:eastAsia="方正仿宋_GBK"/>
          <w:b w:val="0"/>
          <w:sz w:val="24"/>
        </w:rPr>
        <w:fldChar w:fldCharType="separate"/>
      </w:r>
      <w:r>
        <w:rPr>
          <w:rFonts w:ascii="Times New Roman" w:hAnsi="Times New Roman" w:eastAsia="方正仿宋_GBK"/>
          <w:b w:val="0"/>
          <w:sz w:val="24"/>
        </w:rPr>
        <w:t>20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67"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h167 \h </w:instrText>
      </w:r>
      <w:r>
        <w:rPr>
          <w:rFonts w:ascii="Times New Roman" w:hAnsi="Times New Roman" w:eastAsia="方正仿宋_GBK"/>
          <w:b w:val="0"/>
          <w:sz w:val="24"/>
        </w:rPr>
        <w:fldChar w:fldCharType="separate"/>
      </w:r>
      <w:r>
        <w:rPr>
          <w:rFonts w:ascii="Times New Roman" w:hAnsi="Times New Roman" w:eastAsia="方正仿宋_GBK"/>
          <w:b w:val="0"/>
          <w:sz w:val="24"/>
        </w:rPr>
        <w:t>21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4"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h184 \h </w:instrText>
      </w:r>
      <w:r>
        <w:rPr>
          <w:rFonts w:ascii="Times New Roman" w:hAnsi="Times New Roman" w:eastAsia="方正仿宋_GBK"/>
          <w:b w:val="0"/>
          <w:sz w:val="24"/>
        </w:rPr>
        <w:fldChar w:fldCharType="separate"/>
      </w:r>
      <w:r>
        <w:rPr>
          <w:rFonts w:ascii="Times New Roman" w:hAnsi="Times New Roman" w:eastAsia="方正仿宋_GBK"/>
          <w:b w:val="0"/>
          <w:sz w:val="24"/>
        </w:rPr>
        <w:t>22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8"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h198 \h </w:instrText>
      </w:r>
      <w:r>
        <w:rPr>
          <w:rFonts w:ascii="Times New Roman" w:hAnsi="Times New Roman" w:eastAsia="方正仿宋_GBK"/>
          <w:b w:val="0"/>
          <w:sz w:val="24"/>
        </w:rPr>
        <w:fldChar w:fldCharType="separate"/>
      </w:r>
      <w:r>
        <w:rPr>
          <w:rFonts w:ascii="Times New Roman" w:hAnsi="Times New Roman" w:eastAsia="方正仿宋_GBK"/>
          <w:b w:val="0"/>
          <w:sz w:val="24"/>
        </w:rPr>
        <w:t>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1"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h211 \h </w:instrText>
      </w:r>
      <w:r>
        <w:rPr>
          <w:rFonts w:ascii="Times New Roman" w:hAnsi="Times New Roman" w:eastAsia="方正仿宋_GBK"/>
          <w:b w:val="0"/>
          <w:sz w:val="24"/>
        </w:rPr>
        <w:fldChar w:fldCharType="separate"/>
      </w:r>
      <w:r>
        <w:rPr>
          <w:rFonts w:ascii="Times New Roman" w:hAnsi="Times New Roman" w:eastAsia="方正仿宋_GBK"/>
          <w:b w:val="0"/>
          <w:sz w:val="24"/>
        </w:rPr>
        <w:t>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3"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h233 \h </w:instrText>
      </w:r>
      <w:r>
        <w:rPr>
          <w:rFonts w:ascii="Times New Roman" w:hAnsi="Times New Roman" w:eastAsia="方正仿宋_GBK"/>
          <w:b w:val="0"/>
          <w:sz w:val="24"/>
        </w:rPr>
        <w:fldChar w:fldCharType="separate"/>
      </w:r>
      <w:r>
        <w:rPr>
          <w:rFonts w:ascii="Times New Roman" w:hAnsi="Times New Roman" w:eastAsia="方正仿宋_GBK"/>
          <w:b w:val="0"/>
          <w:sz w:val="24"/>
        </w:rPr>
        <w:t>26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235"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h235 \h </w:instrText>
      </w:r>
      <w:r>
        <w:rPr>
          <w:rFonts w:ascii="Times New Roman" w:hAnsi="Times New Roman" w:eastAsia="方正仿宋_GBK"/>
          <w:b/>
          <w:sz w:val="24"/>
        </w:rPr>
        <w:fldChar w:fldCharType="separate"/>
      </w:r>
      <w:r>
        <w:rPr>
          <w:rFonts w:ascii="Times New Roman" w:hAnsi="Times New Roman" w:eastAsia="方正仿宋_GBK"/>
          <w:b/>
          <w:sz w:val="24"/>
        </w:rPr>
        <w:t>27</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6"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h236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6"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h246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64"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h264 \h </w:instrText>
      </w:r>
      <w:r>
        <w:rPr>
          <w:rFonts w:ascii="Times New Roman" w:hAnsi="Times New Roman" w:eastAsia="方正仿宋_GBK"/>
          <w:b w:val="0"/>
          <w:sz w:val="24"/>
        </w:rPr>
        <w:fldChar w:fldCharType="separate"/>
      </w:r>
      <w:r>
        <w:rPr>
          <w:rFonts w:ascii="Times New Roman" w:hAnsi="Times New Roman" w:eastAsia="方正仿宋_GBK"/>
          <w:b w:val="0"/>
          <w:sz w:val="24"/>
        </w:rPr>
        <w:t>29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86"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h286 \h </w:instrText>
      </w:r>
      <w:r>
        <w:rPr>
          <w:rFonts w:ascii="Times New Roman" w:hAnsi="Times New Roman" w:eastAsia="方正仿宋_GBK"/>
          <w:b w:val="0"/>
          <w:sz w:val="24"/>
        </w:rPr>
        <w:fldChar w:fldCharType="separate"/>
      </w:r>
      <w:r>
        <w:rPr>
          <w:rFonts w:ascii="Times New Roman" w:hAnsi="Times New Roman" w:eastAsia="方正仿宋_GBK"/>
          <w:b w:val="0"/>
          <w:sz w:val="24"/>
        </w:rPr>
        <w:t>31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4" w:history="1">
        <w:r>
          <w:rPr>
            <w:rFonts w:ascii="Times New Roman" w:hAnsi="Times New Roman" w:eastAsia="方正仿宋_GBK"/>
            <w:b w:val="0"/>
            <w:sz w:val="24"/>
          </w:rPr>
          <w:t>3.5 核心参数依据与相关性分析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h314 \h </w:instrText>
      </w:r>
      <w:r>
        <w:rPr>
          <w:rFonts w:ascii="Times New Roman" w:hAnsi="Times New Roman" w:eastAsia="方正仿宋_GBK"/>
          <w:b w:val="0"/>
          <w:sz w:val="24"/>
        </w:rPr>
        <w:fldChar w:fldCharType="separate"/>
      </w:r>
      <w:r>
        <w:rPr>
          <w:rFonts w:ascii="Times New Roman" w:hAnsi="Times New Roman" w:eastAsia="方正仿宋_GBK"/>
          <w:b w:val="0"/>
          <w:sz w:val="24"/>
        </w:rPr>
        <w:t>36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39"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h339 \h </w:instrText>
      </w:r>
      <w:r>
        <w:rPr>
          <w:rFonts w:ascii="Times New Roman" w:hAnsi="Times New Roman" w:eastAsia="方正仿宋_GBK"/>
          <w:b w:val="0"/>
          <w:sz w:val="24"/>
        </w:rPr>
        <w:fldChar w:fldCharType="separate"/>
      </w:r>
      <w:r>
        <w:rPr>
          <w:rFonts w:ascii="Times New Roman" w:hAnsi="Times New Roman" w:eastAsia="方正仿宋_GBK"/>
          <w:b w:val="0"/>
          <w:sz w:val="24"/>
        </w:rPr>
        <w:t>40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49"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h349 \h </w:instrText>
      </w:r>
      <w:r>
        <w:rPr>
          <w:rFonts w:ascii="Times New Roman" w:hAnsi="Times New Roman" w:eastAsia="方正仿宋_GBK"/>
          <w:b w:val="0"/>
          <w:sz w:val="24"/>
        </w:rPr>
        <w:fldChar w:fldCharType="separate"/>
      </w:r>
      <w:r>
        <w:rPr>
          <w:rFonts w:ascii="Times New Roman" w:hAnsi="Times New Roman" w:eastAsia="方正仿宋_GBK"/>
          <w:b w:val="0"/>
          <w:sz w:val="24"/>
        </w:rPr>
        <w:t>41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6"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h366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388"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h388 \h </w:instrText>
      </w:r>
      <w:r>
        <w:rPr>
          <w:rFonts w:ascii="Times New Roman" w:hAnsi="Times New Roman" w:eastAsia="方正仿宋_GBK"/>
          <w:b/>
          <w:sz w:val="24"/>
        </w:rPr>
        <w:fldChar w:fldCharType="separate"/>
      </w:r>
      <w:r>
        <w:rPr>
          <w:rFonts w:ascii="Times New Roman" w:hAnsi="Times New Roman" w:eastAsia="方正仿宋_GBK"/>
          <w:b/>
          <w:sz w:val="24"/>
        </w:rPr>
        <w:t>46</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89"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h389 \h </w:instrText>
      </w:r>
      <w:r>
        <w:rPr>
          <w:rFonts w:ascii="Times New Roman" w:hAnsi="Times New Roman" w:eastAsia="方正仿宋_GBK"/>
          <w:b w:val="0"/>
          <w:sz w:val="24"/>
        </w:rPr>
        <w:fldChar w:fldCharType="separate"/>
      </w:r>
      <w:r>
        <w:rPr>
          <w:rFonts w:ascii="Times New Roman" w:hAnsi="Times New Roman" w:eastAsia="方正仿宋_GBK"/>
          <w:b w:val="0"/>
          <w:sz w:val="24"/>
        </w:rPr>
        <w:t>46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01"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h401 \h </w:instrText>
      </w:r>
      <w:r>
        <w:rPr>
          <w:rFonts w:ascii="Times New Roman" w:hAnsi="Times New Roman" w:eastAsia="方正仿宋_GBK"/>
          <w:b w:val="0"/>
          <w:sz w:val="24"/>
        </w:rPr>
        <w:fldChar w:fldCharType="separate"/>
      </w:r>
      <w:r>
        <w:rPr>
          <w:rFonts w:ascii="Times New Roman" w:hAnsi="Times New Roman" w:eastAsia="方正仿宋_GBK"/>
          <w:b w:val="0"/>
          <w:sz w:val="24"/>
        </w:rPr>
        <w:t>47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20"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h420 \h </w:instrText>
      </w:r>
      <w:r>
        <w:rPr>
          <w:rFonts w:ascii="Times New Roman" w:hAnsi="Times New Roman" w:eastAsia="方正仿宋_GBK"/>
          <w:b w:val="0"/>
          <w:sz w:val="24"/>
        </w:rPr>
        <w:fldChar w:fldCharType="separate"/>
      </w:r>
      <w:r>
        <w:rPr>
          <w:rFonts w:ascii="Times New Roman" w:hAnsi="Times New Roman" w:eastAsia="方正仿宋_GBK"/>
          <w:b w:val="0"/>
          <w:sz w:val="24"/>
        </w:rPr>
        <w:t>48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31"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h431 \h </w:instrText>
      </w:r>
      <w:r>
        <w:rPr>
          <w:rFonts w:ascii="Times New Roman" w:hAnsi="Times New Roman" w:eastAsia="方正仿宋_GBK"/>
          <w:b w:val="0"/>
          <w:sz w:val="24"/>
        </w:rPr>
        <w:fldChar w:fldCharType="separate"/>
      </w:r>
      <w:r>
        <w:rPr>
          <w:rFonts w:ascii="Times New Roman" w:hAnsi="Times New Roman" w:eastAsia="方正仿宋_GBK"/>
          <w:b w:val="0"/>
          <w:sz w:val="24"/>
        </w:rPr>
        <w:t>49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7" w:history="1">
        <w:r>
          <w:rPr>
            <w:rFonts w:ascii="Times New Roman" w:hAnsi="Times New Roman" w:eastAsia="方正仿宋_GBK"/>
            <w:b w:val="0"/>
            <w:sz w:val="24"/>
          </w:rPr>
          <w:t>4.5 参数变化与措施费用的联系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h447 \h </w:instrText>
      </w:r>
      <w:r>
        <w:rPr>
          <w:rFonts w:ascii="Times New Roman" w:hAnsi="Times New Roman" w:eastAsia="方正仿宋_GBK"/>
          <w:b w:val="0"/>
          <w:sz w:val="24"/>
        </w:rPr>
        <w:fldChar w:fldCharType="separate"/>
      </w:r>
      <w:r>
        <w:rPr>
          <w:rFonts w:ascii="Times New Roman" w:hAnsi="Times New Roman" w:eastAsia="方正仿宋_GBK"/>
          <w:b w:val="0"/>
          <w:sz w:val="24"/>
        </w:rPr>
        <w:t>51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0"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h460 \h </w:instrText>
      </w:r>
      <w:r>
        <w:rPr>
          <w:rFonts w:ascii="Times New Roman" w:hAnsi="Times New Roman" w:eastAsia="方正仿宋_GBK"/>
          <w:b w:val="0"/>
          <w:sz w:val="24"/>
        </w:rPr>
        <w:fldChar w:fldCharType="separate"/>
      </w:r>
      <w:r>
        <w:rPr>
          <w:rFonts w:ascii="Times New Roman" w:hAnsi="Times New Roman" w:eastAsia="方正仿宋_GBK"/>
          <w:b w:val="0"/>
          <w:sz w:val="24"/>
        </w:rPr>
        <w:t>52</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486"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h486 \h </w:instrText>
      </w:r>
      <w:r>
        <w:rPr>
          <w:rFonts w:ascii="Times New Roman" w:hAnsi="Times New Roman" w:eastAsia="方正仿宋_GBK"/>
          <w:b/>
          <w:sz w:val="24"/>
        </w:rPr>
        <w:fldChar w:fldCharType="separate"/>
      </w:r>
      <w:r>
        <w:rPr>
          <w:rFonts w:ascii="Times New Roman" w:hAnsi="Times New Roman" w:eastAsia="方正仿宋_GBK"/>
          <w:b/>
          <w:sz w:val="24"/>
        </w:rPr>
        <w:t>56</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88"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h488 \h </w:instrText>
      </w:r>
      <w:r>
        <w:rPr>
          <w:rFonts w:ascii="Times New Roman" w:hAnsi="Times New Roman" w:eastAsia="方正仿宋_GBK"/>
          <w:b w:val="0"/>
          <w:sz w:val="24"/>
        </w:rPr>
        <w:fldChar w:fldCharType="separate"/>
      </w:r>
      <w:r>
        <w:rPr>
          <w:rFonts w:ascii="Times New Roman" w:hAnsi="Times New Roman" w:eastAsia="方正仿宋_GBK"/>
          <w:b w:val="0"/>
          <w:sz w:val="24"/>
        </w:rPr>
        <w:t>56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11"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h511 \h </w:instrText>
      </w:r>
      <w:r>
        <w:rPr>
          <w:rFonts w:ascii="Times New Roman" w:hAnsi="Times New Roman" w:eastAsia="方正仿宋_GBK"/>
          <w:b w:val="0"/>
          <w:sz w:val="24"/>
        </w:rPr>
        <w:fldChar w:fldCharType="separate"/>
      </w:r>
      <w:r>
        <w:rPr>
          <w:rFonts w:ascii="Times New Roman" w:hAnsi="Times New Roman" w:eastAsia="方正仿宋_GBK"/>
          <w:b w:val="0"/>
          <w:sz w:val="24"/>
        </w:rPr>
        <w:t>59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31"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h531 \h </w:instrText>
      </w:r>
      <w:r>
        <w:rPr>
          <w:rFonts w:ascii="Times New Roman" w:hAnsi="Times New Roman" w:eastAsia="方正仿宋_GBK"/>
          <w:b w:val="0"/>
          <w:sz w:val="24"/>
        </w:rPr>
        <w:fldChar w:fldCharType="separate"/>
      </w:r>
      <w:r>
        <w:rPr>
          <w:rFonts w:ascii="Times New Roman" w:hAnsi="Times New Roman" w:eastAsia="方正仿宋_GBK"/>
          <w:b w:val="0"/>
          <w:sz w:val="24"/>
        </w:rPr>
        <w:t>61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3"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h543 \h </w:instrText>
      </w:r>
      <w:r>
        <w:rPr>
          <w:rFonts w:ascii="Times New Roman" w:hAnsi="Times New Roman" w:eastAsia="方正仿宋_GBK"/>
          <w:b w:val="0"/>
          <w:sz w:val="24"/>
        </w:rPr>
        <w:fldChar w:fldCharType="separate"/>
      </w:r>
      <w:r>
        <w:rPr>
          <w:rFonts w:ascii="Times New Roman" w:hAnsi="Times New Roman" w:eastAsia="方正仿宋_GBK"/>
          <w:b w:val="0"/>
          <w:sz w:val="24"/>
        </w:rPr>
        <w:t>62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15"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h915 \h </w:instrText>
      </w:r>
      <w:r>
        <w:rPr>
          <w:rFonts w:ascii="Times New Roman" w:hAnsi="Times New Roman" w:eastAsia="方正仿宋_GBK"/>
          <w:b w:val="0"/>
          <w:sz w:val="24"/>
        </w:rPr>
        <w:fldChar w:fldCharType="separate"/>
      </w:r>
      <w:r>
        <w:rPr>
          <w:rFonts w:ascii="Times New Roman" w:hAnsi="Times New Roman" w:eastAsia="方正仿宋_GBK"/>
          <w:b w:val="0"/>
          <w:sz w:val="24"/>
        </w:rPr>
        <w:t>102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31" w:history="1">
        <w:r>
          <w:rPr>
            <w:rFonts w:ascii="Times New Roman" w:hAnsi="Times New Roman" w:eastAsia="方正仿宋_GBK"/>
            <w:b w:val="0"/>
            <w:sz w:val="24"/>
          </w:rPr>
          <w:t>5.6 六参数推广矩阵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h931 \h </w:instrText>
      </w:r>
      <w:r>
        <w:rPr>
          <w:rFonts w:ascii="Times New Roman" w:hAnsi="Times New Roman" w:eastAsia="方正仿宋_GBK"/>
          <w:b w:val="0"/>
          <w:sz w:val="24"/>
        </w:rPr>
        <w:fldChar w:fldCharType="separate"/>
      </w:r>
      <w:r>
        <w:rPr>
          <w:rFonts w:ascii="Times New Roman" w:hAnsi="Times New Roman" w:eastAsia="方正仿宋_GBK"/>
          <w:b w:val="0"/>
          <w:sz w:val="24"/>
        </w:rPr>
        <w:t>106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04"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h1004 \h </w:instrText>
      </w:r>
      <w:r>
        <w:rPr>
          <w:rFonts w:ascii="Times New Roman" w:hAnsi="Times New Roman" w:eastAsia="方正仿宋_GBK"/>
          <w:b w:val="0"/>
          <w:sz w:val="24"/>
        </w:rPr>
        <w:fldChar w:fldCharType="separate"/>
      </w:r>
      <w:r>
        <w:rPr>
          <w:rFonts w:ascii="Times New Roman" w:hAnsi="Times New Roman" w:eastAsia="方正仿宋_GBK"/>
          <w:b w:val="0"/>
          <w:sz w:val="24"/>
        </w:rPr>
        <w:t>120</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19"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h1019 \h </w:instrText>
      </w:r>
      <w:r>
        <w:rPr>
          <w:rFonts w:ascii="Times New Roman" w:hAnsi="Times New Roman" w:eastAsia="方正仿宋_GBK"/>
          <w:b/>
          <w:sz w:val="24"/>
        </w:rPr>
        <w:fldChar w:fldCharType="separate"/>
      </w:r>
      <w:r>
        <w:rPr>
          <w:rFonts w:ascii="Times New Roman" w:hAnsi="Times New Roman" w:eastAsia="方正仿宋_GBK"/>
          <w:b/>
          <w:sz w:val="24"/>
        </w:rPr>
        <w:t>123</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21"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h1021 \h </w:instrText>
      </w:r>
      <w:r>
        <w:rPr>
          <w:rFonts w:ascii="Times New Roman" w:hAnsi="Times New Roman" w:eastAsia="方正仿宋_GBK"/>
          <w:b w:val="0"/>
          <w:sz w:val="24"/>
        </w:rPr>
        <w:fldChar w:fldCharType="separate"/>
      </w:r>
      <w:r>
        <w:rPr>
          <w:rFonts w:ascii="Times New Roman" w:hAnsi="Times New Roman" w:eastAsia="方正仿宋_GBK"/>
          <w:b w:val="0"/>
          <w:sz w:val="24"/>
        </w:rPr>
        <w:t>123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35"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h1035 \h </w:instrText>
      </w:r>
      <w:r>
        <w:rPr>
          <w:rFonts w:ascii="Times New Roman" w:hAnsi="Times New Roman" w:eastAsia="方正仿宋_GBK"/>
          <w:b w:val="0"/>
          <w:sz w:val="24"/>
        </w:rPr>
        <w:fldChar w:fldCharType="separate"/>
      </w:r>
      <w:r>
        <w:rPr>
          <w:rFonts w:ascii="Times New Roman" w:hAnsi="Times New Roman" w:eastAsia="方正仿宋_GBK"/>
          <w:b w:val="0"/>
          <w:sz w:val="24"/>
        </w:rPr>
        <w:t>124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47"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h1047 \h </w:instrText>
      </w:r>
      <w:r>
        <w:rPr>
          <w:rFonts w:ascii="Times New Roman" w:hAnsi="Times New Roman" w:eastAsia="方正仿宋_GBK"/>
          <w:b w:val="0"/>
          <w:sz w:val="24"/>
        </w:rPr>
        <w:fldChar w:fldCharType="separate"/>
      </w:r>
      <w:r>
        <w:rPr>
          <w:rFonts w:ascii="Times New Roman" w:hAnsi="Times New Roman" w:eastAsia="方正仿宋_GBK"/>
          <w:b w:val="0"/>
          <w:sz w:val="24"/>
        </w:rPr>
        <w:t>125</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53"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h1053 \h </w:instrText>
      </w:r>
      <w:r>
        <w:rPr>
          <w:rFonts w:ascii="Times New Roman" w:hAnsi="Times New Roman" w:eastAsia="方正仿宋_GBK"/>
          <w:b/>
          <w:sz w:val="24"/>
        </w:rPr>
        <w:fldChar w:fldCharType="separate"/>
      </w:r>
      <w:r>
        <w:rPr>
          <w:rFonts w:ascii="Times New Roman" w:hAnsi="Times New Roman" w:eastAsia="方正仿宋_GBK"/>
          <w:b/>
          <w:sz w:val="24"/>
        </w:rPr>
        <w:t>126</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进入规模化发展阶段。国家能源局公布，截至2026年3月底，全国分布式光伏装机容量达到5.54亿千瓦[1]；江苏分布式光伏累计并网容量为6629.40万千瓦[2]。随着电源在用户侧广泛接入，110 kV变电站承担的供电任务随本地发电与用电的时段关系发生变化。</w:t>
      </w:r>
    </w:p>
    <w:p>
      <w:pPr>
        <w:pStyle w:val="2"/>
        <w:widowControl/>
        <w:spacing w:line="348" w:lineRule="exact" w:before="0" w:after="0"/>
        <w:ind w:firstLine="480"/>
        <w:jc w:val="both"/>
      </w:pPr>
      <w:r>
        <w:rPr>
          <w:rFonts w:ascii="Times New Roman" w:hAnsi="Times New Roman" w:eastAsia="方正仿宋_GBK"/>
          <w:b w:val="0"/>
          <w:sz w:val="24"/>
        </w:rPr>
        <w:t xml:space="preserve">光伏出力较高时，部分用户用电由本地电源供给，主变受入功率减小；当本地发电超过本地用电时，剩余电力经主变反送。光伏出力下降后，上级电网仍需承担剩余用电需求。因此，主变容量需要同时满足正向供电和反向输送要求，并在主变N-1时通过剩余设备及下级网络维持供电[3][4][5]。</w:t>
      </w:r>
    </w:p>
    <w:p>
      <w:pPr>
        <w:pStyle w:val="2"/>
        <w:widowControl/>
        <w:spacing w:line="348" w:lineRule="exact" w:before="0" w:after="0"/>
        <w:ind w:firstLine="480"/>
        <w:jc w:val="both"/>
      </w:pPr>
      <w:r>
        <w:rPr>
          <w:rFonts w:ascii="Times New Roman" w:hAnsi="Times New Roman" w:eastAsia="方正仿宋_GBK"/>
          <w:b w:val="0"/>
          <w:sz w:val="24"/>
        </w:rPr>
        <w:t xml:space="preserve">容载比按同电压等级公用变电设备总容量与区域年网供最大负荷之比计算，用于规划区域容量储备，具体取值结合负荷发展、供电安全及技术经济条件确定[5]。光伏对其分母的影响取决于峰值时刻：峰值在日间时，光伏供电可能降低受入峰值或使峰值转移；峰值在晚间时，主变仍需承担该时段的供电任务。同时，日间反向输送可能提出新增容量需求。区域容量选取因而需要联系逐站双向功率、主变结构和联络支援条件。</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发展方向[6]。落实到容量规划，主变增容、下级网络联络和储能可以通过不同方式满足局部需求，各自所需规模及费用受负荷分布和持续时间影响。规划比选需要先确定满足供电任务的措施组合，再评价相应的容量水平和工程费用。</w:t>
      </w:r>
    </w:p>
    <w:p>
      <w:pPr>
        <w:pStyle w:val="2"/>
        <w:widowControl/>
        <w:spacing w:line="348" w:lineRule="exact" w:before="0" w:after="0"/>
        <w:ind w:firstLine="480"/>
        <w:jc w:val="both"/>
      </w:pPr>
      <w:r>
        <w:rPr>
          <w:rFonts w:ascii="Times New Roman" w:hAnsi="Times New Roman" w:eastAsia="方正仿宋_GBK"/>
          <w:b w:val="0"/>
          <w:sz w:val="24"/>
        </w:rPr>
        <w:t xml:space="preserve">为识别上述任务，本报告以分布式电源装机渗透率和电量渗透率描述地区电源规模及供能水平，以主变年最大负载率和正反向净负荷识别设备压力，以95%峰值持续时间描述近峰过程。运行特征分析为后续容量约束和措施比选提供源荷条件。</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本研究据此选择邳州和市区，分别分析光伏规模较大县域与负荷较集中城区的容量配置。两地区均按同一电压等级、同一统计范围组织源荷和设备资料，使区域指标与站级规划相对应。</w:t>
      </w:r>
    </w:p>
    <w:p>
      <w:pPr>
        <w:pStyle w:val="2"/>
        <w:widowControl/>
        <w:spacing w:line="348" w:lineRule="exact" w:before="0" w:after="0"/>
        <w:ind w:firstLine="480"/>
        <w:jc w:val="both"/>
      </w:pPr>
      <w:r>
        <w:rPr>
          <w:rFonts w:ascii="Times New Roman" w:hAnsi="Times New Roman" w:eastAsia="方正仿宋_GBK"/>
          <w:b w:val="0"/>
          <w:sz w:val="24"/>
        </w:rPr>
        <w:t xml:space="preserve">针对上述容量协调问题，本课题在相同年度负荷、设备初态和技术约束下，比较容载比按2.00上限控制与突破2.00时的主变、储能及联络组合，判断增加主变费用能否由其他措施的费用节省抵消。再分析源荷水平、负荷增长和峰段特征改变时的配置响应，形成分片区的弹性指标及适用条件。</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容量提高后，局部供电安全约束所需的储能可能减少；但主变购置、配套工程及后续运维费用也会增加。两种费用变化能否相抵，取决于主变规格、储能价格、储能支撑持续时间和负荷空间分布。研究以同措施集合、同价格和同初态比较方案，通过费用结果评价两类方案的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变化与负荷变化对年度容载比的影响。既有主变保持不变而年最大负荷下降，容载比会升高。反之，负荷增长快于容量增长时，新增主变后容载比仍可能降低。逐年方案需同时列出主变在役容量、采购容量和年度负荷，才能把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其直接价值是提供相应配置路径、价格参数与条件推荐矩阵，并明确推荐值随相关条件变化的范围。采用相似片区模板时，仍需核对实际容量和负荷分布。涉及具体接线、故障恢复时间、电压与保护配合的工程结论，应在接入系统或专项规划阶段另行校核。</w:t>
      </w:r>
    </w:p>
    <w:p>
      <w:pPr>
        <w:pStyle w:val="4"/>
        <w:keepNext/>
        <w:numPr>
          <w:numId w:val="0"/>
        </w:numPr>
        <w:spacing w:line="480" w:lineRule="exact" w:before="160" w:after="120"/>
        <w:ind w:firstLine="0"/>
      </w:pPr>
      <w:bookmarkStart w:id="1018" w:name="h18"/>
      <w:bookmarkStart w:id="25" w:name="主要概念与规范依据"/>
      <w:r>
        <w:rPr>
          <w:rFonts w:ascii="Times New Roman" w:hAnsi="Times New Roman" w:eastAsia="方正仿宋_GBK"/>
          <w:b/>
          <w:sz w:val="32"/>
        </w:rPr>
        <w:t xml:space="preserve">1.2 主要概念与规范依据</w:t>
      </w:r>
      <w:bookmarkEnd w:id="25"/>
      <w:bookmarkEnd w:id="1018"/>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配电网规划设计技术导则》第6.2.2.1条进一步提出，建议范围内不能满足供电安全准则时，可结合实际情况适当提高[7]。本课题保留相同初始设备结构：刚性方案新增扩容按当年负荷两倍控制，当年负荷低于上一年度时，保留已投运主变容量，容载比可随负荷回落而超过2.0；弹性方案依据承载需求和费用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本研究参照全寿命周期费用方法，将新增措施初始投资、固定运维及评价期内设备更新费用折算到2021年末，统一计算至2041年[10,11,12]。结果称为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采用评价期费用最小作为寻优目标，供电安全及设备容量作为约束，并结合片区源荷条件形成推荐范围。工程实施阶段可补充施工条件、土地资源及运行方式的综合评价。</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45418—2025《配电网通用技术导则》作为下级配电网技术分析的补充依据[17]。分布式电源装机渗透率和分布式电源电量渗透率采用《配电网规划设计技术导则》的指标定义[7]，用于描述片区源荷条件。</w:t>
      </w:r>
    </w:p>
    <w:p>
      <w:pPr>
        <w:pStyle w:val="4"/>
        <w:keepNext/>
        <w:numPr>
          <w:numId w:val="0"/>
        </w:numPr>
        <w:spacing w:line="480" w:lineRule="exact" w:before="160" w:after="120"/>
        <w:ind w:firstLine="0"/>
      </w:pPr>
      <w:bookmarkStart w:id="1032" w:name="h32"/>
      <w:bookmarkStart w:id="30" w:name="研究范围与对象"/>
      <w:r>
        <w:rPr>
          <w:rFonts w:ascii="Times New Roman" w:hAnsi="Times New Roman" w:eastAsia="方正仿宋_GBK"/>
          <w:b/>
          <w:sz w:val="32"/>
        </w:rPr>
        <w:t xml:space="preserve">1.3 研究范围与对象</w:t>
      </w:r>
      <w:bookmarkEnd w:id="30"/>
      <w:bookmarkEnd w:id="1032"/>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5729—2023第6.3.3条，以行政区县作为最小统计分析范围[5]。本研究优化对象为邳州和市区。电网运行统计和规划优化均按110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MW/km²。本研究按市区A类较少、B类较多的分区特征设置转供率参考，设备候选按各站资料和研究假设分别确定。</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2021—2025年资料用于分析负荷发展、光伏装机和设备运行特征。地区案例保留共同仿真起点，直接使用2022—2025年实际年度负荷；各年容量及建设规模由满足约束的优化结果确定，实际统计容量单独列示。</w:t>
      </w:r>
    </w:p>
    <w:p>
      <w:pPr>
        <w:pStyle w:val="2"/>
        <w:widowControl/>
        <w:spacing w:line="348" w:lineRule="exact" w:before="0" w:after="0"/>
        <w:ind w:firstLine="480"/>
        <w:jc w:val="both"/>
      </w:pPr>
      <w:r>
        <w:rPr>
          <w:rFonts w:ascii="Times New Roman" w:hAnsi="Times New Roman" w:eastAsia="方正仿宋_GBK"/>
          <w:b w:val="0"/>
          <w:sz w:val="24"/>
        </w:rPr>
        <w:t xml:space="preserve">基期主变按离散规格配置，基期年网供最大负荷取2021年实际统计值，两地区起点容载比按两位小数均为2.00。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技术模型包括正向供电、反向功率、主变N-1及站间转供约束。储能按额定功率、可用电量和支撑持续时间折算有效能力，正向储能支撑持续时间为4 h，反向按各站支撑要求设置。联络按具体送受端路径计量，共享馈线余量。模型采用静态工况进行规划比选。</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w:t>
      </w:r>
    </w:p>
    <w:p>
      <w:pPr>
        <w:pStyle w:val="4"/>
        <w:keepNext/>
        <w:numPr>
          <w:numId w:val="0"/>
        </w:numPr>
        <w:spacing w:line="480" w:lineRule="exact" w:before="160" w:after="120"/>
        <w:ind w:firstLine="0"/>
      </w:pPr>
      <w:bookmarkStart w:id="1045" w:name="h45"/>
      <w:bookmarkStart w:id="34" w:name="研究目标与内容"/>
      <w:r>
        <w:rPr>
          <w:rFonts w:ascii="Times New Roman" w:hAnsi="Times New Roman" w:eastAsia="方正仿宋_GBK"/>
          <w:b/>
          <w:sz w:val="32"/>
        </w:rPr>
        <w:t xml:space="preserve">1.4 研究目标与内容</w:t>
      </w:r>
      <w:bookmarkEnd w:id="34"/>
      <w:bookmarkEnd w:id="1045"/>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最后，围绕六项核心参数构造推广矩阵，全部参数在第3.5节报告相关性。矩阵按输入区间归纳容载比计算范围，设备措施与费用分别列示。</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电缆长度占比折算单位长度综合造价，储能按支撑持续时间比较有效功率；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MVA等设备可保留，新购主变采用31.50、50、63、80 MVA等候选规格并按站限制；扩建、联络投运状态及储能柜数为整数决策，站间转供功率为连续决策。以新增措施评价期费用现值最小为目标，在正常及主变N-1等约束下确定逐年设备与线路配置。</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设置分布式电源装机渗透率、年最大净负荷平均增长率、电缆长度占比、初始转供率、储能支撑持续时间及负荷分散系数六项输入，开展34686组目标年静态比选，其中32112组有效。输入区间采用首尾开口形式，增长分界与DL/T 5729—2023表6.3.4一致；计算所得容载比仍按有限范围列示。</w:t>
      </w:r>
    </w:p>
    <w:p>
      <w:pPr>
        <w:pStyle w:val="4"/>
        <w:keepNext/>
        <w:numPr>
          <w:numId w:val="0"/>
        </w:numPr>
        <w:spacing w:line="480" w:lineRule="exact" w:before="160" w:after="120"/>
        <w:ind w:firstLine="0"/>
      </w:pPr>
      <w:bookmarkStart w:id="1057" w:name="h57"/>
      <w:bookmarkStart w:id="37" w:name="研究方法与技术路线"/>
      <w:r>
        <w:rPr>
          <w:rFonts w:ascii="Times New Roman" w:hAnsi="Times New Roman" w:eastAsia="方正仿宋_GBK"/>
          <w:b/>
          <w:sz w:val="32"/>
        </w:rPr>
        <w:t xml:space="preserve">1.5 研究方法与技术路线</w:t>
      </w:r>
      <w:bookmarkEnd w:id="37"/>
      <w:bookmarkEnd w:id="1057"/>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分析分布式电源渗透水平、双向净负荷及95%峰值持续时间。先核对指标的统计范围及计算关系，再根据其对容量需求、网络能力和费用的作用选取参数。第3.5节结合规范和论文说明参数选取依据，按两地区实际年度记录分析指标关联；第五章通过地区案例独立扰动及推广参数受控配对解释配置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年最大净负荷平均增长率按2021—2025年起止负荷之比开四次方计算。地区案例直接使用2022—2025年逐年实际负荷，保留年度回落；复合增长率用于概括发展水平及设置推广情景。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负荷分散系数表达各站峰值与区域同时峰值的关系，初始转供率表达既有网络条件，储能支撑持续时间确定储能有效支撑功率，电缆长度占比决定新增联络综合造价。六项参数先报告相关性，再组织推广矩阵，各单元保留计算节点和配置结果。</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采用第三章至第五章列明的输入、算式和约束。</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93235"/>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299323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73" w:name="h73"/>
      <w:bookmarkStart w:id="43" w:name="研究成果及应用"/>
      <w:r>
        <w:rPr>
          <w:rFonts w:ascii="Times New Roman" w:hAnsi="Times New Roman" w:eastAsia="方正仿宋_GBK"/>
          <w:b/>
          <w:sz w:val="32"/>
        </w:rPr>
        <w:t xml:space="preserve">1.6 研究成果及应用</w:t>
      </w:r>
      <w:bookmarkEnd w:id="43"/>
      <w:bookmarkEnd w:id="1073"/>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按电缆长度占比、储能支撑持续时间及负荷分散系数分表，列出源荷和转供条件对应的容载比区间。</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76" w:name="h76"/>
      <w:bookmarkStart w:id="44" w:name="第二章-国内外研究现状"/>
      <w:r>
        <w:rPr>
          <w:rFonts w:ascii="Times New Roman" w:hAnsi="Times New Roman" w:eastAsia="方正仿宋_GBK"/>
          <w:b/>
          <w:sz w:val="36"/>
        </w:rPr>
        <w:t xml:space="preserve">第二章 国内外研究现状</w:t>
      </w:r>
      <w:bookmarkEnd w:id="44"/>
      <w:bookmarkEnd w:id="1076"/>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79" w:name="h79"/>
      <w:bookmarkStart w:id="45" w:name="国外研究现状"/>
      <w:r>
        <w:rPr>
          <w:rFonts w:ascii="Times New Roman" w:hAnsi="Times New Roman" w:eastAsia="方正仿宋_GBK"/>
          <w:b/>
          <w:sz w:val="32"/>
        </w:rPr>
        <w:t xml:space="preserve">2.1 国外研究现状</w:t>
      </w:r>
      <w:bookmarkEnd w:id="45"/>
      <w:bookmarkEnd w:id="1079"/>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承载力评估从确定性运行断面分析逐步拓展到源荷不确定性、主动管理及动态评估。不同方法分别考虑电压、设备容量和风险约束，为高渗透率下的容量校核提供依据。在不确定性建模方面，Lin 等提出两阶段光伏（photovoltaic，PV）承载力计算模型，先采用鲁棒优化分析源荷不确定性下的最不利场景，再构建计及主动管理的混合整数二阶锥规划模型，算例分析表明，负荷降低及光伏出力提高可能使接入约束趋紧；对受过电压限制的网络主动管理（无功、SVC）提升明显、对受最大传输功率限制的网络效果有限；网络重构可使薄弱支路网络承载力提升超过 50%（达原值约 150%）[18]。</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场景生成（夜间太阳辐照度设为零等物理约束）刻画源侧时序不确定性，以麻雀搜索算法寻优最大承载力，为承载力计算提供符合物理条件的出力场景[19]。</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渗透率后边际收益递减、风险非线性上升[20]。</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48" w:lineRule="exact" w:before="0" w:after="0"/>
        <w:ind w:firstLine="480"/>
        <w:jc w:val="both"/>
      </w:pPr>
      <w:r>
        <w:rPr>
          <w:rFonts w:ascii="Times New Roman" w:hAnsi="Times New Roman" w:eastAsia="方正仿宋_GBK"/>
          <w:b w:val="0"/>
          <w:sz w:val="24"/>
        </w:rPr>
        <w:t xml:space="preserve">在反向潮流引致的电压问题上，Xie 等结合主网与配网线路参数差异建立过电压计算方法，并验证抑制策略可使反向潮流引起的过电压由高于额定约 10% 降至 2%[23]；Ghorbansarvi 等以模型预测控制（MPC）联合管理母线电压与配变温度、最小化弃光，通过协调控制推迟配变过载的发生[24]。</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光伏有功削减、有载分接开关调节（OLTC）、配网重构及多柔性资源协调四类电压越限治理手段，并讨论了协调控制中调节时序与经济性考虑不足，以及低压网络模型简化对分析结果的影响[25]。</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灵活资源研究关注储能、可调负荷及柔性互联对接入能力和容量需求的影响，并将相关方案与电网增容开展经济比较。在接入能力分析方面，Nair 等以确定性迭代、两阶段随机 MISOCP 与蒙特卡洛三法对比，表明动态资源协调可使 IEEE 123 馈线 PV 承载力由 48% 提升至 83%（两阶段随机规划达 98%），可行域体积扩大逾 22 倍，并指出动态方案波动性更高、临界性排序为电池＞热泵＞EV[26]；Wang 等（Nature Communications）提出基于智能软开关（SOP）的柔性配电网多资源动态协同规划，在风险小于 5% 内实现 100% 本地光伏消纳，且最优方案总成本较对照方案降低 7%～55%[27]。</w:t>
      </w:r>
    </w:p>
    <w:p>
      <w:pPr>
        <w:pStyle w:val="2"/>
        <w:widowControl/>
        <w:spacing w:line="348" w:lineRule="exact" w:before="0" w:after="0"/>
        <w:ind w:firstLine="480"/>
        <w:jc w:val="both"/>
      </w:pPr>
      <w:r>
        <w:rPr>
          <w:rFonts w:ascii="Times New Roman" w:hAnsi="Times New Roman" w:eastAsia="方正仿宋_GBK"/>
          <w:b w:val="0"/>
          <w:sz w:val="24"/>
        </w:rPr>
        <w:t xml:space="preserve">在储能与电网增容的经济比较方面，多项研究给出特定算例条件下的经济阈值：Martínez 等基于西班牙真实 500 节点中压网得出，专用分布式电池储能（BESS）替代网架增容仅在年负荷增长率不超过千分之一点六时净现值为正，移动式储能仅在不超过千分之二点五时可行[28]；Holweger 等在 CIGRE 低压网上得到分布式柔性优于网架增强的盈亏平衡点位于 PV 占年用电量的 110%～145% 区间（廉价变压器约 110%、昂贵变压器约 145%），且变压器为承载瓶颈元件[29]；Matthiss 等分别比较初始投资和年化费用，发现按投资成本储能远低于网架增强，但折算为计入电池 10 年寿命的年成本后差距明显收窄[30]。</w:t>
      </w:r>
    </w:p>
    <w:p>
      <w:pPr>
        <w:pStyle w:val="2"/>
        <w:widowControl/>
        <w:spacing w:line="348" w:lineRule="exact" w:before="0" w:after="0"/>
        <w:ind w:firstLine="480"/>
        <w:jc w:val="both"/>
      </w:pPr>
      <w:r>
        <w:rPr>
          <w:rFonts w:ascii="Times New Roman" w:hAnsi="Times New Roman" w:eastAsia="方正仿宋_GBK"/>
          <w:b w:val="0"/>
          <w:sz w:val="24"/>
        </w:rPr>
        <w:t xml:space="preserve">在储能定容方面，Xu 等以两阶段启发式优化最小化储能全寿命周期成本（LCC，包含投资、更换、运维及处置，并计及锂电池容量衰减），算例显示合理定容可使节点平均年化成本下降约 47%[10]；Wu 等以两阶段分布鲁棒优化并嵌入并网点短路电流约束做 PV+储能联合规划，较传统方法 PV 可装容量提升约 60%、电压偏差降低 17%，且</w:t>
      </w:r>
      <w:r>
        <w:rPr>
          <w:rFonts w:ascii="Times New Roman" w:hAnsi="Times New Roman" w:eastAsia="方正仿宋_GBK"/>
          <w:b w:val="0"/>
          <w:sz w:val="24"/>
        </w:rPr>
        <w:t xml:space="preserve">“</w:t>
      </w:r>
      <w:r>
        <w:rPr>
          <w:rFonts w:ascii="Times New Roman" w:hAnsi="Times New Roman" w:eastAsia="方正仿宋_GBK"/>
          <w:b w:val="0"/>
          <w:sz w:val="24"/>
        </w:rPr>
        <w:t xml:space="preserve">联合规划</w:t>
      </w:r>
      <w:r>
        <w:rPr>
          <w:rFonts w:ascii="Times New Roman" w:hAnsi="Times New Roman" w:eastAsia="方正仿宋_GBK"/>
          <w:b w:val="0"/>
          <w:sz w:val="24"/>
        </w:rPr>
        <w:t xml:space="preserve">”</w:t>
      </w:r>
      <w:r>
        <w:rPr>
          <w:rFonts w:ascii="Times New Roman" w:hAnsi="Times New Roman" w:eastAsia="方正仿宋_GBK"/>
          <w:b w:val="0"/>
          <w:sz w:val="24"/>
        </w:rPr>
        <w:t xml:space="preserve">优于</w:t>
      </w:r>
      <w:r>
        <w:rPr>
          <w:rFonts w:ascii="Times New Roman" w:hAnsi="Times New Roman" w:eastAsia="方正仿宋_GBK"/>
          <w:b w:val="0"/>
          <w:sz w:val="24"/>
        </w:rPr>
        <w:t xml:space="preserve">“</w:t>
      </w:r>
      <w:r>
        <w:rPr>
          <w:rFonts w:ascii="Times New Roman" w:hAnsi="Times New Roman" w:eastAsia="方正仿宋_GBK"/>
          <w:b w:val="0"/>
          <w:sz w:val="24"/>
        </w:rPr>
        <w:t xml:space="preserve">先 PV 后储能</w:t>
      </w:r>
      <w:r>
        <w:rPr>
          <w:rFonts w:ascii="Times New Roman" w:hAnsi="Times New Roman" w:eastAsia="方正仿宋_GBK"/>
          <w:b w:val="0"/>
          <w:sz w:val="24"/>
        </w:rPr>
        <w:t xml:space="preserve">”</w:t>
      </w:r>
      <w:r>
        <w:rPr>
          <w:rFonts w:ascii="Times New Roman" w:hAnsi="Times New Roman" w:eastAsia="方正仿宋_GBK"/>
          <w:b w:val="0"/>
          <w:sz w:val="24"/>
        </w:rPr>
        <w:t xml:space="preserve">[31]。</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渗透率），且其孤岛恢复方案采用构网型光伏与储能[32]。</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面向高负荷密度与含可再生能源的变电容量优化，Huang 等以多元宇宙优化器同时优化主变容量与台数，算例表明，本地可再生能源供电可减少净负荷，并延缓主变建设[33]；Xu 等则从分时电价/需求侧响应改变负荷曲线的角度论证削峰可节省变电建设投资[34]，Nespoli 等给出无需历史数据量化柔性负荷经济价值的全局预测方法[35]。</w:t>
      </w:r>
    </w:p>
    <w:p>
      <w:pPr>
        <w:pStyle w:val="2"/>
        <w:widowControl/>
        <w:spacing w:line="348" w:lineRule="exact" w:before="0" w:after="0"/>
        <w:ind w:firstLine="480"/>
        <w:jc w:val="both"/>
      </w:pPr>
      <w:r>
        <w:rPr>
          <w:rFonts w:ascii="Times New Roman" w:hAnsi="Times New Roman" w:eastAsia="方正仿宋_GBK"/>
          <w:b w:val="0"/>
          <w:sz w:val="24"/>
        </w:rPr>
        <w:t xml:space="preserve">在源网荷储/柔性互联的国际期刊成果中，Zhu等的多区域E-SOP协同规划可使年总成本降低约 15%、电压不平衡全部降至 2% 以内[36]，SOP+储能联合规划使供电能力提升 31%[37]，源—网—储协同随机规划以仅增成本 2% 换取大幅消纳提升[38]，Shi等通过源网荷储多主体演化博弈，分析收益分配对储能配置及主体协同的影响[39]。</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在成本评价方面，Zeng 等基于全寿命周期成本（投资、运行、维护、故障）建立输电线路经济寿命区间法，并以改进 GM(1,1) 在小样本下预测成本、以区间法处理不确定性[11]；Zhu 等对 10 kV 三类线路建立显式包含投资、运维、故障与报废（discard）四部分的 LCC 模型，研究表明，高负载率下运维成本成为 LCC 最主要影响因素、三类线路 LCC 平衡点出现在第 7～8 年，为线路寿命和费用边界分析提供参考[12]。</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pPr>
        <w:pStyle w:val="4"/>
        <w:keepNext/>
        <w:numPr>
          <w:numId w:val="0"/>
        </w:numPr>
        <w:spacing w:line="480" w:lineRule="exact" w:before="160" w:after="120"/>
        <w:ind w:firstLine="0"/>
      </w:pPr>
      <w:bookmarkStart w:id="1101" w:name="h101"/>
      <w:bookmarkStart w:id="50" w:name="国内研究现状"/>
      <w:r>
        <w:rPr>
          <w:rFonts w:ascii="Times New Roman" w:hAnsi="Times New Roman" w:eastAsia="方正仿宋_GBK"/>
          <w:b/>
          <w:sz w:val="32"/>
        </w:rPr>
        <w:t xml:space="preserve">2.2 国内研究现状</w:t>
      </w:r>
      <w:bookmarkEnd w:id="50"/>
      <w:bookmarkEnd w:id="1101"/>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容量配置需要兼顾供电安全与投资效率，国内研究逐步从单电压等级容量配置拓展到多电压等级协同规划，并进一步细化相关参数及评价方法。在最优容载比计算上，陈浩等较早建立含高、低压两电压等级变电站的最优容载比优化模型，以年综合费用最小为目标、用离散粒子群算法求解[43]；王凯亮等进一步以建设成本最小为目标统筹 220/110/10 kV 协同规划，用贝叶斯优化—遗传算法（BOA-GA）求解多电压等级容载比配比，证明长时间尺度下容载比配比与整体投资近似呈二次关系，规划方案较实际网架降低建设成本约 8%，并给出按负荷密度（以 10 MW·km⁻² 为界）与负荷增长率分档的差异化容载比推荐表[44]。</w:t>
      </w:r>
    </w:p>
    <w:p>
      <w:pPr>
        <w:pStyle w:val="2"/>
        <w:widowControl/>
        <w:spacing w:line="348" w:lineRule="exact" w:before="0" w:after="0"/>
        <w:ind w:firstLine="480"/>
        <w:jc w:val="both"/>
      </w:pPr>
      <w:r>
        <w:rPr>
          <w:rFonts w:ascii="Times New Roman" w:hAnsi="Times New Roman" w:eastAsia="方正仿宋_GBK"/>
          <w:b w:val="0"/>
          <w:sz w:val="24"/>
        </w:rPr>
        <w:t xml:space="preserve">在指标精细化上，刘文霞等针对导则容载比区间过宽、与可靠性脱钩的问题提出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，以理想值为基准的带状标尺可视化表达充裕性，以供电可靠性和发展阶段评价区域容量储备[45]；刘炜彬等则从负荷分散系数、储备系数、变压器安全运行率、平均功率因数四参数入手，用 BP 神经网络拟合负荷同时率、将 N-1 通过率纳入安全运行率，实现容载比精细化与差异化配置[46]。</w:t>
      </w:r>
    </w:p>
    <w:p>
      <w:pPr>
        <w:pStyle w:val="2"/>
        <w:widowControl/>
        <w:spacing w:line="348" w:lineRule="exact" w:before="0" w:after="0"/>
        <w:ind w:firstLine="480"/>
        <w:jc w:val="both"/>
      </w:pPr>
      <w:r>
        <w:rPr>
          <w:rFonts w:ascii="Times New Roman" w:hAnsi="Times New Roman" w:eastAsia="方正仿宋_GBK"/>
          <w:b w:val="0"/>
          <w:sz w:val="24"/>
        </w:rPr>
        <w:t xml:space="preserve">在最大供电能力方面，肖峻等以 TSC 理论（计及主变与下级网络转带、满足 N-1）量化容载比与下级网络强弱的关系，研究表明，网络转带能力增强后可降低相应变电容量储备需求：达到 TSC 时容载比理论范围约 1.10～2.00，常见城市配电网联络度 0.40～0.50 时对应容载比 1.50～1.60，其算例相较1.80～2.00的取值范围，可承接负荷增加约20%，并建议互联程度高的城市配电网容载比控制在 1.60 左右[8]；张锐等进一步以改进供电能力指标指导低压柔性互联装置规划，将设备容量与实际供电能力分别评价[47]；马雨欣、林凌雪提出面向精准规划的 TSC 评估方法并将分布式电源场景纳入供电能力计算[48]。</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48" w:lineRule="exact" w:before="0" w:after="0"/>
        <w:ind w:firstLine="480"/>
        <w:jc w:val="both"/>
      </w:pPr>
      <w:r>
        <w:rPr>
          <w:rFonts w:ascii="Times New Roman" w:hAnsi="Times New Roman" w:eastAsia="方正仿宋_GBK"/>
          <w:b w:val="0"/>
          <w:sz w:val="24"/>
        </w:rPr>
        <w:t xml:space="preserve">在概率/区间评估上，王方敏等提出基于历史场景的分层分级概率评估，以反向负载率分级并将薄弱环节分为红/黄/蓝/绿四级，可按不同置信水平给出各供电区域光伏可新增容量（依据DL/T 2041开展评估）[50]；徐非非等提出计及不确定性的承载能力区间分析方法[51]；张伟等针对含储能与软开关的柔性配电网，以确定性模型刻画最乐观、双层鲁棒优化刻画最悲观，构成消纳能力区间，并验证随 E-SOP 端口容量增大区间整体抬升、宽度收窄（由 7.93～10.89 MW 升至 9.32～11.34 MW）[52]。</w:t>
      </w:r>
    </w:p>
    <w:p>
      <w:pPr>
        <w:pStyle w:val="2"/>
        <w:widowControl/>
        <w:spacing w:line="348" w:lineRule="exact" w:before="0" w:after="0"/>
        <w:ind w:firstLine="480"/>
        <w:jc w:val="both"/>
      </w:pPr>
      <w:r>
        <w:rPr>
          <w:rFonts w:ascii="Times New Roman" w:hAnsi="Times New Roman" w:eastAsia="方正仿宋_GBK"/>
          <w:b w:val="0"/>
          <w:sz w:val="24"/>
        </w:rPr>
        <w:t xml:space="preserve">在安全经济承载力上，宋钰等构建兼顾安全与经济的分布式光伏承载力评估方法[53]，李敬如等研究主配协同条件下的安全经济承载力计算[54]，二者均强调</w:t>
      </w:r>
      <w:r>
        <w:rPr>
          <w:rFonts w:ascii="Times New Roman" w:hAnsi="Times New Roman" w:eastAsia="方正仿宋_GBK"/>
          <w:b w:val="0"/>
          <w:sz w:val="24"/>
        </w:rPr>
        <w:t xml:space="preserve">“</w:t>
      </w:r>
      <w:r>
        <w:rPr>
          <w:rFonts w:ascii="Times New Roman" w:hAnsi="Times New Roman" w:eastAsia="方正仿宋_GBK"/>
          <w:b w:val="0"/>
          <w:sz w:val="24"/>
        </w:rPr>
        <w:t xml:space="preserve">先满足电压、设备容量与运行安全约束，再比较扩网、储能与调节措施经济性</w:t>
      </w:r>
      <w:r>
        <w:rPr>
          <w:rFonts w:ascii="Times New Roman" w:hAnsi="Times New Roman" w:eastAsia="方正仿宋_GBK"/>
          <w:b w:val="0"/>
          <w:sz w:val="24"/>
        </w:rPr>
        <w:t xml:space="preserve">”</w:t>
      </w:r>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源网荷储/柔性互联协同规划成果丰富，研究关注柔性互联及储能的联合配置对潮流、供电能力和投资的影响。综述类研究系统梳理了分布式光伏规模化并网关键技术[61]、主动配电网规划[62]与新型配电网分布式储能配置[63]。在 SOP/柔性互联协同上，贺春光等以混合整数二阶锥规划做多电压等级 SOP 协同规划，算例中年综合成本由 457.30 万元降至 357.70 万元、各节点电压维持在 [0.95,1.05]、缓解 220 kV 变电站潮流倒送[64]。在</w:t>
      </w:r>
      <w:r>
        <w:rPr>
          <w:rFonts w:ascii="Times New Roman" w:hAnsi="Times New Roman" w:eastAsia="方正仿宋_GBK"/>
          <w:b w:val="0"/>
          <w:sz w:val="24"/>
        </w:rPr>
        <w:t xml:space="preserve">“</w:t>
      </w:r>
      <w:r>
        <w:rPr>
          <w:rFonts w:ascii="Times New Roman" w:hAnsi="Times New Roman" w:eastAsia="方正仿宋_GBK"/>
          <w:b w:val="0"/>
          <w:sz w:val="24"/>
        </w:rPr>
        <w:t xml:space="preserve">源—网—储</w:t>
      </w:r>
      <w:r>
        <w:rPr>
          <w:rFonts w:ascii="Times New Roman" w:hAnsi="Times New Roman" w:eastAsia="方正仿宋_GBK"/>
          <w:b w:val="0"/>
          <w:sz w:val="24"/>
        </w:rPr>
        <w:t xml:space="preserve">”</w:t>
      </w:r>
      <w:r>
        <w:rPr>
          <w:rFonts w:ascii="Times New Roman" w:hAnsi="Times New Roman" w:eastAsia="方正仿宋_GBK"/>
          <w:b w:val="0"/>
          <w:sz w:val="24"/>
        </w:rPr>
        <w:t xml:space="preserve">联合扩展规划上，徐峰亮等提出三层扩展规划并定义净负荷适应率、净负荷波动率、线路负载裕度均衡性三个运行灵活性指标，其推荐方案在五种方案中总成本最低（1300.50 万元）、DG 渗透率最高（57%）[65]；乐健等以 Frank-Copula 刻画源荷时空相关、蒙特卡洛生成并削减典型场景，比较基准与差异化源网储方案的全寿命费用（25 节点方案 4 综合成本较方案 2 降约 45%）[66]。</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提出分布式电源装机渗透率和分布式电源电量渗透率指标，用于判断源荷发展水平及反向容量校核需求[7]。</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39" w:name="h139"/>
      <w:bookmarkStart w:id="61" w:name="国内外研究对比与述评"/>
      <w:r>
        <w:rPr>
          <w:rFonts w:ascii="Times New Roman" w:hAnsi="Times New Roman" w:eastAsia="方正仿宋_GBK"/>
          <w:b/>
          <w:sz w:val="32"/>
        </w:rPr>
        <w:t xml:space="preserve">2.3 国内外研究对比与述评</w:t>
      </w:r>
      <w:bookmarkEnd w:id="61"/>
      <w:bookmarkEnd w:id="1139"/>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用户负荷与分布式电源出力共同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先用邳州与市区案例分析实际源荷、设备和网络条件下的配置，再另建五站模板，独立改变源荷规模、负荷增长、转供条件、持续时间及工程费用，考察更广的参数组合。</w:t>
      </w:r>
    </w:p>
    <w:p>
      <w:pPr>
        <w:pStyle w:val="2"/>
        <w:widowControl/>
        <w:spacing w:line="348" w:lineRule="exact" w:before="0" w:after="0"/>
        <w:ind w:firstLine="480"/>
        <w:jc w:val="both"/>
      </w:pPr>
      <w:r>
        <w:rPr>
          <w:rFonts w:ascii="Times New Roman" w:hAnsi="Times New Roman" w:eastAsia="方正仿宋_GBK"/>
          <w:b w:val="0"/>
          <w:sz w:val="24"/>
        </w:rPr>
        <w:t xml:space="preserve">推荐矩阵按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4"/>
        <w:keepNext/>
        <w:numPr>
          <w:numId w:val="0"/>
        </w:numPr>
        <w:spacing w:line="480" w:lineRule="exact" w:before="160" w:after="120"/>
        <w:ind w:firstLine="0"/>
      </w:pPr>
      <w:bookmarkStart w:id="1153" w:name="h153"/>
      <w:bookmarkStart w:id="65" w:name="容载比与供电能力的理论联系"/>
      <w:r>
        <w:rPr>
          <w:rFonts w:ascii="Times New Roman" w:hAnsi="Times New Roman" w:eastAsia="方正仿宋_GBK"/>
          <w:b/>
          <w:sz w:val="32"/>
        </w:rPr>
        <w:t xml:space="preserve">2.4 容载比与供电能力的理论联系</w:t>
      </w:r>
      <w:bookmarkEnd w:id="65"/>
      <w:bookmarkEnd w:id="1153"/>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两台等容量主变在N-1条件下剩余容量为原总容量的一半；三台等容量主变在N-1条件下剩余比例为三分之二。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区域容量配置还受主变规格的离散性影响。某站需要增加的有效供电能力可能小于一个推荐规格的容量增量，采购整台设备后出现一定容量储备。随着负荷增加，储备被逐步使用，年度容载比下降。本项目将可选规格直接纳入整数模型，年度指标从实际规格合计得到。</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工程上需要分别核实负荷是否可分段、通道是否可用、受端主变是否有余量。可转负荷由通道条件与两端容量共同确定。</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改变站级供电任务，可以使部分站原有储备承担邻站负荷，减少局部新增容量或储能。对区县整体而言，用户需求保持不变，送出和接收应成对计量。忽略线路损耗时，区域负荷总量守恒。本研究保留两端约束，通过设备配置变化评价联络的作用。</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pPr>
        <w:pStyle w:val="2"/>
        <w:widowControl/>
        <w:spacing w:line="348" w:lineRule="exact" w:before="0" w:after="0"/>
        <w:ind w:firstLine="480"/>
        <w:jc w:val="both"/>
      </w:pPr>
      <w:r>
        <w:rPr>
          <w:rFonts w:ascii="Times New Roman" w:hAnsi="Times New Roman" w:eastAsia="方正仿宋_GBK"/>
          <w:b w:val="0"/>
          <w:sz w:val="24"/>
        </w:rPr>
        <w:t xml:space="preserve">推广模板分别设置既有与新增转供能力预算。既有能力按初始转供率计取，新建联络按项目提高能力；送端可转负荷、受端容量及反向压力共同限制其使用量。工程费用决定能力不足时采用新建联络、增容或储能的组合。</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负荷发展储备与规划年份直接相关。主变投运后持续在役，负荷则可能在不同年份上升或下降。年度规划路径因此需要处理资产持续在役和负荷波动的共同影响。模型逐年计取建设费用，并校核中间年份的容量需求。</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按未舍入结果判断年最大净负荷平均增长率区间。已知历史年度用于案例时，直接采用对应年度实际负荷；面向其他片区的情景分析再按增长率推算目标年需求。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影响供电需求，同时影响容载比分母。在资产非减条件下，较低增长可能使已配置容量对应的容载比较高；较高增长可能触发新的主变或储能建设。离散措施使变化呈台阶形态，推荐矩阵按分档情景归纳容量变化。</w:t>
      </w:r>
    </w:p>
    <w:p>
      <w:pPr>
        <w:pStyle w:val="4"/>
        <w:keepNext/>
        <w:numPr>
          <w:numId w:val="0"/>
        </w:numPr>
        <w:spacing w:line="480" w:lineRule="exact" w:before="160" w:after="120"/>
        <w:ind w:firstLine="0"/>
      </w:pPr>
      <w:bookmarkStart w:id="1167" w:name="h167"/>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7"/>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表达用户实际用电需求，网供负荷表达电网向用户供电的剩余任务。分布式电源参与本地供电后，二者需要通过同一范围的发电和交换功率对应。在忽略损耗的简化关系中，净负荷为用户用电功率减去本地发电功率。正值表示受电，负值表示反送。源荷平衡按同一时段和统计范围建立。</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[7]。光伏增长时，两种分母可能发生不同变化。用户负荷按同期净交换功率与本地电源出力重建。</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与反向场景的网络和保护条件可能不同。正向供电安全涉及用户恢复供电，反向接入还涉及上级网络、电压和保护配合。把两个方向压缩为绝对峰值后，仍需分别分析功率方向及对应场景。正反向净负荷分别对应相应技术约束。</w:t>
      </w:r>
    </w:p>
    <w:p>
      <w:pPr>
        <w:pStyle w:val="2"/>
        <w:widowControl/>
        <w:spacing w:line="348" w:lineRule="exact" w:before="0" w:after="0"/>
        <w:ind w:firstLine="480"/>
        <w:jc w:val="both"/>
      </w:pPr>
      <w:r>
        <w:rPr>
          <w:rFonts w:ascii="Times New Roman" w:hAnsi="Times New Roman" w:eastAsia="方正仿宋_GBK"/>
          <w:b w:val="0"/>
          <w:sz w:val="24"/>
        </w:rPr>
        <w:t xml:space="preserve">各站非同时反向峰值之和仅用于反向容量压力的上界分析；形成区域峰值时，应先在同一时间轴上逐时汇总，再取极值。</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对储能配置，仅有年度峰值幅度还不够。相同的5 MW缺口若持续1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，最低理想放电能量为5 MWh；若持续5</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，所需能量相应增加。这是功率与能量的直接关系，实际工程还需考虑效率、可用荷电状态及容量衰减[28][10]。本项目静态模型以铭牌功率和峰段可持续能量共同限制储能支撑。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持续时间按补齐后的全年小时序列统计，数据处理见第3.1.3节。</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光伏增加可能降低部分日间净负荷，而年度设备最大负载率还可能由晚间高峰或局部反送决定。两项指标的相关方向受容量配置、负荷时段和统计边界共同影响[3][4][58]。</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邳州和市区的资料分别反映县域与市区的源荷条件。年度地区指标用于比较相对水平。对具有月度同范围资料的地区，可计算月度关联并说明样本内性质，为后续扩大实际数据样本提供依据。</w:t>
      </w:r>
    </w:p>
    <w:p>
      <w:pPr>
        <w:pStyle w:val="4"/>
        <w:keepNext/>
        <w:numPr>
          <w:numId w:val="0"/>
        </w:numPr>
        <w:spacing w:line="480" w:lineRule="exact" w:before="160" w:after="120"/>
        <w:ind w:firstLine="0"/>
      </w:pPr>
      <w:bookmarkStart w:id="1184" w:name="h184"/>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4"/>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[8]，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新增联络线的可转负荷还取决于受端剩余容量。可转负荷受线路热限、负荷可分段条件和受端可用容量共同限制。公开线路单位造价能够提供价格参考，实际可转任务需要网络资料支撑[8]。</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储能单位有效支撑功率投资随支撑持续时间变化。10柜组合额定功率1 MW、额定能量2.15 MWh，在可用电量系数0.76及4 h条件下，有效支撑功率为0.4085 MW。经济比较应按可持续功率折算，并保留额定功率限制[10][86]。</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[11][12]。如果储能寿命短于网架设备，评价期内可能出现更新投资。更新支出影响储能替代长期容量建设的经济性。相反，延后投运减少早期资金占用，也可能影响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电缆长度占比和储能支撑时间参与措施比选，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本项目采用固定实价和固定运维比例。线路费用按电缆与架空线路的长度占比加权，储能按统一采购价计费，在相同技术条件下比较措施费用。</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多准则评价适于对已通过技术筛查的方案比较实施条件和规划适应性[14][15][16]。本报告以费用最小形成计算推荐，供电安全和设备规格作为硬约束，工程实施条件作为应用前核对项。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电缆长度占比、转供条件、支撑持续时间和源荷条件一起给出。同一推荐容载比可对应不同设备布局，费用相同也可能出现多组可行配置。推荐区间结合主变与储能配置、建设时序和站间负荷转接结果确定，相应方案在第五章逐站列示。</w:t>
      </w:r>
    </w:p>
    <w:p>
      <w:pPr>
        <w:pStyle w:val="4"/>
        <w:keepNext/>
        <w:numPr>
          <w:numId w:val="0"/>
        </w:numPr>
        <w:spacing w:line="480" w:lineRule="exact" w:before="160" w:after="120"/>
        <w:ind w:firstLine="0"/>
      </w:pPr>
      <w:bookmarkStart w:id="1198" w:name="h198"/>
      <w:bookmarkStart w:id="78" w:name="规划寻优方法与本项目选型"/>
      <w:r>
        <w:rPr>
          <w:rFonts w:ascii="Times New Roman" w:hAnsi="Times New Roman" w:eastAsia="方正仿宋_GBK"/>
          <w:b/>
          <w:sz w:val="32"/>
        </w:rPr>
        <w:t xml:space="preserve">2.7 规划寻优方法与本项目选型</w:t>
      </w:r>
      <w:bookmarkEnd w:id="78"/>
      <w:bookmarkEnd w:id="1198"/>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[43][44]。</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整数规划将设备规格与工程数量直接作为决策变量，在正常运行和供电安全约束下比较措施费用。年度设备状态连续衔接。</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费用相近时可以出现多组可行配置。以费用目标求得的可行方案对应具体设备和联络项目。</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按联络、馈线及接收余量建立具体转供约束。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用于分析装机增长下的双向容量需求，分布式电源电量渗透率用于描述年度供能特征。</w:t>
      </w:r>
    </w:p>
    <w:p>
      <w:pPr>
        <w:pStyle w:val="4"/>
        <w:keepNext/>
        <w:numPr>
          <w:numId w:val="0"/>
        </w:numPr>
        <w:spacing w:line="480" w:lineRule="exact" w:before="160" w:after="120"/>
        <w:ind w:firstLine="0"/>
      </w:pPr>
      <w:bookmarkStart w:id="1211" w:name="h211"/>
      <w:bookmarkStart w:id="82" w:name="本项目方法选择与工程衔接"/>
      <w:r>
        <w:rPr>
          <w:rFonts w:ascii="Times New Roman" w:hAnsi="Times New Roman" w:eastAsia="方正仿宋_GBK"/>
          <w:b/>
          <w:sz w:val="32"/>
        </w:rPr>
        <w:t xml:space="preserve">2.8 本项目方法选择与工程衔接</w:t>
      </w:r>
      <w:bookmarkEnd w:id="82"/>
      <w:bookmarkEnd w:id="1211"/>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案例按四年设备状态连续寻优，保留实际年度负荷变化。通用矩阵设置34686组目标年参数组合，将32112组有效结果按全部六项参数归纳为1296个单元。主变、储能与联络按统一工程价格和设备候选进行费用比选。</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[8]。</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[46]。</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[7]。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[7]。当分析设备容量压力时，可以比较两个方向的峰值幅度；当分析电量时，则需要保留符号积分。</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[44]，刘炜彬等从负荷分散系数、安全运行及发展储备等因素分析参数取值[46]。这些研究强调容量储备与地区条件的对应关系。本报告采用分布式电源装机渗透率、年最大净负荷平均增长率、电缆长度占比、初始转供率、储能支撑持续时间及负荷分散系数作为主矩阵输入，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最大净负荷平均增长率区间依次为不大于2%、大于2%且不大于4%、大于4%且不大于7%、大于7%。本报告增长参数沿用这些分界，其他输入参数参照其首尾开口的分档形式。后者的具体分界由研究设置。输入分档覆盖参数定义域，有限计算节点覆盖的验证范围另行说明。</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各单元的容载比范围由已核验配置归纳，具体取值对应允许主变规格和台数形成的离散配置。规划应用先核对输入与模板条件，再将容量规模落实到设备、联络及储能方案[43][44]。</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中的储能与网架建设比较，既有按初始投资判断的研究，也有计及运行、更新和寿命的费用分析[30][28][10]。比较目的不同，费用范围也随之变化。初始投资适合解释设备采购和工程规模；评价期费用适合比较不同建设年份及运维水平；包含收益的财务分析则还需电价、运行策略和市场机制。使用研究结论时，应先确认其所回答的经济问题。</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pPr>
        <w:pStyle w:val="4"/>
        <w:keepNext/>
        <w:numPr>
          <w:numId w:val="0"/>
        </w:numPr>
        <w:spacing w:line="480" w:lineRule="exact" w:before="160" w:after="120"/>
        <w:ind w:firstLine="0"/>
      </w:pPr>
      <w:bookmarkStart w:id="1233" w:name="h233"/>
      <w:bookmarkStart w:id="89" w:name="本章小结"/>
      <w:r>
        <w:rPr>
          <w:rFonts w:ascii="Times New Roman" w:hAnsi="Times New Roman" w:eastAsia="方正仿宋_GBK"/>
          <w:b/>
          <w:sz w:val="32"/>
        </w:rPr>
        <w:t xml:space="preserve">2.9 本章小结</w:t>
      </w:r>
      <w:bookmarkEnd w:id="89"/>
      <w:bookmarkEnd w:id="1233"/>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表明，源荷时段关系决定正反向运行任务，主变结构和下级网络影响局部供电能力，储能与网架的替代选择还受持续时间及工程费用影响。本研究据此将地区运行资料和实际工程价格纳入同一规划模型：第三章确定源荷及设备条件，第四章建立各类措施费用，第五章在相同约束下比较配置，并用五站模板归纳不同参数条件下的推荐范围。</w:t>
      </w:r>
    </w:p>
    <w:p>
      <w:pPr>
        <w:pStyle w:val="3"/>
        <w:keepNext/>
        <w:pageBreakBefore/>
        <w:numPr>
          <w:numId w:val="0"/>
        </w:numPr>
        <w:spacing w:line="540" w:lineRule="exact" w:before="0" w:after="120"/>
        <w:ind w:firstLine="0"/>
      </w:pPr>
      <w:bookmarkStart w:id="1235" w:name="h235"/>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235"/>
    </w:p>
    <w:p>
      <w:pPr>
        <w:pStyle w:val="4"/>
        <w:keepNext/>
        <w:numPr>
          <w:numId w:val="0"/>
        </w:numPr>
        <w:spacing w:line="480" w:lineRule="exact" w:before="160" w:after="120"/>
        <w:ind w:firstLine="0"/>
      </w:pPr>
      <w:bookmarkStart w:id="1236" w:name="h236"/>
      <w:bookmarkStart w:id="91" w:name="研究地区与原始资料"/>
      <w:r>
        <w:rPr>
          <w:rFonts w:ascii="Times New Roman" w:hAnsi="Times New Roman" w:eastAsia="方正仿宋_GBK"/>
          <w:b/>
          <w:sz w:val="32"/>
        </w:rPr>
        <w:t xml:space="preserve">3.1 研究地区与原始资料</w:t>
      </w:r>
      <w:bookmarkEnd w:id="91"/>
      <w:bookmarkEnd w:id="1236"/>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分析历史负荷、光伏及设备结构，并说明规划仿真采用的参数。年度区域负荷统一换算为MW，作为年网供最大负荷估计值。规划站级正向、反向净负荷采用2025年分布，按仿真年度规模缩放。图表中2021—2022年光伏装机采用几何回推，2023—2025年采用月末记录。</w:t>
      </w:r>
    </w:p>
    <w:p>
      <w:pPr>
        <w:pStyle w:val="2"/>
        <w:widowControl/>
        <w:spacing w:line="348" w:lineRule="exact" w:before="0" w:after="0"/>
        <w:ind w:firstLine="480"/>
        <w:jc w:val="both"/>
      </w:pPr>
      <w:r>
        <w:rPr>
          <w:rFonts w:ascii="Times New Roman" w:hAnsi="Times New Roman" w:eastAsia="方正仿宋_GBK"/>
          <w:b w:val="0"/>
          <w:sz w:val="24"/>
        </w:rPr>
        <w:t xml:space="preserve">历史容量和负荷用于本章现状分析。第五章采用各地区共同的仿真初始设备和2021年实际负荷，基期容载比均约为2.00，后续容量由逐年优化确定。设备统计形成允许规格、供电区域类别及主变扩建位置；正常负荷调整使用相同仿真通道。</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案例提取区域正向峰值、最低净负荷及各站局部极值的同期截面，市区45个、邳州26个；每个截面保留全部站点的同期功率。正向储能支撑持续时间分别取邳州2 h、市区6 h。</w:t>
      </w:r>
    </w:p>
    <w:p>
      <w:pPr>
        <w:pStyle w:val="4"/>
        <w:keepNext/>
        <w:numPr>
          <w:numId w:val="0"/>
        </w:numPr>
        <w:spacing w:line="480" w:lineRule="exact" w:before="160" w:after="120"/>
        <w:ind w:firstLine="0"/>
      </w:pPr>
      <w:bookmarkStart w:id="1246" w:name="h246"/>
      <w:bookmarkStart w:id="95" w:name="年度容量负荷与增长特征"/>
      <w:r>
        <w:rPr>
          <w:rFonts w:ascii="Times New Roman" w:hAnsi="Times New Roman" w:eastAsia="方正仿宋_GBK"/>
          <w:b/>
          <w:sz w:val="32"/>
        </w:rPr>
        <w:t xml:space="preserve">3.2 年度容量、负荷与增长特征</w:t>
      </w:r>
      <w:bookmarkEnd w:id="95"/>
      <w:bookmarkEnd w:id="1246"/>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 邳州和市区年网供最大负荷</w:t>
      </w:r>
    </w:p>
    <w:p>
      <w:pPr>
        <w:pStyle w:val="5"/>
        <w:keepNext/>
        <w:numPr>
          <w:numId w:val="0"/>
        </w:numPr>
        <w:spacing w:line="390" w:lineRule="exact" w:before="160" w:after="120"/>
        <w:ind w:firstLine="0"/>
      </w:pPr>
      <w:bookmarkStart w:id="99" w:name="年最大净负荷平均增长率"/>
      <w:r>
        <w:rPr>
          <w:rFonts w:ascii="Times New Roman" w:hAnsi="Times New Roman" w:eastAsia="方正仿宋_GBK"/>
          <w:b/>
          <w:sz w:val="26"/>
        </w:rPr>
        <w:t xml:space="preserve">3.2.3 年最大净负荷平均增长率</w:t>
      </w:r>
      <w:bookmarkEnd w:id="99"/>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年最大净负荷平均增长率[7]由同范围起止年度负荷按复合增长形式计算。2021—2025年包含四个年度间隔，增长分档采用2025年4月《配电网规划设计技术导则（修订稿）》第6.2.2.1条及表2[7]。</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acc>
                <m:accPr>
                  <m:chr m:val="‾"/>
                </m:accPr>
                <m:e>
                  <m:r>
                    <m:rPr>
                      <m:nor m:val="1"/>
                    </m:rPr>
                    <w:rPr>
                      <w:rFonts w:ascii="Times New Roman" w:hAnsi="Times New Roman" w:cs="Times New Roman" w:eastAsia="方正仿宋_GBK"/>
                      <w:i w:val="1"/>
                      <w:iCs w:val="1"/>
                    </w:rPr>
                    <m:t>g</m:t>
                  </m:r>
                </m:e>
              </m:acc>
              <m:r>
                <m:rPr>
                  <m:nor m:val="1"/>
                </m:rPr>
                <w:rPr>
                  <w:rFonts w:ascii="Times New Roman" w:hAnsi="Times New Roman" w:cs="Times New Roman" w:eastAsia="方正仿宋_GBK"/>
                  <w:i w:val="0"/>
                  <w:iCs w:val="0"/>
                </w:rPr>
                <m:t>=</m:t>
              </m:r>
              <m:sSup>
                <m:e>
                  <m:d>
                    <m:dPr>
                      <m:begChr m:val="("/>
                      <m:endChr m:val=")"/>
                      <m:grow/>
                    </m:dPr>
                    <m:e>
                      <m:f>
                        <m:fPr>
                          <m:type m:val="bar"/>
                        </m:fPr>
                        <m:num>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den>
                      </m:f>
                    </m:e>
                  </m:d>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年网供最大负荷估计值，单位MW；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0" w:name="历史统计与规划仿真的衔接"/>
      <w:r>
        <w:rPr>
          <w:rFonts w:ascii="Times New Roman" w:hAnsi="Times New Roman" w:eastAsia="方正仿宋_GBK"/>
          <w:b/>
          <w:sz w:val="26"/>
        </w:rPr>
        <w:t xml:space="preserve">3.2.4 历史统计与规划仿真的衔接</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2021—2025年实际容量与负荷用于现状分析，2022—2025年已知年度负荷直接进入地区案例。仿真保留市区2900.00 MVA、邳州1463.50 MVA的初始设备容量，基期及后续各年负荷均采用实际年度统计值，基期容载比按两位小数均为2.00。主变增容由逐年优化确定，实际在役容量与仿真容量分别列示。</w:t>
      </w:r>
    </w:p>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oMath>
      <w:r>
        <w:rPr>
          <w:rFonts w:ascii="Times New Roman" w:hAnsi="Times New Roman" w:eastAsia="方正仿宋_GBK"/>
          <w:b w:val="0"/>
          <w:sz w:val="24"/>
        </w:rPr>
        <w:t xml:space="preserve">确定目标年负荷。地区案例与通用模板的用途不同，分别保留其负荷来源和计算条件。</w:t>
      </w:r>
    </w:p>
    <w:p>
      <w:pPr>
        <w:pStyle w:val="4"/>
        <w:keepNext/>
        <w:numPr>
          <w:numId w:val="0"/>
        </w:numPr>
        <w:spacing w:line="480" w:lineRule="exact" w:before="160" w:after="120"/>
        <w:ind w:firstLine="0"/>
      </w:pPr>
      <w:bookmarkStart w:id="1264" w:name="h264"/>
      <w:bookmarkStart w:id="101" w:name="分布式光伏装机与电量"/>
      <w:r>
        <w:rPr>
          <w:rFonts w:ascii="Times New Roman" w:hAnsi="Times New Roman" w:eastAsia="方正仿宋_GBK"/>
          <w:b/>
          <w:sz w:val="32"/>
        </w:rPr>
        <w:t xml:space="preserve">3.3 分布式光伏装机与电量</w:t>
      </w:r>
      <w:bookmarkEnd w:id="101"/>
      <w:bookmarkEnd w:id="1264"/>
    </w:p>
    <w:p>
      <w:pPr>
        <w:pStyle w:val="5"/>
        <w:keepNext/>
        <w:numPr>
          <w:numId w:val="0"/>
        </w:numPr>
        <w:spacing w:line="390" w:lineRule="exact" w:before="160" w:after="120"/>
        <w:ind w:firstLine="0"/>
      </w:pPr>
      <w:bookmarkStart w:id="102" w:name="装机规模与月度变化"/>
      <w:r>
        <w:rPr>
          <w:rFonts w:ascii="Times New Roman" w:hAnsi="Times New Roman" w:eastAsia="方正仿宋_GBK"/>
          <w:b/>
          <w:sz w:val="26"/>
        </w:rPr>
        <w:t xml:space="preserve">3.3.1 装机规模与月度变化</w:t>
      </w:r>
      <w:bookmarkEnd w:id="102"/>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MW。现有月度装机数据始于2023年，2021—2022年装机容量按同月份增长关系回推，图中以虚线区分估计结果与统计记录。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sSup>
                      <m:e>
                        <m:d>
                          <m:dPr>
                            <m:begChr m:val="("/>
                            <m:endChr m:val=")"/>
                            <m:grow/>
                          </m:dPr>
                          <m:e>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num>
                              <m:den>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den>
                            </m:f>
                          </m:e>
                        </m:d>
                      </m:e>
                      <m:sup>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p>
                    </m:sSup>
                  </m:e>
                </m:mr>
                <m:mr>
                  <m:e>
                    <m:r>
                      <m:rPr>
                        <m:nor m:val="1"/>
                      </m:rPr>
                      <w:rPr>
                        <w:rFonts w:ascii="Times New Roman" w:hAnsi="Times New Roman" w:cs="Times New Roman" w:eastAsia="方正仿宋_GBK"/>
                        <w:i w:val="1"/>
                        <w:iCs w:val="1"/>
                      </w:rPr>
                      <m:t>y</m:t>
                    </m:r>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2022</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C</m:t>
                </m:r>
              </m:e>
            </m:acc>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年第</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月末光伏装机容量估计值，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2023</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0"/>
                <w:iCs w:val="0"/>
              </w:rPr>
              <m:t>2024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为对应月份记录，单位MW；</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为年份，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表3-3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3"/>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图3-2 2021—2025年月末分布式光伏装机容量</w:t>
      </w:r>
    </w:p>
    <w:p>
      <w:pPr>
        <w:pStyle w:val="5"/>
        <w:keepNext/>
        <w:numPr>
          <w:numId w:val="0"/>
        </w:numPr>
        <w:spacing w:line="390" w:lineRule="exact" w:before="160" w:after="120"/>
        <w:ind w:firstLine="0"/>
      </w:pPr>
      <w:bookmarkStart w:id="104" w:name="年发电量估计方法"/>
      <w:r>
        <w:rPr>
          <w:rFonts w:ascii="Times New Roman" w:hAnsi="Times New Roman" w:eastAsia="方正仿宋_GBK"/>
          <w:b/>
          <w:sz w:val="26"/>
        </w:rPr>
        <w:t xml:space="preserve">3.3.2 年发电量估计方法</w:t>
      </w:r>
      <w:bookmarkEnd w:id="10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0"/>
                      <w:iCs w:val="0"/>
                    </w:rPr>
                    <m:t>12</m:t>
                  </m:r>
                </m:sup>
                <m:e>
                  <m:nary>
                    <m:naryPr>
                      <m:chr m:val="∑"/>
                      <m:limLoc m:val="undOvr"/>
                      <m:subHide m:val="0"/>
                      <m:supHide m:val="1"/>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m</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e>
                  </m:nary>
                </m:e>
              </m:nary>
              <m:f>
                <m:fPr>
                  <m:type m:val="bar"/>
                </m:fPr>
                <m:num>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为估计光伏年发电量，单位MWh；</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m</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分别为本月及前月末光伏装机，单位MW；</w:t>
      </w:r>
      <m:oMath>
        <m:sSub>
          <m:e>
            <m:r>
              <m:rPr>
                <m:nor m:val="1"/>
              </m:rPr>
              <w:rPr>
                <w:rFonts w:ascii="Times New Roman" w:hAnsi="Times New Roman" w:cs="Times New Roman" w:eastAsia="方正仿宋_GBK"/>
                <w:i w:val="1"/>
                <w:iCs w:val="1"/>
              </w:rPr>
              <m:t>ϕ</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的典型光伏出力系数，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w:t>
      </w:r>
    </w:p>
    <w:p>
      <w:pPr>
        <w:pStyle w:val="5"/>
        <w:keepNext/>
        <w:numPr>
          <w:numId w:val="0"/>
        </w:numPr>
        <w:spacing w:line="390" w:lineRule="exact" w:before="160" w:after="120"/>
        <w:ind w:firstLine="0"/>
      </w:pPr>
      <w:bookmarkStart w:id="105" w:name="用户最大负荷与分布式电源装机渗透率"/>
      <w:r>
        <w:rPr>
          <w:rFonts w:ascii="Times New Roman" w:hAnsi="Times New Roman" w:eastAsia="方正仿宋_GBK"/>
          <w:b/>
          <w:sz w:val="26"/>
        </w:rPr>
        <w:t xml:space="preserve">3.3.3 用户最大负荷与分布式电源装机渗透率</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分布式电源装机渗透率采用《配电网规划设计技术导则》的指标定义，作为描述源荷条件的研究参数[7]。</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num>
                <m:den>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为分布式电源装机渗透率，无量纲；</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为同范围分布式电源并网装机容量，单位MW；</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oMath>
      <w:r>
        <w:rPr>
          <w:rFonts w:ascii="Times New Roman" w:hAnsi="Times New Roman" w:eastAsia="方正仿宋_GBK"/>
          <w:b w:val="0"/>
          <w:sz w:val="24"/>
        </w:rPr>
        <w:t xml:space="preserve">为用户最大负荷，单位MW。DG为分布式电源的英文缩写[7]。用户日间负荷由设备典型时刻净功率加回相应光伏出力估计，夜间候选负荷由设备夜间统计得到，再取两者较大值。该方法得到的用户最大负荷为典型场景估计值。</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6" w:name="用户电量与分布式电源电量渗透率"/>
      <w:r>
        <w:rPr>
          <w:rFonts w:ascii="Times New Roman" w:hAnsi="Times New Roman" w:eastAsia="方正仿宋_GBK"/>
          <w:b/>
          <w:sz w:val="26"/>
        </w:rPr>
        <w:t xml:space="preserve">3.3.4 用户电量与分布式电源电量渗透率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nary>
                      <m:naryPr>
                        <m:chr m:val="∑"/>
                        <m:limLoc m:val="undOvr"/>
                        <m:subHide m:val="0"/>
                        <m:supHide m:val="1"/>
                      </m:naryPr>
                      <m:sub>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e>
                    </m:nary>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e>
                </m:mr>
                <m:mr>
                  <m:e>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e>
                  <m:e>
                    <m:r>
                      <m:rPr>
                        <m:nor m:val="1"/>
                      </m:rPr>
                      <w:rPr>
                        <w:rFonts w:ascii="Times New Roman" w:hAnsi="Times New Roman" w:cs="Times New Roman" w:eastAsia="方正仿宋_GBK"/>
                        <w:i w:val="0"/>
                        <w:iCs w:val="0"/>
                      </w:rPr>
                      <m:t>=</m:t>
                    </m:r>
                    <m:f>
                      <m:fPr>
                        <m:type m:val="bar"/>
                      </m:fPr>
                      <m:num>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num>
                      <m:den>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den>
                    </m:f>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sub>
        </m:sSub>
      </m:oMath>
      <w:r>
        <w:rPr>
          <w:rFonts w:ascii="Times New Roman" w:hAnsi="Times New Roman" w:eastAsia="方正仿宋_GBK"/>
          <w:b w:val="0"/>
          <w:sz w:val="24"/>
        </w:rPr>
        <w:t xml:space="preserve">为用户年用电量估计值，</w:t>
      </w:r>
      <m:oMath>
        <m:sSub>
          <m:e>
            <m:acc>
              <m:accPr>
                <m:chr m:val="̂"/>
              </m:accPr>
              <m:e>
                <m:r>
                  <m:rPr>
                    <m:nor m:val="1"/>
                  </m:rPr>
                  <w:rPr>
                    <w:rFonts w:ascii="Times New Roman" w:hAnsi="Times New Roman" w:cs="Times New Roman" w:eastAsia="方正仿宋_GBK"/>
                    <w:i w:val="1"/>
                    <w:iCs w:val="1"/>
                  </w:rPr>
                  <m:t>E</m:t>
                </m:r>
              </m:e>
            </m:acc>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V</m:t>
            </m:r>
          </m:sub>
        </m:sSub>
      </m:oMath>
      <w:r>
        <w:rPr>
          <w:rFonts w:ascii="Times New Roman" w:hAnsi="Times New Roman" w:eastAsia="方正仿宋_GBK"/>
          <w:b w:val="0"/>
          <w:sz w:val="24"/>
        </w:rPr>
        <w:t xml:space="preserve">为光伏年发电量估计值，单位MWh；</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为分布式电源电量渗透率；</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的样本净交换功率，单位MW，</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为1 h。</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286" w:name="h286"/>
      <w:bookmarkStart w:id="107" w:name="主变负载率与双向净负荷"/>
      <w:r>
        <w:rPr>
          <w:rFonts w:ascii="Times New Roman" w:hAnsi="Times New Roman" w:eastAsia="方正仿宋_GBK"/>
          <w:b/>
          <w:sz w:val="32"/>
        </w:rPr>
        <w:t xml:space="preserve">3.4 主变负载率与双向净负荷</w:t>
      </w:r>
      <w:bookmarkEnd w:id="107"/>
      <w:bookmarkEnd w:id="1286"/>
    </w:p>
    <w:p>
      <w:pPr>
        <w:pStyle w:val="5"/>
        <w:keepNext/>
        <w:numPr>
          <w:numId w:val="0"/>
        </w:numPr>
        <w:spacing w:line="390" w:lineRule="exact" w:before="160" w:after="120"/>
        <w:ind w:firstLine="0"/>
      </w:pPr>
      <w:bookmarkStart w:id="108" w:name="主变年最大负载率统计"/>
      <w:r>
        <w:rPr>
          <w:rFonts w:ascii="Times New Roman" w:hAnsi="Times New Roman" w:eastAsia="方正仿宋_GBK"/>
          <w:b/>
          <w:sz w:val="26"/>
        </w:rPr>
        <w:t xml:space="preserve">3.4.1 主变年最大负载率统计</w:t>
      </w:r>
      <w:bookmarkEnd w:id="108"/>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表3-4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邳州逐台主变年最大负载率中位数为53%，市区为55%，两地区均有设备达到80%及以上。中位水平与较高负载设备并存，表明容量需求在设备之间存在差异，建设措施需落实到具体站点。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9"/>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图3-3 邳州和市区逐台主变最大负载率分布</w:t>
      </w:r>
    </w:p>
    <w:p>
      <w:pPr>
        <w:pStyle w:val="5"/>
        <w:keepNext/>
        <w:numPr>
          <w:numId w:val="0"/>
        </w:numPr>
        <w:spacing w:line="390" w:lineRule="exact" w:before="160" w:after="120"/>
        <w:ind w:firstLine="0"/>
      </w:pPr>
      <w:bookmarkStart w:id="110" w:name="最大正向反向净负荷"/>
      <w:r>
        <w:rPr>
          <w:rFonts w:ascii="Times New Roman" w:hAnsi="Times New Roman" w:eastAsia="方正仿宋_GBK"/>
          <w:b/>
          <w:sz w:val="26"/>
        </w:rPr>
        <w:t xml:space="preserve">3.4.2 最大正向、反向净负荷</w:t>
      </w:r>
      <w:bookmarkEnd w:id="110"/>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e>
                  <m:e>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t</m:t>
                        </m:r>
                      </m:lim>
                    </m:limLow>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的净负荷，受电为正、反送为负；</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和</w:t>
      </w:r>
      <m:oMath>
        <m:sSup>
          <m:e>
            <m:r>
              <m:rPr>
                <m:nor m:val="1"/>
              </m:rPr>
              <w:rPr>
                <w:rFonts w:ascii="Times New Roman" w:hAnsi="Times New Roman" w:cs="Times New Roman" w:eastAsia="方正仿宋_GBK"/>
                <w:i w:val="1"/>
                <w:iCs w:val="1"/>
              </w:rPr>
              <m:t>P</m:t>
            </m:r>
          </m:e>
          <m:sup>
            <m:r>
              <m:rPr>
                <m:nor m:val="1"/>
              </m:rPr>
              <w:rPr>
                <w:rFonts w:ascii="Times New Roman" w:hAnsi="Times New Roman" w:cs="Times New Roman" w:eastAsia="方正仿宋_GBK"/>
                <w:i w:val="0"/>
                <w:iCs w:val="0"/>
              </w:rPr>
              <m:t>−</m:t>
            </m:r>
          </m:sup>
        </m:sSup>
      </m:oMath>
      <w:r>
        <w:rPr>
          <w:rFonts w:ascii="Times New Roman" w:hAnsi="Times New Roman" w:eastAsia="方正仿宋_GBK"/>
          <w:b w:val="0"/>
          <w:sz w:val="24"/>
        </w:rPr>
        <w:t xml:space="preserve">分别为最大正向、反向净负荷，</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oMath>
      <w:r>
        <w:rPr>
          <w:rFonts w:ascii="Times New Roman" w:hAnsi="Times New Roman" w:eastAsia="方正仿宋_GBK"/>
          <w:b w:val="0"/>
          <w:sz w:val="24"/>
        </w:rPr>
        <w:t xml:space="preserve">为净负荷最大绝对值，单位均为MW。站级负载率按</w:t>
      </w:r>
      <m:oMath>
        <m:sSup>
          <m:e>
            <m:r>
              <m:rPr>
                <m:nor m:val="1"/>
              </m:rPr>
              <w:rPr>
                <w:rFonts w:ascii="Times New Roman" w:hAnsi="Times New Roman" w:cs="Times New Roman" w:eastAsia="方正仿宋_GBK"/>
                <w:i w:val="1"/>
                <w:iCs w:val="1"/>
              </w:rPr>
              <m:t>P</m:t>
            </m:r>
          </m:e>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计算，</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表3-5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变电站</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110千伏八义集变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110千伏铁富变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110千伏庞庄变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14.08</w:t>
            </w:r>
          </w:p>
        </w:tc>
      </w:tr>
    </w:tbl>
    <w:p>
      <w:pPr>
        <w:pStyle w:val="2"/>
        <w:keepNext/>
        <w:spacing w:line="280" w:lineRule="exact" w:before="120" w:after="80"/>
        <w:ind w:firstLine="0"/>
        <w:jc w:val="center"/>
      </w:pPr>
      <w:r>
        <w:rPr>
          <w:rFonts w:ascii="Times New Roman" w:hAnsi="Times New Roman" w:eastAsia="宋体"/>
          <w:b w:val="0"/>
          <w:sz w:val="21"/>
        </w:rPr>
        <w:t xml:space="preserve">表3-6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99</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123</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1"/>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图3-4 两地区静态工况下的站级负载率</w:t>
      </w:r>
    </w:p>
    <w:p>
      <w:pPr>
        <w:pStyle w:val="5"/>
        <w:keepNext/>
        <w:numPr>
          <w:numId w:val="0"/>
        </w:numPr>
        <w:spacing w:line="390" w:lineRule="exact" w:before="160" w:after="120"/>
        <w:ind w:firstLine="0"/>
      </w:pPr>
      <w:bookmarkStart w:id="112" w:name="区域同步净负荷曲线"/>
      <w:r>
        <w:rPr>
          <w:rFonts w:ascii="Times New Roman" w:hAnsi="Times New Roman" w:eastAsia="方正仿宋_GBK"/>
          <w:b/>
          <w:sz w:val="26"/>
        </w:rPr>
        <w:t xml:space="preserve">3.4.3 区域同步净负荷曲线</w:t>
      </w:r>
      <w:bookmarkEnd w:id="112"/>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3"/>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图3-5 邳州区域净负荷曲线及95%近峰时段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4"/>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图3-6 市区区域净负荷曲线及95%近峰时段</w:t>
      </w:r>
    </w:p>
    <w:p>
      <w:pPr>
        <w:pStyle w:val="5"/>
        <w:keepNext/>
        <w:numPr>
          <w:numId w:val="0"/>
        </w:numPr>
        <w:spacing w:line="390" w:lineRule="exact" w:before="160" w:after="120"/>
        <w:ind w:firstLine="0"/>
      </w:pPr>
      <w:bookmarkStart w:id="115" w:name="峰值持续时间"/>
      <w:r>
        <w:rPr>
          <w:rFonts w:ascii="Times New Roman" w:hAnsi="Times New Roman" w:eastAsia="方正仿宋_GBK"/>
          <w:b/>
          <w:sz w:val="26"/>
        </w:rPr>
        <w:t xml:space="preserve">3.4.4 95%峰值持续时间</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以区域净负荷最大绝对值的95%为阈值，统计达到阈值的最长连续时长和全年累计时数。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连续时段长度</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0.95</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0"/>
                <w:iCs w:val="0"/>
              </w:rPr>
              <m:t>95</m:t>
            </m:r>
          </m:sub>
        </m:sSub>
      </m:oMath>
      <w:r>
        <w:rPr>
          <w:rFonts w:ascii="Times New Roman" w:hAnsi="Times New Roman" w:eastAsia="方正仿宋_GBK"/>
          <w:b w:val="0"/>
          <w:sz w:val="24"/>
        </w:rPr>
        <w:t xml:space="preserve">为95%峰值持续时间，单位h；</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为时刻</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的区域净负荷，</w:t>
      </w:r>
      <m:oMath>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表3-7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95%峰值阈值/MW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pPr>
        <w:pStyle w:val="5"/>
        <w:keepNext/>
        <w:numPr>
          <w:numId w:val="0"/>
        </w:numPr>
        <w:spacing w:line="390" w:lineRule="exact" w:before="160" w:after="120"/>
        <w:ind w:firstLine="0"/>
      </w:pPr>
      <w:bookmarkStart w:id="116" w:name="峰段与储能容量的联系"/>
      <w:r>
        <w:rPr>
          <w:rFonts w:ascii="Times New Roman" w:hAnsi="Times New Roman" w:eastAsia="方正仿宋_GBK"/>
          <w:b/>
          <w:sz w:val="26"/>
        </w:rPr>
        <w:t xml:space="preserve">3.4.5 峰段与储能容量的联系</w:t>
      </w:r>
      <w:bookmarkEnd w:id="116"/>
    </w:p>
    <w:p>
      <w:pPr>
        <w:pStyle w:val="FirstParagraph"/>
        <w:widowControl/>
        <w:spacing w:line="348" w:lineRule="exact" w:before="0" w:after="0"/>
        <w:ind w:firstLine="480"/>
        <w:jc w:val="both"/>
      </w:pPr>
      <w:r>
        <w:rPr>
          <w:rFonts w:ascii="Times New Roman" w:hAnsi="Times New Roman" w:eastAsia="方正仿宋_GBK"/>
          <w:b w:val="0"/>
          <w:sz w:val="24"/>
        </w:rPr>
        <w:t xml:space="preserve">峰值幅度和持续时间共同决定静态支撑需求。储能额定功率限制瞬时支撑幅度，可用能量限制连续支撑时长。模型使用铭牌功率与峰段可持续能量的较小值确定充放电功率。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95%近峰持续时间用于描述区域负荷特征。N-1后的容量缺口可能在负荷未达到峰值95%时已经出现，实际能量需求应按超过剩余供电能力的功率差积分确定。地区案例分别采用邳州2 h、市区6 h，推广在此基础上比较2、4、6 h。当前研究采用可用电量系数0.76作静态折算，未开展逐时荷电状态仿真[28][10]。</w:t>
      </w:r>
    </w:p>
    <w:p>
      <w:pPr>
        <w:pStyle w:val="4"/>
        <w:keepNext/>
        <w:numPr>
          <w:numId w:val="0"/>
        </w:numPr>
        <w:spacing w:line="480" w:lineRule="exact" w:before="160" w:after="120"/>
        <w:ind w:firstLine="0"/>
      </w:pPr>
      <w:bookmarkStart w:id="1314" w:name="h314"/>
      <w:bookmarkStart w:id="117" w:name="核心参数依据与相关性分析"/>
      <w:r>
        <w:rPr>
          <w:rFonts w:ascii="Times New Roman" w:hAnsi="Times New Roman" w:eastAsia="方正仿宋_GBK"/>
          <w:b/>
          <w:sz w:val="32"/>
        </w:rPr>
        <w:t xml:space="preserve">3.5 核心参数依据与相关性分析</w:t>
      </w:r>
      <w:bookmarkEnd w:id="117"/>
      <w:bookmarkEnd w:id="1314"/>
    </w:p>
    <w:p>
      <w:pPr>
        <w:pStyle w:val="5"/>
        <w:keepNext/>
        <w:numPr>
          <w:numId w:val="0"/>
        </w:numPr>
        <w:spacing w:line="390" w:lineRule="exact" w:before="160" w:after="120"/>
        <w:ind w:firstLine="0"/>
      </w:pPr>
      <w:bookmarkStart w:id="118" w:name="六项参数的选取依据"/>
      <w:r>
        <w:rPr>
          <w:rFonts w:ascii="Times New Roman" w:hAnsi="Times New Roman" w:eastAsia="方正仿宋_GBK"/>
          <w:b/>
          <w:sz w:val="26"/>
        </w:rPr>
        <w:t xml:space="preserve">3.5.1 六项参数的选取依据</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第6.2.2条将负荷增长、负荷分散系数和负荷转移能力列为容载比的影响因素，第7.4.2.2条要求结合新能源渗透水平校核反向容量，并开展增容与储能技术经济比选[7]。本研究据此选取源荷规模、网络支援和措施费用相关的六项参数。</w:t>
      </w:r>
    </w:p>
    <w:p>
      <w:pPr>
        <w:pStyle w:val="2"/>
        <w:keepNext/>
        <w:spacing w:line="280" w:lineRule="exact" w:before="120" w:after="80"/>
        <w:ind w:firstLine="0"/>
        <w:jc w:val="center"/>
      </w:pPr>
      <w:r>
        <w:rPr>
          <w:rFonts w:ascii="Times New Roman" w:hAnsi="Times New Roman" w:eastAsia="宋体"/>
          <w:b w:val="0"/>
          <w:sz w:val="21"/>
        </w:rPr>
        <w:t xml:space="preserve">表3-8 六项参数的定义、依据与规划作用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定义及单位</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依据与规划作用</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分布式电源装机容量与用户最大负荷之比，无量纲</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该导则第6.5.4条给出定义，第7.4.2.2条联系反向容量校核[7]；装机及负荷资料见第3.3节</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同范围起止年度网供最大负荷的复合年平均增长率，%/年</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该导则第6.2.2.1条按该指标划分负荷发展阶段[7]；由同范围起止年度网供最大负荷计算</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电缆长度占电缆与架空线路总长度的比例，%</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 kV线路形式影响工程费用[12]；邳州线路长度统计约11%，市区补充资料约80%，按第4.3节折算新增联络费用</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基期可转负荷与基期网供最大负荷之比，%</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该导则第6.2.2.1条及馈线联络研究说明转供能力与容量储备的关系[7][8]；用于设定基期网络能力</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给定功率缺口需连续支撑的时间，h</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储能定容同时考虑功率、能量及持续过程[10][28]；结合第3.4节峰段设置2、4、6 h</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各站正向峰值之和与区域同时正向峰值之比，无量纲</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该导则第6.2.2条列为容量储备影响因素[7]；各站及区域峰值取同一补齐全年序列</w:t>
            </w:r>
          </w:p>
        </w:tc>
      </w:tr>
    </w:tbl>
    <w:p>
      <w:pPr>
        <w:pStyle w:val="2"/>
        <w:widowControl/>
        <w:spacing w:line="348" w:lineRule="atLeast" w:before="0" w:after="0"/>
        <w:ind w:firstLine="480"/>
        <w:jc w:val="both"/>
      </w:pPr>
      <w:r>
        <w:rPr>
          <w:rFonts w:ascii="Times New Roman" w:hAnsi="Times New Roman" w:eastAsia="方正仿宋_GBK"/>
          <w:b w:val="0"/>
          <w:sz w:val="24"/>
        </w:rPr>
        <w:t xml:space="preserve">各项计算分别采用</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oMath>
      <w:r>
        <w:rPr>
          <w:rFonts w:ascii="Times New Roman" w:hAnsi="Times New Roman" w:eastAsia="方正仿宋_GBK"/>
          <w:b w:val="0"/>
          <w:sz w:val="24"/>
        </w:rPr>
        <w:t xml:space="preserve">、</w:t>
      </w:r>
      <m:oMath>
        <m:acc>
          <m:accPr>
            <m:chr m:val="‾"/>
          </m:accPr>
          <m:e>
            <m:r>
              <m:rPr>
                <m:nor m:val="1"/>
              </m:rPr>
              <w:rPr>
                <w:rFonts w:ascii="Times New Roman" w:hAnsi="Times New Roman" w:cs="Times New Roman" w:eastAsia="方正仿宋_GBK"/>
                <w:i w:val="1"/>
                <w:iCs w:val="1"/>
              </w:rPr>
              <m:t>g</m:t>
            </m:r>
          </m:e>
        </m:acc>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T</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w:t>
      </w:r>
      <m:oMath>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D</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e>
        </m:nary>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。其中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为基期及第</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年的年网供最大负荷，</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m</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x</m:t>
            </m:r>
          </m:sub>
        </m:sSub>
      </m:oMath>
      <w:r>
        <w:rPr>
          <w:rFonts w:ascii="Times New Roman" w:hAnsi="Times New Roman" w:eastAsia="方正仿宋_GBK"/>
          <w:b w:val="0"/>
          <w:sz w:val="24"/>
        </w:rPr>
        <w:t xml:space="preserve">为用户最大负荷，</w:t>
      </w:r>
      <m:oMath>
        <m:sSub>
          <m:e>
            <m:r>
              <m:rPr>
                <m:nor m:val="1"/>
              </m:rPr>
              <w:rPr>
                <w:rFonts w:ascii="Times New Roman" w:hAnsi="Times New Roman" w:cs="Times New Roman" w:eastAsia="方正仿宋_GBK"/>
                <w:i w:val="1"/>
                <w:iCs w:val="1"/>
              </w:rPr>
              <m:t>Q</m:t>
            </m:r>
          </m:e>
          <m:sub>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f</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为基期可转负荷，单位均为MW；</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为分布式电源装机容量，单位MW；</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b</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e</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L</m:t>
            </m:r>
          </m:e>
          <m:sub>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h</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d</m:t>
            </m:r>
          </m:sub>
        </m:sSub>
      </m:oMath>
      <w:r>
        <w:rPr>
          <w:rFonts w:ascii="Times New Roman" w:hAnsi="Times New Roman" w:eastAsia="方正仿宋_GBK"/>
          <w:b w:val="0"/>
          <w:sz w:val="24"/>
        </w:rPr>
        <w:t xml:space="preserve">分别为电缆、架空线路长度，单位km。储能支撑持续时间为本研究的规划参数，按第4.4节功率与可用电量关系参与设备比选。</w:t>
      </w:r>
    </w:p>
    <w:p>
      <w:pPr>
        <w:pStyle w:val="2"/>
        <w:keepNext/>
        <w:spacing w:line="280" w:lineRule="exact" w:before="120" w:after="80"/>
        <w:ind w:firstLine="0"/>
        <w:jc w:val="center"/>
      </w:pPr>
      <w:r>
        <w:rPr>
          <w:rFonts w:ascii="Times New Roman" w:hAnsi="Times New Roman" w:eastAsia="宋体"/>
          <w:b w:val="0"/>
          <w:sz w:val="21"/>
        </w:rPr>
        <w:t xml:space="preserve">表3-9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分布式电源装机渗透率估计值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分布式电源电量渗透率估计值</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主变年最大负载率中位数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r>
    </w:tbl>
    <w:p>
      <w:pPr>
        <w:pStyle w:val="2"/>
        <w:keepNext/>
        <w:spacing w:line="280" w:lineRule="exact" w:before="120" w:after="80"/>
        <w:ind w:firstLine="0"/>
        <w:jc w:val="center"/>
      </w:pPr>
      <w:r>
        <w:rPr>
          <w:rFonts w:ascii="Times New Roman" w:hAnsi="Times New Roman" w:eastAsia="宋体"/>
          <w:b w:val="0"/>
          <w:sz w:val="21"/>
        </w:rPr>
        <w:t xml:space="preserve">表3-10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邳州装机渗透率较高，需兼顾正向供电和日间反送；市区各站峰值相对区域同时峰值的分散程度较高，容量配置更依赖站点分布和邻站承接能力。地区转供统计及其进入模型的方法见第3.6节。</w:t>
      </w:r>
    </w:p>
    <w:p>
      <w:pPr>
        <w:pStyle w:val="2"/>
        <w:widowControl/>
        <w:spacing w:line="348" w:lineRule="exact" w:before="0" w:after="0"/>
        <w:ind w:firstLine="480"/>
        <w:jc w:val="both"/>
      </w:pPr>
      <w:r>
        <w:rPr>
          <w:rFonts w:ascii="Times New Roman" w:hAnsi="Times New Roman" w:eastAsia="方正仿宋_GBK"/>
          <w:b w:val="0"/>
          <w:sz w:val="24"/>
        </w:rPr>
        <w:t xml:space="preserve">参数的工程作用需结合容载比的构成理解。装机渗透率和平均增长率改变源荷条件，影响正向供电与反向输送所需容量；初始转供率和负荷分散系数改变站间容量能否共同利用及局部高峰任务；电缆长度占比与储能支撑持续时间则分别通过联络造价、储能有效支撑能力影响措施比选。同一参数可以先引起联络或储能调整，再在设备切换节点引起主变容量变化，因此后续同时观察容载比和设备响应。</w:t>
      </w:r>
    </w:p>
    <w:p>
      <w:pPr>
        <w:pStyle w:val="5"/>
        <w:keepNext/>
        <w:numPr>
          <w:numId w:val="0"/>
        </w:numPr>
        <w:spacing w:line="390" w:lineRule="exact" w:before="160" w:after="120"/>
        <w:ind w:firstLine="0"/>
      </w:pPr>
      <w:bookmarkStart w:id="119" w:name="参数采样及相关分析方法"/>
      <w:r>
        <w:rPr>
          <w:rFonts w:ascii="Times New Roman" w:hAnsi="Times New Roman" w:eastAsia="方正仿宋_GBK"/>
          <w:b/>
          <w:sz w:val="26"/>
        </w:rPr>
        <w:t xml:space="preserve">3.5.2 参数采样及相关分析方法</w:t>
      </w:r>
      <w:bookmarkEnd w:id="119"/>
    </w:p>
    <w:p>
      <w:pPr>
        <w:pStyle w:val="FirstParagraph"/>
        <w:keepNext/>
        <w:spacing w:line="280" w:lineRule="exact" w:before="120" w:after="80"/>
        <w:ind w:firstLine="0"/>
        <w:jc w:val="center"/>
      </w:pPr>
      <w:r>
        <w:rPr>
          <w:rFonts w:ascii="Times New Roman" w:hAnsi="Times New Roman" w:eastAsia="宋体"/>
          <w:b w:val="0"/>
          <w:sz w:val="21"/>
        </w:rPr>
        <w:t xml:space="preserve">表3-11 六项参数采样节点与矩阵分类</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采样节点</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矩阵分类</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0～3.00，步长0.25</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≤1；(1,2]；&gt;2</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0、2%、3%、4%、5.5%、7%、8%、10%</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≤2%；(2%,4%]；(4%,7%]；&gt;7%</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10%、30%、50%、80%、90%</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≤10%；(10%,30%]；&gt;30%</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10%～90%，步长10%</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≤30%；(30%,50%]；(50%,70%]；&gt;70%</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 h</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 h；4 h；6 h</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1.00、1.10、1.15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1.00；1.10；1.15</w:t>
            </w:r>
          </w:p>
        </w:tc>
      </w:tr>
    </w:tbl>
    <w:p>
      <w:pPr>
        <w:pStyle w:val="2"/>
        <w:widowControl/>
        <w:spacing w:line="348" w:lineRule="exact" w:before="0" w:after="0"/>
        <w:ind w:firstLine="480"/>
        <w:jc w:val="both"/>
      </w:pPr>
      <w:r>
        <w:rPr>
          <w:rFonts w:ascii="Times New Roman" w:hAnsi="Times New Roman" w:eastAsia="方正仿宋_GBK"/>
          <w:b w:val="0"/>
          <w:sz w:val="24"/>
        </w:rPr>
        <w:t xml:space="preserve">增长率采用2%、4%、7%的分界[7]。装机渗透率、电缆长度占比和初始转供率按表列区间组织，首尾档开口；储能支撑持续时间和负荷分散系数按三个定值分别比较。电缆与转供参数结合一般城镇、邳州及市区网络背景取值，并补充低电缆占比下的高转供组合。六项参数按源荷条件与地区网络背景联合采样，共形成34686个互异组合，相关分析与第五章矩阵共用其中32112个有效节点。</w:t>
      </w:r>
    </w:p>
    <w:p>
      <w:pPr>
        <w:pStyle w:val="2"/>
        <w:widowControl/>
        <w:spacing w:line="348" w:lineRule="exact" w:before="0" w:after="0"/>
        <w:ind w:firstLine="480"/>
        <w:jc w:val="both"/>
      </w:pPr>
      <w:r>
        <w:rPr>
          <w:rFonts w:ascii="Times New Roman" w:hAnsi="Times New Roman" w:eastAsia="方正仿宋_GBK"/>
          <w:b w:val="0"/>
          <w:sz w:val="24"/>
        </w:rPr>
        <w:t xml:space="preserve">参数与容载比采用固定其余五项后的组内相关：同组参数值和容载比分别减去组均值，再将各组节点汇总计算Pearson系数，每组至少包含两个有效节点，节点等权，保留零响应组。参数间关联采用有效节点的六项输入相关矩阵。Pearson描述线性关联，Spearman用于检验排序关系[87][88]。</w:t>
      </w:r>
    </w:p>
    <w:p>
      <w:pPr>
        <w:pStyle w:val="5"/>
        <w:keepNext/>
        <w:numPr>
          <w:numId w:val="0"/>
        </w:numPr>
        <w:spacing w:line="390" w:lineRule="exact" w:before="160" w:after="120"/>
        <w:ind w:firstLine="0"/>
      </w:pPr>
      <w:bookmarkStart w:id="120" w:name="六项参数与容载比的关联"/>
      <w:r>
        <w:rPr>
          <w:rFonts w:ascii="Times New Roman" w:hAnsi="Times New Roman" w:eastAsia="方正仿宋_GBK"/>
          <w:b/>
          <w:sz w:val="26"/>
        </w:rPr>
        <w:t xml:space="preserve">3.5.3 六项参数与容载比的关联</w:t>
      </w:r>
      <w:bookmarkEnd w:id="120"/>
    </w:p>
    <w:p>
      <w:pPr>
        <w:pStyle w:val="FirstParagraph"/>
        <w:keepNext/>
        <w:spacing w:line="280" w:lineRule="exact" w:before="120" w:after="80"/>
        <w:ind w:firstLine="0"/>
        <w:jc w:val="center"/>
      </w:pPr>
      <w:r>
        <w:rPr>
          <w:rFonts w:ascii="Times New Roman" w:hAnsi="Times New Roman" w:eastAsia="宋体"/>
          <w:b w:val="0"/>
          <w:sz w:val="21"/>
        </w:rPr>
        <w:t xml:space="preserve">表3-12 六项参数与容载比的组内相关</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有效组数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有效节点数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Pearson</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容量响应组占比</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4329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7584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32058</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10704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32112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10608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31473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r>
    </w:tbl>
    <w:p>
      <w:pPr>
        <w:pStyle w:val="2"/>
        <w:widowControl/>
        <w:spacing w:line="348" w:lineRule="exact" w:before="0" w:after="0"/>
        <w:ind w:firstLine="480"/>
        <w:jc w:val="both"/>
      </w:pPr>
      <w:r>
        <w:rPr>
          <w:rFonts w:ascii="Times New Roman" w:hAnsi="Times New Roman" w:eastAsia="方正仿宋_GBK"/>
          <w:b w:val="0"/>
          <w:sz w:val="24"/>
        </w:rPr>
        <w:t xml:space="preserve">装机渗透率与容载比的组内相关系数为0.88，装机增长提高日间反向输送需求，全部受控组均出现主变容量响应。年最大净负荷平均增长率和初始转供率的相关系数分别为－0.80、－0.74：前者同时改变目标年容量需求与容载比分母，后者通过站间支援减少部分本地容量或新增联络需求。</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储能支撑持续时间和负荷分散系数的相关系数分别为0.45、0.27、0.52。电缆占比提高使新增联络费用增加，部分组合转向主变建设；支撑时间延长使相同储能能量对应的有效功率降低；负荷分散系数提高增加局部峰值承载任务。三项参数分别在25%、12%、37%的受控组中触发主变容量变化，说明其作用集中于特定设备替代节点。</w:t>
      </w:r>
    </w:p>
    <w:p>
      <w:pPr>
        <w:pStyle w:val="2"/>
        <w:widowControl/>
        <w:spacing w:line="348" w:lineRule="exact" w:before="0" w:after="0"/>
        <w:ind w:firstLine="480"/>
        <w:jc w:val="both"/>
      </w:pPr>
      <w:r>
        <w:rPr>
          <w:rFonts w:ascii="Times New Roman" w:hAnsi="Times New Roman" w:eastAsia="方正仿宋_GBK"/>
          <w:b w:val="0"/>
          <w:sz w:val="24"/>
        </w:rPr>
        <w:t xml:space="preserve">装机渗透率的正相关与反向工况的容量需求一致。日间光伏出力增长后，净负荷可能由受入转为反送，主变容量与储能吸收能力共同决定可承载规模。对同一组背景参数，较低装机节点仍可能由晚间正向需求决定配置，进入反向约束起作用的区段后才增加设备。0.88的组内系数概括了这些分段响应，具体切换节点由第五章的设备结果解释。</w:t>
      </w:r>
    </w:p>
    <w:p>
      <w:pPr>
        <w:pStyle w:val="2"/>
        <w:widowControl/>
        <w:spacing w:line="348" w:lineRule="exact" w:before="0" w:after="0"/>
        <w:ind w:firstLine="480"/>
        <w:jc w:val="both"/>
      </w:pPr>
      <w:r>
        <w:rPr>
          <w:rFonts w:ascii="Times New Roman" w:hAnsi="Times New Roman" w:eastAsia="方正仿宋_GBK"/>
          <w:b w:val="0"/>
          <w:sz w:val="24"/>
        </w:rPr>
        <w:t xml:space="preserve">平均增长率的负相关包含容载比分母变化的作用。在初始容量一定、已建主变继续在役时，负荷增加会先消耗已有储备；达到局部供电约束后再购入整台主变，容量随设备规格跳变。因此，较低容载比可以同时对应较高负荷、更多联络及更高费用。初始转供率提高则增加既有网络可调用的支援能力，在邻站具有余量时减少新增工程；当剩余缺口由其他站点或设备规格决定时，继续提高该参数主要体现为联络投资变化。</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和支撑持续时间均通过经济比选影响容量，工程作用具有条件性。既有网络已满足转供任务、未选择新增联络的组合，对电缆造价变化可以保持相同配置；由主变及网络承担全部支撑的组合，也可以对储能持续时间保持相同配置。这与总体相关系数为正相容。负荷分散系数反映局部峰值相对区域同时峰值的分散程度，其增大可能先增加邻站支援或储能，再触发主变增容。容量响应组占比用于说明这种设备切换的覆盖范围，完整设备组合见第五章。</w:t>
      </w:r>
    </w:p>
    <w:p>
      <w:pPr>
        <w:pStyle w:val="5"/>
        <w:keepNext/>
        <w:numPr>
          <w:numId w:val="0"/>
        </w:numPr>
        <w:spacing w:line="390" w:lineRule="exact" w:before="160" w:after="120"/>
        <w:ind w:firstLine="0"/>
      </w:pPr>
      <w:bookmarkStart w:id="121" w:name="参数之间的关联"/>
      <w:r>
        <w:rPr>
          <w:rFonts w:ascii="Times New Roman" w:hAnsi="Times New Roman" w:eastAsia="方正仿宋_GBK"/>
          <w:b/>
          <w:sz w:val="26"/>
        </w:rPr>
        <w:t xml:space="preserve">3.5.4 参数之间的关联</w:t>
      </w:r>
      <w:bookmarkEnd w:id="121"/>
    </w:p>
    <w:p>
      <w:pPr>
        <w:pStyle w:val="FirstParagraph"/>
        <w:keepNext/>
        <w:spacing w:line="280" w:lineRule="exact" w:before="120" w:after="80"/>
        <w:ind w:firstLine="0"/>
        <w:jc w:val="center"/>
      </w:pPr>
      <w:r>
        <w:rPr>
          <w:rFonts w:ascii="Times New Roman" w:hAnsi="Times New Roman" w:eastAsia="宋体"/>
          <w:b w:val="0"/>
          <w:sz w:val="21"/>
        </w:rPr>
        <w:t xml:space="preserve">表3-13 六项输入参数的Pearson相关矩阵</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ηC</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ḡ</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α</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r₀</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KD</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装机渗透率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平均增长率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电缆长度占比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初始转供率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支撑持续时间</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负荷分散系数</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r>
    </w:tbl>
    <w:p>
      <w:pPr>
        <w:pStyle w:val="2"/>
        <w:widowControl/>
        <w:spacing w:line="348" w:lineRule="exact" w:before="0" w:after="0"/>
        <w:ind w:firstLine="480"/>
        <w:jc w:val="both"/>
      </w:pPr>
      <w:r>
        <w:rPr>
          <w:rFonts w:ascii="Times New Roman" w:hAnsi="Times New Roman" w:eastAsia="方正仿宋_GBK"/>
          <w:b w:val="0"/>
          <w:sz w:val="24"/>
        </w:rPr>
        <w:t xml:space="preserve">表中符号依次对应装机渗透率</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、平均增长率</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、电缆长度占比</w:t>
      </w:r>
      <m:oMath>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、初始转供率</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、储能支撑持续时间</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及负荷分散系数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D</m:t>
            </m:r>
          </m:sub>
        </m:sSub>
      </m:oMath>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与初始转供率的Pearson系数为0.28，Spearman系数为0.24。两项参数具有共同的地区建设背景，但分别通过线路造价和既有网络支援作用于设备配置。其余输入配对的Pearson绝对值均不超过0.15，样本库中的线性关联较弱。这些系数描述本次联合情景及可行性筛选后的输入关联；实际地区中的关系结合地区记录判断。</w:t>
      </w:r>
    </w:p>
    <w:p>
      <w:pPr>
        <w:pStyle w:val="2"/>
        <w:widowControl/>
        <w:spacing w:line="348" w:lineRule="exact" w:before="0" w:after="0"/>
        <w:ind w:firstLine="480"/>
        <w:jc w:val="both"/>
      </w:pPr>
      <w:r>
        <w:rPr>
          <w:rFonts w:ascii="Times New Roman" w:hAnsi="Times New Roman" w:eastAsia="方正仿宋_GBK"/>
          <w:b w:val="0"/>
          <w:sz w:val="24"/>
        </w:rPr>
        <w:t xml:space="preserve">输入参数间的关系还需区分共同建设背景与具体作用机制。电缆长度占比较高的地区往往具有不同的线路建设形态和联络条件，本次情景按工程背景安排了相应联合取值；两个参数仍分别承担造价输入和既有能力输入的作用。其余配对线性关联较弱，说明本库保留了较多交叉变化组合。</w:t>
      </w:r>
    </w:p>
    <w:p>
      <w:pPr>
        <w:pStyle w:val="4"/>
        <w:keepNext/>
        <w:numPr>
          <w:numId w:val="0"/>
        </w:numPr>
        <w:spacing w:line="480" w:lineRule="exact" w:before="160" w:after="120"/>
        <w:ind w:firstLine="0"/>
      </w:pPr>
      <w:bookmarkStart w:id="1339" w:name="h339"/>
      <w:bookmarkStart w:id="122" w:name="kv负荷转接资料与仿真条件"/>
      <w:r>
        <w:rPr>
          <w:rFonts w:ascii="Times New Roman" w:hAnsi="Times New Roman" w:eastAsia="方正仿宋_GBK"/>
          <w:b/>
          <w:sz w:val="32"/>
        </w:rPr>
        <w:t xml:space="preserve">3.6 10 kV负荷转接资料与仿真条件</w:t>
      </w:r>
      <w:bookmarkEnd w:id="122"/>
      <w:bookmarkEnd w:id="1339"/>
    </w:p>
    <w:p>
      <w:pPr>
        <w:pStyle w:val="5"/>
        <w:keepNext/>
        <w:numPr>
          <w:numId w:val="0"/>
        </w:numPr>
        <w:spacing w:line="390" w:lineRule="exact" w:before="160" w:after="120"/>
        <w:ind w:firstLine="0"/>
      </w:pPr>
      <w:bookmarkStart w:id="123" w:name="地区转供统计与计算方法"/>
      <w:r>
        <w:rPr>
          <w:rFonts w:ascii="Times New Roman" w:hAnsi="Times New Roman" w:eastAsia="方正仿宋_GBK"/>
          <w:b/>
          <w:sz w:val="26"/>
        </w:rPr>
        <w:t xml:space="preserve">3.6.1 地区转供统计与计算方法</w:t>
      </w:r>
      <w:bookmarkEnd w:id="123"/>
    </w:p>
    <w:p>
      <w:pPr>
        <w:pStyle w:val="FirstParagraph"/>
        <w:widowControl/>
        <w:spacing w:line="348" w:lineRule="exact" w:before="0" w:after="0"/>
        <w:ind w:firstLine="480"/>
        <w:jc w:val="both"/>
      </w:pPr>
      <w:r>
        <w:rPr>
          <w:rFonts w:ascii="Times New Roman" w:hAnsi="Times New Roman" w:eastAsia="方正仿宋_GBK"/>
          <w:b w:val="0"/>
          <w:sz w:val="24"/>
        </w:rPr>
        <w:t xml:space="preserve">转供能力采用徐州地区变电站全停条件下的负荷转移统计数据，包含各站可由站外电源承担的最大负荷及相应损失负荷。以两项之和作为全停前需供负荷，按各站可转负荷之和占需供负荷总量的比例计算地区负荷加权转供率。</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f>
                <m:fPr>
                  <m:type m:val="bar"/>
                </m:fPr>
                <m:num>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e>
                  </m:nary>
                </m:num>
                <m:den>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den>
              </m:f>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（3-8）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为变电站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全停时站外最大可供负荷，</w:t>
      </w:r>
      <m:oMath>
        <m:sSub>
          <m:e>
            <m:r>
              <m:rPr>
                <m:nor m:val="1"/>
              </m:rPr>
              <w:rPr>
                <w:rFonts w:ascii="Times New Roman" w:hAnsi="Times New Roman" w:cs="Times New Roman" w:eastAsia="方正仿宋_GBK"/>
                <w:i w:val="1"/>
                <w:iCs w:val="1"/>
              </w:rPr>
              <m:t>U</m:t>
            </m:r>
          </m:e>
          <m:sub>
            <m:r>
              <m:rPr>
                <m:nor m:val="1"/>
              </m:rPr>
              <w:rPr>
                <w:rFonts w:ascii="Times New Roman" w:hAnsi="Times New Roman" w:cs="Times New Roman" w:eastAsia="方正仿宋_GBK"/>
                <w:i w:val="1"/>
                <w:iCs w:val="1"/>
              </w:rPr>
              <m:t>i</m:t>
            </m:r>
          </m:sub>
        </m:sSub>
      </m:oMath>
      <w:r>
        <w:rPr>
          <w:rFonts w:ascii="Times New Roman" w:hAnsi="Times New Roman" w:eastAsia="方正仿宋_GBK"/>
          <w:b w:val="0"/>
          <w:sz w:val="24"/>
        </w:rPr>
        <w:t xml:space="preserve">为相应损失负荷，单位MW；</w:t>
      </w:r>
      <m:oMath>
        <m:sSub>
          <m:e>
            <m:r>
              <m:rPr>
                <m:nor m:val="1"/>
              </m:rPr>
              <w:rPr>
                <w:rFonts w:ascii="Times New Roman" w:hAnsi="Times New Roman" w:cs="Times New Roman" w:eastAsia="方正仿宋_GBK"/>
                <w:i w:val="1"/>
                <w:iCs w:val="1"/>
              </w:rPr>
              <m:t>r</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为地区负荷加权转供率。按原表全部电压等级记录汇总，市区约92%、邳州约67%，用于描述地区网络背景和确定推广采样范围。</w:t>
      </w:r>
    </w:p>
    <w:p>
      <w:pPr>
        <w:pStyle w:val="5"/>
        <w:keepNext/>
        <w:numPr>
          <w:numId w:val="0"/>
        </w:numPr>
        <w:spacing w:line="390" w:lineRule="exact" w:before="160" w:after="120"/>
        <w:ind w:firstLine="0"/>
      </w:pPr>
      <w:bookmarkStart w:id="124" w:name="逐站能力及网络约束"/>
      <w:r>
        <w:rPr>
          <w:rFonts w:ascii="Times New Roman" w:hAnsi="Times New Roman" w:eastAsia="方正仿宋_GBK"/>
          <w:b/>
          <w:sz w:val="26"/>
        </w:rPr>
        <w:t xml:space="preserve">3.6.2 逐站能力及网络约束</w:t>
      </w:r>
      <w:bookmarkEnd w:id="124"/>
    </w:p>
    <w:p>
      <w:pPr>
        <w:pStyle w:val="FirstParagraph"/>
        <w:widowControl/>
        <w:spacing w:line="348" w:lineRule="exact" w:before="0" w:after="0"/>
        <w:ind w:firstLine="480"/>
        <w:jc w:val="both"/>
      </w:pPr>
      <w:r>
        <w:rPr>
          <w:rFonts w:ascii="Times New Roman" w:hAnsi="Times New Roman" w:eastAsia="方正仿宋_GBK"/>
          <w:b w:val="0"/>
          <w:sz w:val="24"/>
        </w:rPr>
        <w:t xml:space="preserve">地区案例将原表与110 kV站点逐一匹配，市区26座实体站、邳州20座站采用对应记录。每站既有转供功率之和受原表站外最大可供负荷与既有网络标定预算两者较小值限制；市区3座模拟站按其既定设备参与地区计算，既有转供能力取零。</w:t>
      </w:r>
    </w:p>
    <w:p>
      <w:pPr>
        <w:pStyle w:val="2"/>
        <w:widowControl/>
        <w:spacing w:line="348" w:lineRule="exact" w:before="0" w:after="0"/>
        <w:ind w:firstLine="480"/>
        <w:jc w:val="both"/>
      </w:pPr>
      <w:r>
        <w:rPr>
          <w:rFonts w:ascii="Times New Roman" w:hAnsi="Times New Roman" w:eastAsia="方正仿宋_GBK"/>
          <w:b w:val="0"/>
          <w:sz w:val="24"/>
        </w:rPr>
        <w:t xml:space="preserve">既有通道与新增候选分别记录馈线端点和有效容量，正常运行允许调整供区，主变故障后重新分配转供。各通道共同校核源端可切负荷、共享馈线余量和接收站容量；新增联络单项有效能力为7.49 MW，工程费用按地区电缆长度占比计算。</w:t>
      </w:r>
    </w:p>
    <w:p>
      <w:pPr>
        <w:pStyle w:val="2"/>
        <w:widowControl/>
        <w:spacing w:line="348" w:lineRule="exact" w:before="0" w:after="0"/>
        <w:ind w:firstLine="480"/>
        <w:jc w:val="both"/>
      </w:pPr>
      <w:r>
        <w:rPr>
          <w:rFonts w:ascii="Times New Roman" w:hAnsi="Times New Roman" w:eastAsia="方正仿宋_GBK"/>
          <w:b w:val="0"/>
          <w:sz w:val="24"/>
        </w:rPr>
        <w:t xml:space="preserve">DL/T 5729—2023第7.1.2条对A+、A类及B、C类供电区域的中压负荷转移比例分别给出50%～70%、30%～50%的参考[5]。本研究保留上述分区依据，地区案例采用补充资料的逐站MW能力，推广模板按10%～90%初始转供率设置基期网络。</w:t>
      </w:r>
    </w:p>
    <w:p>
      <w:pPr>
        <w:pStyle w:val="5"/>
        <w:keepNext/>
        <w:numPr>
          <w:numId w:val="0"/>
        </w:numPr>
        <w:spacing w:line="390" w:lineRule="exact" w:before="160" w:after="120"/>
        <w:ind w:firstLine="0"/>
      </w:pPr>
      <w:bookmarkStart w:id="125" w:name="电源归属及反向功率"/>
      <w:r>
        <w:rPr>
          <w:rFonts w:ascii="Times New Roman" w:hAnsi="Times New Roman" w:eastAsia="方正仿宋_GBK"/>
          <w:b/>
          <w:sz w:val="26"/>
        </w:rPr>
        <w:t xml:space="preserve">3.6.3 电源归属及反向功率</w:t>
      </w:r>
      <w:bookmarkEnd w:id="125"/>
    </w:p>
    <w:p>
      <w:pPr>
        <w:pStyle w:val="FirstParagraph"/>
        <w:widowControl/>
        <w:spacing w:line="348" w:lineRule="exact" w:before="0" w:after="0"/>
        <w:ind w:firstLine="480"/>
        <w:jc w:val="both"/>
      </w:pPr>
      <w:r>
        <w:rPr>
          <w:rFonts w:ascii="Times New Roman" w:hAnsi="Times New Roman" w:eastAsia="方正仿宋_GBK"/>
          <w:b w:val="0"/>
          <w:sz w:val="24"/>
        </w:rPr>
        <w:t xml:space="preserve">正常转供改变用电负荷分配，电源仍保留原站归属。每个静态工况分别计算转出和转入功率，转出功率以本站原始可转负荷为上限。转供后净负荷同时校核正向供电和反向容量，区域内部转入、转出合计相等。</w:t>
      </w:r>
    </w:p>
    <w:p>
      <w:pPr>
        <w:pStyle w:val="4"/>
        <w:keepNext/>
        <w:numPr>
          <w:numId w:val="0"/>
        </w:numPr>
        <w:spacing w:line="480" w:lineRule="exact" w:before="160" w:after="120"/>
        <w:ind w:firstLine="0"/>
      </w:pPr>
      <w:bookmarkStart w:id="1349" w:name="h349"/>
      <w:bookmarkStart w:id="126" w:name="站级负载率与配置需求"/>
      <w:r>
        <w:rPr>
          <w:rFonts w:ascii="Times New Roman" w:hAnsi="Times New Roman" w:eastAsia="方正仿宋_GBK"/>
          <w:b/>
          <w:sz w:val="32"/>
        </w:rPr>
        <w:t xml:space="preserve">3.7 站级负载率与配置需求</w:t>
      </w:r>
      <w:bookmarkEnd w:id="126"/>
      <w:bookmarkEnd w:id="1349"/>
    </w:p>
    <w:p>
      <w:pPr>
        <w:pStyle w:val="5"/>
        <w:keepNext/>
        <w:numPr>
          <w:numId w:val="0"/>
        </w:numPr>
        <w:spacing w:line="390" w:lineRule="exact" w:before="160" w:after="120"/>
        <w:ind w:firstLine="0"/>
      </w:pPr>
      <w:bookmarkStart w:id="127" w:name="邳州站级相对负载"/>
      <w:r>
        <w:rPr>
          <w:rFonts w:ascii="Times New Roman" w:hAnsi="Times New Roman" w:eastAsia="方正仿宋_GBK"/>
          <w:b/>
          <w:sz w:val="26"/>
        </w:rPr>
        <w:t xml:space="preserve">3.7.1 邳州站级相对负载</w:t>
      </w:r>
      <w:bookmarkEnd w:id="127"/>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311856"/>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28"/>
                    <a:stretch>
                      <a:fillRect/>
                    </a:stretch>
                  </pic:blipFill>
                  <pic:spPr bwMode="auto">
                    <a:xfrm>
                      <a:off x="0" y="0"/>
                      <a:ext cx="5120640" cy="331185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图3-7 邳州站级负载率</w:t>
      </w:r>
    </w:p>
    <w:p>
      <w:pPr>
        <w:pStyle w:val="5"/>
        <w:keepNext/>
        <w:numPr>
          <w:numId w:val="0"/>
        </w:numPr>
        <w:spacing w:line="390" w:lineRule="exact" w:before="160" w:after="120"/>
        <w:ind w:firstLine="0"/>
      </w:pPr>
      <w:bookmarkStart w:id="129" w:name="市区站级相对负载"/>
      <w:r>
        <w:rPr>
          <w:rFonts w:ascii="Times New Roman" w:hAnsi="Times New Roman" w:eastAsia="方正仿宋_GBK"/>
          <w:b/>
          <w:sz w:val="26"/>
        </w:rPr>
        <w:t xml:space="preserve">3.7.2 市区站级相对负载</w:t>
      </w:r>
      <w:bookmarkEnd w:id="129"/>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3950850"/>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0"/>
                    <a:stretch>
                      <a:fillRect/>
                    </a:stretch>
                  </pic:blipFill>
                  <pic:spPr bwMode="auto">
                    <a:xfrm>
                      <a:off x="0" y="0"/>
                      <a:ext cx="5120640" cy="395085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图3-8 市区站级负载率</w:t>
      </w:r>
    </w:p>
    <w:p>
      <w:pPr>
        <w:pStyle w:val="2"/>
        <w:widowControl/>
        <w:spacing w:line="348" w:lineRule="exact" w:before="0" w:after="0"/>
        <w:ind w:firstLine="480"/>
        <w:jc w:val="both"/>
      </w:pPr>
      <w:r>
        <w:rPr>
          <w:rFonts w:ascii="Times New Roman" w:hAnsi="Times New Roman" w:eastAsia="方正仿宋_GBK"/>
          <w:b w:val="0"/>
          <w:sz w:val="24"/>
        </w:rPr>
        <w:t xml:space="preserve">市区站级图表按能够与设备资料对应的26座站列示。地区容量、负荷及费用按统一计算范围汇总，站级展示范围与地区汇总范围分别使用。</w:t>
      </w:r>
    </w:p>
    <w:p>
      <w:pPr>
        <w:pStyle w:val="5"/>
        <w:keepNext/>
        <w:numPr>
          <w:numId w:val="0"/>
        </w:numPr>
        <w:spacing w:line="390" w:lineRule="exact" w:before="160" w:after="120"/>
        <w:ind w:firstLine="0"/>
      </w:pPr>
      <w:bookmarkStart w:id="131" w:name="负载率与规划措施的联系"/>
      <w:r>
        <w:rPr>
          <w:rFonts w:ascii="Times New Roman" w:hAnsi="Times New Roman" w:eastAsia="方正仿宋_GBK"/>
          <w:b/>
          <w:sz w:val="26"/>
        </w:rPr>
        <w:t xml:space="preserve">3.7.3 负载率与规划措施的联系</w:t>
      </w:r>
      <w:bookmarkEnd w:id="131"/>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2" w:name="较高负载率站的方向与配置条件"/>
      <w:r>
        <w:rPr>
          <w:rFonts w:ascii="Times New Roman" w:hAnsi="Times New Roman" w:eastAsia="方正仿宋_GBK"/>
          <w:b/>
          <w:sz w:val="26"/>
        </w:rPr>
        <w:t xml:space="preserve">3.7.4 较高负载率站的方向与配置条件</w:t>
      </w:r>
      <w:bookmarkEnd w:id="132"/>
    </w:p>
    <w:p>
      <w:pPr>
        <w:pStyle w:val="FirstParagraph"/>
        <w:keepNext/>
        <w:spacing w:line="280" w:lineRule="exact" w:before="120" w:after="80"/>
        <w:ind w:firstLine="0"/>
        <w:jc w:val="center"/>
      </w:pPr>
      <w:r>
        <w:rPr>
          <w:rFonts w:ascii="Times New Roman" w:hAnsi="Times New Roman" w:eastAsia="宋体"/>
          <w:b w:val="0"/>
          <w:sz w:val="21"/>
        </w:rPr>
        <w:t xml:space="preserve">表3-14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铁富变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92.94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惠民变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翟山变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花园变</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63.57</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33" w:name="站级功率的主导方向"/>
      <w:r>
        <w:rPr>
          <w:rFonts w:ascii="Times New Roman" w:hAnsi="Times New Roman" w:eastAsia="方正仿宋_GBK"/>
          <w:b/>
          <w:sz w:val="26"/>
        </w:rPr>
        <w:t xml:space="preserve">3.7.5 站级功率的主导方向</w:t>
      </w:r>
      <w:bookmarkEnd w:id="133"/>
    </w:p>
    <w:p>
      <w:pPr>
        <w:pStyle w:val="FirstParagraph"/>
        <w:keepNext/>
        <w:spacing w:line="280" w:lineRule="exact" w:before="120" w:after="80"/>
        <w:ind w:firstLine="0"/>
        <w:jc w:val="center"/>
      </w:pPr>
      <w:r>
        <w:rPr>
          <w:rFonts w:ascii="Times New Roman" w:hAnsi="Times New Roman" w:eastAsia="宋体"/>
          <w:b w:val="0"/>
          <w:sz w:val="21"/>
        </w:rPr>
        <w:t xml:space="preserve">表3-15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检查转出用电负荷后是否增加本站反送需求。建设方案以第五章逐工况网络校核为依据。</w:t>
      </w:r>
    </w:p>
    <w:p>
      <w:pPr>
        <w:pStyle w:val="4"/>
        <w:keepNext/>
        <w:numPr>
          <w:numId w:val="0"/>
        </w:numPr>
        <w:spacing w:line="480" w:lineRule="exact" w:before="160" w:after="120"/>
        <w:ind w:firstLine="0"/>
      </w:pPr>
      <w:bookmarkStart w:id="1366" w:name="h366"/>
      <w:bookmarkStart w:id="134" w:name="运行特征的综合分析"/>
      <w:r>
        <w:rPr>
          <w:rFonts w:ascii="Times New Roman" w:hAnsi="Times New Roman" w:eastAsia="方正仿宋_GBK"/>
          <w:b/>
          <w:sz w:val="32"/>
        </w:rPr>
        <w:t xml:space="preserve">3.8 运行特征的综合分析</w:t>
      </w:r>
      <w:bookmarkEnd w:id="134"/>
      <w:bookmarkEnd w:id="1366"/>
    </w:p>
    <w:p>
      <w:pPr>
        <w:pStyle w:val="5"/>
        <w:keepNext/>
        <w:numPr>
          <w:numId w:val="0"/>
        </w:numPr>
        <w:spacing w:line="390" w:lineRule="exact" w:before="160" w:after="120"/>
        <w:ind w:firstLine="0"/>
      </w:pPr>
      <w:bookmarkStart w:id="135" w:name="容量建设与负荷变化的不同作用"/>
      <w:r>
        <w:rPr>
          <w:rFonts w:ascii="Times New Roman" w:hAnsi="Times New Roman" w:eastAsia="方正仿宋_GBK"/>
          <w:b/>
          <w:sz w:val="26"/>
        </w:rPr>
        <w:t xml:space="preserve">3.8.1 容量建设与负荷变化的不同作用</w:t>
      </w:r>
      <w:bookmarkEnd w:id="135"/>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按容量和负荷两部分分解。下表采用与第五章相同的代数关系：先将新增容量除以本年负荷，得到容量变化贡献；再将上年容量乘以两年负荷倒数之差，得到负荷变化贡献。两项之和等于相邻年度容载比差值，据此判断各年的比值变化主要来自容量调整还是负荷波动。</w:t>
      </w:r>
    </w:p>
    <w:p>
      <w:pPr>
        <w:pStyle w:val="2"/>
        <w:keepNext/>
        <w:spacing w:line="280" w:lineRule="exact" w:before="120" w:after="80"/>
        <w:ind w:firstLine="0"/>
        <w:jc w:val="center"/>
      </w:pPr>
      <w:r>
        <w:rPr>
          <w:rFonts w:ascii="Times New Roman" w:hAnsi="Times New Roman" w:eastAsia="宋体"/>
          <w:b w:val="0"/>
          <w:sz w:val="21"/>
        </w:rPr>
        <w:t xml:space="preserve">表3-16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新增用户逐步接入后，设备负载和年网供最大负荷上升，容载比相应降低。评价规划效果时，应同时观察容量、负荷和投运年份。第五章采用逐年方案，正是为了将这些变化落实到建设规模和投运时点。</w:t>
      </w:r>
    </w:p>
    <w:p>
      <w:pPr>
        <w:pStyle w:val="5"/>
        <w:keepNext/>
        <w:numPr>
          <w:numId w:val="0"/>
        </w:numPr>
        <w:spacing w:line="390" w:lineRule="exact" w:before="160" w:after="120"/>
        <w:ind w:firstLine="0"/>
      </w:pPr>
      <w:bookmarkStart w:id="136" w:name="光伏发电与用电高峰的季节关系"/>
      <w:r>
        <w:rPr>
          <w:rFonts w:ascii="Times New Roman" w:hAnsi="Times New Roman" w:eastAsia="方正仿宋_GBK"/>
          <w:b/>
          <w:sz w:val="26"/>
        </w:rPr>
        <w:t xml:space="preserve">3.8.2 光伏发电与用电高峰的季节关系</w:t>
      </w:r>
      <w:bookmarkEnd w:id="136"/>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光伏发电量与用户用电量共同决定分布式电源电量渗透率。邳州2025年月度估计中，5月分布式电源电量渗透率约60%，高于7月的38%；但7月光伏发电量约212845.47 MWh，高于5月的163851.67 MWh。其原因是7月用户用电量同步升高到562354.97 MWh，而5月为271920.09 MWh。</w:t>
      </w:r>
    </w:p>
    <w:p>
      <w:pPr>
        <w:pStyle w:val="2"/>
        <w:keepNext/>
        <w:spacing w:line="280" w:lineRule="exact" w:before="120" w:after="80"/>
        <w:ind w:firstLine="0"/>
        <w:jc w:val="center"/>
      </w:pPr>
      <w:r>
        <w:rPr>
          <w:rFonts w:ascii="Times New Roman" w:hAnsi="Times New Roman" w:eastAsia="宋体"/>
          <w:b w:val="0"/>
          <w:sz w:val="21"/>
        </w:rPr>
        <w:t xml:space="preserve">表3-17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37" w:name="区域容量储备与重载设备并存"/>
      <w:r>
        <w:rPr>
          <w:rFonts w:ascii="Times New Roman" w:hAnsi="Times New Roman" w:eastAsia="方正仿宋_GBK"/>
          <w:b/>
          <w:sz w:val="26"/>
        </w:rPr>
        <w:t xml:space="preserve">3.8.3 区域容量储备与重载设备并存</w:t>
      </w:r>
      <w:bookmarkEnd w:id="137"/>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也会改变停运后的剩余容量。两台等容量主变在N-1条件下只剩一半容量；增加一台主变后，即使正常运行负载率不高，N-1条件下的可用容量仍可能明显提高。因而，主变扩建的作用既包括增加总容量，也包括改变站内设备组合。第五章中弹性方案增加扩建项目、减少储能，需结合这一关系解释。</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各站设备仍要承受本地高峰。本报告采用1.00、1.10、1.15三个负荷分散系数构造推广情景，并结合站级负荷分配讨论容量配置。</w:t>
      </w:r>
    </w:p>
    <w:p>
      <w:pPr>
        <w:pStyle w:val="5"/>
        <w:keepNext/>
        <w:numPr>
          <w:numId w:val="0"/>
        </w:numPr>
        <w:spacing w:line="390" w:lineRule="exact" w:before="160" w:after="120"/>
        <w:ind w:firstLine="0"/>
      </w:pPr>
      <w:bookmarkStart w:id="138" w:name="两地区的容量规划重点"/>
      <w:r>
        <w:rPr>
          <w:rFonts w:ascii="Times New Roman" w:hAnsi="Times New Roman" w:eastAsia="方正仿宋_GBK"/>
          <w:b/>
          <w:sz w:val="26"/>
        </w:rPr>
        <w:t xml:space="preserve">3.8.4 两地区的容量规划重点</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pPr>
        <w:pStyle w:val="3"/>
        <w:keepNext/>
        <w:pageBreakBefore/>
        <w:numPr>
          <w:numId w:val="0"/>
        </w:numPr>
        <w:spacing w:line="540" w:lineRule="exact" w:before="0" w:after="120"/>
        <w:ind w:firstLine="0"/>
      </w:pPr>
      <w:bookmarkStart w:id="1388" w:name="h388"/>
      <w:bookmarkStart w:id="139" w:name="第四章-基于实际工程的建设成本模型"/>
      <w:r>
        <w:rPr>
          <w:rFonts w:ascii="Times New Roman" w:hAnsi="Times New Roman" w:eastAsia="方正仿宋_GBK"/>
          <w:b/>
          <w:sz w:val="36"/>
        </w:rPr>
        <w:t xml:space="preserve">第四章 基于实际工程的建设成本模型</w:t>
      </w:r>
      <w:bookmarkEnd w:id="139"/>
      <w:bookmarkEnd w:id="1388"/>
    </w:p>
    <w:p>
      <w:pPr>
        <w:pStyle w:val="4"/>
        <w:keepNext/>
        <w:numPr>
          <w:numId w:val="0"/>
        </w:numPr>
        <w:spacing w:line="480" w:lineRule="exact" w:before="160" w:after="120"/>
        <w:ind w:firstLine="0"/>
      </w:pPr>
      <w:bookmarkStart w:id="1389" w:name="h389"/>
      <w:bookmarkStart w:id="140" w:name="成本模型的范围与建立原则"/>
      <w:r>
        <w:rPr>
          <w:rFonts w:ascii="Times New Roman" w:hAnsi="Times New Roman" w:eastAsia="方正仿宋_GBK"/>
          <w:b/>
          <w:sz w:val="32"/>
        </w:rPr>
        <w:t xml:space="preserve">4.1 成本模型的范围与建立原则</w:t>
      </w:r>
      <w:bookmarkEnd w:id="140"/>
      <w:bookmarkEnd w:id="1389"/>
    </w:p>
    <w:p>
      <w:pPr>
        <w:pStyle w:val="5"/>
        <w:keepNext/>
        <w:numPr>
          <w:numId w:val="0"/>
        </w:numPr>
        <w:spacing w:line="390" w:lineRule="exact" w:before="160" w:after="120"/>
        <w:ind w:firstLine="0"/>
      </w:pPr>
      <w:bookmarkStart w:id="141" w:name="建设改造措施与投资估算依据"/>
      <w:r>
        <w:rPr>
          <w:rFonts w:ascii="Times New Roman" w:hAnsi="Times New Roman" w:eastAsia="方正仿宋_GBK"/>
          <w:b/>
          <w:sz w:val="26"/>
        </w:rPr>
        <w:t xml:space="preserve">4.1.1 建设改造措施与投资估算依据</w:t>
      </w:r>
      <w:bookmarkEnd w:id="141"/>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第三章确定了地区正反向容量需求及转供条件，本章为满足这些需求的主变、储能与10 kV联络措施建立费用模型。先按实际工程形成单位费用，再按逐年购置和投运规模计算支出，供第五章在技术可行组合之间比较经济性。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电缆长度占比用于计算联络综合造价，储能和主变采用统一参考价格，工程范围差异在应用时另行核定[85][89][86]。</w:t>
      </w:r>
    </w:p>
    <w:p>
      <w:pPr>
        <w:pStyle w:val="5"/>
        <w:keepNext/>
        <w:numPr>
          <w:numId w:val="0"/>
        </w:numPr>
        <w:spacing w:line="390" w:lineRule="exact" w:before="160" w:after="120"/>
        <w:ind w:firstLine="0"/>
      </w:pPr>
      <w:bookmarkStart w:id="142" w:name="投资运维与更新"/>
      <w:r>
        <w:rPr>
          <w:rFonts w:ascii="Times New Roman" w:hAnsi="Times New Roman" w:eastAsia="方正仿宋_GBK"/>
          <w:b/>
          <w:sz w:val="26"/>
        </w:rPr>
        <w:t xml:space="preserve">4.1.2 投资、运维与更新</w:t>
      </w:r>
      <w:bookmarkEnd w:id="142"/>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截止于2041年。新增工程在投运年发生初始投资，次年起计固定运维；设备达到设定寿命且评价期尚需服务时，按同等实价更新。不同寿命的措施以同一现金流边界比较[10][11][12]。</w:t>
      </w:r>
    </w:p>
    <w:p>
      <w:pPr>
        <w:pStyle w:val="2"/>
        <w:widowControl/>
        <w:spacing w:line="348" w:lineRule="exact" w:before="0" w:after="0"/>
        <w:ind w:firstLine="480"/>
        <w:jc w:val="both"/>
      </w:pPr>
      <w:r>
        <w:rPr>
          <w:rFonts w:ascii="Times New Roman" w:hAnsi="Times New Roman" w:eastAsia="方正仿宋_GBK"/>
          <w:b w:val="0"/>
          <w:sz w:val="24"/>
        </w:rPr>
        <w:t xml:space="preserve">按项目经济评价边界，主变和线路寿命均取40年，储能取25年；变电和线路固定运维率显示约为初始投资的4%/年、2%/年，计算分别保留系数0.042、0.022。储能固定运维率取3%/年，折现率取6%。费用采用初始投资、年度运维和设备更新分项折现的方法[10,11,12]，各项取值作为两类方案的统一经济比较参数。评价截止年为2041年，两类方案采用相同参数。</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现值法；统一资金时间价值参数[10,11,12]</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初始投资4%/年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按初始投资比例估算年度运维[11]</w:t>
            </w:r>
          </w:p>
        </w:tc>
      </w:tr>
      <w:tr>
        <w:trPr>
          <w:cantSplit/>
        </w:trPr>
        <w:tc>
          <w:tcPr>
            <w:tcW w:type="dxa" w:w="216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初始投资2%/年</w:t>
            </w:r>
          </w:p>
        </w:tc>
        <w:tc>
          <w:tcPr>
            <w:tcW w:type="dxa" w:w="382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按初始投资比例估算年度运维[12]</w:t>
            </w:r>
          </w:p>
        </w:tc>
      </w:tr>
      <w:tr>
        <w:trPr>
          <w:cantSplit/>
        </w:trPr>
        <w:tc>
          <w:tcPr>
            <w:tcW w:type="dxa" w:w="216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初始投资3%/年</w:t>
            </w:r>
          </w:p>
        </w:tc>
        <w:tc>
          <w:tcPr>
            <w:tcW w:type="dxa" w:w="382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43" w:name="增量比较的适用范围"/>
      <w:r>
        <w:rPr>
          <w:rFonts w:ascii="Times New Roman" w:hAnsi="Times New Roman" w:eastAsia="方正仿宋_GBK"/>
          <w:b/>
          <w:sz w:val="26"/>
        </w:rPr>
        <w:t xml:space="preserve">4.1.3 增量比较的适用范围</w:t>
      </w:r>
      <w:bookmarkEnd w:id="143"/>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两类方案共用仿真初始设备，基期及后续负荷采用实际年度统计值，基期容载比均约为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401" w:name="h401"/>
      <w:bookmarkStart w:id="144" w:name="主变工程成本系数"/>
      <w:r>
        <w:rPr>
          <w:rFonts w:ascii="Times New Roman" w:hAnsi="Times New Roman" w:eastAsia="方正仿宋_GBK"/>
          <w:b/>
          <w:sz w:val="32"/>
        </w:rPr>
        <w:t xml:space="preserve">4.2 主变工程成本系数</w:t>
      </w:r>
      <w:bookmarkEnd w:id="144"/>
      <w:bookmarkEnd w:id="1401"/>
    </w:p>
    <w:p>
      <w:pPr>
        <w:pStyle w:val="5"/>
        <w:keepNext/>
        <w:numPr>
          <w:numId w:val="0"/>
        </w:numPr>
        <w:spacing w:line="390" w:lineRule="exact" w:before="160" w:after="120"/>
        <w:ind w:firstLine="0"/>
      </w:pPr>
      <w:bookmarkStart w:id="145" w:name="替换工程案例"/>
      <w:r>
        <w:rPr>
          <w:rFonts w:ascii="Times New Roman" w:hAnsi="Times New Roman" w:eastAsia="方正仿宋_GBK"/>
          <w:b/>
          <w:sz w:val="26"/>
        </w:rPr>
        <w:t xml:space="preserve">4.2.1 替换工程案例</w:t>
      </w:r>
      <w:bookmarkEnd w:id="145"/>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主变新购容量为当年采购并投运的新设备铭牌容量之和，包含更换和扩建采购；主变净增容量为投运后在役总容量相对投运前的增加量，等于新购容量扣除同期被替换设备容量。仅扩建时两者相等；更换主变时，净增容量小于新购容量。两个案例采购容量分别为50 MVA和100 MVA，扣除被替换的20 MVA和63 MVA后，容量净增分别为30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1335</w:t>
            </w:r>
          </w:p>
        </w:tc>
      </w:tr>
    </w:tbl>
    <w:p>
      <w:pPr>
        <w:pStyle w:val="5"/>
        <w:keepNext/>
        <w:numPr>
          <w:numId w:val="0"/>
        </w:numPr>
        <w:spacing w:line="390" w:lineRule="exact" w:before="160" w:after="120"/>
        <w:ind w:firstLine="0"/>
      </w:pPr>
      <w:bookmarkStart w:id="146" w:name="采购容量加权系数"/>
      <w:r>
        <w:rPr>
          <w:rFonts w:ascii="Times New Roman" w:hAnsi="Times New Roman" w:eastAsia="方正仿宋_GBK"/>
          <w:b/>
          <w:sz w:val="26"/>
        </w:rPr>
        <w:t xml:space="preserve">4.2.2 采购容量加权系数</w:t>
      </w:r>
      <w:bookmarkEnd w:id="146"/>
    </w:p>
    <w:p>
      <w:pPr>
        <w:pStyle w:val="FirstParagraph"/>
        <w:widowControl/>
        <w:spacing w:line="348" w:lineRule="exact" w:before="0" w:after="0"/>
        <w:ind w:firstLine="480"/>
        <w:jc w:val="both"/>
      </w:pPr>
      <w:r>
        <w:rPr>
          <w:rFonts w:ascii="Times New Roman" w:hAnsi="Times New Roman" w:eastAsia="方正仿宋_GBK"/>
          <w:b w:val="0"/>
          <w:sz w:val="24"/>
        </w:rPr>
        <w:t xml:space="preserve">替换工程系数按两个案例静态投资之和除以新购铭牌容量之和计算，使用采购容量加权。参考系数按式（4-1）计算。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1151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1335</m:t>
                  </m:r>
                </m:num>
                <m:den>
                  <m:r>
                    <m:rPr>
                      <m:nor m:val="1"/>
                    </m:rPr>
                    <w:rPr>
                      <w:rFonts w:ascii="Times New Roman" w:hAnsi="Times New Roman" w:cs="Times New Roman" w:eastAsia="方正仿宋_GBK"/>
                      <w:i w:val="0"/>
                      <w:iCs w:val="0"/>
                    </w:rPr>
                    <m:t>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16.57</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万元/MVA</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5"/>
        <w:keepNext/>
        <w:numPr>
          <w:numId w:val="0"/>
        </w:numPr>
        <w:spacing w:line="390" w:lineRule="exact" w:before="160" w:after="120"/>
        <w:ind w:firstLine="0"/>
      </w:pPr>
      <w:bookmarkStart w:id="147" w:name="净增容量与工程费用"/>
      <w:r>
        <w:rPr>
          <w:rFonts w:ascii="Times New Roman" w:hAnsi="Times New Roman" w:eastAsia="方正仿宋_GBK"/>
          <w:b/>
          <w:sz w:val="26"/>
        </w:rPr>
        <w:t xml:space="preserve">4.2.3 净增容量与工程费用</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、主变安装位置</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、投运年份</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，若容量由</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更换为</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，工程投资按</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oMath>
      <w:r>
        <w:rPr>
          <w:rFonts w:ascii="Times New Roman" w:hAnsi="Times New Roman" w:eastAsia="方正仿宋_GBK"/>
          <w:b w:val="0"/>
          <w:sz w:val="24"/>
        </w:rPr>
        <w:t xml:space="preserve">计取。设备容量增加</w:t>
      </w:r>
      <m:oMath>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p>
        <m:r>
          <m:rPr>
            <m:nor m:val="1"/>
          </m:rPr>
          <w:rPr>
            <w:rFonts w:ascii="Times New Roman" w:hAnsi="Times New Roman" w:cs="Times New Roman" w:eastAsia="方正仿宋_GBK"/>
            <w:i w:val="0"/>
            <w:iCs w:val="0"/>
          </w:rPr>
          <m:t>−</m:t>
        </m:r>
        <m:sSup>
          <m:e>
            <m:r>
              <m:rPr>
                <m:nor m:val="1"/>
              </m:rPr>
              <w:rPr>
                <w:rFonts w:ascii="Times New Roman" w:hAnsi="Times New Roman" w:cs="Times New Roman" w:eastAsia="方正仿宋_GBK"/>
                <w:i w:val="1"/>
                <w:iCs w:val="1"/>
              </w:rPr>
              <m:t>S</m:t>
            </m:r>
          </m:e>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mr>
                <m:mr>
                  <m:e>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d>
                      <m:dPr>
                        <m:begChr m:val="("/>
                        <m:endChr m:val=")"/>
                        <m:grow/>
                      </m:dP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e>
                    </m:d>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为站号，</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为主变安装位置，</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为更换投资，单位万元；</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为单位采购容量工程投资，单位万元/MVA；</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w</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d</m:t>
            </m:r>
          </m:sup>
        </m:sSubSup>
      </m:oMath>
      <w:r>
        <w:rPr>
          <w:rFonts w:ascii="Times New Roman" w:hAnsi="Times New Roman" w:eastAsia="方正仿宋_GBK"/>
          <w:b w:val="0"/>
          <w:sz w:val="24"/>
        </w:rPr>
        <w:t xml:space="preserve">分别为更换后、更换前容量，</w:t>
      </w:r>
      <m:oMath>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为容量净增，单位MVA；</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48" w:name="主变扩建"/>
      <w:r>
        <w:rPr>
          <w:rFonts w:ascii="Times New Roman" w:hAnsi="Times New Roman" w:eastAsia="方正仿宋_GBK"/>
          <w:b/>
          <w:sz w:val="26"/>
        </w:rPr>
        <w:t xml:space="preserve">4.2.4 主变扩建</w:t>
      </w:r>
      <w:bookmarkEnd w:id="148"/>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1206</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1240</m:t>
                  </m:r>
                </m:num>
                <m:den>
                  <m:r>
                    <m:rPr>
                      <m:nor m:val="1"/>
                    </m:rPr>
                    <w:rPr>
                      <w:rFonts w:ascii="Times New Roman" w:hAnsi="Times New Roman" w:cs="Times New Roman" w:eastAsia="方正仿宋_GBK"/>
                      <w:i w:val="0"/>
                      <w:iCs w:val="0"/>
                    </w:rPr>
                    <m:t>2</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1223</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万元/项</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主变扩建按1223万元/项计费，包含增加台数及相应配套工程。主变扩建适用于具备预留位置的站点。</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420" w:name="h420"/>
      <w:bookmarkStart w:id="149" w:name="kv联络工程费用"/>
      <w:r>
        <w:rPr>
          <w:rFonts w:ascii="Times New Roman" w:hAnsi="Times New Roman" w:eastAsia="方正仿宋_GBK"/>
          <w:b/>
          <w:sz w:val="32"/>
        </w:rPr>
        <w:t xml:space="preserve">4.3 10 kV联络工程费用</w:t>
      </w:r>
      <w:bookmarkEnd w:id="149"/>
      <w:bookmarkEnd w:id="1420"/>
    </w:p>
    <w:p>
      <w:pPr>
        <w:pStyle w:val="5"/>
        <w:keepNext/>
        <w:numPr>
          <w:numId w:val="0"/>
        </w:numPr>
        <w:spacing w:line="390" w:lineRule="exact" w:before="160" w:after="120"/>
        <w:ind w:firstLine="0"/>
      </w:pPr>
      <w:bookmarkStart w:id="150" w:name="参考工程及单位造价"/>
      <w:r>
        <w:rPr>
          <w:rFonts w:ascii="Times New Roman" w:hAnsi="Times New Roman" w:eastAsia="方正仿宋_GBK"/>
          <w:b/>
          <w:sz w:val="26"/>
        </w:rPr>
        <w:t xml:space="preserve">4.3.1 参考工程及单位造价</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[89]。电缆采用含电气和土建的综合参考价180万元/km，其中土建按差额60万元/km计入研究费用。电缆工程投资范围包含电气安装及配套土建，徐州10 kV线路迁改工程公开建设内容亦包括相应电缆及通道工程[90]。</w:t>
      </w:r>
    </w:p>
    <w:p>
      <w:pPr>
        <w:pStyle w:val="5"/>
        <w:keepNext/>
        <w:numPr>
          <w:numId w:val="0"/>
        </w:numPr>
        <w:spacing w:line="390" w:lineRule="exact" w:before="160" w:after="120"/>
        <w:ind w:firstLine="0"/>
      </w:pPr>
      <w:bookmarkStart w:id="151" w:name="电缆长度占比与综合造价"/>
      <w:r>
        <w:rPr>
          <w:rFonts w:ascii="Times New Roman" w:hAnsi="Times New Roman" w:eastAsia="方正仿宋_GBK"/>
          <w:b/>
          <w:sz w:val="26"/>
        </w:rPr>
        <w:t xml:space="preserve">4.3.2 电缆长度占比与综合造价</w:t>
      </w:r>
      <w:bookmarkEnd w:id="151"/>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。若电缆长度占比为</w:t>
      </w:r>
      <m:oMath>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，电缆综合参考价为180万元/km，则单位长度综合费用为</w:t>
      </w:r>
      <m:oMath>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α</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180</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，对应</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。系数也可按实际工程单位长度造价与基价之比确定。</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24</m:t>
              </m:r>
              <m:r>
                <m:rPr>
                  <m:nor m:val="1"/>
                </m:rPr>
                <w:rPr>
                  <w:rFonts w:ascii="Times New Roman" w:hAnsi="Times New Roman" w:cs="Times New Roman" w:eastAsia="方正仿宋_GBK"/>
                  <w:i w:val="1"/>
                  <w:iCs w:val="1"/>
                </w:rPr>
                <m:t>L</m:t>
              </m:r>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为单项目建设投资，单位万元；</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为线路长度，基准取3 km；</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邳州线路资料计算的电缆长度占比约11%，市区补充资料约80%。以3 km和6万元固定接入费计算，单项新增联络投资分别为128.38万元、452.40万元。推广时采用电缆长度占比作为输入参数，</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6.5</m:t>
        </m:r>
        <m:r>
          <m:rPr>
            <m:nor m:val="1"/>
          </m:rPr>
          <w:rPr>
            <w:rFonts w:ascii="Times New Roman" w:hAnsi="Times New Roman" w:cs="Times New Roman" w:eastAsia="方正仿宋_GBK"/>
            <w:i w:val="1"/>
            <w:iCs w:val="1"/>
          </w:rPr>
          <m:t>α</m:t>
        </m:r>
      </m:oMath>
      <w:r>
        <w:rPr>
          <w:rFonts w:ascii="Times New Roman" w:hAnsi="Times New Roman" w:eastAsia="方正仿宋_GBK"/>
          <w:b w:val="0"/>
          <w:sz w:val="24"/>
        </w:rPr>
        <w:t xml:space="preserve">用于内部计价。</w:t>
      </w:r>
    </w:p>
    <w:p>
      <w:pPr>
        <w:pStyle w:val="2"/>
        <w:keepNext/>
        <w:spacing w:line="280" w:lineRule="exact" w:before="120" w:after="80"/>
        <w:ind w:firstLine="0"/>
        <w:jc w:val="center"/>
      </w:pPr>
      <w:r>
        <w:rPr>
          <w:rFonts w:ascii="Times New Roman" w:hAnsi="Times New Roman" w:eastAsia="宋体"/>
          <w:b w:val="0"/>
          <w:sz w:val="21"/>
        </w:rPr>
        <w:t xml:space="preserve">表4-3 电缆长度占比与项目费用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电缆长度占比</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218.40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148.80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452.40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499.20</w:t>
            </w:r>
          </w:p>
        </w:tc>
      </w:tr>
    </w:tbl>
    <w:p>
      <w:pPr>
        <w:pStyle w:val="5"/>
        <w:keepNext/>
        <w:numPr>
          <w:numId w:val="0"/>
        </w:numPr>
        <w:spacing w:line="390" w:lineRule="exact" w:before="160" w:after="120"/>
        <w:ind w:firstLine="0"/>
      </w:pPr>
      <w:bookmarkStart w:id="152" w:name="联络能力与工程计费"/>
      <w:r>
        <w:rPr>
          <w:rFonts w:ascii="Times New Roman" w:hAnsi="Times New Roman" w:eastAsia="方正仿宋_GBK"/>
          <w:b/>
          <w:sz w:val="26"/>
        </w:rPr>
        <w:t xml:space="preserve">4.3.3 联络能力与工程计费</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新增候选线的区段负荷参考值为7.49 MW，低于按允许电流折算的有功容量9.05 MW。模型按具体送受端馈线建立候选边，既有边不重复计原建设费，新增边按投运年计项目费用。线路价格改变时，候选路径、区段负荷及热限保持不变，用于识别经济参数的影响。</w:t>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同一馈线连接多条候选联络时，共用其源端可转负荷和接收余量，转供功率同时受接收主变容量限制。</w:t>
      </w:r>
    </w:p>
    <w:p>
      <w:pPr>
        <w:pStyle w:val="4"/>
        <w:keepNext/>
        <w:numPr>
          <w:numId w:val="0"/>
        </w:numPr>
        <w:spacing w:line="480" w:lineRule="exact" w:before="160" w:after="120"/>
        <w:ind w:firstLine="0"/>
      </w:pPr>
      <w:bookmarkStart w:id="1431" w:name="h431"/>
      <w:bookmarkStart w:id="153" w:name="储能投资模型"/>
      <w:r>
        <w:rPr>
          <w:rFonts w:ascii="Times New Roman" w:hAnsi="Times New Roman" w:eastAsia="方正仿宋_GBK"/>
          <w:b/>
          <w:sz w:val="32"/>
        </w:rPr>
        <w:t xml:space="preserve">4.4 储能投资模型</w:t>
      </w:r>
      <w:bookmarkEnd w:id="153"/>
      <w:bookmarkEnd w:id="1431"/>
    </w:p>
    <w:p>
      <w:pPr>
        <w:pStyle w:val="5"/>
        <w:keepNext/>
        <w:numPr>
          <w:numId w:val="0"/>
        </w:numPr>
        <w:spacing w:line="390" w:lineRule="exact" w:before="160" w:after="120"/>
        <w:ind w:firstLine="0"/>
      </w:pPr>
      <w:bookmarkStart w:id="154" w:name="储能规格与采购价格依据"/>
      <w:r>
        <w:rPr>
          <w:rFonts w:ascii="Times New Roman" w:hAnsi="Times New Roman" w:eastAsia="方正仿宋_GBK"/>
          <w:b/>
          <w:sz w:val="26"/>
        </w:rPr>
        <w:t xml:space="preserve">4.4.1 储能规格与采购价格依据</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kWh柜规格。苏州采购公告的储能柜子项最高限价为27.20万元，作为单柜价格参考[91]。模型投资采用浏阳用户侧储能项目的成套中标价210.46万元，保证交付规模为1 MW/2.15 MWh，折合10柜[86]。</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储能采购价格依据[91][86]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55" w:name="成套柜单位价格"/>
      <w:r>
        <w:rPr>
          <w:rFonts w:ascii="Times New Roman" w:hAnsi="Times New Roman" w:eastAsia="方正仿宋_GBK"/>
          <w:b/>
          <w:sz w:val="26"/>
        </w:rPr>
        <w:t xml:space="preserve">4.4.2 成套柜单位价格</w:t>
      </w:r>
      <w:bookmarkEnd w:id="155"/>
    </w:p>
    <w:p>
      <w:pPr>
        <w:pStyle w:val="FirstParagraph"/>
        <w:widowControl/>
        <w:spacing w:line="348" w:lineRule="exact" w:before="0" w:after="0"/>
        <w:ind w:firstLine="480"/>
        <w:jc w:val="both"/>
      </w:pPr>
      <w:r>
        <w:rPr>
          <w:rFonts w:ascii="Times New Roman" w:hAnsi="Times New Roman" w:eastAsia="方正仿宋_GBK"/>
          <w:b w:val="0"/>
          <w:sz w:val="24"/>
        </w:rPr>
        <w:t xml:space="preserve">模型以10柜成套项目成交总投资线性折算为单柜，得到21.05万元/柜。后续按相同柜型和单位价格进行规模外推；苏州单柜最高限价用于价格对照。</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e>
                  <m:e>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2104562.62</m:t>
                        </m:r>
                      </m:num>
                      <m:den>
                        <m:r>
                          <m:rPr>
                            <m:nor m:val="1"/>
                          </m:rPr>
                          <w:rPr>
                            <w:rFonts w:ascii="Times New Roman" w:hAnsi="Times New Roman" w:cs="Times New Roman" w:eastAsia="方正仿宋_GBK"/>
                            <w:i w:val="0"/>
                            <w:iCs w:val="0"/>
                          </w:rPr>
                          <m:t>10000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m:t>
                        </m:r>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21.05</m:t>
                    </m:r>
                    <m:r>
                      <m:rPr>
                        <m:nor m:val="1"/>
                      </m:rPr>
                      <w:rPr>
                        <w:rFonts w:ascii="Times New Roman" w:hAnsi="Times New Roman" w:cs="Times New Roman" w:eastAsia="方正仿宋_GBK"/>
                        <w:i w:val="0"/>
                        <w:iCs w:val="0"/>
                      </w:rPr>
                      <m:t> </m:t>
                    </m:r>
                    <m:r>
                      <m:rPr>
                        <m:nor m:val="1"/>
                        <m:sty m:val="p"/>
                      </m:rPr>
                      <w:rPr>
                        <w:rFonts w:ascii="Times New Roman" w:hAnsi="Times New Roman" w:cs="Times New Roman" w:eastAsia="方正仿宋_GBK"/>
                        <w:i w:val="0"/>
                        <w:iCs w:val="0"/>
                      </w:rPr>
                      <m:t>万元/柜</m:t>
                    </m:r>
                  </m:e>
                </m:mr>
                <m:mr>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Δ</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（4-5）</w:t>
            </w:r>
          </w:p>
        </w:tc>
      </w:tr>
    </w:tbl>
    <w:p>
      <w:pPr>
        <w:pStyle w:val="FirstParagraph"/>
        <w:widowControl/>
        <w:spacing w:line="348" w:lineRule="atLeas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为单柜参考投资，</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年新增储能投资，单位万元；新增柜数</w:t>
      </w:r>
      <m:oMath>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rPr>
                <m:nor m:val="1"/>
              </m:rPr>
              <w:rPr>
                <w:rFonts w:ascii="Times New Roman" w:hAnsi="Times New Roman" w:cs="Times New Roman" w:eastAsia="方正仿宋_GBK"/>
                <w:i w:val="0"/>
                <w:iCs w:val="0"/>
              </w:rPr>
              <m:t>215</m:t>
            </m:r>
            <m:r>
              <m:rPr>
                <m:nor m:val="1"/>
              </m:rPr>
              <w:rPr>
                <w:rFonts w:ascii="Times New Roman" w:hAnsi="Times New Roman" w:cs="Times New Roman" w:eastAsia="方正仿宋_GBK"/>
                <w:i w:val="0"/>
                <w:iCs w:val="0"/>
              </w:rPr>
              <m:t>Δ</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0"/>
                <w:iCs w:val="0"/>
              </w:rP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56" w:name="储能有效支撑功率与持续时间"/>
      <w:r>
        <w:rPr>
          <w:rFonts w:ascii="Times New Roman" w:hAnsi="Times New Roman" w:eastAsia="方正仿宋_GBK"/>
          <w:b/>
          <w:sz w:val="26"/>
        </w:rPr>
        <w:t xml:space="preserve">4.4.3 储能有效支撑功率与持续时间</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储能有效功率取额定功率与可用电量折算功率的较小值。设</w:t>
      </w:r>
      <m:oMath>
        <m:r>
          <m:rPr>
            <m:nor m:val="1"/>
          </m:rPr>
          <w:rPr>
            <w:rFonts w:ascii="Times New Roman" w:hAnsi="Times New Roman" w:cs="Times New Roman" w:eastAsia="方正仿宋_GBK"/>
            <w:i w:val="1"/>
            <w:iCs w:val="1"/>
          </w:rPr>
          <m:t>n</m:t>
        </m:r>
      </m:oMath>
      <w:r>
        <w:rPr>
          <w:rFonts w:ascii="Times New Roman" w:hAnsi="Times New Roman" w:eastAsia="方正仿宋_GBK"/>
          <w:b w:val="0"/>
          <w:sz w:val="24"/>
        </w:rPr>
        <w:t xml:space="preserve">为储能柜数，</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为支撑持续时间，可用电量系数取0.76，则有：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r>
                        <m:rPr>
                          <m:nor m:val="1"/>
                        </m:rPr>
                        <w:rPr>
                          <w:rFonts w:ascii="Times New Roman" w:hAnsi="Times New Roman" w:cs="Times New Roman" w:eastAsia="方正仿宋_GBK"/>
                          <w:i w:val="1"/>
                          <w:iCs w:val="1"/>
                        </w:rPr>
                        <m:t>n</m:t>
                      </m:r>
                    </m:num>
                    <m:den>
                      <m:r>
                        <m:rPr>
                          <m:nor m:val="1"/>
                        </m:rPr>
                        <w:rPr>
                          <w:rFonts w:ascii="Times New Roman" w:hAnsi="Times New Roman" w:cs="Times New Roman" w:eastAsia="方正仿宋_GBK"/>
                          <w:i w:val="1"/>
                          <w:iCs w:val="1"/>
                        </w:rPr>
                        <m:t>H</m:t>
                      </m:r>
                    </m:den>
                  </m:f>
                </m:e>
              </m:d>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&gt;</m:t>
              </m:r>
              <m:r>
                <m:rPr>
                  <m:nor m:val="1"/>
                </m:rPr>
                <w:rPr>
                  <w:rFonts w:ascii="Times New Roman" w:hAnsi="Times New Roman" w:cs="Times New Roman" w:eastAsia="方正仿宋_GBK"/>
                  <w:i w:val="0"/>
                  <w:iCs w:val="0"/>
                </w:rPr>
                <m:t>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n</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H</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单位为MW，单柜额定能量为0.215 MWh，额定功率为0.10 MW，</w:t>
      </w:r>
      <m:oMath>
        <m:r>
          <m:rPr>
            <m:nor m:val="1"/>
          </m:rPr>
          <w:rPr>
            <w:rFonts w:ascii="Times New Roman" w:hAnsi="Times New Roman" w:cs="Times New Roman" w:eastAsia="方正仿宋_GBK"/>
            <w:i w:val="1"/>
            <w:iCs w:val="1"/>
          </w:rPr>
          <m:t>H</m:t>
        </m:r>
      </m:oMath>
      <w:r>
        <w:rPr>
          <w:rFonts w:ascii="Times New Roman" w:hAnsi="Times New Roman" w:eastAsia="方正仿宋_GBK"/>
          <w:b w:val="0"/>
          <w:sz w:val="24"/>
        </w:rPr>
        <w:t xml:space="preserve">单位为h。10柜在4 h条件下有效功率为0.4085 MW，单位有效功率投资约515.19万元/MW。正向支撑和反向吸收分别使用相应持续时间。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1030.39</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7"/>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图4-1 储能单位有效支撑功率投资与持续时间</w:t>
      </w:r>
    </w:p>
    <w:p>
      <w:pPr>
        <w:pStyle w:val="5"/>
        <w:keepNext/>
        <w:numPr>
          <w:numId w:val="0"/>
        </w:numPr>
        <w:spacing w:line="390" w:lineRule="exact" w:before="160" w:after="120"/>
        <w:ind w:firstLine="0"/>
      </w:pPr>
      <w:bookmarkStart w:id="158" w:name="可用能力与工程适用性"/>
      <w:r>
        <w:rPr>
          <w:rFonts w:ascii="Times New Roman" w:hAnsi="Times New Roman" w:eastAsia="方正仿宋_GBK"/>
          <w:b/>
          <w:sz w:val="26"/>
        </w:rPr>
        <w:t xml:space="preserve">4.4.4 可用能力与工程适用性</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可用电量系数用于静态比选。正向支撑需要可放电电量，反向吸收需要可充电空间。模型适用范围见第3.4.5节；工程应用需结合保证可用电量、充放电效率、充电条件及恢复时间核定支撑能力。</w:t>
      </w:r>
    </w:p>
    <w:p>
      <w:pPr>
        <w:pStyle w:val="4"/>
        <w:keepNext/>
        <w:numPr>
          <w:numId w:val="0"/>
        </w:numPr>
        <w:spacing w:line="480" w:lineRule="exact" w:before="160" w:after="120"/>
        <w:ind w:firstLine="0"/>
      </w:pPr>
      <w:bookmarkStart w:id="1447" w:name="h447"/>
      <w:bookmarkStart w:id="159" w:name="参数变化与措施费用的联系"/>
      <w:r>
        <w:rPr>
          <w:rFonts w:ascii="Times New Roman" w:hAnsi="Times New Roman" w:eastAsia="方正仿宋_GBK"/>
          <w:b/>
          <w:sz w:val="32"/>
        </w:rPr>
        <w:t xml:space="preserve">4.5 参数变化与措施费用的联系</w:t>
      </w:r>
      <w:bookmarkEnd w:id="159"/>
      <w:bookmarkEnd w:id="1447"/>
    </w:p>
    <w:p>
      <w:pPr>
        <w:pStyle w:val="5"/>
        <w:keepNext/>
        <w:numPr>
          <w:numId w:val="0"/>
        </w:numPr>
        <w:spacing w:line="390" w:lineRule="exact" w:before="160" w:after="120"/>
        <w:ind w:firstLine="0"/>
      </w:pPr>
      <w:bookmarkStart w:id="160" w:name="电缆长度占比与联络费用"/>
      <w:r>
        <w:rPr>
          <w:rFonts w:ascii="Times New Roman" w:hAnsi="Times New Roman" w:eastAsia="方正仿宋_GBK"/>
          <w:b/>
          <w:sz w:val="26"/>
        </w:rPr>
        <w:t xml:space="preserve">4.5.1 电缆长度占比与联络费用</w:t>
      </w:r>
      <w:bookmarkEnd w:id="160"/>
    </w:p>
    <w:p>
      <w:pPr>
        <w:pStyle w:val="FirstParagraph"/>
        <w:widowControl/>
        <w:spacing w:line="348" w:lineRule="exact" w:before="0" w:after="0"/>
        <w:ind w:firstLine="480"/>
        <w:jc w:val="both"/>
      </w:pPr>
      <w:r>
        <w:rPr>
          <w:rFonts w:ascii="Times New Roman" w:hAnsi="Times New Roman" w:eastAsia="方正仿宋_GBK"/>
          <w:b w:val="0"/>
          <w:sz w:val="24"/>
        </w:rPr>
        <w:t xml:space="preserve">电缆长度占比取10%、30%、50%、80%、90%，单项联络长度3 km和固定接入费6万元保持一致。按第4.3节计价关系，占比提高增加单位长度造价；初始转供率则决定既有网络能力，两项分别进入工程费用与技术约束。</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电缆长度占比按长度加权造价，固定接入费独立计取。例如占比10%时，单位长度综合费用为39.60万元/km；占比80%时为148.80万元/km。两者对应同一3 km工程的投资分别为124.80万元和452.40万元，差额来自线路形式。邳州采用补充资料中的实际长度占比计算，得到128.38万元/项。若已有通道满足任务，新增联络数量为零，这项价格输入不产生新增支出；需要建设联络时，项目数量与单位造价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联络的经济作用还取决于可利用的容量位置。局部站点需要转出负荷时，线路只能将负荷送到具有馈线和主变余量的接收站。若接收侧仍需增容，完整方案费用应同时包含线路及接收站建设。第五章按同一网络约束比较完整方案，将电缆造价变化引起的直接费用差与设备替代分别解释。</w:t>
      </w:r>
    </w:p>
    <w:p>
      <w:pPr>
        <w:pStyle w:val="5"/>
        <w:keepNext/>
        <w:numPr>
          <w:numId w:val="0"/>
        </w:numPr>
        <w:spacing w:line="390" w:lineRule="exact" w:before="160" w:after="120"/>
        <w:ind w:firstLine="0"/>
      </w:pPr>
      <w:bookmarkStart w:id="161" w:name="储能支撑时间与配置费用"/>
      <w:r>
        <w:rPr>
          <w:rFonts w:ascii="Times New Roman" w:hAnsi="Times New Roman" w:eastAsia="方正仿宋_GBK"/>
          <w:b/>
          <w:sz w:val="26"/>
        </w:rPr>
        <w:t xml:space="preserve">4.5.2 储能支撑时间与配置费用</w:t>
      </w:r>
      <w:bookmarkEnd w:id="161"/>
    </w:p>
    <w:p>
      <w:pPr>
        <w:pStyle w:val="FirstParagraph"/>
        <w:widowControl/>
        <w:spacing w:line="348" w:lineRule="exact" w:before="0" w:after="0"/>
        <w:ind w:firstLine="480"/>
        <w:jc w:val="both"/>
      </w:pPr>
      <w:r>
        <w:rPr>
          <w:rFonts w:ascii="Times New Roman" w:hAnsi="Times New Roman" w:eastAsia="方正仿宋_GBK"/>
          <w:b w:val="0"/>
          <w:sz w:val="24"/>
        </w:rPr>
        <w:t xml:space="preserve">储能采用100 kW/215 kWh成套柜及统一单柜参考投资，推广支撑持续时间取2、4、6 h。持续时间延长时，相同柜数的有效支撑功率降低，满足给定缺口需要增加柜数或改用主变、联络措施。新增柜数及投运年共同决定费用。</w:t>
      </w:r>
    </w:p>
    <w:p>
      <w:pPr>
        <w:pStyle w:val="2"/>
        <w:widowControl/>
        <w:spacing w:line="348" w:lineRule="exact" w:before="0" w:after="0"/>
        <w:ind w:firstLine="480"/>
        <w:jc w:val="both"/>
      </w:pPr>
      <w:r>
        <w:rPr>
          <w:rFonts w:ascii="Times New Roman" w:hAnsi="Times New Roman" w:eastAsia="方正仿宋_GBK"/>
          <w:b w:val="0"/>
          <w:sz w:val="24"/>
        </w:rPr>
        <w:t xml:space="preserve">以额定功率100 kW、额定能量215 kWh的单柜为例，可用电量为0.1634 MWh，2、4、6 h下有效支撑功率分别为0.08170、0.04085、约0.02723 MW。按本章成套采购价格折算，每MW有效支撑对应的初始投资约为257.60、515.19、772.79万元。相同设备铭牌功率下，支撑时间越长，可供比较的有效功率越小，单位支撑费用越高[86]。项目投资仍按整数柜计算，以上单位值用于解释方案差异。</w:t>
      </w:r>
    </w:p>
    <w:p>
      <w:pPr>
        <w:pStyle w:val="2"/>
        <w:widowControl/>
        <w:spacing w:line="348" w:lineRule="exact" w:before="0" w:after="0"/>
        <w:ind w:firstLine="480"/>
        <w:jc w:val="both"/>
      </w:pPr>
      <w:r>
        <w:rPr>
          <w:rFonts w:ascii="Times New Roman" w:hAnsi="Times New Roman" w:eastAsia="方正仿宋_GBK"/>
          <w:b w:val="0"/>
          <w:sz w:val="24"/>
        </w:rPr>
        <w:t xml:space="preserve">储能配置还受到缺口出现位置和时间条件影响。较小且局部的功率缺口可以由少量柜体补足；若持续时间较长，满足同一缺口所需柜数增加，主变更换或网络支援可能成为费用更低的组合。反向吸收与正向支撑分别采用各自持续时间，容量校核按第五章静态功率折算执行。逐年建设时，已投运储能继续在役，后续费用由新增柜数而非年末全部在役数量计取。</w:t>
      </w:r>
    </w:p>
    <w:p>
      <w:pPr>
        <w:pStyle w:val="5"/>
        <w:keepNext/>
        <w:numPr>
          <w:numId w:val="0"/>
        </w:numPr>
        <w:spacing w:line="390" w:lineRule="exact" w:before="160" w:after="120"/>
        <w:ind w:firstLine="0"/>
      </w:pPr>
      <w:bookmarkStart w:id="162" w:name="三类措施的经济比较"/>
      <w:r>
        <w:rPr>
          <w:rFonts w:ascii="Times New Roman" w:hAnsi="Times New Roman" w:eastAsia="方正仿宋_GBK"/>
          <w:b/>
          <w:sz w:val="26"/>
        </w:rPr>
        <w:t xml:space="preserve">4.5.3 三类措施的经济比较</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单位功率投资可辅助比较工程费用。主变投资对应新购整台容量，其供电作用受最大单台主变N-1剩余容量约束；联络投资对应具体区段可转功率，并受邻站接收余量限制；储能投资对应给定持续时间内的有效功率。第五章按相同正常及故障约束比较完整建设组合[30][28][10]。</w:t>
      </w:r>
    </w:p>
    <w:p>
      <w:pPr>
        <w:pStyle w:val="2"/>
        <w:widowControl/>
        <w:spacing w:line="348" w:lineRule="exact" w:before="0" w:after="0"/>
        <w:ind w:firstLine="480"/>
        <w:jc w:val="both"/>
      </w:pPr>
      <w:r>
        <w:rPr>
          <w:rFonts w:ascii="Times New Roman" w:hAnsi="Times New Roman" w:eastAsia="方正仿宋_GBK"/>
          <w:b w:val="0"/>
          <w:sz w:val="24"/>
        </w:rPr>
        <w:t xml:space="preserve">主变更换的采购容量、容量净增和N-1后剩余容量分别对应费用、宏观容载比和故障承载能力。以两台40 MVA设备为例，将其中一台换成63 MVA后总容量增加23 MVA，但最大单台主变停运后仍剩40 MVA；若两台均升档或具备第三台扩建位置，故障后的剩余容量才随具体组合改变。工程比选应据实际停运设备校核，再比较相应采购费用。</w:t>
      </w:r>
    </w:p>
    <w:p>
      <w:pPr>
        <w:pStyle w:val="2"/>
        <w:widowControl/>
        <w:spacing w:line="348" w:lineRule="exact" w:before="0" w:after="0"/>
        <w:ind w:firstLine="480"/>
        <w:jc w:val="both"/>
      </w:pPr>
      <w:r>
        <w:rPr>
          <w:rFonts w:ascii="Times New Roman" w:hAnsi="Times New Roman" w:eastAsia="方正仿宋_GBK"/>
          <w:b w:val="0"/>
          <w:sz w:val="24"/>
        </w:rPr>
        <w:t xml:space="preserve">三类措施的替代发生在具体缺口位置。主变补强可以增加本地承载或邻站接收能力，联络将可切换负荷安排到其他站点，储能在设定时长内补充功率。经济结果需要同时满足源端可转负荷、通道能力和接收侧容量。较低的单项单位造价只有在能够承担相应供电任务时，才可能转化为完整方案的费用优势。第五章采用逐年配置和分项费用说明这种替代关系。</w:t>
      </w:r>
    </w:p>
    <w:p>
      <w:pPr>
        <w:pStyle w:val="4"/>
        <w:keepNext/>
        <w:numPr>
          <w:numId w:val="0"/>
        </w:numPr>
        <w:spacing w:line="480" w:lineRule="exact" w:before="160" w:after="120"/>
        <w:ind w:firstLine="0"/>
      </w:pPr>
      <w:bookmarkStart w:id="1460" w:name="h460"/>
      <w:bookmarkStart w:id="163" w:name="现金流现值计算"/>
      <w:r>
        <w:rPr>
          <w:rFonts w:ascii="Times New Roman" w:hAnsi="Times New Roman" w:eastAsia="方正仿宋_GBK"/>
          <w:b/>
          <w:sz w:val="32"/>
        </w:rPr>
        <w:t xml:space="preserve">4.6 现金流现值计算</w:t>
      </w:r>
      <w:bookmarkEnd w:id="163"/>
      <w:bookmarkEnd w:id="1460"/>
    </w:p>
    <w:p>
      <w:pPr>
        <w:pStyle w:val="5"/>
        <w:keepNext/>
        <w:numPr>
          <w:numId w:val="0"/>
        </w:numPr>
        <w:spacing w:line="390" w:lineRule="exact" w:before="160" w:after="120"/>
        <w:ind w:firstLine="0"/>
      </w:pPr>
      <w:bookmarkStart w:id="164" w:name="单项工程现值因子"/>
      <w:r>
        <w:rPr>
          <w:rFonts w:ascii="Times New Roman" w:hAnsi="Times New Roman" w:eastAsia="方正仿宋_GBK"/>
          <w:b/>
          <w:sz w:val="26"/>
        </w:rPr>
        <w:t xml:space="preserve">4.6.1 单项工程现值因子</w:t>
      </w:r>
      <w:bookmarkEnd w:id="164"/>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年投运，初始投资</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，寿命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，固定运维率</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，评价截止年</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=2041，基准年2021，折现率</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mr>
                <m:mr>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&lt;</m:t>
                        </m:r>
                        <m:r>
                          <m:rPr>
                            <m:nor m:val="1"/>
                          </m:rPr>
                          <w:rPr>
                            <w:rFonts w:ascii="Times New Roman" w:hAnsi="Times New Roman" w:cs="Times New Roman" w:eastAsia="方正仿宋_GBK"/>
                            <w:i w:val="1"/>
                            <w:iCs w:val="1"/>
                          </w:rPr>
                          <m:t>T</m:t>
                        </m:r>
                      </m:sub>
                      <m:sup>
                        <m:r>
                          <m:rPr>
                            <m:nor m:val="1"/>
                          </m:rPr>
                          <w:rPr>
                            <w:rFonts w:ascii="Times New Roman" w:hAnsi="Times New Roman" w:cs="Times New Roman" w:eastAsia="方正仿宋_GBK"/>
                            <w:i w:val="0"/>
                            <w:iCs w:val="0"/>
                          </w:rPr>
                          <m:t>​</m:t>
                        </m:r>
                      </m:sup>
                      <m:e>
                        <m:f>
                          <m:fPr>
                            <m:type m:val="bar"/>
                          </m:fPr>
                          <m:num>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e>
                </m:mr>
                <m:mr>
                  <m:e/>
                  <m:e>
                    <m:r>
                      <m:rPr>
                        <m:nor m:val="1"/>
                      </m:rPr>
                      <w:rPr>
                        <w:rFonts w:ascii="Times New Roman" w:hAnsi="Times New Roman" w:cs="Times New Roman" w:eastAsia="方正仿宋_GBK"/>
                        <w:i w:val="0"/>
                        <w:iCs w:val="0"/>
                      </w:rPr>
                      <m:t>+</m:t>
                    </m:r>
                    <m:nary>
                      <m:naryPr>
                        <m:chr m:val="∑"/>
                        <m:limLoc m:val="undOvr"/>
                        <m:subHide m:val="0"/>
                        <m:supHide m:val="0"/>
                      </m:naryPr>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up>
                        <m:r>
                          <m:rPr>
                            <m:nor m:val="1"/>
                          </m:rPr>
                          <w:rPr>
                            <w:rFonts w:ascii="Times New Roman" w:hAnsi="Times New Roman" w:cs="Times New Roman" w:eastAsia="方正仿宋_GBK"/>
                            <w:i w:val="1"/>
                            <w:iCs w:val="1"/>
                          </w:rPr>
                          <m:t>T</m:t>
                        </m:r>
                      </m:sup>
                      <m:e>
                        <m:f>
                          <m:fPr>
                            <m:type m:val="bar"/>
                          </m:fPr>
                          <m:num>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1"/>
                                <w:iCs w:val="1"/>
                              </w:rPr>
                              <m:t>I</m:t>
                            </m:r>
                          </m:num>
                          <m:den>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p>
                            </m:sSup>
                          </m:den>
                        </m:f>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为单项工程费用现值，单位万元；</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为初始投资，单位万元；</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为投运年份，</w:t>
      </w:r>
      <m:oMath>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为寿命，单位年；</w:t>
      </w:r>
      <m:oMath>
        <m:r>
          <m:rPr>
            <m:nor m:val="1"/>
          </m:rPr>
          <w:rPr>
            <w:rFonts w:ascii="Times New Roman" w:hAnsi="Times New Roman" w:cs="Times New Roman" w:eastAsia="方正仿宋_GBK"/>
            <w:i w:val="1"/>
            <w:iCs w:val="1"/>
          </w:rPr>
          <m:t>q</m:t>
        </m:r>
      </m:oMath>
      <w:r>
        <w:rPr>
          <w:rFonts w:ascii="Times New Roman" w:hAnsi="Times New Roman" w:eastAsia="方正仿宋_GBK"/>
          <w:b w:val="0"/>
          <w:sz w:val="24"/>
        </w:rPr>
        <w:t xml:space="preserve">为年度固定运维占初始投资的比例，</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为折现率；</w:t>
      </w:r>
      <m:oMath>
        <m:r>
          <m:rPr>
            <m:nor m:val="1"/>
          </m:rPr>
          <w:rPr>
            <w:rFonts w:ascii="Times New Roman" w:hAnsi="Times New Roman" w:cs="Times New Roman" w:eastAsia="方正仿宋_GBK"/>
            <w:i w:val="1"/>
            <w:iCs w:val="1"/>
          </w:rPr>
          <m:t>k</m:t>
        </m:r>
      </m:oMath>
      <w:r>
        <w:rPr>
          <w:rFonts w:ascii="Times New Roman" w:hAnsi="Times New Roman" w:eastAsia="方正仿宋_GBK"/>
          <w:b w:val="0"/>
          <w:sz w:val="24"/>
        </w:rPr>
        <w:t xml:space="preserve">为更新次数序号，</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为运维年份，</w:t>
      </w:r>
      <m:oMath>
        <m:r>
          <m:rPr>
            <m:nor m:val="1"/>
          </m:rPr>
          <w:rPr>
            <w:rFonts w:ascii="Times New Roman" w:hAnsi="Times New Roman" w:cs="Times New Roman" w:eastAsia="方正仿宋_GBK"/>
            <w:i w:val="1"/>
            <w:iCs w:val="1"/>
          </w:rP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更新发生在</w:t>
      </w:r>
      <m:oMath>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k</m:t>
        </m:r>
        <m:r>
          <m:rPr>
            <m:nor m:val="1"/>
          </m:rPr>
          <w:rPr>
            <w:rFonts w:ascii="Times New Roman" w:hAnsi="Times New Roman" w:cs="Times New Roman" w:eastAsia="方正仿宋_GBK"/>
            <w:i w:val="1"/>
            <w:iCs w:val="1"/>
          </w:rPr>
          <m:t>L</m:t>
        </m:r>
      </m:oMath>
      <w:r>
        <w:rPr>
          <w:rFonts w:ascii="Times New Roman" w:hAnsi="Times New Roman" w:eastAsia="方正仿宋_GBK"/>
          <w:b w:val="0"/>
          <w:sz w:val="24"/>
        </w:rPr>
        <w:t xml:space="preserve">严格小于2041时。固定运维一直计至2041年。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，得到现值因子</w:t>
      </w:r>
      <m:oMath>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q</m:t>
        </m:r>
        <m:r>
          <m:rPr>
            <m:nor m:val="1"/>
          </m:rPr>
          <w:rPr>
            <w:rFonts w:ascii="Times New Roman" w:hAnsi="Times New Roman" w:cs="Times New Roman" w:eastAsia="方正仿宋_GBK"/>
            <w:i w:val="0"/>
            <w:iCs w:val="0"/>
          </w:rPr>
          <m:t>)</m:t>
        </m:r>
      </m:oMath>
      <w:r>
        <w:rPr>
          <w:rFonts w:ascii="Times New Roman" w:hAnsi="Times New Roman" w:eastAsia="方正仿宋_GBK"/>
          <w:b w:val="0"/>
          <w:sz w:val="24"/>
        </w:rPr>
        <w:t xml:space="preserve">。主变按40年和系数0.042、线路按40年和系数0.022、储能按25年和系数0.030计算。2022—2025年投运的三类设备均未在2041年评价截止前达到设定寿命，因此本评价期内的更新支出为零。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单位初始投资的2021年末现值因子（式4-7）</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w:t>
            </w:r>
          </w:p>
        </w:tc>
      </w:tr>
    </w:tbl>
    <w:p>
      <w:pPr>
        <w:pStyle w:val="5"/>
        <w:keepNext/>
        <w:numPr>
          <w:numId w:val="0"/>
        </w:numPr>
        <w:spacing w:line="390" w:lineRule="exact" w:before="160" w:after="120"/>
        <w:ind w:firstLine="0"/>
      </w:pPr>
      <w:bookmarkStart w:id="165" w:name="年度投运对现值的影响"/>
      <w:r>
        <w:rPr>
          <w:rFonts w:ascii="Times New Roman" w:hAnsi="Times New Roman" w:eastAsia="方正仿宋_GBK"/>
          <w:b/>
          <w:sz w:val="26"/>
        </w:rPr>
        <w:t xml:space="preserve">4.6.2 年度投运对现值的影响</w:t>
      </w:r>
      <w:bookmarkEnd w:id="165"/>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相同工程晚一年投运，初始投资折现减少，计入的运维年数也减少；更新年份相应后移。这使年度建设安排进入经济目标。建设时点在各年技术可行条件下选取。</w:t>
      </w:r>
    </w:p>
    <w:p>
      <w:pPr>
        <w:pStyle w:val="2"/>
        <w:widowControl/>
        <w:spacing w:line="348" w:lineRule="exact" w:before="0" w:after="0"/>
        <w:ind w:firstLine="480"/>
        <w:jc w:val="both"/>
      </w:pPr>
      <w:r>
        <w:rPr>
          <w:rFonts w:ascii="Times New Roman" w:hAnsi="Times New Roman" w:eastAsia="方正仿宋_GBK"/>
          <w:b w:val="0"/>
          <w:sz w:val="24"/>
        </w:rPr>
        <w:t xml:space="preserve">储能投资按各投运批次的新增柜数计算。主变安装位置在不同年份先后升档，每一次更换分别计当年新购整台容量；采购批次合计用于费用，容量净增用于设备状态及容载比。</w:t>
      </w:r>
    </w:p>
    <w:p>
      <w:pPr>
        <w:pStyle w:val="5"/>
        <w:keepNext/>
        <w:numPr>
          <w:numId w:val="0"/>
        </w:numPr>
        <w:spacing w:line="390" w:lineRule="exact" w:before="160" w:after="120"/>
        <w:ind w:firstLine="0"/>
      </w:pPr>
      <w:bookmarkStart w:id="166" w:name="费用构成与结果复算"/>
      <w:r>
        <w:rPr>
          <w:rFonts w:ascii="Times New Roman" w:hAnsi="Times New Roman" w:eastAsia="方正仿宋_GBK"/>
          <w:b/>
          <w:sz w:val="26"/>
        </w:rPr>
        <w:t xml:space="preserve">4.6.3 费用构成与结果复算</w:t>
      </w:r>
      <w:bookmarkEnd w:id="166"/>
    </w:p>
    <w:p>
      <w:pPr>
        <w:pStyle w:val="FirstParagraph"/>
        <w:widowControl/>
        <w:spacing w:line="348" w:lineRule="exact" w:before="0" w:after="0"/>
        <w:ind w:firstLine="480"/>
        <w:jc w:val="both"/>
      </w:pPr>
      <w:r>
        <w:rPr>
          <w:rFonts w:ascii="Times New Roman" w:hAnsi="Times New Roman" w:eastAsia="方正仿宋_GBK"/>
          <w:b w:val="0"/>
          <w:sz w:val="24"/>
        </w:rPr>
        <w:t xml:space="preserve">全方案现值为全部建设改造项目现值之和。主变、储能和线路分别汇总后相加，应等于求解目标在所选布局中的实际费用。费用表分别列出初始建设投资和评价期费用现值。</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e>
              </m:nary>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（4-8）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oMath>
      <w:r>
        <w:rPr>
          <w:rFonts w:ascii="Times New Roman" w:hAnsi="Times New Roman" w:eastAsia="方正仿宋_GBK"/>
          <w:b w:val="0"/>
          <w:sz w:val="24"/>
        </w:rPr>
        <w:t xml:space="preserve">为方案费用现值，</w:t>
      </w:r>
      <m:oMath>
        <m:sSub>
          <m:e>
            <m:r>
              <m:rPr>
                <m:nor m:val="1"/>
              </m:rPr>
              <w:rPr>
                <w:rFonts w:ascii="Times New Roman" w:hAnsi="Times New Roman" w:cs="Times New Roman" w:eastAsia="方正仿宋_GBK"/>
                <w:i w:val="1"/>
                <w:iCs w:val="1"/>
              </w:rPr>
              <m:t>C</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为建设改造项目</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的费用现值，单位万元；</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67" w:name="评价期边界与费用解释"/>
      <w:r>
        <w:rPr>
          <w:rFonts w:ascii="Times New Roman" w:hAnsi="Times New Roman" w:eastAsia="方正仿宋_GBK"/>
          <w:b/>
          <w:sz w:val="26"/>
        </w:rPr>
        <w:t xml:space="preserve">4.6.4 评价期边界与费用解释</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折现率6%，主变和线路寿命40年、储能寿命25年及相应固定运维率按本章所列依据使用。更新采用与首次购置相同实价，价格情景对首次购置和更新使用相同倍数。本报告参照全寿命周期费用方法，按2021年末至2041年的共同评价期计算新增措施支出，评价期短于三类设备的完整寿命。现值结果反映这一共同期间的建设和固定运维费用。</w:t>
      </w:r>
    </w:p>
    <w:p>
      <w:pPr>
        <w:pStyle w:val="2"/>
        <w:widowControl/>
        <w:spacing w:line="348" w:lineRule="exact" w:before="0" w:after="0"/>
        <w:ind w:firstLine="480"/>
        <w:jc w:val="both"/>
      </w:pPr>
      <w:r>
        <w:rPr>
          <w:rFonts w:ascii="Times New Roman" w:hAnsi="Times New Roman" w:eastAsia="方正仿宋_GBK"/>
          <w:b w:val="0"/>
          <w:sz w:val="24"/>
        </w:rPr>
        <w:t xml:space="preserve">现有现金流尚未纳入期末残值、被替换存量设备运维费用的变化、储能充电购电及损耗，也未采用收益抵扣。不同寿命和替换时点可能使这些科目对方案费用产生不同影响。工程经济评价应在资料齐备后统一补充这些现金流，并检查方案排序；本报告费用降幅仅适用于当前列明的支出范围。</w:t>
      </w:r>
    </w:p>
    <w:p>
      <w:pPr>
        <w:pStyle w:val="5"/>
        <w:keepNext/>
        <w:numPr>
          <w:numId w:val="0"/>
        </w:numPr>
        <w:spacing w:line="390" w:lineRule="exact" w:before="160" w:after="120"/>
        <w:ind w:firstLine="0"/>
      </w:pPr>
      <w:bookmarkStart w:id="168" w:name="主变更换与扩建的投资差异"/>
      <w:r>
        <w:rPr>
          <w:rFonts w:ascii="Times New Roman" w:hAnsi="Times New Roman" w:eastAsia="方正仿宋_GBK"/>
          <w:b/>
          <w:sz w:val="26"/>
        </w:rPr>
        <w:t xml:space="preserve">4.6.5 主变更换与扩建的投资差异</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与扩建的经济性取决于满足供电需求的完整措施组合。若更换后仍受N-1容量约束，方案可能继续需要较多储能；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69" w:name="联络与储能的费用响应"/>
      <w:r>
        <w:rPr>
          <w:rFonts w:ascii="Times New Roman" w:hAnsi="Times New Roman" w:eastAsia="方正仿宋_GBK"/>
          <w:b/>
          <w:sz w:val="26"/>
        </w:rPr>
        <w:t xml:space="preserve">4.6.6 联络与储能的费用响应</w:t>
      </w:r>
      <w:bookmarkEnd w:id="169"/>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新增联络能够发挥作用，还需送端可转负荷、共享馈线余量及邻站容量满足要求。价格变化可能只改变既定项目的费用，也可能触发主变、储能与联络之间的配置调整；第五章按固定其他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储能费用由新增柜数及单柜价格确定，有效支撑功率由额定功率、可用电量及持续时间共同确定。4 h条件下，10柜有效功率为0.4085 MW；2 h、6 h分别为0.8170 MW、约0.2723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比较按当年新购主变、储能柜数和新增联络项目计费，后续在役状态用于容量与供电安全校核。两地区方案费用差来自完整措施组合及投运时点。共同评价期截止于2041年，未触发设备更新的条件下，寿命参数变化可能不改变当前现金流。</w:t>
      </w:r>
    </w:p>
    <w:p>
      <w:pPr>
        <w:pStyle w:val="3"/>
        <w:keepNext/>
        <w:pageBreakBefore/>
        <w:numPr>
          <w:numId w:val="0"/>
        </w:numPr>
        <w:spacing w:line="540" w:lineRule="exact" w:before="0" w:after="120"/>
        <w:ind w:firstLine="0"/>
      </w:pPr>
      <w:bookmarkStart w:id="1486" w:name="h486"/>
      <w:bookmarkStart w:id="170"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70"/>
      <w:bookmarkEnd w:id="1486"/>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给出邳州、市区的源荷与设备条件，第四章将主变、储能和联络建设折算为共同评价期费用。本章将两者结合，在相同供电任务下比较刚性、弹性方案，分析主变容量增加与储能、联络需求减少之间的经济替代关系。地区案例说明具体建设路径，五站模板进一步分析参数变化下的容载比取值。</w:t>
      </w:r>
    </w:p>
    <w:p>
      <w:pPr>
        <w:pStyle w:val="4"/>
        <w:keepNext/>
        <w:numPr>
          <w:numId w:val="0"/>
        </w:numPr>
        <w:spacing w:line="480" w:lineRule="exact" w:before="160" w:after="120"/>
        <w:ind w:firstLine="0"/>
      </w:pPr>
      <w:bookmarkStart w:id="1488" w:name="h488"/>
      <w:bookmarkStart w:id="171" w:name="寻优问题与共同起点"/>
      <w:r>
        <w:rPr>
          <w:rFonts w:ascii="Times New Roman" w:hAnsi="Times New Roman" w:eastAsia="方正仿宋_GBK"/>
          <w:b/>
          <w:sz w:val="32"/>
        </w:rPr>
        <w:t xml:space="preserve">5.1 寻优问题与共同起点</w:t>
      </w:r>
      <w:bookmarkEnd w:id="171"/>
      <w:bookmarkEnd w:id="1488"/>
    </w:p>
    <w:p>
      <w:pPr>
        <w:pStyle w:val="5"/>
        <w:keepNext/>
        <w:numPr>
          <w:numId w:val="0"/>
        </w:numPr>
        <w:spacing w:line="390" w:lineRule="exact" w:before="160" w:after="120"/>
        <w:ind w:firstLine="0"/>
      </w:pPr>
      <w:bookmarkStart w:id="172" w:name="年度负荷与共同仿真起点"/>
      <w:r>
        <w:rPr>
          <w:rFonts w:ascii="Times New Roman" w:hAnsi="Times New Roman" w:eastAsia="方正仿宋_GBK"/>
          <w:b/>
          <w:sz w:val="26"/>
        </w:rPr>
        <w:t xml:space="preserve">5.1.1 年度负荷与共同仿真起点</w:t>
      </w:r>
      <w:bookmarkEnd w:id="172"/>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两类方案保留相同的初始设备组合。市区初始主变总容量为2900.00 MVA，邳州为1463.50 MVA；基期负荷取2021年实际统计值，两地区基期容载比按两位小数均为2.00。该设置用于方案比较，实际在役容量仍采用第三章年度统计。</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  </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2021</m:t>
                      </m:r>
                    </m:sub>
                  </m:sSub>
                </m:den>
              </m:f>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2.00</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为地区</w:t>
      </w:r>
      <m:oMath>
        <m:r>
          <m:rPr>
            <m:nor m:val="1"/>
          </m:rPr>
          <w:rPr>
            <w:rFonts w:ascii="Times New Roman" w:hAnsi="Times New Roman" w:cs="Times New Roman" w:eastAsia="方正仿宋_GBK"/>
            <w:i w:val="1"/>
            <w:iCs w:val="1"/>
          </w:rPr>
          <m:t>c</m:t>
        </m:r>
      </m:oMath>
      <w:r>
        <w:rPr>
          <w:rFonts w:ascii="Times New Roman" w:hAnsi="Times New Roman" w:eastAsia="方正仿宋_GBK"/>
          <w:b w:val="0"/>
          <w:sz w:val="24"/>
        </w:rPr>
        <w:t xml:space="preserve">的初始仿真主变总容量，单位MVA；</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为基期容载比，</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为同地区第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年的原表网供最大负荷估计值，单位MW。已有年度负荷直接进入模型，保留2023年邳州及2022、2024年市区的负荷回落。标准复合增长率用于增长水平描述和通用情景设置。</w:t>
      </w:r>
    </w:p>
    <w:p>
      <w:pPr>
        <w:pStyle w:val="2"/>
        <w:keepNext/>
        <w:spacing w:line="280" w:lineRule="exact" w:before="120" w:after="80"/>
        <w:ind w:firstLine="0"/>
        <w:jc w:val="center"/>
      </w:pPr>
      <w:r>
        <w:rPr>
          <w:rFonts w:ascii="Times New Roman" w:hAnsi="Times New Roman" w:eastAsia="宋体"/>
          <w:b w:val="0"/>
          <w:sz w:val="21"/>
        </w:rPr>
        <w:t xml:space="preserve">表5-1 实际统计与仿真起点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实际主变容量/MVA</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实际年网供最大负荷/MW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仿真容量/MVA</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1463.50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按方案投运</w:t>
            </w:r>
          </w:p>
        </w:tc>
      </w:tr>
    </w:tbl>
    <w:p>
      <w:pPr>
        <w:pStyle w:val="2"/>
        <w:widowControl/>
        <w:spacing w:line="348" w:lineRule="exact" w:before="0" w:after="0"/>
        <w:ind w:firstLine="480"/>
        <w:jc w:val="both"/>
      </w:pPr>
      <w:r>
        <w:rPr>
          <w:rFonts w:ascii="Times New Roman" w:hAnsi="Times New Roman" w:eastAsia="方正仿宋_GBK"/>
          <w:b w:val="0"/>
          <w:sz w:val="24"/>
        </w:rPr>
        <w:t xml:space="preserve">各站静态功率按已归档的区域正向峰值和最低净负荷工况分配，再按年度网供峰值标定。反向工况沿用同一源荷结构，属于按年度规模标定的研究情景。</w:t>
      </w:r>
    </w:p>
    <w:p>
      <w:pPr>
        <w:pStyle w:val="5"/>
        <w:keepNext/>
        <w:numPr>
          <w:numId w:val="0"/>
        </w:numPr>
        <w:spacing w:line="390" w:lineRule="exact" w:before="160" w:after="120"/>
        <w:ind w:firstLine="0"/>
      </w:pPr>
      <w:bookmarkStart w:id="173" w:name="刚性与弹性方案"/>
      <w:r>
        <w:rPr>
          <w:rFonts w:ascii="Times New Roman" w:hAnsi="Times New Roman" w:eastAsia="方正仿宋_GBK"/>
          <w:b/>
          <w:sz w:val="26"/>
        </w:rPr>
        <w:t xml:space="preserve">5.1.2 刚性与弹性方案</w:t>
      </w:r>
      <w:bookmarkEnd w:id="173"/>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刚性方案新增扩容受当年负荷两倍的容量限制；若负荷回落使既有容量被动超过该值，该年维持既有容量。弹性方案按费用最小选择设备组合，容量由正常及N-1承载需求、允许规格和扩建位置共同确定。</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sub>
                    </m:sSub>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g</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（5-2）</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r>
          <m:rPr>
            <m:nor m:val="1"/>
          </m:rPr>
          <w:rPr>
            <w:rFonts w:ascii="Times New Roman" w:hAnsi="Times New Roman" w:cs="Times New Roman" w:eastAsia="方正仿宋_GBK"/>
            <w:i w:val="1"/>
            <w:iCs w:val="1"/>
          </w:rPr>
          <m:t>s</m:t>
        </m:r>
      </m:oMath>
      <w:r>
        <w:rPr>
          <w:rFonts w:ascii="Times New Roman" w:hAnsi="Times New Roman" w:eastAsia="方正仿宋_GBK"/>
          <w:b w:val="0"/>
          <w:sz w:val="24"/>
        </w:rPr>
        <w:t xml:space="preserve">表示刚性或弹性方案，</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c</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s</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为方案主变总容量；</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c</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e</m:t>
            </m:r>
          </m:sub>
          <m:sup>
            <m:r>
              <m:rPr>
                <m:nor m:val="1"/>
                <m:sty m:val="p"/>
              </m:rPr>
              <w:rPr>
                <w:rFonts w:ascii="Times New Roman" w:hAnsi="Times New Roman" w:cs="Times New Roman" w:eastAsia="方正仿宋_GBK"/>
                <w:i w:val="0"/>
                <w:iCs w:val="0"/>
              </w:rPr>
              <m:t>max</m:t>
            </m:r>
          </m:sup>
        </m:sSubSup>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在候选设备及场地条件下允许的最大容量。刚性方案的下端参考值</w:t>
      </w:r>
      <m:oMath>
        <m:sSub>
          <m:e>
            <m:limLow>
              <m:e>
                <m:r>
                  <m:rPr>
                    <m:nor m:val="1"/>
                  </m:rPr>
                  <w:rPr>
                    <w:rFonts w:ascii="Times New Roman" w:hAnsi="Times New Roman" w:cs="Times New Roman" w:eastAsia="方正仿宋_GBK"/>
                    <w:i w:val="1"/>
                    <w:iCs w:val="1"/>
                  </w:rPr>
                  <m:t>R</m:t>
                </m:r>
              </m:e>
              <m:lim>
                <m:r>
                  <m:rPr>
                    <m:nor m:val="1"/>
                  </m:rPr>
                  <w:rPr>
                    <w:rFonts w:ascii="Times New Roman" w:hAnsi="Times New Roman" w:cs="Times New Roman" w:eastAsia="方正仿宋_GBK"/>
                    <w:i w:val="0"/>
                    <w:iCs w:val="0"/>
                  </w:rPr>
                  <m:t>_</m:t>
                </m:r>
              </m:lim>
            </m:limLow>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按增长率对应的导则范围确定，市区1.50、邳州1.70[7]。两类方案均按实际设备配置与同年网供峰值计算容载比。</w:t>
      </w:r>
    </w:p>
    <w:p>
      <w:pPr>
        <w:pStyle w:val="2"/>
        <w:widowControl/>
        <w:spacing w:line="348" w:lineRule="exact" w:before="0" w:after="0"/>
        <w:ind w:firstLine="480"/>
        <w:jc w:val="both"/>
      </w:pPr>
      <w:r>
        <w:rPr>
          <w:rFonts w:ascii="Times New Roman" w:hAnsi="Times New Roman" w:eastAsia="方正仿宋_GBK"/>
          <w:b w:val="0"/>
          <w:sz w:val="24"/>
        </w:rPr>
        <w:t xml:space="preserve">在明确两类方案的容量约束后，进一步分析光伏增长可能带来的反向容量需求。以下用屋顶资源和政策发展目标构造源荷情景；相应可选主变容量仍由站址、设备候选及网络条件确定。</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1"/>
            <w:iCs w:val="1"/>
          </w:rPr>
          <m:t>d</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1000</m:t>
        </m:r>
      </m:oMath>
      <w:r>
        <w:rPr>
          <w:rFonts w:ascii="Times New Roman" w:hAnsi="Times New Roman" w:eastAsia="方正仿宋_GBK"/>
          <w:b w:val="0"/>
          <w:sz w:val="24"/>
        </w:rPr>
        <w:t xml:space="preserve">估算。其中，</w:t>
      </w:r>
      <m:oMath>
        <m:r>
          <m:rPr>
            <m:nor m:val="1"/>
          </m:rPr>
          <w:rPr>
            <w:rFonts w:ascii="Times New Roman" w:hAnsi="Times New Roman" w:cs="Times New Roman" w:eastAsia="方正仿宋_GBK"/>
            <w:i w:val="1"/>
            <w:iCs w:val="1"/>
          </w:rPr>
          <m:t>A</m:t>
        </m:r>
      </m:oMath>
      <w:r>
        <w:rPr>
          <w:rFonts w:ascii="Times New Roman" w:hAnsi="Times New Roman" w:eastAsia="方正仿宋_GBK"/>
          <w:b w:val="0"/>
          <w:sz w:val="24"/>
        </w:rPr>
        <w:t xml:space="preserve">为调查屋顶面积，单位m²；</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为屋顶可利用比例；</w:t>
      </w:r>
      <m:oMath>
        <m:r>
          <m:rPr>
            <m:nor m:val="1"/>
          </m:rPr>
          <w:rPr>
            <w:rFonts w:ascii="Times New Roman" w:hAnsi="Times New Roman" w:cs="Times New Roman" w:eastAsia="方正仿宋_GBK"/>
            <w:i w:val="1"/>
            <w:iCs w:val="1"/>
          </w:rPr>
          <m:t>d</m:t>
        </m:r>
      </m:oMath>
      <w:r>
        <w:rPr>
          <w:rFonts w:ascii="Times New Roman" w:hAnsi="Times New Roman" w:eastAsia="方正仿宋_GBK"/>
          <w:b w:val="0"/>
          <w:sz w:val="24"/>
        </w:rPr>
        <w:t xml:space="preserve">为单位可用面积装机密度，单位kWp/m²；</w:t>
      </w:r>
      <m:oMath>
        <m:sSub>
          <m:e>
            <m:r>
              <m:rPr>
                <m:nor m:val="1"/>
              </m:rPr>
              <w:rPr>
                <w:rFonts w:ascii="Times New Roman" w:hAnsi="Times New Roman" w:cs="Times New Roman" w:eastAsia="方正仿宋_GBK"/>
                <w:i w:val="1"/>
                <w:iCs w:val="1"/>
              </w:rPr>
              <m:t>P</m:t>
            </m:r>
          </m:e>
          <m:sub>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[92]，本研究以此为历史参照，并列出40%、60%两种开发程度下的估算值。徐州地铁分布式光伏项目公开资料列出可用建筑面积94900 m²、规划装机9.49 MWp，据此取装机密度0.10 kWp/m²[93]。</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《江苏省分布式光伏发展实施方案（2026—2030年）》提出，2030年全省分布式光伏累计装机较2025年翻一番，达到1.20亿千瓦[94]。以装机翻倍作为地区发展情景，邳州和市区装机规模分别约为3119.28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[95]。</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pPr>
        <w:pStyle w:val="5"/>
        <w:keepNext/>
        <w:numPr>
          <w:numId w:val="0"/>
        </w:numPr>
        <w:spacing w:line="390" w:lineRule="exact" w:before="160" w:after="120"/>
        <w:ind w:firstLine="0"/>
      </w:pPr>
      <w:bookmarkStart w:id="174" w:name="工程候选与参数设置"/>
      <w:r>
        <w:rPr>
          <w:rFonts w:ascii="Times New Roman" w:hAnsi="Times New Roman" w:eastAsia="方正仿宋_GBK"/>
          <w:b/>
          <w:sz w:val="26"/>
        </w:rPr>
        <w:t xml:space="preserve">5.1.3 工程候选与参数设置</w:t>
      </w:r>
      <w:bookmarkEnd w:id="174"/>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MVA，并受原设备容量、预留位置及允许扩建条件限制。增加第三台主变仅在具有预留条件的站点设置，当前候选容量为50.00 MVA。80.00 MVA方案仍需在工程阶段核实配套间隔、短路电流及站址条件。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kWh成套柜，可用电量系数为0.76。地区案例正向支撑持续时间分别取邳州2 h、市区6 h，反向持续时间按各站静态参数设置；推广采用2、4、6 h三个定值。采用相同储能规格和工程价格，比较容量约束变化后是否仍需配置储能。</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依据</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年度负荷</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2022—2025年逐年统计</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同范围110 kV年度记录</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静态截面</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邳州26个、市区45个</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地区和各站局部极值同期截面</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邳州2 h、市区6 h</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地区95%峰值持续时间</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储能规格及可用电量系数</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 kW/215 kWh；0.76</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采购资料及静态折算</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新购主变规格</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31.50、50、63、80 MVA</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第三台主变</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有预留条件时50 MVA</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既有转供能力</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逐站MW上限与网络能力共同限制</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全停全转统计及馈线资料</w:t>
            </w:r>
          </w:p>
        </w:tc>
      </w:tr>
      <w:tr>
        <w:trPr>
          <w:cantSplit/>
        </w:trPr>
        <w:tc>
          <w:tcPr>
            <w:tcW w:type="dxa" w:w="1793"/>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新增联络费用</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邳州128.38、市区452.40万元/项</w:t>
            </w:r>
          </w:p>
        </w:tc>
        <w:tc>
          <w:tcPr>
            <w:tcW w:type="dxa" w:w="325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地区电缆长度占比</w:t>
            </w:r>
          </w:p>
        </w:tc>
      </w:tr>
      <w:tr>
        <w:trPr>
          <w:cantSplit/>
        </w:trPr>
        <w:tc>
          <w:tcPr>
            <w:tcW w:type="dxa" w:w="1793"/>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供电安全及功率因数</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正常及最大单台主变N-1；0.95</w:t>
            </w:r>
          </w:p>
        </w:tc>
        <w:tc>
          <w:tcPr>
            <w:tcW w:type="dxa" w:w="325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逐工况校核</w:t>
            </w:r>
          </w:p>
        </w:tc>
      </w:tr>
    </w:tbl>
    <w:p>
      <w:pPr>
        <w:pStyle w:val="2"/>
        <w:widowControl/>
        <w:spacing w:line="348" w:lineRule="exact" w:before="0" w:after="0"/>
        <w:ind w:firstLine="480"/>
        <w:jc w:val="both"/>
      </w:pPr>
      <w:r>
        <w:rPr>
          <w:rFonts w:ascii="Times New Roman" w:hAnsi="Times New Roman" w:eastAsia="方正仿宋_GBK"/>
          <w:b w:val="0"/>
          <w:sz w:val="24"/>
        </w:rPr>
        <w:t xml:space="preserve">核心参数的定义、选取依据及地区资料见第3.5节。地区案例保留实际年度负荷和具体网络，推广模板按第3.5节的六项参数构造源荷、网络及工程费用条件。</w:t>
      </w:r>
    </w:p>
    <w:p>
      <w:pPr>
        <w:pStyle w:val="4"/>
        <w:keepNext/>
        <w:numPr>
          <w:numId w:val="0"/>
        </w:numPr>
        <w:spacing w:line="480" w:lineRule="exact" w:before="160" w:after="120"/>
        <w:ind w:firstLine="0"/>
      </w:pPr>
      <w:bookmarkStart w:id="1511" w:name="h511"/>
      <w:bookmarkStart w:id="175" w:name="三类措施的选取与寻优方法"/>
      <w:r>
        <w:rPr>
          <w:rFonts w:ascii="Times New Roman" w:hAnsi="Times New Roman" w:eastAsia="方正仿宋_GBK"/>
          <w:b/>
          <w:sz w:val="32"/>
        </w:rPr>
        <w:t xml:space="preserve">5.2 三类措施的选取与寻优方法</w:t>
      </w:r>
      <w:bookmarkEnd w:id="175"/>
      <w:bookmarkEnd w:id="1511"/>
    </w:p>
    <w:p>
      <w:pPr>
        <w:pStyle w:val="5"/>
        <w:keepNext/>
        <w:numPr>
          <w:numId w:val="0"/>
        </w:numPr>
        <w:spacing w:line="390" w:lineRule="exact" w:before="160" w:after="120"/>
        <w:ind w:firstLine="0"/>
      </w:pPr>
      <w:bookmarkStart w:id="176" w:name="主变增容及扩建方案"/>
      <w:r>
        <w:rPr>
          <w:rFonts w:ascii="Times New Roman" w:hAnsi="Times New Roman" w:eastAsia="方正仿宋_GBK"/>
          <w:b/>
          <w:sz w:val="26"/>
        </w:rPr>
        <w:t xml:space="preserve">5.2.1 主变增容及扩建方案</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在后续年份维持或升档。更换主变按新购整台容量计费，新增容量用于更新在役容量，两者分别统计。储能柜数为整数，后续在役数量不得低于前一年。新增联络投运后持续可用，既有联络建设费用不重复计取。</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r</m:t>
                        </m:r>
                      </m:e>
                    </m:nary>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50</m:t>
                    </m:r>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r</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nary>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（5-3）</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r</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第</w:t>
      </w:r>
      <m:oMath>
        <m:r>
          <m:rPr>
            <m:nor m:val="1"/>
          </m:rPr>
          <w:rPr>
            <w:rFonts w:ascii="Times New Roman" w:hAnsi="Times New Roman" w:cs="Times New Roman" w:eastAsia="方正仿宋_GBK"/>
            <w:i w:val="1"/>
            <w:iCs w:val="1"/>
          </w:rPr>
          <m:t>j</m:t>
        </m:r>
      </m:oMath>
      <w:r>
        <w:rPr>
          <w:rFonts w:ascii="Times New Roman" w:hAnsi="Times New Roman" w:eastAsia="方正仿宋_GBK"/>
          <w:b w:val="0"/>
          <w:sz w:val="24"/>
        </w:rPr>
        <w:t xml:space="preserve">个原主变位置在第</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年是否采用容量</w:t>
      </w:r>
      <m:oMath>
        <m:r>
          <m:rPr>
            <m:nor m:val="1"/>
          </m:rPr>
          <w:rPr>
            <w:rFonts w:ascii="Times New Roman" w:hAnsi="Times New Roman" w:cs="Times New Roman" w:eastAsia="方正仿宋_GBK"/>
            <w:i w:val="1"/>
            <w:iCs w:val="1"/>
          </w:rPr>
          <m:t>r</m:t>
        </m:r>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z</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表示第三台50 MVA主变是否在役，</w:t>
      </w:r>
      <m:oMath>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MVA及配套工程计算；第三台主变扩建增加50 MVA，并可能提高最大单台主变N-1后的剩余容量。经济比选同时考虑设备结构对供电安全的影响与相应工程费用[85]。</w:t>
      </w:r>
    </w:p>
    <w:p>
      <w:pPr>
        <w:pStyle w:val="5"/>
        <w:keepNext/>
        <w:numPr>
          <w:numId w:val="0"/>
        </w:numPr>
        <w:spacing w:line="390" w:lineRule="exact" w:before="160" w:after="120"/>
        <w:ind w:firstLine="0"/>
      </w:pPr>
      <w:bookmarkStart w:id="177" w:name="利用既有10-kv联络能力"/>
      <w:r>
        <w:rPr>
          <w:rFonts w:ascii="Times New Roman" w:hAnsi="Times New Roman" w:eastAsia="方正仿宋_GBK"/>
          <w:b/>
          <w:sz w:val="26"/>
        </w:rPr>
        <w:t xml:space="preserve">5.2.2 利用既有10 kV联络能力</w:t>
      </w:r>
      <w:bookmarkEnd w:id="177"/>
    </w:p>
    <w:p>
      <w:pPr>
        <w:pStyle w:val="FirstParagraph"/>
        <w:widowControl/>
        <w:spacing w:line="348" w:lineRule="exact" w:before="0" w:after="0"/>
        <w:ind w:firstLine="480"/>
        <w:jc w:val="both"/>
      </w:pPr>
      <w:r>
        <w:rPr>
          <w:rFonts w:ascii="Times New Roman" w:hAnsi="Times New Roman" w:eastAsia="方正仿宋_GBK"/>
          <w:b w:val="0"/>
          <w:sz w:val="24"/>
        </w:rPr>
        <w:t xml:space="preserve">既有网络按地区转供资料和逐站MW上限建模，统计计算见第3.6节。既有通道转出功率之和按每站预算约束，共用馈线的多条通道共用源端负荷和接收余量。</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（5-4）</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x</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s</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p>
        </m:sSubSup>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的既有转出通道集合，</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下通道</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的转出功率，</w:t>
      </w:r>
      <m:oMath>
        <m:sSub>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m:t>
            </m:r>
          </m:sub>
        </m:sSub>
      </m:oMath>
      <w:r>
        <w:rPr>
          <w:rFonts w:ascii="Times New Roman" w:hAnsi="Times New Roman" w:eastAsia="方正仿宋_GBK"/>
          <w:b w:val="0"/>
          <w:sz w:val="24"/>
        </w:rPr>
        <w:t xml:space="preserve">为既有网络标定预算，</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sub>
          <m:sup>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t</m:t>
            </m:r>
            <m:r>
              <m:rPr>
                <m:sty m:val="p"/>
                <m:nor m:val="1"/>
              </m:rPr>
              <w:rPr>
                <w:rFonts w:ascii="Times New Roman" w:hAnsi="Times New Roman" w:cs="Times New Roman" w:eastAsia="方正仿宋_GBK"/>
                <w:i w:val="0"/>
                <w:iCs w:val="0"/>
              </w:rPr>
              <m:t>a</m:t>
            </m:r>
          </m:sup>
        </m:sSubSup>
      </m:oMath>
      <w:r>
        <w:rPr>
          <w:rFonts w:ascii="Times New Roman" w:hAnsi="Times New Roman" w:eastAsia="方正仿宋_GBK"/>
          <w:b w:val="0"/>
          <w:sz w:val="24"/>
        </w:rPr>
        <w:t xml:space="preserve">为补充资料所列站外最大可供负荷，单位均为MW。正常和故障工况分别安排转供，既有能力以固定MW预算使用。</w:t>
      </w:r>
    </w:p>
    <w:p>
      <w:pPr>
        <w:pStyle w:val="5"/>
        <w:keepNext/>
        <w:numPr>
          <w:numId w:val="0"/>
        </w:numPr>
        <w:spacing w:line="390" w:lineRule="exact" w:before="160" w:after="120"/>
        <w:ind w:firstLine="0"/>
      </w:pPr>
      <w:bookmarkStart w:id="178" w:name="新建10-kv联络提升转供能力"/>
      <w:r>
        <w:rPr>
          <w:rFonts w:ascii="Times New Roman" w:hAnsi="Times New Roman" w:eastAsia="方正仿宋_GBK"/>
          <w:b/>
          <w:sz w:val="26"/>
        </w:rPr>
        <w:t xml:space="preserve">5.2.3 新建10 kV联络提升转供能力</w:t>
      </w:r>
      <w:bookmarkEnd w:id="178"/>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a</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b</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a</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sSubSup>
                          <m:e>
                            <m:r>
                              <m:rPr>
                                <m:sty m:val="p"/>
                                <m:scr m:val="script"/>
                                <m:nor m:val="1"/>
                              </m:rPr>
                              <w:rPr>
                                <w:rFonts w:ascii="Times New Roman" w:hAnsi="Times New Roman" w:cs="Times New Roman" w:eastAsia="方正仿宋_GBK"/>
                                <w:i w:val="1"/>
                                <w:iCs w:val="1"/>
                              </w:rPr>
                              <m:t>E</m:t>
                            </m:r>
                          </m:e>
                          <m:sub>
                            <m:r>
                              <m:rPr>
                                <m:nor m:val="1"/>
                              </m:rPr>
                              <w:rPr>
                                <w:rFonts w:ascii="Times New Roman" w:hAnsi="Times New Roman" w:cs="Times New Roman" w:eastAsia="方正仿宋_GBK"/>
                                <w:i w:val="1"/>
                                <w:iCs w:val="1"/>
                              </w:rPr>
                              <m:t>f</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（5-5）</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下线路</w:t>
      </w:r>
      <m:oMath>
        <m:r>
          <m:rPr>
            <m:nor m:val="1"/>
          </m:rPr>
          <w:rPr>
            <w:rFonts w:ascii="Times New Roman" w:hAnsi="Times New Roman" w:cs="Times New Roman" w:eastAsia="方正仿宋_GBK"/>
            <w:i w:val="1"/>
            <w:iCs w:val="1"/>
          </w:rPr>
          <m:t>e</m:t>
        </m:r>
      </m:oMath>
      <w:r>
        <w:rPr>
          <w:rFonts w:ascii="Times New Roman" w:hAnsi="Times New Roman" w:eastAsia="方正仿宋_GBK"/>
          <w:b w:val="0"/>
          <w:sz w:val="24"/>
        </w:rPr>
        <w:t xml:space="preserve">的转供功率，</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e</m:t>
            </m:r>
          </m:sub>
        </m:sSub>
      </m:oMath>
      <w:r>
        <w:rPr>
          <w:rFonts w:ascii="Times New Roman" w:hAnsi="Times New Roman" w:eastAsia="方正仿宋_GBK"/>
          <w:b w:val="0"/>
          <w:sz w:val="24"/>
        </w:rPr>
        <w:t xml:space="preserve">为线路有效容量，</w:t>
      </w:r>
      <m:oMath>
        <m:sSub>
          <m:e>
            <m:r>
              <m:rPr>
                <m:nor m:val="1"/>
              </m:rPr>
              <w:rPr>
                <w:rFonts w:ascii="Times New Roman" w:hAnsi="Times New Roman" w:cs="Times New Roman" w:eastAsia="方正仿宋_GBK"/>
                <w:i w:val="1"/>
                <w:iCs w:val="1"/>
              </w:rPr>
              <m:t>x</m:t>
            </m:r>
          </m:e>
          <m:sub>
            <m:r>
              <m:rPr>
                <m:nor m:val="1"/>
              </m:rPr>
              <w:rPr>
                <w:rFonts w:ascii="Times New Roman" w:hAnsi="Times New Roman" w:cs="Times New Roman" w:eastAsia="方正仿宋_GBK"/>
                <w:i w:val="1"/>
                <w:iCs w:val="1"/>
              </w:rPr>
              <m:t>e</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为投运状态，既有边取1。</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w</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为馈线</w:t>
      </w:r>
      <m:oMath>
        <m:r>
          <m:rPr>
            <m:nor m:val="1"/>
          </m:rPr>
          <w:rPr>
            <w:rFonts w:ascii="Times New Roman" w:hAnsi="Times New Roman" w:cs="Times New Roman" w:eastAsia="方正仿宋_GBK"/>
            <w:i w:val="1"/>
            <w:iCs w:val="1"/>
          </w:rPr>
          <m:t>f</m:t>
        </m:r>
      </m:oMath>
      <w:r>
        <w:rPr>
          <w:rFonts w:ascii="Times New Roman" w:hAnsi="Times New Roman" w:eastAsia="方正仿宋_GBK"/>
          <w:b w:val="0"/>
          <w:sz w:val="24"/>
        </w:rPr>
        <w:t xml:space="preserve">自身可转负荷，</w:t>
      </w:r>
      <m:oMath>
        <m:sSub>
          <m:e>
            <m:r>
              <m:rPr>
                <m:nor m:val="1"/>
              </m:rPr>
              <w:rPr>
                <w:rFonts w:ascii="Times New Roman" w:hAnsi="Times New Roman" w:cs="Times New Roman" w:eastAsia="方正仿宋_GBK"/>
                <w:i w:val="1"/>
                <w:iCs w:val="1"/>
              </w:rPr>
              <m:t>F</m:t>
            </m:r>
          </m:e>
          <m:sub>
            <m:r>
              <m:rPr>
                <m:nor m:val="1"/>
              </m:rPr>
              <w:rPr>
                <w:rFonts w:ascii="Times New Roman" w:hAnsi="Times New Roman" w:cs="Times New Roman" w:eastAsia="方正仿宋_GBK"/>
                <w:i w:val="1"/>
                <w:iCs w:val="1"/>
              </w:rPr>
              <m:t>f</m:t>
            </m:r>
          </m:sub>
        </m:sSub>
      </m:oMath>
      <w:r>
        <w:rPr>
          <w:rFonts w:ascii="Times New Roman" w:hAnsi="Times New Roman" w:eastAsia="方正仿宋_GBK"/>
          <w:b w:val="0"/>
          <w:sz w:val="24"/>
        </w:rPr>
        <w:t xml:space="preserve">为热限，</w:t>
      </w:r>
      <m:oMath>
        <m:sSubSup>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f</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up>
            <m:r>
              <m:rPr>
                <m:sty m:val="p"/>
                <m:nor m:val="1"/>
              </m:rPr>
              <w:rPr>
                <w:rFonts w:ascii="Times New Roman" w:hAnsi="Times New Roman" w:cs="Times New Roman" w:eastAsia="方正仿宋_GBK"/>
                <w:i w:val="0"/>
                <w:iCs w:val="0"/>
              </w:rPr>
              <m:t>r</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f</m:t>
            </m:r>
          </m:sup>
        </m:sSubSup>
      </m:oMath>
      <w:r>
        <w:rPr>
          <w:rFonts w:ascii="Times New Roman" w:hAnsi="Times New Roman" w:eastAsia="方正仿宋_GBK"/>
          <w:b w:val="0"/>
          <w:sz w:val="24"/>
        </w:rPr>
        <w:t xml:space="preserve">为接收余量计算采用的馈线负荷。各量单位均为MW，负的接收余量按0处理。送端可转负荷限于该馈线原有负荷块。</w:t>
      </w:r>
    </w:p>
    <w:p>
      <w:pPr>
        <w:pStyle w:val="2"/>
        <w:widowControl/>
        <w:spacing w:line="348" w:lineRule="exact" w:before="0" w:after="0"/>
        <w:ind w:firstLine="480"/>
        <w:jc w:val="both"/>
      </w:pPr>
      <w:r>
        <w:rPr>
          <w:rFonts w:ascii="Times New Roman" w:hAnsi="Times New Roman" w:eastAsia="方正仿宋_GBK"/>
          <w:b w:val="0"/>
          <w:sz w:val="24"/>
        </w:rPr>
        <w:t xml:space="preserve">两地区均保留已核实联络、按站对构建的既有等效通道及付费新增候选，馈线分配和热限采用已有资料及研究设定。既有能力受逐站资料上限约束，新增项目按投运年计建设费用。</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线路投运后持续在役，线路热限保持不变。</w:t>
      </w:r>
    </w:p>
    <w:p>
      <w:pPr>
        <w:pStyle w:val="5"/>
        <w:keepNext/>
        <w:numPr>
          <w:numId w:val="0"/>
        </w:numPr>
        <w:spacing w:line="390" w:lineRule="exact" w:before="160" w:after="120"/>
        <w:ind w:firstLine="0"/>
      </w:pPr>
      <w:bookmarkStart w:id="179" w:name="负荷转接与容量衔接"/>
      <w:r>
        <w:rPr>
          <w:rFonts w:ascii="Times New Roman" w:hAnsi="Times New Roman" w:eastAsia="方正仿宋_GBK"/>
          <w:b/>
          <w:sz w:val="26"/>
        </w:rPr>
        <w:t xml:space="preserve">5.2.4 负荷转接与容量衔接</w:t>
      </w:r>
      <w:bookmarkEnd w:id="179"/>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e>
                    </m:nary>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nary>
                    <m:r>
                      <m:rPr>
                        <m:nor m:val="1"/>
                      </m:rPr>
                      <w:rPr>
                        <w:rFonts w:ascii="Times New Roman" w:hAnsi="Times New Roman" w:cs="Times New Roman" w:eastAsia="方正仿宋_GBK"/>
                        <w:i w:val="0"/>
                        <w:iCs w:val="0"/>
                      </w:rPr>
                      <m:t>,</m:t>
                    </m:r>
                  </m:e>
                </m:mr>
                <m:mr>
                  <m:e>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1"/>
                            <w:iCs w:val="1"/>
                          </w:rPr>
                          <m:t>P</m:t>
                        </m:r>
                      </m:e>
                    </m:nary>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e>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e>
                    </m:nary>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（5-6）</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和</w:t>
      </w:r>
      <m:oMath>
        <m:r>
          <m:rPr>
            <m:nor m:val="1"/>
          </m:rPr>
          <w:rPr>
            <w:rFonts w:ascii="Times New Roman" w:hAnsi="Times New Roman" w:cs="Times New Roman" w:eastAsia="方正仿宋_GBK"/>
            <w:i w:val="1"/>
            <w:iCs w:val="1"/>
          </w:rPr>
          <m:t>P</m:t>
        </m:r>
        <m:sSub>
          <m:e>
            <m:r>
              <m:rPr>
                <m:nor m:val="1"/>
              </m:rPr>
              <w:rPr>
                <w:rFonts w:ascii="Times New Roman" w:hAnsi="Times New Roman" w:cs="Times New Roman" w:eastAsia="方正仿宋_GBK"/>
                <w:i w:val="0"/>
                <w:iCs w:val="0"/>
              </w:rPr>
              <m:t>′</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为站点</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在工况</w:t>
      </w:r>
      <m:oMath>
        <m:r>
          <m:rPr>
            <m:nor m:val="1"/>
          </m:rPr>
          <w:rPr>
            <w:rFonts w:ascii="Times New Roman" w:hAnsi="Times New Roman" w:cs="Times New Roman" w:eastAsia="方正仿宋_GBK"/>
            <w:i w:val="1"/>
            <w:iCs w:val="1"/>
          </w:rPr>
          <m:t>ω</m:t>
        </m:r>
      </m:oMath>
      <w:r>
        <w:rPr>
          <w:rFonts w:ascii="Times New Roman" w:hAnsi="Times New Roman" w:eastAsia="方正仿宋_GBK"/>
          <w:b w:val="0"/>
          <w:sz w:val="24"/>
        </w:rPr>
        <w:t xml:space="preserve">下转接前后的净负荷，</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oMath>
      <w:r>
        <w:rPr>
          <w:rFonts w:ascii="Times New Roman" w:hAnsi="Times New Roman" w:eastAsia="方正仿宋_GBK"/>
          <w:b w:val="0"/>
          <w:sz w:val="24"/>
        </w:rPr>
        <w:t xml:space="preserve">和</w:t>
      </w:r>
      <m:oMath>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oMath>
      <w:r>
        <w:rPr>
          <w:rFonts w:ascii="Times New Roman" w:hAnsi="Times New Roman" w:eastAsia="方正仿宋_GBK"/>
          <w:b w:val="0"/>
          <w:sz w:val="24"/>
        </w:rPr>
        <w:t xml:space="preserve">为转出及承接负荷，单位均为MW。正向为受电，负向为反送；电源仍归属原站，转出用电负荷可能加重本地反向功率。每个工况使用自身源荷分布，分别校核两方向容量。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w:t>
      </w:r>
    </w:p>
    <w:p>
      <w:pPr>
        <w:pStyle w:val="5"/>
        <w:keepNext/>
        <w:numPr>
          <w:numId w:val="0"/>
        </w:numPr>
        <w:spacing w:line="390" w:lineRule="exact" w:before="160" w:after="120"/>
        <w:ind w:firstLine="0"/>
      </w:pPr>
      <w:bookmarkStart w:id="180" w:name="储能有效支撑功率"/>
      <w:r>
        <w:rPr>
          <w:rFonts w:ascii="Times New Roman" w:hAnsi="Times New Roman" w:eastAsia="方正仿宋_GBK"/>
          <w:b/>
          <w:sz w:val="26"/>
        </w:rPr>
        <w:t xml:space="preserve">5.2.5 储能有效支撑功率</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min</m:t>
              </m:r>
              <m:d>
                <m:dPr>
                  <m:begChr m:val="{"/>
                  <m:endChr m:val="}"/>
                  <m:grow/>
                </m:dPr>
                <m:e>
                  <m:r>
                    <m:rPr>
                      <m:nor m:val="1"/>
                    </m:rPr>
                    <w:rPr>
                      <w:rFonts w:ascii="Times New Roman" w:hAnsi="Times New Roman" w:cs="Times New Roman" w:eastAsia="方正仿宋_GBK"/>
                      <w:i w:val="0"/>
                      <w:iCs w:val="0"/>
                    </w:rPr>
                    <m:t>0.10</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0.215</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0.76</m:t>
                      </m:r>
                      <m:sSub>
                        <m:e>
                          <m:r>
                            <m:rPr>
                              <m:nor m:val="1"/>
                            </m:rPr>
                            <w:rPr>
                              <w:rFonts w:ascii="Times New Roman" w:hAnsi="Times New Roman" w:cs="Times New Roman" w:eastAsia="方正仿宋_GBK"/>
                              <w:i w:val="1"/>
                              <w:iCs w:val="1"/>
                            </w:rPr>
                            <m:t>n</m:t>
                          </m:r>
                        </m:e>
                        <m:sub>
                          <m:r>
                            <m:rPr>
                              <m:nor m:val="1"/>
                            </m:rPr>
                            <w:rPr>
                              <w:rFonts w:ascii="Times New Roman" w:hAnsi="Times New Roman" w:cs="Times New Roman" w:eastAsia="方正仿宋_GBK"/>
                              <w:i w:val="1"/>
                              <w:iCs w:val="1"/>
                            </w:rPr>
                            <m:t>i</m:t>
                          </m:r>
                        </m:sub>
                      </m:sSub>
                    </m:num>
                    <m:den>
                      <m:r>
                        <m:rPr>
                          <m:nor m:val="1"/>
                          <m:sty m:val="p"/>
                        </m:rPr>
                        <w:rPr>
                          <w:rFonts w:ascii="Times New Roman" w:hAnsi="Times New Roman" w:cs="Times New Roman" w:eastAsia="方正仿宋_GBK"/>
                          <w:i w:val="0"/>
                          <w:iCs w:val="0"/>
                        </w:rPr>
                        <m:t>max</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（5-7）</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Sup>
          <m:e>
            <m:r>
              <m:rPr>
                <m:nor m:val="1"/>
              </m:rPr>
              <w:rPr>
                <w:rFonts w:ascii="Times New Roman" w:hAnsi="Times New Roman" w:cs="Times New Roman" w:eastAsia="方正仿宋_GBK"/>
                <w:i w:val="1"/>
                <w:iCs w:val="1"/>
              </w:rPr>
              <m:t>H</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为正向支撑或反向吸收持续时间，单位h，静态折算的最短时间取1 h；</w:t>
      </w:r>
      <m:oMath>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oMath>
      <w:r>
        <w:rPr>
          <w:rFonts w:ascii="Times New Roman" w:hAnsi="Times New Roman" w:eastAsia="方正仿宋_GBK"/>
          <w:b w:val="0"/>
          <w:sz w:val="24"/>
        </w:rPr>
        <w:t xml:space="preserve">为相应有效功率，单位MW。4 h条件下每柜可提供0.04085 MW的静态支撑。工程应用条件见第4.4.4节。</w:t>
      </w:r>
    </w:p>
    <w:p>
      <w:pPr>
        <w:pStyle w:val="4"/>
        <w:keepNext/>
        <w:numPr>
          <w:numId w:val="0"/>
        </w:numPr>
        <w:spacing w:line="480" w:lineRule="exact" w:before="160" w:after="120"/>
        <w:ind w:firstLine="0"/>
      </w:pPr>
      <w:bookmarkStart w:id="1531" w:name="h531"/>
      <w:bookmarkStart w:id="181" w:name="约束条件与求解流程"/>
      <w:r>
        <w:rPr>
          <w:rFonts w:ascii="Times New Roman" w:hAnsi="Times New Roman" w:eastAsia="方正仿宋_GBK"/>
          <w:b/>
          <w:sz w:val="32"/>
        </w:rPr>
        <w:t xml:space="preserve">5.3 约束条件与求解流程</w:t>
      </w:r>
      <w:bookmarkEnd w:id="181"/>
      <w:bookmarkEnd w:id="1531"/>
    </w:p>
    <w:p>
      <w:pPr>
        <w:pStyle w:val="5"/>
        <w:keepNext/>
        <w:numPr>
          <w:numId w:val="0"/>
        </w:numPr>
        <w:spacing w:line="390" w:lineRule="exact" w:before="160" w:after="120"/>
        <w:ind w:firstLine="0"/>
      </w:pPr>
      <w:bookmarkStart w:id="182" w:name="正常运行与主变n-1"/>
      <w:r>
        <w:rPr>
          <w:rFonts w:ascii="Times New Roman" w:hAnsi="Times New Roman" w:eastAsia="方正仿宋_GBK"/>
          <w:b/>
          <w:sz w:val="26"/>
        </w:rPr>
        <w:t xml:space="preserve">5.3.1 正常运行与主变N-1</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市区45个、邳州26个同期静态截面分别校核正常运行及各站最大单台主变N-1。故障站按剩余主变容量计算，健康邻站保留全部主变，允许通过已投运线路重新安排负荷。</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o</m:t>
                        </m:r>
                        <m:r>
                          <m:rPr>
                            <m:sty m:val="p"/>
                            <m:nor m:val="1"/>
                          </m:rPr>
                          <w:rPr>
                            <w:rFonts w:ascii="Times New Roman" w:hAnsi="Times New Roman" w:cs="Times New Roman" w:eastAsia="方正仿宋_GBK"/>
                            <w:i w:val="0"/>
                            <w:iCs w:val="0"/>
                          </w:rPr>
                          <m:t>u</m:t>
                        </m:r>
                        <m:r>
                          <m:rPr>
                            <m:sty m:val="p"/>
                            <m:nor m:val="1"/>
                          </m:rPr>
                          <w:rPr>
                            <w:rFonts w:ascii="Times New Roman" w:hAnsi="Times New Roman" w:cs="Times New Roman" w:eastAsia="方正仿宋_GBK"/>
                            <w:i w:val="0"/>
                            <w:iCs w:val="0"/>
                          </w:rPr>
                          <m:t>t</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q</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sup>
                    </m:sSubSup>
                  </m:e>
                </m:mr>
                <m:mr>
                  <m:e/>
                  <m:e>
                    <m:r>
                      <m:rPr>
                        <m:nor m:val="1"/>
                      </m:rPr>
                      <w:rPr>
                        <w:rFonts w:ascii="Times New Roman" w:hAnsi="Times New Roman" w:cs="Times New Roman" w:eastAsia="方正仿宋_GBK"/>
                        <w:i w:val="0"/>
                        <w:iCs w:val="0"/>
                      </w:rPr>
                      <m:t>≤</m:t>
                    </m:r>
                    <m:r>
                      <m:rPr>
                        <m:nor m:val="1"/>
                        <m:sty m:val="p"/>
                      </m:rPr>
                      <w:rPr>
                        <w:rFonts w:ascii="Times New Roman" w:hAnsi="Times New Roman" w:cs="Times New Roman" w:eastAsia="方正仿宋_GBK"/>
                        <w:i w:val="0"/>
                        <w:iCs w:val="0"/>
                      </w:rPr>
                      <m:t>cos</m:t>
                    </m:r>
                    <m:r>
                      <m:rPr>
                        <m:nor m:val="1"/>
                      </m:rPr>
                      <w:rPr>
                        <w:rFonts w:ascii="Times New Roman" w:hAnsi="Times New Roman" w:cs="Times New Roman" w:eastAsia="方正仿宋_GBK"/>
                        <w:i w:val="1"/>
                        <w:iCs w:val="1"/>
                      </w:rPr>
                      <m:t>φ</m:t>
                    </m:r>
                    <m:r>
                      <m:rPr>
                        <m:nor m:val="1"/>
                      </m:rPr>
                      <w:rPr>
                        <w:rFonts w:ascii="Times New Roman" w:hAnsi="Times New Roman" w:cs="Times New Roman" w:eastAsia="方正仿宋_GBK"/>
                        <w:i w:val="0"/>
                        <w:iCs w:val="0"/>
                      </w:rPr>
                      <m:t> </m:t>
                    </m:r>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B</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0"/>
                            <w:iCs w:val="0"/>
                          </w:rPr>
                          <m:t>+</m:t>
                        </m:r>
                      </m:sup>
                    </m:sSubSup>
                    <m:r>
                      <m:rPr>
                        <m:nor m:val="1"/>
                      </m:rPr>
                      <w:rPr>
                        <w:rFonts w:ascii="Times New Roman" w:hAnsi="Times New Roman" w:cs="Times New Roman" w:eastAsia="方正仿宋_GBK"/>
                        <w:i w:val="0"/>
                        <w:iCs w:val="0"/>
                      </w:rPr>
                      <m:t>,</m:t>
                    </m:r>
                  </m:e>
                </m:mr>
                <m:mr>
                  <m:e>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sub>
                    </m:sSub>
                    <m:r>
                      <m:rPr>
                        <m:nor m:val="1"/>
                      </m:rPr>
                      <w:rPr>
                        <w:rFonts w:ascii="Times New Roman" w:hAnsi="Times New Roman" w:cs="Times New Roman" w:eastAsia="方正仿宋_GBK"/>
                        <w:i w:val="0"/>
                        <w:iCs w:val="0"/>
                      </w:rPr>
                      <m:t>−</m:t>
                    </m:r>
                    <m:sSub>
                      <m:e>
                        <m:r>
                          <m:rPr>
                            <m:sty m:val="b"/>
                            <m:nor m:val="1"/>
                          </m:rPr>
                          <w:rPr>
                            <w:rFonts w:ascii="Times New Roman" w:hAnsi="Times New Roman" w:cs="Times New Roman" w:eastAsia="方正仿宋_GBK"/>
                            <w:i w:val="0"/>
                            <w:iCs w:val="0"/>
                          </w:rPr>
                          <m:t>1</m:t>
                        </m:r>
                      </m:e>
                      <m:sub>
                        <m:r>
                          <m:rPr>
                            <m:nor m:val="1"/>
                          </m:rPr>
                          <w:rPr>
                            <w:rFonts w:ascii="Times New Roman" w:hAnsi="Times New Roman" w:cs="Times New Roman" w:eastAsia="方正仿宋_GBK"/>
                            <w:i w:val="1"/>
                            <w:iCs w:val="1"/>
                          </w:rPr>
                          <m:t>i</m:t>
                        </m:r>
                        <m:r>
                          <m:rPr>
                            <m:nor m:val="1"/>
                            <m:sty m:val="p"/>
                          </m:rPr>
                          <w:rPr>
                            <w:rFonts w:ascii="Times New Roman" w:hAnsi="Times New Roman" w:cs="Times New Roman" w:eastAsia="方正仿宋_GBK"/>
                            <w:i w:val="0"/>
                            <w:iCs w:val="0"/>
                          </w:rPr>
                          <m:t>为故障站</m:t>
                        </m:r>
                      </m:sub>
                    </m:sSub>
                    <m:limLow>
                      <m:e>
                        <m:r>
                          <m:rPr>
                            <m:nor m:val="1"/>
                            <m:sty m:val="p"/>
                          </m:rPr>
                          <w:rPr>
                            <w:rFonts w:ascii="Times New Roman" w:hAnsi="Times New Roman" w:cs="Times New Roman" w:eastAsia="方正仿宋_GBK"/>
                            <w:i w:val="0"/>
                            <w:iCs w:val="0"/>
                          </w:rPr>
                          <m:t>max</m:t>
                        </m:r>
                      </m:e>
                      <m:lim>
                        <m:r>
                          <m:rPr>
                            <m:nor m:val="1"/>
                          </m:rPr>
                          <w:rPr>
                            <w:rFonts w:ascii="Times New Roman" w:hAnsi="Times New Roman" w:cs="Times New Roman" w:eastAsia="方正仿宋_GBK"/>
                            <w:i w:val="1"/>
                            <w:iCs w:val="1"/>
                          </w:rPr>
                          <m:t>j</m:t>
                        </m:r>
                      </m:lim>
                    </m:limLow>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j</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（5-8）</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Sub>
      </m:oMath>
      <w:r>
        <w:rPr>
          <w:rFonts w:ascii="Times New Roman" w:hAnsi="Times New Roman" w:eastAsia="方正仿宋_GBK"/>
          <w:b w:val="0"/>
          <w:sz w:val="24"/>
        </w:rPr>
        <w:t xml:space="preserve">为带符号的站级净负荷，受入为正、反送为负；</w:t>
      </w:r>
      <m:oMath>
        <m:sSubSup>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ω</m:t>
            </m:r>
          </m:sub>
          <m:sup>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v</m:t>
            </m:r>
          </m:sup>
        </m:sSubSup>
      </m:oMath>
      <w:r>
        <w:rPr>
          <w:rFonts w:ascii="Times New Roman" w:hAnsi="Times New Roman" w:eastAsia="方正仿宋_GBK"/>
          <w:b w:val="0"/>
          <w:sz w:val="24"/>
        </w:rPr>
        <w:t xml:space="preserve">为工况下可用主变容量。正常及N-1场景共用同一建设方案，分别校核馈线和接收站能力。区县内部转出、转入功率合计相等，区域网供峰值的统计定义保持不变。</w:t>
      </w:r>
    </w:p>
    <w:p>
      <w:pPr>
        <w:pStyle w:val="5"/>
        <w:keepNext/>
        <w:numPr>
          <w:numId w:val="0"/>
        </w:numPr>
        <w:spacing w:line="390" w:lineRule="exact" w:before="160" w:after="120"/>
        <w:ind w:firstLine="0"/>
      </w:pPr>
      <w:bookmarkStart w:id="183" w:name="评价期费用目标"/>
      <w:r>
        <w:rPr>
          <w:rFonts w:ascii="Times New Roman" w:hAnsi="Times New Roman" w:eastAsia="方正仿宋_GBK"/>
          <w:b/>
          <w:sz w:val="26"/>
        </w:rPr>
        <w:t xml:space="preserve">5.3.2 评价期费用目标</w:t>
      </w:r>
      <w:bookmarkEnd w:id="183"/>
    </w:p>
    <w:p>
      <w:pPr>
        <w:pStyle w:val="FirstParagraph"/>
        <w:widowControl/>
        <w:spacing w:line="348" w:lineRule="exact" w:before="0" w:after="0"/>
        <w:ind w:firstLine="480"/>
        <w:jc w:val="both"/>
      </w:pPr>
      <w:r>
        <w:rPr>
          <w:rFonts w:ascii="Times New Roman" w:hAnsi="Times New Roman" w:eastAsia="方正仿宋_GBK"/>
          <w:b w:val="0"/>
          <w:sz w:val="24"/>
        </w:rPr>
        <w:t xml:space="preserve">目标为共同评价期内新增措施费用现值最小。工程投运当年计建设投资，次年起计固定运维，评价期内达到设定寿命的设备按统一规则更新。价格、寿命、维护费率和折现率采用第四章参数。</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r>
                      <m:rPr>
                        <m:nor m:val="1"/>
                        <m:sty m:val="p"/>
                      </m:rPr>
                      <w:rPr>
                        <w:rFonts w:ascii="Times New Roman" w:hAnsi="Times New Roman" w:cs="Times New Roman" w:eastAsia="方正仿宋_GBK"/>
                        <w:i w:val="0"/>
                        <w:iCs w:val="0"/>
                      </w:rPr>
                      <m:t>min</m:t>
                    </m:r>
                    <m:sSub>
                      <m:e>
                        <m:r>
                          <m:rPr>
                            <m:nor m:val="1"/>
                          </m:rPr>
                          <w:rPr>
                            <w:rFonts w:ascii="Times New Roman" w:hAnsi="Times New Roman" w:cs="Times New Roman" w:eastAsia="方正仿宋_GBK"/>
                            <w:i w:val="1"/>
                            <w:iCs w:val="1"/>
                          </w:rPr>
                          <m:t>C</m:t>
                        </m:r>
                      </m:e>
                      <m:sub>
                        <m:r>
                          <m:rPr>
                            <m:sty m:val="p"/>
                            <m:nor m:val="1"/>
                          </m:rPr>
                          <w:rPr>
                            <w:rFonts w:ascii="Times New Roman" w:hAnsi="Times New Roman" w:cs="Times New Roman" w:eastAsia="方正仿宋_GBK"/>
                            <w:i w:val="0"/>
                            <w:iCs w:val="0"/>
                          </w:rPr>
                          <m:t>p</m:t>
                        </m:r>
                        <m:r>
                          <m:rPr>
                            <m:sty m:val="p"/>
                            <m:nor m:val="1"/>
                          </m:rPr>
                          <w:rPr>
                            <w:rFonts w:ascii="Times New Roman" w:hAnsi="Times New Roman" w:cs="Times New Roman" w:eastAsia="方正仿宋_GBK"/>
                            <w:i w:val="0"/>
                            <w:iCs w:val="0"/>
                          </w:rPr>
                          <m:t>l</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n</m:t>
                        </m:r>
                      </m:sub>
                    </m:sSub>
                    <m:r>
                      <m:rPr>
                        <m:nor m:val="1"/>
                      </m:rPr>
                      <w:rPr>
                        <w:rFonts w:ascii="Times New Roman" w:hAnsi="Times New Roman" w:cs="Times New Roman" w:eastAsia="方正仿宋_GBK"/>
                        <w:i w:val="0"/>
                        <w:iCs w:val="0"/>
                      </w:rPr>
                      <m:t>=</m:t>
                    </m:r>
                    <m:nary>
                      <m:naryPr>
                        <m:chr m:val="∑"/>
                        <m:limLoc m:val="undOvr"/>
                        <m:subHide m:val="0"/>
                        <m:supHide m:val="1"/>
                      </m:naryPr>
                      <m:sub>
                        <m:r>
                          <m:rPr>
                            <m:nor m:val="1"/>
                          </m:rPr>
                          <w:rPr>
                            <w:rFonts w:ascii="Times New Roman" w:hAnsi="Times New Roman" w:cs="Times New Roman" w:eastAsia="方正仿宋_GBK"/>
                            <w:i w:val="1"/>
                            <w:iCs w:val="1"/>
                          </w:rPr>
                          <m:t>y</m:t>
                        </m:r>
                      </m:sub>
                      <m:sup>
                        <m:r>
                          <m:rPr>
                            <m:nor m:val="1"/>
                          </m:rPr>
                          <w:rPr>
                            <w:rFonts w:ascii="Times New Roman" w:hAnsi="Times New Roman" w:cs="Times New Roman" w:eastAsia="方正仿宋_GBK"/>
                            <w:i w:val="0"/>
                            <w:iCs w:val="0"/>
                          </w:rPr>
                          <m:t>​</m:t>
                        </m:r>
                      </m:sup>
                      <m:e>
                        <m:r>
                          <m:rPr>
                            <m:nor m:val="1"/>
                          </m:rPr>
                          <w:rPr>
                            <w:rFonts w:ascii="Times New Roman" w:hAnsi="Times New Roman" w:cs="Times New Roman" w:eastAsia="方正仿宋_GBK"/>
                            <w:i w:val="0"/>
                            <w:iCs w:val="0"/>
                          </w:rPr>
                          <m:t>[</m:t>
                        </m:r>
                      </m:e>
                    </m:nary>
                  </m:e>
                  <m:e>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e>
                </m:mr>
                <m:mr>
                  <m:e/>
                  <m:e>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（5-9）</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T</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B</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I</m:t>
            </m:r>
          </m:e>
          <m:sub>
            <m:r>
              <m:rPr>
                <m:nor m:val="1"/>
              </m:rPr>
              <w:rPr>
                <w:rFonts w:ascii="Times New Roman" w:hAnsi="Times New Roman" w:cs="Times New Roman" w:eastAsia="方正仿宋_GBK"/>
                <w:i w:val="1"/>
                <w:iCs w:val="1"/>
              </w:rPr>
              <m:t>L</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分别为当年新增主变、储能及联络建设投资，</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B</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A</m:t>
            </m:r>
          </m:e>
          <m:sub>
            <m:r>
              <m:rPr>
                <m:nor m:val="1"/>
              </m:rPr>
              <w:rPr>
                <w:rFonts w:ascii="Times New Roman" w:hAnsi="Times New Roman" w:cs="Times New Roman" w:eastAsia="方正仿宋_GBK"/>
                <w:i w:val="1"/>
                <w:iCs w:val="1"/>
              </w:rPr>
              <m:t>L</m:t>
            </m:r>
          </m:sub>
        </m:sSub>
      </m:oMath>
      <w:r>
        <w:rPr>
          <w:rFonts w:ascii="Times New Roman" w:hAnsi="Times New Roman" w:eastAsia="方正仿宋_GBK"/>
          <w:b w:val="0"/>
          <w:sz w:val="24"/>
        </w:rPr>
        <w:t xml:space="preserve">为相应费用现值因子。供电裕度作为技术约束。相同费用附近可能存在多种可行设备组合。</w:t>
      </w:r>
    </w:p>
    <w:p>
      <w:pPr>
        <w:pStyle w:val="5"/>
        <w:keepNext/>
        <w:numPr>
          <w:numId w:val="0"/>
        </w:numPr>
        <w:spacing w:line="390" w:lineRule="exact" w:before="160" w:after="120"/>
        <w:ind w:firstLine="0"/>
      </w:pPr>
      <w:bookmarkStart w:id="184" w:name="三类措施的约束寻优流程"/>
      <w:r>
        <w:rPr>
          <w:rFonts w:ascii="Times New Roman" w:hAnsi="Times New Roman" w:eastAsia="方正仿宋_GBK"/>
          <w:b/>
          <w:sz w:val="26"/>
        </w:rPr>
        <w:t xml:space="preserve">5.3.3 三类措施的约束寻优流程</w:t>
      </w:r>
      <w:bookmarkEnd w:id="184"/>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计算结果按设备状态、容量非减、功率平衡、馈线共享余量、接收站容量及费用分项逐项复核，并以独立网络算法检查各静态工况的可行性。</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w:t>
      </w:r>
    </w:p>
    <w:p>
      <w:pPr>
        <w:pStyle w:val="2"/>
        <w:widowControl/>
        <w:spacing w:line="348" w:lineRule="exact" w:before="0" w:after="0"/>
        <w:ind w:firstLine="480"/>
        <w:jc w:val="both"/>
      </w:pPr>
      <w:r>
        <w:rPr>
          <w:rFonts w:ascii="Times New Roman" w:hAnsi="Times New Roman" w:eastAsia="方正仿宋_GBK"/>
          <w:b w:val="0"/>
          <w:sz w:val="24"/>
        </w:rPr>
        <w:t xml:space="preserve">逐年寻优先载入共同初始设备和实际年度负荷，再建立允许的主变规格、扩建位置、储能柜数与联络投运状态。正常和各站最大单台主变N-1分别使用同一套建设状态，运行转接变量随工况变化。投运设备在后续年份持续在役。</w:t>
      </w:r>
    </w:p>
    <w:p>
      <w:pPr>
        <w:pStyle w:val="2"/>
        <w:widowControl/>
        <w:spacing w:line="348" w:lineRule="exact" w:before="0" w:after="0"/>
        <w:ind w:firstLine="480"/>
        <w:jc w:val="both"/>
      </w:pPr>
      <w:r>
        <w:rPr>
          <w:rFonts w:ascii="Times New Roman" w:hAnsi="Times New Roman" w:eastAsia="方正仿宋_GBK"/>
          <w:b w:val="0"/>
          <w:sz w:val="24"/>
        </w:rPr>
        <w:t xml:space="preserve">设备选择和投运状态采用整数变量，转供功率采用连续变量。费用最小是唯一经济目标；容量储备通过规划约束体现。取得候选后，将年度容量、采购容量、储能和线路工程分别汇总，再按第四章现金流复算费用，检查所列工程与经济结论是否对应。</w:t>
      </w:r>
    </w:p>
    <w:p>
      <w:pPr>
        <w:pStyle w:val="4"/>
        <w:keepNext/>
        <w:numPr>
          <w:numId w:val="0"/>
        </w:numPr>
        <w:spacing w:line="480" w:lineRule="exact" w:before="160" w:after="120"/>
        <w:ind w:firstLine="0"/>
      </w:pPr>
      <w:bookmarkStart w:id="1543" w:name="h543"/>
      <w:bookmarkStart w:id="185" w:name="寻优结果"/>
      <w:r>
        <w:rPr>
          <w:rFonts w:ascii="Times New Roman" w:hAnsi="Times New Roman" w:eastAsia="方正仿宋_GBK"/>
          <w:b/>
          <w:sz w:val="32"/>
        </w:rPr>
        <w:t xml:space="preserve">5.4 寻优结果</w:t>
      </w:r>
      <w:bookmarkEnd w:id="185"/>
      <w:bookmarkEnd w:id="1543"/>
    </w:p>
    <w:p>
      <w:pPr>
        <w:pStyle w:val="5"/>
        <w:keepNext/>
        <w:numPr>
          <w:numId w:val="0"/>
        </w:numPr>
        <w:spacing w:line="390" w:lineRule="exact" w:before="160" w:after="120"/>
        <w:ind w:firstLine="0"/>
      </w:pPr>
      <w:bookmarkStart w:id="186" w:name="邳州逐年方案"/>
      <w:r>
        <w:rPr>
          <w:rFonts w:ascii="Times New Roman" w:hAnsi="Times New Roman" w:eastAsia="方正仿宋_GBK"/>
          <w:b/>
          <w:sz w:val="26"/>
        </w:rPr>
        <w:t xml:space="preserve">5.4.1 邳州逐年方案</w:t>
      </w:r>
      <w:bookmarkEnd w:id="186"/>
    </w:p>
    <w:p>
      <w:pPr>
        <w:pStyle w:val="FirstParagraph"/>
        <w:widowControl/>
        <w:spacing w:line="348" w:lineRule="exact" w:before="0" w:after="0"/>
        <w:ind w:firstLine="480"/>
        <w:jc w:val="both"/>
      </w:pPr>
      <w:r>
        <w:rPr>
          <w:rFonts w:ascii="Times New Roman" w:hAnsi="Times New Roman" w:eastAsia="方正仿宋_GBK"/>
          <w:b w:val="0"/>
          <w:sz w:val="24"/>
        </w:rPr>
        <w:t xml:space="preserve">邳州弹性方案2022年完成240.50 MVA净增容量，主变总容量达到1704.00 MVA，之后三年保持该容量。各年储能和联络工程按当年供电需求安排，具体在役规模及新增建设分别列于下表。</w:t>
      </w:r>
    </w:p>
    <w:p>
      <w:pPr>
        <w:pStyle w:val="2"/>
        <w:keepNext/>
        <w:spacing w:line="280" w:lineRule="exact" w:before="120" w:after="80"/>
        <w:ind w:firstLine="0"/>
        <w:jc w:val="center"/>
      </w:pPr>
      <w:r>
        <w:rPr>
          <w:rFonts w:ascii="Times New Roman" w:hAnsi="Times New Roman" w:eastAsia="宋体"/>
          <w:b w:val="0"/>
          <w:sz w:val="21"/>
        </w:rPr>
        <w:t xml:space="preserve">表5-4 邳州逐年容量及措施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1642.50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16.80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1642.50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16.80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bl>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179.00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36.12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14588.04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2653.89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1891.08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12553.76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265.26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1527.82</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邳州两类方案的主要差异出现在建设时序。2022年弹性方案完成240.50 MVA净增容量，主变总容量达到1704.00 MVA；刚性方案当年受容量上限约束，形成1642.50 MVA，并以储能及联络共同补足局部供电需求。2024年刚性方案再增加61.50 MVA，两类方案此后总容量相同。前期主变建设规模的差异改变了后续补充措施的选择，年度主变采购与储能、联络增量共同解释方案费用。</w:t>
      </w:r>
    </w:p>
    <w:p>
      <w:pPr>
        <w:pStyle w:val="2"/>
        <w:widowControl/>
        <w:spacing w:line="348" w:lineRule="exact" w:before="0" w:after="0"/>
        <w:ind w:firstLine="480"/>
        <w:jc w:val="both"/>
      </w:pPr>
      <w:r>
        <w:rPr>
          <w:rFonts w:ascii="Times New Roman" w:hAnsi="Times New Roman" w:eastAsia="方正仿宋_GBK"/>
          <w:b w:val="0"/>
          <w:sz w:val="24"/>
        </w:rPr>
        <w:t xml:space="preserve">2023年负荷较2022年回落约8%，两类方案均保持当年设备状态，容载比分别升至2.16和2.24。该年的比值上升由负荷变化形成。2024年负荷恢复后，刚性方案同时增容，弹性方案利用已投运容量并新增2项联络；2025年负荷进一步增加，两类方案主变容量均保持1704.00 MVA，容载比均为1.78。此时刚性方案继续增加储能及联络，弹性方案新增7.74 MWh储能和6项联络，反映出相同区域总容量下的站内设备结构和网络任务差异。</w:t>
      </w:r>
    </w:p>
    <w:p>
      <w:pPr>
        <w:pStyle w:val="2"/>
        <w:widowControl/>
        <w:spacing w:line="348" w:lineRule="exact" w:before="0" w:after="0"/>
        <w:ind w:firstLine="480"/>
        <w:jc w:val="both"/>
      </w:pPr>
      <w:r>
        <w:rPr>
          <w:rFonts w:ascii="Times New Roman" w:hAnsi="Times New Roman" w:eastAsia="方正仿宋_GBK"/>
          <w:b w:val="0"/>
          <w:sz w:val="24"/>
        </w:rPr>
        <w:t xml:space="preserve">年度新增工程表中的主变新购容量包含更换和扩建采购，扣除同期被替换主变容量后得到净增容量。例如，邳州弹性方案2022年新购483.50 MVA、替换原设备243.00 MVA，容量净增240.50 MVA。新购容量用于计取工程投资，净增容量决定在役总容量及容载比的变化。负荷回落年份即使不新增主变，容载比也可能升高；后续负荷恢复时，前期投运设备继续满足相应需求。</w:t>
      </w:r>
    </w:p>
    <w:p>
      <w:pPr>
        <w:pStyle w:val="5"/>
        <w:keepNext/>
        <w:numPr>
          <w:numId w:val="0"/>
        </w:numPr>
        <w:spacing w:line="390" w:lineRule="exact" w:before="160" w:after="120"/>
        <w:ind w:firstLine="0"/>
      </w:pPr>
      <w:bookmarkStart w:id="187" w:name="市区逐年方案"/>
      <w:r>
        <w:rPr>
          <w:rFonts w:ascii="Times New Roman" w:hAnsi="Times New Roman" w:eastAsia="方正仿宋_GBK"/>
          <w:b/>
          <w:sz w:val="26"/>
        </w:rPr>
        <w:t xml:space="preserve">5.4.2 市区逐年方案</w:t>
      </w:r>
      <w:bookmarkEnd w:id="187"/>
    </w:p>
    <w:p>
      <w:pPr>
        <w:pStyle w:val="FirstParagraph"/>
        <w:widowControl/>
        <w:spacing w:line="348" w:lineRule="exact" w:before="0" w:after="0"/>
        <w:ind w:firstLine="480"/>
        <w:jc w:val="both"/>
      </w:pPr>
      <w:r>
        <w:rPr>
          <w:rFonts w:ascii="Times New Roman" w:hAnsi="Times New Roman" w:eastAsia="方正仿宋_GBK"/>
          <w:b w:val="0"/>
          <w:sz w:val="24"/>
        </w:rPr>
        <w:t xml:space="preserve">市区弹性方案2022年完成23.00 MVA净增容量，主变总容量达到2923.00 MVA，之后三年保持该容量。各年储能和联络工程按当年供电需求安排，具体在役规模及新增建设分别列于下表。</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88"/>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2657.80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市区2022年负荷低于2021年、2024年负荷低于2023年。刚性方案保留已投运的2900.00 MVA主变容量，负荷回落使容量与负荷的比值升高，相应年度容载比超过2.0。这些年份未新增主变，容载比上升由年度负荷减少形成。</w:t>
      </w:r>
    </w:p>
    <w:p>
      <w:pPr>
        <w:pStyle w:val="2"/>
        <w:widowControl/>
        <w:spacing w:line="348" w:lineRule="exact" w:before="0" w:after="0"/>
        <w:ind w:firstLine="480"/>
        <w:jc w:val="both"/>
      </w:pPr>
      <w:r>
        <w:rPr>
          <w:rFonts w:ascii="Times New Roman" w:hAnsi="Times New Roman" w:eastAsia="方正仿宋_GBK"/>
          <w:b w:val="0"/>
          <w:sz w:val="24"/>
        </w:rPr>
        <w:t xml:space="preserve">市区四年中2023年的年度负荷最高，为1542.22 MW。两类方案首年建设完成后，后续主变总容量均保持不变，因此2023年的容载比低于2022年和2024年。到2025年，年度负荷为1528.82 MW，仍略低于2023年。以四年复合平均增长率描述增长阶段时，还需保留这类年际波动，逐年容量安排才能与实际供电任务对应。</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市区弹性方案选择在翟山变将一台40 MVA主变更换为63 MVA，既增加23 MVA区域容量，也将该站最大80 MVA主变停运后的剩余容量从40 MVA提高至63 MVA。刚性方案保留原主变容量，首年增加5项联络，借助网络重新安排负荷。两类方案分别以站内补强和新增通道满足同一组供电约束，费用差主要由这两类措施的工程费用形成；既有逐站转供能力在两类方案中共同参与支援。</w:t>
      </w:r>
    </w:p>
    <w:p>
      <w:pPr>
        <w:pStyle w:val="5"/>
        <w:keepNext/>
        <w:numPr>
          <w:numId w:val="0"/>
        </w:numPr>
        <w:spacing w:line="390" w:lineRule="exact" w:before="160" w:after="120"/>
        <w:ind w:firstLine="0"/>
      </w:pPr>
      <w:bookmarkStart w:id="189" w:name="弹性方案与导则建议范围的逐年对照"/>
      <w:r>
        <w:rPr>
          <w:rFonts w:ascii="Times New Roman" w:hAnsi="Times New Roman" w:eastAsia="方正仿宋_GBK"/>
          <w:b/>
          <w:sz w:val="26"/>
        </w:rPr>
        <w:t xml:space="preserve">5.4.3 弹性方案与导则建议范围的逐年对照</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2025年4月《配电网规划设计技术导则（修订稿）》第6.2.2.1条提出容载比总体控制在1.5～2.0，表2按年最大净负荷平均增长率划分发展阶段，相应建议范围如下[7]。</w:t>
      </w:r>
    </w:p>
    <w:p>
      <w:pPr>
        <w:pStyle w:val="2"/>
        <w:keepNext/>
        <w:spacing w:line="280" w:lineRule="exact" w:before="120" w:after="80"/>
        <w:ind w:firstLine="0"/>
        <w:jc w:val="center"/>
      </w:pPr>
      <w:r>
        <w:rPr>
          <w:rFonts w:ascii="Times New Roman" w:hAnsi="Times New Roman" w:eastAsia="宋体"/>
          <w:b w:val="0"/>
          <w:sz w:val="21"/>
        </w:rPr>
        <w:t xml:space="preserve">表5-8 高压分区或行政县（市、区）110～35 kV电网容载比选择范围[7]</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负荷增长情况</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年最大净负荷平均增长率KP</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容载比建议范围</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饱和期</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KP≤2%</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1.5～1.7</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较慢增长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2%＜KP≤4%</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1.6～1.8</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中等增长</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4%＜KP≤7%</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1.7～1.9</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较快增长</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KP＞7%</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1.8～2.0</w:t>
            </w:r>
          </w:p>
        </w:tc>
      </w:tr>
    </w:tbl>
    <w:p>
      <w:pPr>
        <w:pStyle w:val="2"/>
        <w:widowControl/>
        <w:spacing w:line="348" w:lineRule="exact" w:before="0" w:after="0"/>
        <w:ind w:firstLine="480"/>
        <w:jc w:val="both"/>
      </w:pPr>
      <w:r>
        <w:rPr>
          <w:rFonts w:ascii="Times New Roman" w:hAnsi="Times New Roman" w:eastAsia="方正仿宋_GBK"/>
          <w:b w:val="0"/>
          <w:sz w:val="24"/>
        </w:rPr>
        <w:t xml:space="preserve">本节沿用建模采用的2021—2025年复合平均增长率，</w:t>
      </w:r>
      <m:oMath>
        <m:sSub>
          <m:e>
            <m:r>
              <m:rPr>
                <m:nor m:val="1"/>
              </m:rPr>
              <w:rPr>
                <w:rFonts w:ascii="Times New Roman" w:hAnsi="Times New Roman" w:cs="Times New Roman" w:eastAsia="方正仿宋_GBK"/>
                <w:i w:val="1"/>
                <w:iCs w:val="1"/>
              </w:rPr>
              <m:t>K</m:t>
            </m:r>
          </m:e>
          <m:sub>
            <m:r>
              <m:rPr>
                <m:nor m:val="1"/>
              </m:rPr>
              <w:rPr>
                <w:rFonts w:ascii="Times New Roman" w:hAnsi="Times New Roman" w:cs="Times New Roman" w:eastAsia="方正仿宋_GBK"/>
                <w:i w:val="1"/>
                <w:iCs w:val="1"/>
              </w:rPr>
              <m:t>P</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2025</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0"/>
                <w:iCs w:val="0"/>
              </w:rPr>
              <m:t>2021</m:t>
            </m:r>
          </m:sub>
        </m:sSub>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oMath>
      <w:r>
        <w:rPr>
          <w:rFonts w:ascii="Times New Roman" w:hAnsi="Times New Roman" w:eastAsia="方正仿宋_GBK"/>
          <w:b w:val="0"/>
          <w:sz w:val="24"/>
        </w:rPr>
        <w:t xml:space="preserve">，以同一增长水平对照各年方案。邳州年最大净负荷由731.77 MW增至956.45 MW，平均增长率约7%，属于4%＜KP≤7%的中等增长阶段，对应建议范围1.7～1.9；市区由1449.77 MW增至1528.82 MW，平均增长率约1%，属于KP≤2%的饱和期，对应建议范围1.5～1.7[7]。</w:t>
      </w:r>
    </w:p>
    <w:p>
      <w:pPr>
        <w:pStyle w:val="2"/>
        <w:widowControl/>
        <w:spacing w:line="348" w:lineRule="exact" w:before="0" w:after="0"/>
        <w:ind w:firstLine="480"/>
        <w:jc w:val="both"/>
      </w:pPr>
      <w:r>
        <w:rPr>
          <w:rFonts w:ascii="Times New Roman" w:hAnsi="Times New Roman" w:eastAsia="方正仿宋_GBK"/>
          <w:b w:val="0"/>
          <w:sz w:val="24"/>
        </w:rPr>
        <w:t xml:space="preserve">前述年度表为共同压缩起点下、正常允许调整供区的弹性无下限方案规划回算结果。按上述增长率统一分档，邳州2022—2024年均高于分档建议上限1.9，2025年降至1.78，进入建议范围；市区四年均高于分档建议上限1.7，其中2025年为1.91，高出约0.21。两地区各年结果均高于对应建议下限。按条文总体范围比较，邳州2022、2023年和市区2022、2024年超过2.0，其余年度位于1.5～2.0内[7]。年度负荷回落解释了部分年份容载比的上升：邳州2023年、市区2024年容量保持不变，负荷下降使比值升高；后续负荷恢复又使比值回落。</w:t>
      </w:r>
    </w:p>
    <w:p>
      <w:pPr>
        <w:pStyle w:val="2"/>
        <w:widowControl/>
        <w:spacing w:line="348" w:lineRule="exact" w:before="0" w:after="0"/>
        <w:ind w:firstLine="480"/>
        <w:jc w:val="both"/>
      </w:pPr>
      <w:r>
        <w:rPr>
          <w:rFonts w:ascii="Times New Roman" w:hAnsi="Times New Roman" w:eastAsia="方正仿宋_GBK"/>
          <w:b w:val="0"/>
          <w:sz w:val="24"/>
        </w:rPr>
        <w:t xml:space="preserve">市区连续高于分档建议上限，还与共同初始容量有关。以2025年为例，1528.82 MW负荷按容载比1.7折算容量为2598.99 MVA，而共同初始容量已为2900.00 MVA，高出301.01 MVA。容量保持非减的条件下，初始设备对应当年容载比约1.90；弹性方案2022年将翟山变一台40 MVA主变更换为63 MVA，净增23.00 MVA，四年均保持2923.00 MVA，2025年容载比为1.91。初始容量与新增补强分别贡献了超出分档建议上限的主要部分和增量部分。翟山变更换后，在最大80 MVA主变停运时保留63 MVA容量，并结合既有转供满足本次工况约束；这项设备补强与既定初始容量应分别解释。</w:t>
      </w:r>
    </w:p>
    <w:p>
      <w:pPr>
        <w:pStyle w:val="2"/>
        <w:widowControl/>
        <w:spacing w:line="348" w:lineRule="exact" w:before="0" w:after="0"/>
        <w:ind w:firstLine="480"/>
        <w:jc w:val="both"/>
      </w:pPr>
      <w:r>
        <w:rPr>
          <w:rFonts w:ascii="Times New Roman" w:hAnsi="Times New Roman" w:eastAsia="方正仿宋_GBK"/>
          <w:b w:val="0"/>
          <w:sz w:val="24"/>
        </w:rPr>
        <w:t xml:space="preserve">第6.2.2.1条a项允许在表中建议范围内无法满足供电安全准则时，结合实际情况适当提高容载比；c项要求加强中压配电网联络、增加转供能力，合理确定规划区域容载比[7]。当前方案通过既定正常及N-1静态工况校核，超过分档建议上限的年度结果由初始设备、网络约束、容量非减及费用目标共同形成。若据a项论证适当提高的必要性，还需专门检验分档建议范围内各可选设备与转供方案能否满足供电安全准则。因此，逐年规划应结合负荷变化检查既有容量的利用情况，并将中压联络与站内补强共同纳入方案比选。</w:t>
      </w:r>
    </w:p>
    <w:p>
      <w:pPr>
        <w:pStyle w:val="5"/>
        <w:keepNext/>
        <w:numPr>
          <w:numId w:val="0"/>
        </w:numPr>
        <w:spacing w:line="390" w:lineRule="exact" w:before="160" w:after="120"/>
        <w:ind w:firstLine="0"/>
      </w:pPr>
      <w:bookmarkStart w:id="190" w:name="建设规模与费用比较"/>
      <w:r>
        <w:rPr>
          <w:rFonts w:ascii="Times New Roman" w:hAnsi="Times New Roman" w:eastAsia="方正仿宋_GBK"/>
          <w:b/>
          <w:sz w:val="26"/>
        </w:rPr>
        <w:t xml:space="preserve">5.4.4 建设规模与费用比较</w:t>
      </w:r>
      <w:bookmarkEnd w:id="190"/>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两地区刚性可行方案费用现值合计21790.82万元，弹性为15793.49万元，减少5997.33万元，降幅约28%。</w:t>
      </w:r>
    </w:p>
    <w:p>
      <w:pPr>
        <w:pStyle w:val="2"/>
        <w:keepNext/>
        <w:spacing w:line="280" w:lineRule="exact" w:before="120" w:after="80"/>
        <w:ind w:firstLine="0"/>
        <w:jc w:val="center"/>
      </w:pPr>
      <w:r>
        <w:rPr>
          <w:rFonts w:ascii="Times New Roman" w:hAnsi="Times New Roman" w:eastAsia="宋体"/>
          <w:b w:val="0"/>
          <w:sz w:val="21"/>
        </w:rPr>
        <w:t xml:space="preserve">表5-9 两地区方案费用比较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19133.01</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14346.85</w:t>
            </w:r>
          </w:p>
        </w:tc>
      </w:tr>
      <w:tr>
        <w:trPr>
          <w:cantSplit/>
        </w:trPr>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2657.80</w:t>
            </w:r>
          </w:p>
        </w:tc>
      </w:tr>
      <w:tr>
        <w:trPr>
          <w:cantSplit/>
        </w:trPr>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bl>
    <w:p>
      <w:pPr>
        <w:pStyle w:val="2"/>
        <w:keepNext/>
        <w:spacing w:line="280" w:lineRule="exact" w:before="120" w:after="80"/>
        <w:ind w:firstLine="0"/>
        <w:jc w:val="center"/>
      </w:pPr>
      <w:r>
        <w:rPr>
          <w:rFonts w:ascii="Times New Roman" w:hAnsi="Times New Roman" w:eastAsia="宋体"/>
          <w:b w:val="0"/>
          <w:sz w:val="21"/>
        </w:rPr>
        <w:t xml:space="preserve">表5-10 2025年在役措施及累计建设规模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1704.00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483.50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w:t>
            </w:r>
          </w:p>
        </w:tc>
      </w:tr>
      <w:tr>
        <w:trPr>
          <w:cantSplit/>
        </w:trPr>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r>
      <w:tr>
        <w:trPr>
          <w:cantSplit/>
        </w:trPr>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2923.00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4261"/>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91"/>
                    <a:stretch>
                      <a:fillRect/>
                    </a:stretch>
                  </pic:blipFill>
                  <pic:spPr bwMode="auto">
                    <a:xfrm>
                      <a:off x="0" y="0"/>
                      <a:ext cx="5120640" cy="2514261"/>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图5-2 各方案新增措施评价期费用现值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32012"/>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92"/>
                    <a:stretch>
                      <a:fillRect/>
                    </a:stretch>
                  </pic:blipFill>
                  <pic:spPr bwMode="auto">
                    <a:xfrm>
                      <a:off x="0" y="0"/>
                      <a:ext cx="5120640" cy="223201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图5-3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两地区均以共同压缩起点开展规划回算，首年必要补强计入建设投资。既有转供采用逐站资料上限，新增联络按地区电缆长度占比计价。费用比较采用通过全部静态工况校核的具体可行方案。</w:t>
      </w:r>
    </w:p>
    <w:p>
      <w:pPr>
        <w:pStyle w:val="2"/>
        <w:keepNext/>
        <w:spacing w:line="280" w:lineRule="exact" w:before="120" w:after="80"/>
        <w:ind w:firstLine="0"/>
        <w:jc w:val="center"/>
      </w:pPr>
      <w:r>
        <w:rPr>
          <w:rFonts w:ascii="Times New Roman" w:hAnsi="Times New Roman" w:eastAsia="宋体"/>
          <w:b w:val="0"/>
          <w:sz w:val="21"/>
        </w:rPr>
        <w:t xml:space="preserve">表5-11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11340.87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5751.81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2040.34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19133.01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11648.73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782.07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1916.05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14346.85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2657.80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2657.80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1446.64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主变费用现值增加307.86万元，储能和联络分别减少4969.74万元、124.29万元，合计减少4786.17万元。首年较充分的主变补强降低了后续配储需求，储能费用减少是该地区费用差的主要来源。两类方案2024年起总容量相同，但主变采购及配套措施的时序不同。</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以1446.64万元主变费用现值替代刚性方案2657.80万元联络费用，合计减少1211.17万元。既有转供在两类方案中均提供支援，费用优势来自新增补强方式的不同。两地区合计降幅由上述分项变化形成，区域容量变化与费用变化分别按设备及工程项目解释。</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r>
                <m:rPr>
                  <m:nor m:val="1"/>
                </m:rPr>
                <w:rPr>
                  <w:rFonts w:ascii="Times New Roman" w:hAnsi="Times New Roman" w:cs="Times New Roman" w:eastAsia="方正仿宋_GBK"/>
                  <w:i w:val="0"/>
                  <w:iCs w:val="0"/>
                </w:rPr>
                <m:t>=</m:t>
              </m:r>
              <m:f>
                <m:fPr>
                  <m:type m:val="bar"/>
                </m:fPr>
                <m:num>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
                <m:dPr>
                  <m:begChr m:val="("/>
                  <m:endChr m:val=")"/>
                  <m:grow/>
                </m:dPr>
                <m:e>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den>
                  </m:f>
                  <m:r>
                    <m:rPr>
                      <m:nor m:val="1"/>
                    </m:rPr>
                    <w:rPr>
                      <w:rFonts w:ascii="Times New Roman" w:hAnsi="Times New Roman" w:cs="Times New Roman" w:eastAsia="方正仿宋_GBK"/>
                      <w:i w:val="0"/>
                      <w:iCs w:val="0"/>
                    </w:rPr>
                    <m:t>−</m:t>
                  </m:r>
                  <m:f>
                    <m:fPr>
                      <m:type m:val="bar"/>
                    </m:fPr>
                    <m:num>
                      <m:r>
                        <m:rPr>
                          <m:nor m:val="1"/>
                        </m:rPr>
                        <w:rPr>
                          <w:rFonts w:ascii="Times New Roman" w:hAnsi="Times New Roman" w:cs="Times New Roman" w:eastAsia="方正仿宋_GBK"/>
                          <w:i w:val="0"/>
                          <w:iCs w:val="0"/>
                        </w:rPr>
                        <m:t>1</m:t>
                      </m:r>
                    </m:num>
                    <m:den>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den>
                  </m:f>
                </m:e>
              </m:d>
              <m:r>
                <m:rPr>
                  <m:nor m:val="1"/>
                </m:rPr>
                <w:rPr>
                  <w:rFonts w:ascii="Times New Roman" w:hAnsi="Times New Roman" w:cs="Times New Roman" w:eastAsia="方正仿宋_GBK"/>
                  <w:i w:val="0"/>
                  <w:iCs w:val="0"/>
                </w:rPr>
                <m:t>.</m:t>
              </m:r>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（5-10）</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R</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为相邻两年容载比，</w:t>
      </w:r>
      <m:oMath>
        <m:r>
          <m:rPr>
            <m:nor m:val="1"/>
          </m:rPr>
          <w:rPr>
            <w:rFonts w:ascii="Times New Roman" w:hAnsi="Times New Roman" w:cs="Times New Roman" w:eastAsia="方正仿宋_GBK"/>
            <w:i w:val="1"/>
            <w:iCs w:val="1"/>
          </w:rPr>
          <m:t>y</m:t>
        </m:r>
      </m:oMath>
      <w:r>
        <w:rPr>
          <w:rFonts w:ascii="Times New Roman" w:hAnsi="Times New Roman" w:eastAsia="方正仿宋_GBK"/>
          <w:b w:val="0"/>
          <w:sz w:val="24"/>
        </w:rPr>
        <w:t xml:space="preserve">为仿真年序号；</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S</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为相邻两年公用主变总容量，单位MVA；</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sub>
        </m:sSub>
      </m:oMath>
      <w:r>
        <w:rPr>
          <w:rFonts w:ascii="Times New Roman" w:hAnsi="Times New Roman" w:eastAsia="方正仿宋_GBK"/>
          <w:b w:val="0"/>
          <w:sz w:val="24"/>
        </w:rPr>
        <w:t xml:space="preserve">和</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y</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表5-12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w:t>
            </w:r>
          </w:p>
        </w:tc>
      </w:tr>
    </w:tbl>
    <w:p>
      <w:pPr>
        <w:pStyle w:val="5"/>
        <w:keepNext/>
        <w:numPr>
          <w:numId w:val="0"/>
        </w:numPr>
        <w:spacing w:line="390" w:lineRule="exact" w:before="160" w:after="120"/>
        <w:ind w:firstLine="0"/>
      </w:pPr>
      <w:bookmarkStart w:id="193" w:name="邳州逐站规划方案"/>
      <w:r>
        <w:rPr>
          <w:rFonts w:ascii="Times New Roman" w:hAnsi="Times New Roman" w:eastAsia="方正仿宋_GBK"/>
          <w:b/>
          <w:sz w:val="26"/>
        </w:rPr>
        <w:t xml:space="preserve">5.4.5 邳州逐站规划方案</w:t>
      </w:r>
      <w:bookmarkEnd w:id="193"/>
    </w:p>
    <w:p>
      <w:pPr>
        <w:pStyle w:val="FirstParagraph"/>
        <w:widowControl/>
        <w:spacing w:line="348" w:lineRule="exact" w:before="0" w:after="0"/>
        <w:ind w:firstLine="480"/>
        <w:jc w:val="both"/>
      </w:pPr>
      <w:r>
        <w:rPr>
          <w:rFonts w:ascii="Times New Roman" w:hAnsi="Times New Roman" w:eastAsia="方正仿宋_GBK"/>
          <w:b w:val="0"/>
          <w:sz w:val="24"/>
        </w:rPr>
        <w:t xml:space="preserve">逐站表格列示区域正向峰值和最低净负荷两个代表工况的转接量，完整校核同时覆盖各站局部极值截面。主变N-1按本站最大单台容量扣除，健康邻站保留正常可用容量，转供使用已投运线路。</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列示两类方案的四年设备状态及区域正向峰值正常转接，随后结合2025年两代表工况和四年中本站绝对功率最大的校核工况，解释主变N-1后的站间支援。表中储能均为在役额定功率，支撑能力另按邳州2 h及可用电量折算。</w:t>
      </w:r>
    </w:p>
    <w:p>
      <w:pPr>
        <w:pStyle w:val="7"/>
        <w:keepNext/>
        <w:numPr>
          <w:numId w:val="0"/>
        </w:numPr>
        <w:spacing w:line="360" w:lineRule="exact" w:before="160" w:after="120"/>
        <w:ind w:firstLine="0"/>
      </w:pPr>
      <w:bookmarkStart w:id="194" w:name="八义集变规划分析"/>
      <w:r>
        <w:rPr>
          <w:rFonts w:ascii="Times New Roman" w:hAnsi="Times New Roman" w:eastAsia="方正仿宋_GBK"/>
          <w:b/>
          <w:sz w:val="24"/>
        </w:rPr>
        <w:t xml:space="preserve">八义集变规划分析</w:t>
      </w:r>
      <w:bookmarkEnd w:id="19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MVA。四年保留初始主变组合。2025年新增0.60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2025年本站最大正向、反向净负荷分别为37.23 MW、19.12 MW。刚性方案当年主变容量为70.00 MVA、储能额定功率0.60 MW；弹性方案分别为70.00 MVA和0.60 MW。两类方案本站主变总容量相同。弹性方案按当年各站局部极值计算的站级负载率为56%。</w:t>
      </w:r>
    </w:p>
    <w:p>
      <w:pPr>
        <w:pStyle w:val="2"/>
        <w:keepNext/>
        <w:spacing w:line="280" w:lineRule="exact" w:before="120" w:after="80"/>
        <w:ind w:firstLine="0"/>
        <w:jc w:val="center"/>
      </w:pPr>
      <w:r>
        <w:rPr>
          <w:rFonts w:ascii="Times New Roman" w:hAnsi="Times New Roman" w:eastAsia="宋体"/>
          <w:b w:val="0"/>
          <w:sz w:val="21"/>
        </w:rPr>
        <w:t xml:space="preserve">表5-13 八义集变年度配置与正向峰值正常转接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0.60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30.29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MW，转接后净负荷为30.29 MW；区域最低净负荷工况下为-6.39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本站最大单台主变停运后剩余容量为20.00 MVA。两代表工况重新转供后的本站净负荷分别为19.49 MW、-6.39 MW，两方向最小容量余量为0.00 MW，正向储能有效支撑功率为0.49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四年校核截面中，本站绝对功率最大的工况出现在2025年，转接前为37.23 MW，主要表现为正向受电需求。按该年设备扣除最大单台主变后，剩余容量20.00 MVA。故障方式下本站转出17.74 MW、承接0.00 MW，其中与土山变之间的主要转出功率为14.46 MW，转接后净负荷为19.49 MW。这一工况通过邻站分担本站故障后的正向负荷。</w:t>
      </w:r>
    </w:p>
    <w:p>
      <w:pPr>
        <w:pStyle w:val="7"/>
        <w:keepNext/>
        <w:numPr>
          <w:numId w:val="0"/>
        </w:numPr>
        <w:spacing w:line="360" w:lineRule="exact" w:before="160" w:after="120"/>
        <w:ind w:firstLine="0"/>
      </w:pPr>
      <w:bookmarkStart w:id="195" w:name="大宋变规划分析"/>
      <w:r>
        <w:rPr>
          <w:rFonts w:ascii="Times New Roman" w:hAnsi="Times New Roman" w:eastAsia="方正仿宋_GBK"/>
          <w:b/>
          <w:sz w:val="24"/>
        </w:rPr>
        <w:t xml:space="preserve">大宋变规划分析</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2025年本站最大正向、反向净负荷分别为69.44 MW、31.77 MW。刚性方案当年主变容量为103.00 MVA、储能额定功率0.00 MW；弹性方案分别为103.00 MVA和0.00 MW。两类方案本站主变总容量相同。弹性方案按当年各站局部极值计算的站级负载率为71%。</w:t>
      </w:r>
    </w:p>
    <w:p>
      <w:pPr>
        <w:pStyle w:val="2"/>
        <w:keepNext/>
        <w:spacing w:line="280" w:lineRule="exact" w:before="120" w:after="80"/>
        <w:ind w:firstLine="0"/>
        <w:jc w:val="center"/>
      </w:pPr>
      <w:r>
        <w:rPr>
          <w:rFonts w:ascii="Times New Roman" w:hAnsi="Times New Roman" w:eastAsia="宋体"/>
          <w:b w:val="0"/>
          <w:sz w:val="21"/>
        </w:rPr>
        <w:t xml:space="preserve">表5-14 大宋变年度配置与正向峰值正常转接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69.44</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MW，转接后净负荷为69.44 MW；区域最低净负荷工况下为-31.77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MW、-31.77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四年校核截面中，本站绝对功率最大的工况出现在2025年，转接前为69.44 MW，主要表现为正向受电需求。按该年设备扣除最大单台主变后，剩余容量40.00 MVA。故障方式下本站转出31.44 MW、承接0.00 MW，其中与宿羊山变之间的主要转出功率为12.15 MW，转接后净负荷为38.00 MW。这一工况通过邻站分担本站故障后的正向负荷。</w:t>
      </w:r>
    </w:p>
    <w:p>
      <w:pPr>
        <w:pStyle w:val="7"/>
        <w:keepNext/>
        <w:numPr>
          <w:numId w:val="0"/>
        </w:numPr>
        <w:spacing w:line="360" w:lineRule="exact" w:before="160" w:after="120"/>
        <w:ind w:firstLine="0"/>
      </w:pPr>
      <w:bookmarkStart w:id="196" w:name="戴圩变规划分析"/>
      <w:r>
        <w:rPr>
          <w:rFonts w:ascii="Times New Roman" w:hAnsi="Times New Roman" w:eastAsia="方正仿宋_GBK"/>
          <w:b/>
          <w:sz w:val="24"/>
        </w:rPr>
        <w:t xml:space="preserve">戴圩变规划分析</w:t>
      </w:r>
      <w:bookmarkEnd w:id="19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2025年本站最大正向、反向净负荷分别为30.30 MW、24.46 MW。刚性方案当年主变容量为70.00 MVA、储能额定功率0.00 MW；弹性方案分别为70.00 MVA和0.00 MW。两类方案本站主变总容量相同。弹性方案按当年各站局部极值计算的站级负载率为46%。</w:t>
      </w:r>
    </w:p>
    <w:p>
      <w:pPr>
        <w:pStyle w:val="2"/>
        <w:keepNext/>
        <w:spacing w:line="280" w:lineRule="exact" w:before="120" w:after="80"/>
        <w:ind w:firstLine="0"/>
        <w:jc w:val="center"/>
      </w:pPr>
      <w:r>
        <w:rPr>
          <w:rFonts w:ascii="Times New Roman" w:hAnsi="Times New Roman" w:eastAsia="宋体"/>
          <w:b w:val="0"/>
          <w:sz w:val="21"/>
        </w:rPr>
        <w:t xml:space="preserve">表5-15 戴圩变年度配置与正向峰值正常转接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27.34</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MW，转接后净负荷为27.34 MW；区域最低净负荷工况下为-24.10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四年校核截面中，本站绝对功率最大的工况出现在2025年，转接前为30.30 MW，主要表现为正向受电需求。按该年设备扣除最大单台主变后，剩余容量20.00 MVA。故障方式下本站转出11.30 MW、承接0.00 MW，其中与坊上变之间的主要转出功率为11.30 MW，转接后净负荷为19.00 MW。这一工况通过邻站分担本站故障后的正向负荷。</w:t>
      </w:r>
    </w:p>
    <w:p>
      <w:pPr>
        <w:pStyle w:val="7"/>
        <w:keepNext/>
        <w:numPr>
          <w:numId w:val="0"/>
        </w:numPr>
        <w:spacing w:line="360" w:lineRule="exact" w:before="160" w:after="120"/>
        <w:ind w:firstLine="0"/>
      </w:pPr>
      <w:bookmarkStart w:id="197" w:name="戴庄变规划分析"/>
      <w:r>
        <w:rPr>
          <w:rFonts w:ascii="Times New Roman" w:hAnsi="Times New Roman" w:eastAsia="方正仿宋_GBK"/>
          <w:b/>
          <w:sz w:val="24"/>
        </w:rPr>
        <w:t xml:space="preserve">戴庄变规划分析</w:t>
      </w:r>
      <w:bookmarkEnd w:id="19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该站初始主变组合为20+31.5 MVA。2022年20 MVA更换为50 MVA，31.5 MVA更换为50 MVA。弹性方案四年均由主变及网络承担供电任务。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2025年本站最大正向、反向净负荷分别为30.59 MW、47.47 MW。刚性方案当年主变容量为100.00 MVA、储能额定功率0.00 MW；弹性方案分别为100.00 MVA和0.00 MW。两类方案本站主变总容量相同。弹性方案按当年各站局部极值计算的站级负载率为50%。</w:t>
      </w:r>
    </w:p>
    <w:p>
      <w:pPr>
        <w:pStyle w:val="2"/>
        <w:keepNext/>
        <w:spacing w:line="280" w:lineRule="exact" w:before="120" w:after="80"/>
        <w:ind w:firstLine="0"/>
        <w:jc w:val="center"/>
      </w:pPr>
      <w:r>
        <w:rPr>
          <w:rFonts w:ascii="Times New Roman" w:hAnsi="Times New Roman" w:eastAsia="宋体"/>
          <w:b w:val="0"/>
          <w:sz w:val="21"/>
        </w:rPr>
        <w:t xml:space="preserve">表5-16 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MW，转接后净负荷为30.59 MW；区域最低净负荷工况下为-46.10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本站最大单台主变停运后剩余容量为50.00 MVA。两代表工况重新转供后的本站净负荷分别为30.59 MW、-46.10 MW，两方向最小容量余量为1.40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四年校核截面中，本站绝对功率最大的工况出现在2025年，转接前为-47.47 MW，主要表现为反向输送需求。按该年设备扣除最大单台主变后，剩余容量50.00 MVA。该工况本站由剩余主变满足承载要求。</w:t>
      </w:r>
    </w:p>
    <w:p>
      <w:pPr>
        <w:pStyle w:val="7"/>
        <w:keepNext/>
        <w:numPr>
          <w:numId w:val="0"/>
        </w:numPr>
        <w:spacing w:line="360" w:lineRule="exact" w:before="160" w:after="120"/>
        <w:ind w:firstLine="0"/>
      </w:pPr>
      <w:bookmarkStart w:id="198" w:name="杜村变规划分析"/>
      <w:r>
        <w:rPr>
          <w:rFonts w:ascii="Times New Roman" w:hAnsi="Times New Roman" w:eastAsia="方正仿宋_GBK"/>
          <w:b/>
          <w:sz w:val="24"/>
        </w:rPr>
        <w:t xml:space="preserve">杜村变规划分析</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2025年本站最大正向、反向净负荷分别为92.06 MW、18.13 MW。刚性方案当年主变容量为80.00 MVA、储能额定功率0.00 MW；弹性方案分别为80.00 MVA和0.00 MW。两类方案本站主变总容量相同。弹性方案按当年各站局部极值计算的站级负载率为121%。</w:t>
      </w:r>
    </w:p>
    <w:p>
      <w:pPr>
        <w:pStyle w:val="2"/>
        <w:keepNext/>
        <w:spacing w:line="280" w:lineRule="exact" w:before="120" w:after="80"/>
        <w:ind w:firstLine="0"/>
        <w:jc w:val="center"/>
      </w:pPr>
      <w:r>
        <w:rPr>
          <w:rFonts w:ascii="Times New Roman" w:hAnsi="Times New Roman" w:eastAsia="宋体"/>
          <w:b w:val="0"/>
          <w:sz w:val="21"/>
        </w:rPr>
        <w:t xml:space="preserve">表5-17 杜村变年度配置与正向峰值正常转接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2025年区域正向峰值正常工况下，本站转出7.65 MW、承接0.00 MW，转接后净负荷为76.00 MW；区域最低净负荷工况下为1.66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MW、1.66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四年校核截面中，本站绝对功率最大的工况出现在2025年，转接前为92.06 MW，主要表现为正向受电需求。按该年设备扣除最大单台主变后，剩余容量40.00 MVA。故障方式下本站转出54.06 MW、承接0.00 MW，其中与河湾变之间的主要转出功率为25.59 MW，转接后净负荷为38.00 MW。这一工况通过邻站分担本站故障后的正向负荷。</w:t>
      </w:r>
    </w:p>
    <w:p>
      <w:pPr>
        <w:pStyle w:val="7"/>
        <w:keepNext/>
        <w:numPr>
          <w:numId w:val="0"/>
        </w:numPr>
        <w:spacing w:line="360" w:lineRule="exact" w:before="160" w:after="120"/>
        <w:ind w:firstLine="0"/>
      </w:pPr>
      <w:bookmarkStart w:id="199" w:name="墩集变规划分析"/>
      <w:r>
        <w:rPr>
          <w:rFonts w:ascii="Times New Roman" w:hAnsi="Times New Roman" w:eastAsia="方正仿宋_GBK"/>
          <w:b/>
          <w:sz w:val="24"/>
        </w:rPr>
        <w:t xml:space="preserve">墩集变规划分析</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2025年本站最大正向、反向净负荷分别为59.52 MW、35.45 MW。刚性方案当年主变容量为70.00 MVA、储能额定功率0.00 MW；弹性方案分别为70.00 MVA和0.00 MW。两类方案本站主变总容量相同。弹性方案按当年各站局部极值计算的站级负载率为90%。</w:t>
      </w:r>
    </w:p>
    <w:p>
      <w:pPr>
        <w:pStyle w:val="2"/>
        <w:keepNext/>
        <w:spacing w:line="280" w:lineRule="exact" w:before="120" w:after="80"/>
        <w:ind w:firstLine="0"/>
        <w:jc w:val="center"/>
      </w:pPr>
      <w:r>
        <w:rPr>
          <w:rFonts w:ascii="Times New Roman" w:hAnsi="Times New Roman" w:eastAsia="宋体"/>
          <w:b w:val="0"/>
          <w:sz w:val="21"/>
        </w:rPr>
        <w:t xml:space="preserve">表5-18 墩集变年度配置与正向峰值正常转接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MW，转接后净负荷为55.05 MW；区域最低净负荷工况下为-35.45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四年校核截面中，本站绝对功率最大的工况出现在2025年，转接前为59.52 MW，主要表现为正向受电需求。按该年设备扣除最大单台主变后，剩余容量20.00 MVA。故障方式下本站转出40.52 MW、承接0.00 MW，其中与议堂变之间的主要转出功率为12.49 MW，转接后净负荷为19.00 MW。这一工况通过邻站分担本站故障后的正向负荷。</w:t>
      </w:r>
    </w:p>
    <w:p>
      <w:pPr>
        <w:pStyle w:val="7"/>
        <w:keepNext/>
        <w:numPr>
          <w:numId w:val="0"/>
        </w:numPr>
        <w:spacing w:line="360" w:lineRule="exact" w:before="160" w:after="120"/>
        <w:ind w:firstLine="0"/>
      </w:pPr>
      <w:bookmarkStart w:id="200" w:name="二庙变规划分析"/>
      <w:r>
        <w:rPr>
          <w:rFonts w:ascii="Times New Roman" w:hAnsi="Times New Roman" w:eastAsia="方正仿宋_GBK"/>
          <w:b/>
          <w:sz w:val="24"/>
        </w:rPr>
        <w:t xml:space="preserve">二庙变规划分析</w:t>
      </w:r>
      <w:bookmarkEnd w:id="20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2025年本站最大正向、反向净负荷分别为103.56 MW、0.00 MW。刚性方案当年主变容量为111.50 MVA、储能额定功率0.00 MW；弹性方案分别为111.50 MVA和0.00 MW。两类方案本站主变总容量相同。弹性方案按当年各站局部极值计算的站级负载率为98%。</w:t>
      </w:r>
    </w:p>
    <w:p>
      <w:pPr>
        <w:pStyle w:val="2"/>
        <w:keepNext/>
        <w:spacing w:line="280" w:lineRule="exact" w:before="120" w:after="80"/>
        <w:ind w:firstLine="0"/>
        <w:jc w:val="center"/>
      </w:pPr>
      <w:r>
        <w:rPr>
          <w:rFonts w:ascii="Times New Roman" w:hAnsi="Times New Roman" w:eastAsia="宋体"/>
          <w:b w:val="0"/>
          <w:sz w:val="21"/>
        </w:rPr>
        <w:t xml:space="preserve">表5-19 二庙变年度配置与正向峰值正常转接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89.75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MW，转接后净负荷为89.75 MW；区域最低净负荷工况下为31.86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MVA。两代表工况重新转供后的本站净负荷分别为29.93 MW、29.92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四年校核截面中，本站绝对功率最大的工况出现在2025年，转接前为103.56 MW，主要表现为正向受电需求。按该年设备扣除最大单台主变后，剩余容量31.50 MVA。故障方式下本站转出73.63 MW、承接0.00 MW，其中与吴闸变之间的主要转出功率为17.47 MW，转接后净负荷为29.93 MW。这一工况通过邻站分担本站故障后的正向负荷。</w:t>
      </w:r>
    </w:p>
    <w:p>
      <w:pPr>
        <w:pStyle w:val="7"/>
        <w:keepNext/>
        <w:numPr>
          <w:numId w:val="0"/>
        </w:numPr>
        <w:spacing w:line="360" w:lineRule="exact" w:before="160" w:after="120"/>
        <w:ind w:firstLine="0"/>
      </w:pPr>
      <w:bookmarkStart w:id="201" w:name="坊上变规划分析"/>
      <w:r>
        <w:rPr>
          <w:rFonts w:ascii="Times New Roman" w:hAnsi="Times New Roman" w:eastAsia="方正仿宋_GBK"/>
          <w:b/>
          <w:sz w:val="24"/>
        </w:rPr>
        <w:t xml:space="preserve">坊上变规划分析</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2025年本站最大正向、反向净负荷分别为39.89 MW、29.68 MW。刚性方案当年主变容量为71.50 MVA、储能额定功率0.00 MW；弹性方案分别为71.50 MVA和0.00 MW。两类方案本站主变总容量相同。弹性方案按当年各站局部极值计算的站级负载率为59%。</w:t>
      </w:r>
    </w:p>
    <w:p>
      <w:pPr>
        <w:pStyle w:val="2"/>
        <w:keepNext/>
        <w:spacing w:line="280" w:lineRule="exact" w:before="120" w:after="80"/>
        <w:ind w:firstLine="0"/>
        <w:jc w:val="center"/>
      </w:pPr>
      <w:r>
        <w:rPr>
          <w:rFonts w:ascii="Times New Roman" w:hAnsi="Times New Roman" w:eastAsia="宋体"/>
          <w:b w:val="0"/>
          <w:sz w:val="21"/>
        </w:rPr>
        <w:t xml:space="preserve">表5-20 坊上变年度配置与正向峰值正常转接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MW，转接后净负荷为37.87 MW；区域最低净负荷工况下为-29.68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MVA。两代表工况重新转供后的本站净负荷分别为29.92 MW、-29.68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四年校核截面中，本站绝对功率最大的工况出现在2025年，转接前为39.89 MW，主要表现为正向受电需求。按该年设备扣除最大单台主变后，剩余容量31.50 MVA。故障方式下本站转出9.96 MW、承接0.00 MW，其中与杜村变之间的主要转出功率为9.96 MW，转接后净负荷为29.92 MW。这一工况通过邻站分担本站故障后的正向负荷。</w:t>
      </w:r>
    </w:p>
    <w:p>
      <w:pPr>
        <w:pStyle w:val="7"/>
        <w:keepNext/>
        <w:numPr>
          <w:numId w:val="0"/>
        </w:numPr>
        <w:spacing w:line="360" w:lineRule="exact" w:before="160" w:after="120"/>
        <w:ind w:firstLine="0"/>
      </w:pPr>
      <w:bookmarkStart w:id="202" w:name="富山变规划分析"/>
      <w:r>
        <w:rPr>
          <w:rFonts w:ascii="Times New Roman" w:hAnsi="Times New Roman" w:eastAsia="方正仿宋_GBK"/>
          <w:b/>
          <w:sz w:val="24"/>
        </w:rPr>
        <w:t xml:space="preserve">富山变规划分析</w:t>
      </w:r>
      <w:bookmarkEnd w:id="20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MVA。2022年20 MVA更换为31.5 MVA。弹性方案四年均由主变及网络承担供电任务。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2025年本站最大正向、反向净负荷分别为27.54 MW、27.00 MW。刚性方案当年主变容量为81.50 MVA、储能额定功率0.00 MW；弹性方案分别为81.50 MVA和0.00 MW。两类方案本站主变总容量相同。弹性方案按当年各站局部极值计算的站级负载率为36%。</w:t>
      </w:r>
    </w:p>
    <w:p>
      <w:pPr>
        <w:pStyle w:val="2"/>
        <w:keepNext/>
        <w:spacing w:line="280" w:lineRule="exact" w:before="120" w:after="80"/>
        <w:ind w:firstLine="0"/>
        <w:jc w:val="center"/>
      </w:pPr>
      <w:r>
        <w:rPr>
          <w:rFonts w:ascii="Times New Roman" w:hAnsi="Times New Roman" w:eastAsia="宋体"/>
          <w:b w:val="0"/>
          <w:sz w:val="21"/>
        </w:rPr>
        <w:t xml:space="preserve">表5-21 富山变年度配置与正向峰值正常转接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MW，转接后净负荷为26.59 MW；区域最低净负荷工况下为-19.32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MVA。两代表工况重新转供后的本站净负荷分别为26.59 MW、-19.32 MW，两方向最小容量余量为3.33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四年校核截面中，本站绝对功率最大的工况出现在2025年，转接前为27.54 MW，主要表现为正向受电需求。按该年设备扣除最大单台主变后，剩余容量31.50 MVA。该工况本站由剩余主变满足承载要求。</w:t>
      </w:r>
    </w:p>
    <w:p>
      <w:pPr>
        <w:pStyle w:val="7"/>
        <w:keepNext/>
        <w:numPr>
          <w:numId w:val="0"/>
        </w:numPr>
        <w:spacing w:line="360" w:lineRule="exact" w:before="160" w:after="120"/>
        <w:ind w:firstLine="0"/>
      </w:pPr>
      <w:bookmarkStart w:id="203" w:name="河湾变规划分析"/>
      <w:r>
        <w:rPr>
          <w:rFonts w:ascii="Times New Roman" w:hAnsi="Times New Roman" w:eastAsia="方正仿宋_GBK"/>
          <w:b/>
          <w:sz w:val="24"/>
        </w:rPr>
        <w:t xml:space="preserve">河湾变规划分析</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2025年本站最大正向、反向净负荷分别为73.11 MW、4.58 MW。刚性方案当年主变容量为100.00 MVA、储能额定功率0.00 MW；弹性方案分别为100.00 MVA和0.00 MW。两类方案本站主变总容量相同。弹性方案按当年各站局部极值计算的站级负载率为77%。</w:t>
      </w:r>
    </w:p>
    <w:p>
      <w:pPr>
        <w:pStyle w:val="2"/>
        <w:keepNext/>
        <w:spacing w:line="280" w:lineRule="exact" w:before="120" w:after="80"/>
        <w:ind w:firstLine="0"/>
        <w:jc w:val="center"/>
      </w:pPr>
      <w:r>
        <w:rPr>
          <w:rFonts w:ascii="Times New Roman" w:hAnsi="Times New Roman" w:eastAsia="宋体"/>
          <w:b w:val="0"/>
          <w:sz w:val="21"/>
        </w:rPr>
        <w:t xml:space="preserve">表5-22 河湾变年度配置与正向峰值正常转接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71.29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MW，转接后净负荷为71.29 MW；区域最低净负荷工况下为-3.50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本站最大单台主变停运后剩余容量为20.00 MVA。两代表工况重新转供后的本站净负荷分别为19.00 MW、-3.50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四年校核截面中，本站绝对功率最大的工况出现在2025年，转接前为73.11 MW，主要表现为正向受电需求。按该年设备扣除最大单台主变后，剩余容量20.00 MVA。故障方式下本站转出54.11 MW、承接0.00 MW，其中与吴闸变之间的主要转出功率为16.29 MW，转接后净负荷为19.00 MW。这一工况通过邻站分担本站故障后的正向负荷。</w:t>
      </w:r>
    </w:p>
    <w:p>
      <w:pPr>
        <w:pStyle w:val="7"/>
        <w:keepNext/>
        <w:numPr>
          <w:numId w:val="0"/>
        </w:numPr>
        <w:spacing w:line="360" w:lineRule="exact" w:before="160" w:after="120"/>
        <w:ind w:firstLine="0"/>
      </w:pPr>
      <w:bookmarkStart w:id="204" w:name="邳城变规划分析"/>
      <w:r>
        <w:rPr>
          <w:rFonts w:ascii="Times New Roman" w:hAnsi="Times New Roman" w:eastAsia="方正仿宋_GBK"/>
          <w:b/>
          <w:sz w:val="24"/>
        </w:rPr>
        <w:t xml:space="preserve">邳城变规划分析</w:t>
      </w:r>
      <w:bookmarkEnd w:id="20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MVA。2022年20 MVA更换为31.5 MVA。2025年新增1.10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2025年本站最大正向、反向净负荷分别为22.90 MW、30.97 MW。刚性方案当年主变容量为81.50 MVA、储能额定功率8.20 MW；弹性方案分别为81.50 MVA和1.10 MW。两类方案本站主变总容量相同。弹性方案按当年各站局部极值计算的站级负载率为40%。</w:t>
      </w:r>
    </w:p>
    <w:p>
      <w:pPr>
        <w:pStyle w:val="2"/>
        <w:keepNext/>
        <w:spacing w:line="280" w:lineRule="exact" w:before="120" w:after="80"/>
        <w:ind w:firstLine="0"/>
        <w:jc w:val="center"/>
      </w:pPr>
      <w:r>
        <w:rPr>
          <w:rFonts w:ascii="Times New Roman" w:hAnsi="Times New Roman" w:eastAsia="宋体"/>
          <w:b w:val="0"/>
          <w:sz w:val="21"/>
        </w:rPr>
        <w:t xml:space="preserve">表5-23 邳城变年度配置与正向峰值正常转接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MW，转接后净负荷为22.90 MW；区域最低净负荷工况下为-28.74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MVA。两代表工况重新转供后的本站净负荷分别为22.90 MW、-28.74 MW，两方向最小容量余量为2.28 MW，正向储能有效支撑功率为0.90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四年校核截面中，本站绝对功率最大的工况出现在2025年，转接前为-30.97 MW，主要表现为反向输送需求。按该年设备扣除最大单台主变后，剩余容量31.50 MVA。该工况本站未发生站间转接，储能相应方向有效支撑1.10 MW，与剩余主变共同满足承载要求。</w:t>
      </w:r>
    </w:p>
    <w:p>
      <w:pPr>
        <w:pStyle w:val="7"/>
        <w:keepNext/>
        <w:numPr>
          <w:numId w:val="0"/>
        </w:numPr>
        <w:spacing w:line="360" w:lineRule="exact" w:before="160" w:after="120"/>
        <w:ind w:firstLine="0"/>
      </w:pPr>
      <w:bookmarkStart w:id="205" w:name="邳州变规划分析"/>
      <w:r>
        <w:rPr>
          <w:rFonts w:ascii="Times New Roman" w:hAnsi="Times New Roman" w:eastAsia="方正仿宋_GBK"/>
          <w:b/>
          <w:sz w:val="24"/>
        </w:rPr>
        <w:t xml:space="preserve">邳州变规划分析</w:t>
      </w:r>
      <w:bookmarkEnd w:id="20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2025年本站最大正向、反向净负荷分别为69.39 MW、0.00 MW。刚性方案当年主变容量为111.50 MVA、储能额定功率0.00 MW；弹性方案分别为111.50 MVA和0.00 MW。两类方案本站主变总容量相同。弹性方案按当年各站局部极值计算的站级负载率为66%。</w:t>
      </w:r>
    </w:p>
    <w:p>
      <w:pPr>
        <w:pStyle w:val="2"/>
        <w:keepNext/>
        <w:spacing w:line="280" w:lineRule="exact" w:before="120" w:after="80"/>
        <w:ind w:firstLine="0"/>
        <w:jc w:val="center"/>
      </w:pPr>
      <w:r>
        <w:rPr>
          <w:rFonts w:ascii="Times New Roman" w:hAnsi="Times New Roman" w:eastAsia="宋体"/>
          <w:b w:val="0"/>
          <w:sz w:val="21"/>
        </w:rPr>
        <w:t xml:space="preserve">表5-24 邳州变年度配置与正向峰值正常转接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75.62</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MW、承接7.65 MW，转接后净负荷为75.62 MW；区域最低净负荷工况下为11.99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MVA。两代表工况重新转供后的本站净负荷分别为29.92 MW、11.99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四年校核截面中，本站绝对功率最大的工况出现在2025年，转接前为69.39 MW，主要表现为正向受电需求。按该年设备扣除最大单台主变后，剩余容量31.50 MVA。故障方式下本站转出39.46 MW、承接0.00 MW，其中与河湾变之间的主要转出功率为17.96 MW，转接后净负荷为29.92 MW。这一工况通过邻站分担本站故障后的正向负荷。</w:t>
      </w:r>
    </w:p>
    <w:p>
      <w:pPr>
        <w:pStyle w:val="7"/>
        <w:keepNext/>
        <w:numPr>
          <w:numId w:val="0"/>
        </w:numPr>
        <w:spacing w:line="360" w:lineRule="exact" w:before="160" w:after="120"/>
        <w:ind w:firstLine="0"/>
      </w:pPr>
      <w:bookmarkStart w:id="206" w:name="宿羊山变规划分析"/>
      <w:r>
        <w:rPr>
          <w:rFonts w:ascii="Times New Roman" w:hAnsi="Times New Roman" w:eastAsia="方正仿宋_GBK"/>
          <w:b/>
          <w:sz w:val="24"/>
        </w:rPr>
        <w:t xml:space="preserve">宿羊山变规划分析</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MVA。四年保留初始主变组合。2025年新增1.10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2025年本站最大正向、反向净负荷分别为61.43 MW、30.80 MW。刚性方案当年主变容量为71.50 MVA、储能额定功率1.10 MW；弹性方案分别为71.50 MVA和1.10 MW。两类方案本站主变总容量相同。弹性方案按当年各站局部极值计算的站级负载率为90%。</w:t>
      </w:r>
    </w:p>
    <w:p>
      <w:pPr>
        <w:pStyle w:val="2"/>
        <w:keepNext/>
        <w:spacing w:line="280" w:lineRule="exact" w:before="120" w:after="80"/>
        <w:ind w:firstLine="0"/>
        <w:jc w:val="center"/>
      </w:pPr>
      <w:r>
        <w:rPr>
          <w:rFonts w:ascii="Times New Roman" w:hAnsi="Times New Roman" w:eastAsia="宋体"/>
          <w:b w:val="0"/>
          <w:sz w:val="21"/>
        </w:rPr>
        <w:t xml:space="preserve">表5-25 宿羊山变年度配置与正向峰值正常转接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61.43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MW，转接后净负荷为61.43 MW；区域最低净负荷工况下为-22.13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MVA。两代表工况重新转供后的本站净负荷分别为30.82 MW、-22.13 MW，两方向最小容量余量为0.00 MW，正向储能有效支撑功率为0.90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四年校核截面中，本站绝对功率最大的工况出现在2025年，转接前为61.43 MW，主要表现为正向受电需求。按该年设备扣除最大单台主变后，剩余容量31.50 MVA。故障方式下本站转出30.60 MW、承接0.00 MW，其中与兴塘变之间的主要转出功率为14.20 MW，转接后净负荷为30.82 MW。这一工况通过邻站分担本站故障后的正向负荷。</w:t>
      </w:r>
    </w:p>
    <w:p>
      <w:pPr>
        <w:pStyle w:val="7"/>
        <w:keepNext/>
        <w:numPr>
          <w:numId w:val="0"/>
        </w:numPr>
        <w:spacing w:line="360" w:lineRule="exact" w:before="160" w:after="120"/>
        <w:ind w:firstLine="0"/>
      </w:pPr>
      <w:bookmarkStart w:id="207" w:name="铁富变规划分析"/>
      <w:r>
        <w:rPr>
          <w:rFonts w:ascii="Times New Roman" w:hAnsi="Times New Roman" w:eastAsia="方正仿宋_GBK"/>
          <w:b/>
          <w:sz w:val="24"/>
        </w:rPr>
        <w:t xml:space="preserve">铁富变规划分析</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该站初始主变组合为31.5+40 MVA。2022年31.5 MVA更换为63 MVA，40 MVA更换为63 MVA。弹性方案四年均由主变及网络承担供电任务。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2025年本站最大正向、反向净负荷分别为84.82 MW、57.21 MW。刚性方案当年主变容量为126.00 MVA、储能额定功率0.00 MW；弹性方案分别为126.00 MVA和0.00 MW。两类方案本站主变总容量相同。弹性方案按当年各站局部极值计算的站级负载率为71%。</w:t>
      </w:r>
    </w:p>
    <w:p>
      <w:pPr>
        <w:pStyle w:val="2"/>
        <w:keepNext/>
        <w:spacing w:line="280" w:lineRule="exact" w:before="120" w:after="80"/>
        <w:ind w:firstLine="0"/>
        <w:jc w:val="center"/>
      </w:pPr>
      <w:r>
        <w:rPr>
          <w:rFonts w:ascii="Times New Roman" w:hAnsi="Times New Roman" w:eastAsia="宋体"/>
          <w:b w:val="0"/>
          <w:sz w:val="21"/>
        </w:rPr>
        <w:t xml:space="preserve">表5-26 铁富变年度配置与正向峰值正常转接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82.17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MW，转接后净负荷为82.17 MW；区域最低净负荷工况下为-52.21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本站最大单台主变停运后剩余容量为63.00 MVA。两代表工况重新转供后的本站净负荷分别为59.85 MW、-52.21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四年校核截面中，本站绝对功率最大的工况出现在2025年，转接前为84.82 MW，主要表现为正向受电需求。按该年设备扣除最大单台主变后，剩余容量63.00 MVA。故障方式下本站转出24.97 MW、承接0.00 MW，其中与汶河变之间的主要转出功率为8.27 MW，转接后净负荷为59.85 MW。这一工况通过邻站分担本站故障后的正向负荷。</w:t>
      </w:r>
    </w:p>
    <w:p>
      <w:pPr>
        <w:pStyle w:val="7"/>
        <w:keepNext/>
        <w:numPr>
          <w:numId w:val="0"/>
        </w:numPr>
        <w:spacing w:line="360" w:lineRule="exact" w:before="160" w:after="120"/>
        <w:ind w:firstLine="0"/>
      </w:pPr>
      <w:bookmarkStart w:id="208" w:name="土山变规划分析"/>
      <w:r>
        <w:rPr>
          <w:rFonts w:ascii="Times New Roman" w:hAnsi="Times New Roman" w:eastAsia="方正仿宋_GBK"/>
          <w:b/>
          <w:sz w:val="24"/>
        </w:rPr>
        <w:t xml:space="preserve">土山变规划分析</w:t>
      </w:r>
      <w:bookmarkEnd w:id="20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MVA。2022年20 MVA更换为50 MVA。弹性方案四年均由主变及网络承担供电任务。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2025年本站最大正向、反向净负荷分别为39.87 MW、37.65 MW。刚性方案当年主变容量为100.00 MVA、储能额定功率0.00 MW；弹性方案分别为100.00 MVA和0.00 MW。两类方案本站主变总容量相同。弹性方案按当年各站局部极值计算的站级负载率为42%。</w:t>
      </w:r>
    </w:p>
    <w:p>
      <w:pPr>
        <w:pStyle w:val="2"/>
        <w:keepNext/>
        <w:spacing w:line="280" w:lineRule="exact" w:before="120" w:after="80"/>
        <w:ind w:firstLine="0"/>
        <w:jc w:val="center"/>
      </w:pPr>
      <w:r>
        <w:rPr>
          <w:rFonts w:ascii="Times New Roman" w:hAnsi="Times New Roman" w:eastAsia="宋体"/>
          <w:b w:val="0"/>
          <w:sz w:val="21"/>
        </w:rPr>
        <w:t xml:space="preserve">表5-27 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39.87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MW，转接后净负荷为39.87 MW；区域最低净负荷工况下为-36.41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本站最大单台主变停运后剩余容量为50.00 MVA。两代表工况重新转供后的本站净负荷分别为39.87 MW、-36.41 MW，两方向最小容量余量为7.63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四年校核截面中，本站绝对功率最大的工况出现在2025年，转接前为39.87 MW，主要表现为正向受电需求。按该年设备扣除最大单台主变后，剩余容量50.00 MVA。该工况本站由剩余主变满足承载要求。</w:t>
      </w:r>
    </w:p>
    <w:p>
      <w:pPr>
        <w:pStyle w:val="7"/>
        <w:keepNext/>
        <w:numPr>
          <w:numId w:val="0"/>
        </w:numPr>
        <w:spacing w:line="360" w:lineRule="exact" w:before="160" w:after="120"/>
        <w:ind w:firstLine="0"/>
      </w:pPr>
      <w:bookmarkStart w:id="209" w:name="汶河变规划分析"/>
      <w:r>
        <w:rPr>
          <w:rFonts w:ascii="Times New Roman" w:hAnsi="Times New Roman" w:eastAsia="方正仿宋_GBK"/>
          <w:b/>
          <w:sz w:val="24"/>
        </w:rPr>
        <w:t xml:space="preserve">汶河变规划分析</w:t>
      </w:r>
      <w:bookmarkEnd w:id="20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该站初始主变组合为20+31.5 MVA。2022年20 MVA更换为31.5 MVA。弹性方案四年均由主变及网络承担供电任务。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2025年本站最大正向、反向净负荷分别为25.93 MW、28.94 MW。刚性方案当年主变容量为63.00 MVA、储能额定功率0.00 MW；弹性方案分别为63.00 MVA和0.00 MW。两类方案本站主变总容量相同。弹性方案按当年各站局部极值计算的站级负载率为48%。</w:t>
      </w:r>
    </w:p>
    <w:p>
      <w:pPr>
        <w:pStyle w:val="2"/>
        <w:keepNext/>
        <w:spacing w:line="280" w:lineRule="exact" w:before="120" w:after="80"/>
        <w:ind w:firstLine="0"/>
        <w:jc w:val="center"/>
      </w:pPr>
      <w:r>
        <w:rPr>
          <w:rFonts w:ascii="Times New Roman" w:hAnsi="Times New Roman" w:eastAsia="宋体"/>
          <w:b w:val="0"/>
          <w:sz w:val="21"/>
        </w:rPr>
        <w:t xml:space="preserve">表5-28 汶河变年度配置与正向峰值正常转接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22.81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22.81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MW，转接后净负荷为22.81 MW；区域最低净负荷工况下为-27.24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MVA。两代表工况重新转供后的本站净负荷分别为22.81 MW、-27.24 MW，两方向最小容量余量为2.69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四年校核截面中，本站绝对功率最大的工况出现在2025年，转接前为-28.94 MW，主要表现为反向输送需求。按该年设备扣除最大单台主变后，剩余容量31.50 MVA。该工况本站由剩余主变满足承载要求。</w:t>
      </w:r>
    </w:p>
    <w:p>
      <w:pPr>
        <w:pStyle w:val="7"/>
        <w:keepNext/>
        <w:numPr>
          <w:numId w:val="0"/>
        </w:numPr>
        <w:spacing w:line="360" w:lineRule="exact" w:before="160" w:after="120"/>
        <w:ind w:firstLine="0"/>
      </w:pPr>
      <w:bookmarkStart w:id="210" w:name="吴闸变规划分析"/>
      <w:r>
        <w:rPr>
          <w:rFonts w:ascii="Times New Roman" w:hAnsi="Times New Roman" w:eastAsia="方正仿宋_GBK"/>
          <w:b/>
          <w:sz w:val="24"/>
        </w:rPr>
        <w:t xml:space="preserve">吴闸变规划分析</w:t>
      </w:r>
      <w:bookmarkEnd w:id="21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2025年本站最大正向、反向净负荷分别为50.21 MW、0.00 MW。刚性方案当年主变容量为70.00 MVA、储能额定功率0.00 MW；弹性方案分别为70.00 MVA和0.00 MW。两类方案本站主变总容量相同。弹性方案按当年各站局部极值计算的站级负载率为76%。</w:t>
      </w:r>
    </w:p>
    <w:p>
      <w:pPr>
        <w:pStyle w:val="2"/>
        <w:keepNext/>
        <w:spacing w:line="280" w:lineRule="exact" w:before="120" w:after="80"/>
        <w:ind w:firstLine="0"/>
        <w:jc w:val="center"/>
      </w:pPr>
      <w:r>
        <w:rPr>
          <w:rFonts w:ascii="Times New Roman" w:hAnsi="Times New Roman" w:eastAsia="宋体"/>
          <w:b w:val="0"/>
          <w:sz w:val="21"/>
        </w:rPr>
        <w:t xml:space="preserve">表5-29 吴闸变年度配置与正向峰值正常转接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48.18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MW，转接后净负荷为48.18 MW；区域最低净负荷工况下为2.19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本站最大单台主变停运后剩余容量为20.00 MVA。两代表工况重新转供后的本站净负荷分别为19.00 MW、2.19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四年校核截面中，本站绝对功率最大的工况出现在2025年，转接前为50.21 MW，主要表现为正向受电需求。按该年设备扣除最大单台主变后，剩余容量20.00 MVA。故障方式下本站转出31.21 MW、承接0.00 MW，其中与议堂变之间的主要转出功率为12.49 MW，转接后净负荷为19.00 MW。这一工况通过邻站分担本站故障后的正向负荷。</w:t>
      </w:r>
    </w:p>
    <w:p>
      <w:pPr>
        <w:pStyle w:val="7"/>
        <w:keepNext/>
        <w:numPr>
          <w:numId w:val="0"/>
        </w:numPr>
        <w:spacing w:line="360" w:lineRule="exact" w:before="160" w:after="120"/>
        <w:ind w:firstLine="0"/>
      </w:pPr>
      <w:bookmarkStart w:id="211" w:name="邢楼变规划分析"/>
      <w:r>
        <w:rPr>
          <w:rFonts w:ascii="Times New Roman" w:hAnsi="Times New Roman" w:eastAsia="方正仿宋_GBK"/>
          <w:b/>
          <w:sz w:val="24"/>
        </w:rPr>
        <w:t xml:space="preserve">邢楼变规划分析</w:t>
      </w:r>
      <w:bookmarkEnd w:id="21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该站初始主变组合为20+20 MVA。2022年扩建第三台50 MVA主变。弹性方案四年均由主变及网络承担供电任务。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2025年本站最大正向、反向净负荷分别为19.20 MW、35.38 MW。刚性方案当年主变容量为113.00 MVA、储能额定功率1.10 MW；弹性方案分别为90.00 MVA和0.00 MW。弹性方案本站容量减少23.00 MVA。弹性方案按当年各站局部极值计算的站级负载率为41%。</w:t>
      </w:r>
    </w:p>
    <w:p>
      <w:pPr>
        <w:pStyle w:val="2"/>
        <w:keepNext/>
        <w:spacing w:line="280" w:lineRule="exact" w:before="120" w:after="80"/>
        <w:ind w:firstLine="0"/>
        <w:jc w:val="center"/>
      </w:pPr>
      <w:r>
        <w:rPr>
          <w:rFonts w:ascii="Times New Roman" w:hAnsi="Times New Roman" w:eastAsia="宋体"/>
          <w:b w:val="0"/>
          <w:sz w:val="21"/>
        </w:rPr>
        <w:t xml:space="preserve">表5-30 邢楼变年度配置与正向峰值正常转接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15.68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MW，转接后净负荷为15.68 MW；区域最低净负荷工况下为-29.65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MVA。两代表工况重新转供后的本站净负荷分别为15.68 MW、-29.65 MW，两方向最小容量余量为8.35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四年校核截面中，本站绝对功率最大的工况出现在2025年，转接前为-35.38 MW，主要表现为反向输送需求。按该年设备扣除最大单台主变后，剩余容量40.00 MVA。该工况本站由剩余主变满足承载要求。</w:t>
      </w:r>
    </w:p>
    <w:p>
      <w:pPr>
        <w:pStyle w:val="7"/>
        <w:keepNext/>
        <w:numPr>
          <w:numId w:val="0"/>
        </w:numPr>
        <w:spacing w:line="360" w:lineRule="exact" w:before="160" w:after="120"/>
        <w:ind w:firstLine="0"/>
      </w:pPr>
      <w:bookmarkStart w:id="212" w:name="兴塘变规划分析"/>
      <w:r>
        <w:rPr>
          <w:rFonts w:ascii="Times New Roman" w:hAnsi="Times New Roman" w:eastAsia="方正仿宋_GBK"/>
          <w:b/>
          <w:sz w:val="24"/>
        </w:rPr>
        <w:t xml:space="preserve">兴塘变规划分析</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该站初始主变组合为20+20 MVA。2022年20 MVA更换为31.5 MVA，20 MVA更换为31.5 MVA。2025年新增0.80 MW储能。</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2025年本站最大正向、反向净负荷分别为39.15 MW、30.66 MW。刚性方案当年主变容量为40.00 MVA、储能额定功率11.70 MW；弹性方案分别为63.00 MVA和0.80 MW。弹性方案本站增加23.00 MVA容量。弹性方案按当年各站局部极值计算的站级负载率为65%。</w:t>
      </w:r>
    </w:p>
    <w:p>
      <w:pPr>
        <w:pStyle w:val="2"/>
        <w:keepNext/>
        <w:spacing w:line="280" w:lineRule="exact" w:before="120" w:after="80"/>
        <w:ind w:firstLine="0"/>
        <w:jc w:val="center"/>
      </w:pPr>
      <w:r>
        <w:rPr>
          <w:rFonts w:ascii="Times New Roman" w:hAnsi="Times New Roman" w:eastAsia="宋体"/>
          <w:b w:val="0"/>
          <w:sz w:val="21"/>
        </w:rPr>
        <w:t xml:space="preserve">表5-31 兴塘变年度配置与正向峰值正常转接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39.15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MW，转接后净负荷为39.15 MW；区域最低净负荷工况下为-30.66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本站最大单台主变停运后剩余容量为31.50 MVA。两代表工况重新转供后的本站净负荷分别为30.58 MW、-30.66 MW，两方向最小容量余量为0.00 MW，正向储能有效支撑功率为0.65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四年校核截面中，本站绝对功率最大的工况出现在2025年，转接前为39.15 MW，主要表现为正向受电需求。按该年设备扣除最大单台主变后，剩余容量31.50 MVA。故障方式下本站转出8.57 MW、承接0.00 MW，其中与宿羊山变之间的主要转出功率为7.40 MW，转接后净负荷为30.58 MW。这一工况通过邻站分担本站故障后的正向负荷。</w:t>
      </w:r>
    </w:p>
    <w:p>
      <w:pPr>
        <w:pStyle w:val="7"/>
        <w:keepNext/>
        <w:numPr>
          <w:numId w:val="0"/>
        </w:numPr>
        <w:spacing w:line="360" w:lineRule="exact" w:before="160" w:after="120"/>
        <w:ind w:firstLine="0"/>
      </w:pPr>
      <w:bookmarkStart w:id="213" w:name="议堂变规划分析"/>
      <w:r>
        <w:rPr>
          <w:rFonts w:ascii="Times New Roman" w:hAnsi="Times New Roman" w:eastAsia="方正仿宋_GBK"/>
          <w:b/>
          <w:sz w:val="24"/>
        </w:rPr>
        <w:t xml:space="preserve">议堂变规划分析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该站初始主变组合为20+50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2025年本站最大正向、反向净负荷分别为34.43 MW、22.89 MW。刚性方案当年主变容量为70.00 MVA、储能额定功率0.00 MW；弹性方案分别为70.00 MVA和0.00 MW。两类方案本站主变总容量相同。弹性方案按当年各站局部极值计算的站级负载率为52%。</w:t>
      </w:r>
    </w:p>
    <w:p>
      <w:pPr>
        <w:pStyle w:val="2"/>
        <w:keepNext/>
        <w:spacing w:line="280" w:lineRule="exact" w:before="120" w:after="80"/>
        <w:ind w:firstLine="0"/>
        <w:jc w:val="center"/>
      </w:pPr>
      <w:r>
        <w:rPr>
          <w:rFonts w:ascii="Times New Roman" w:hAnsi="Times New Roman" w:eastAsia="宋体"/>
          <w:b w:val="0"/>
          <w:sz w:val="21"/>
        </w:rPr>
        <w:t xml:space="preserve">表5-32 议堂变年度配置与正向峰值正常转接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34.43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MW，转接后净负荷为34.43 MW；区域最低净负荷工况下为-21.58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本站最大单台主变停运后剩余容量为20.00 MVA。两代表工况重新转供后的本站净负荷分别为19.00 MW、-19.00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四年校核截面中，本站绝对功率最大的工况出现在2025年，转接前为34.43 MW，主要表现为正向受电需求。按该年设备扣除最大单台主变后，剩余容量20.00 MVA。故障方式下本站转出15.43 MW、承接0.00 MW，其中与吴闸变之间的主要转出功率为15.43 MW，转接后净负荷为19.00 MW。这一工况通过邻站分担本站故障后的正向负荷。</w:t>
      </w:r>
    </w:p>
    <w:p>
      <w:pPr>
        <w:pStyle w:val="5"/>
        <w:keepNext/>
        <w:numPr>
          <w:numId w:val="0"/>
        </w:numPr>
        <w:spacing w:line="390" w:lineRule="exact" w:before="160" w:after="120"/>
        <w:ind w:firstLine="0"/>
      </w:pPr>
      <w:bookmarkStart w:id="214" w:name="市区逐站规划方案"/>
      <w:r>
        <w:rPr>
          <w:rFonts w:ascii="Times New Roman" w:hAnsi="Times New Roman" w:eastAsia="方正仿宋_GBK"/>
          <w:b/>
          <w:sz w:val="26"/>
        </w:rPr>
        <w:t xml:space="preserve">5.4.6 市区逐站规划方案</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15" w:name="大黄山变规划分析"/>
      <w:r>
        <w:rPr>
          <w:rFonts w:ascii="Times New Roman" w:hAnsi="Times New Roman" w:eastAsia="方正仿宋_GBK"/>
          <w:b/>
          <w:sz w:val="24"/>
        </w:rPr>
        <w:t xml:space="preserve">大黄山变规划分析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2025年本站最大正向、反向净负荷分别为32.29 MW、35.73 MW。刚性方案当年主变容量为103.00 MVA、储能额定功率0.00 MW；弹性方案分别为103.00 MVA和0.00 MW。两类方案本站主变总容量相同。弹性方案按当年各站局部极值计算的站级负载率为37%。</w:t>
      </w:r>
    </w:p>
    <w:p>
      <w:pPr>
        <w:pStyle w:val="2"/>
        <w:keepNext/>
        <w:spacing w:line="280" w:lineRule="exact" w:before="120" w:after="80"/>
        <w:ind w:firstLine="0"/>
        <w:jc w:val="center"/>
      </w:pPr>
      <w:r>
        <w:rPr>
          <w:rFonts w:ascii="Times New Roman" w:hAnsi="Times New Roman" w:eastAsia="宋体"/>
          <w:b w:val="0"/>
          <w:sz w:val="21"/>
        </w:rPr>
        <w:t xml:space="preserve">表5-33 大黄山变年度配置与正向峰值正常转接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MW，转接后净负荷为30.59 MW；区域最低净负荷工况下为-32.17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MVA。两代表工况重新转供后的本站净负荷分别为30.59 MW、-32.17 MW，两方向最小容量余量为5.83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四年校核截面中，本站绝对功率最大的工况出现在2023年，转接前为-36.05 MW，主要表现为反向输送需求。按该年设备扣除最大单台主变后，剩余容量40.00 MVA。该工况本站由剩余主变满足承载要求。</w:t>
      </w:r>
    </w:p>
    <w:p>
      <w:pPr>
        <w:pStyle w:val="7"/>
        <w:keepNext/>
        <w:numPr>
          <w:numId w:val="0"/>
        </w:numPr>
        <w:spacing w:line="360" w:lineRule="exact" w:before="160" w:after="120"/>
        <w:ind w:firstLine="0"/>
      </w:pPr>
      <w:bookmarkStart w:id="216" w:name="大庙变规划分析"/>
      <w:r>
        <w:rPr>
          <w:rFonts w:ascii="Times New Roman" w:hAnsi="Times New Roman" w:eastAsia="方正仿宋_GBK"/>
          <w:b/>
          <w:sz w:val="24"/>
        </w:rPr>
        <w:t xml:space="preserve">大庙变规划分析</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2025年本站最大正向、反向净负荷分别为70.32 MW、8.70 MW。刚性方案当年主变容量为90.00 MVA、储能额定功率0.00 MW；弹性方案分别为90.00 MVA和0.00 MW。两类方案本站主变总容量相同。弹性方案按当年各站局部极值计算的站级负载率为82%。</w:t>
      </w:r>
    </w:p>
    <w:p>
      <w:pPr>
        <w:pStyle w:val="2"/>
        <w:keepNext/>
        <w:spacing w:line="280" w:lineRule="exact" w:before="120" w:after="80"/>
        <w:ind w:firstLine="0"/>
        <w:jc w:val="center"/>
      </w:pPr>
      <w:r>
        <w:rPr>
          <w:rFonts w:ascii="Times New Roman" w:hAnsi="Times New Roman" w:eastAsia="宋体"/>
          <w:b w:val="0"/>
          <w:sz w:val="21"/>
        </w:rPr>
        <w:t xml:space="preserve">表5-34 大庙变年度配置与正向峰值正常转接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69.73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MW，转接后净负荷为69.73 MW；区域最低净负荷工况下为1.68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MW、1.68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四年校核截面中，本站绝对功率最大的工况出现在2023年，转接前为70.93 MW，主要表现为正向受电需求。按该年设备扣除最大单台主变后，剩余容量40.00 MVA。故障方式下本站转出32.93 MW、承接0.00 MW，其中与龙湖变之间的主要转出功率为13.08 MW，转接后净负荷为38.00 MW。这一工况通过邻站分担本站故障后的正向负荷。</w:t>
      </w:r>
    </w:p>
    <w:p>
      <w:pPr>
        <w:pStyle w:val="7"/>
        <w:keepNext/>
        <w:numPr>
          <w:numId w:val="0"/>
        </w:numPr>
        <w:spacing w:line="360" w:lineRule="exact" w:before="160" w:after="120"/>
        <w:ind w:firstLine="0"/>
      </w:pPr>
      <w:bookmarkStart w:id="217" w:name="堤北变规划分析"/>
      <w:r>
        <w:rPr>
          <w:rFonts w:ascii="Times New Roman" w:hAnsi="Times New Roman" w:eastAsia="方正仿宋_GBK"/>
          <w:b/>
          <w:sz w:val="24"/>
        </w:rPr>
        <w:t xml:space="preserve">堤北变规划分析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2025年本站最大正向、反向净负荷分别为102.93 MW、0.00 MW。刚性方案当年主变容量为126.00 MVA、储能额定功率0.00 MW；弹性方案分别为126.00 MVA和0.00 MW。两类方案本站主变总容量相同。弹性方案按当年各站局部极值计算的站级负载率为86%。</w:t>
      </w:r>
    </w:p>
    <w:p>
      <w:pPr>
        <w:pStyle w:val="2"/>
        <w:keepNext/>
        <w:spacing w:line="280" w:lineRule="exact" w:before="120" w:after="80"/>
        <w:ind w:firstLine="0"/>
        <w:jc w:val="center"/>
      </w:pPr>
      <w:r>
        <w:rPr>
          <w:rFonts w:ascii="Times New Roman" w:hAnsi="Times New Roman" w:eastAsia="宋体"/>
          <w:b w:val="0"/>
          <w:sz w:val="21"/>
        </w:rPr>
        <w:t xml:space="preserve">表5-35 堤北变年度配置与正向峰值正常转接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95.25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94.14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101.35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95.25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100.47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MW，转接后净负荷为100.47 MW；区域最低净负荷工况下为32.89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本站最大单台主变停运后剩余容量为63.00 MVA。两代表工况重新转供后的本站净负荷分别为59.85 MW、32.89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四年校核截面中，本站绝对功率最大的工况出现在2023年，转接前为103.83 MW，主要表现为正向受电需求。按该年设备扣除最大单台主变后，剩余容量63.00 MVA。故障方式下本站转出43.98 MW、承接0.00 MW，其中与刘湾变之间的主要转出功率为25.46 MW，转接后净负荷为59.85 MW。这一工况通过邻站分担本站故障后的正向负荷。</w:t>
      </w:r>
    </w:p>
    <w:p>
      <w:pPr>
        <w:pStyle w:val="7"/>
        <w:keepNext/>
        <w:numPr>
          <w:numId w:val="0"/>
        </w:numPr>
        <w:spacing w:line="360" w:lineRule="exact" w:before="160" w:after="120"/>
        <w:ind w:firstLine="0"/>
      </w:pPr>
      <w:bookmarkStart w:id="218" w:name="翟山变规划分析"/>
      <w:r>
        <w:rPr>
          <w:rFonts w:ascii="Times New Roman" w:hAnsi="Times New Roman" w:eastAsia="方正仿宋_GBK"/>
          <w:b/>
          <w:sz w:val="24"/>
        </w:rPr>
        <w:t xml:space="preserve">翟山变规划分析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该站初始主变组合为40+80 MVA。2022年40 MVA更换为63 MVA。弹性方案四年均由主变及网络承担供电任务。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2025年本站最大正向、反向净负荷分别为95.63 MW、0.00 MW。刚性方案当年主变容量为120.00 MVA、储能额定功率0.00 MW；弹性方案分别为143.00 MVA和0.00 MW。弹性方案本站增加23.00 MVA容量。弹性方案按当年各站局部极值计算的站级负载率为70%。</w:t>
      </w:r>
    </w:p>
    <w:p>
      <w:pPr>
        <w:pStyle w:val="2"/>
        <w:keepNext/>
        <w:spacing w:line="280" w:lineRule="exact" w:before="120" w:after="80"/>
        <w:ind w:firstLine="0"/>
        <w:jc w:val="center"/>
      </w:pPr>
      <w:r>
        <w:rPr>
          <w:rFonts w:ascii="Times New Roman" w:hAnsi="Times New Roman" w:eastAsia="宋体"/>
          <w:b w:val="0"/>
          <w:sz w:val="21"/>
        </w:rPr>
        <w:t xml:space="preserve">表5-36 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104.13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93.29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82.49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87.01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MW，转接后净负荷为87.01 MW；区域最低净负荷工况下为26.76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本站最大单台主变停运后剩余容量为63.00 MVA。两代表工况重新转供后的本站净负荷分别为59.85 MW、26.76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四年校核截面中，本站绝对功率最大的工况出现在2023年，转接前为96.46 MW，主要表现为正向受电需求。按该年设备扣除最大单台主变后，剩余容量63.00 MVA。故障方式下本站转出36.61 MW、承接0.00 MW，其中与开元变之间的主要转出功率为23.53 MW，转接后净负荷为59.85 MW。这一工况通过邻站分担本站故障后的正向负荷。</w:t>
      </w:r>
    </w:p>
    <w:p>
      <w:pPr>
        <w:pStyle w:val="7"/>
        <w:keepNext/>
        <w:numPr>
          <w:numId w:val="0"/>
        </w:numPr>
        <w:spacing w:line="360" w:lineRule="exact" w:before="160" w:after="120"/>
        <w:ind w:firstLine="0"/>
      </w:pPr>
      <w:bookmarkStart w:id="219" w:name="古彭变规划分析"/>
      <w:r>
        <w:rPr>
          <w:rFonts w:ascii="Times New Roman" w:hAnsi="Times New Roman" w:eastAsia="方正仿宋_GBK"/>
          <w:b/>
          <w:sz w:val="24"/>
        </w:rPr>
        <w:t xml:space="preserve">古彭变规划分析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2025年本站最大正向、反向净负荷分别为84.10 MW、0.00 MW。刚性方案当年主变容量为130.00 MVA、储能额定功率0.00 MW；弹性方案分别为130.00 MVA和0.00 MW。两类方案本站主变总容量相同。弹性方案按当年各站局部极值计算的站级负载率为68%。</w:t>
      </w:r>
    </w:p>
    <w:p>
      <w:pPr>
        <w:pStyle w:val="2"/>
        <w:keepNext/>
        <w:spacing w:line="280" w:lineRule="exact" w:before="120" w:after="80"/>
        <w:ind w:firstLine="0"/>
        <w:jc w:val="center"/>
      </w:pPr>
      <w:r>
        <w:rPr>
          <w:rFonts w:ascii="Times New Roman" w:hAnsi="Times New Roman" w:eastAsia="宋体"/>
          <w:b w:val="0"/>
          <w:sz w:val="21"/>
        </w:rPr>
        <w:t xml:space="preserve">表5-37 古彭变年度配置与正向峰值正常转接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58.82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MW，转接后净负荷为60.03 MW；区域最低净负荷工况下为24.10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本站最大单台主变停运后剩余容量为50.00 MVA。两代表工况重新转供后的本站净负荷分别为47.50 MW、24.10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四年校核截面中，本站绝对功率最大的工况出现在2023年，转接前为84.84 MW，主要表现为正向受电需求。按该年设备扣除最大单台主变后，剩余容量50.00 MVA。故障方式下本站转出37.34 MW、承接0.00 MW，其中与吴庄变之间的主要转出功率为19.58 MW，转接后净负荷为47.50 MW。这一工况通过邻站分担本站故障后的正向负荷。</w:t>
      </w:r>
    </w:p>
    <w:p>
      <w:pPr>
        <w:pStyle w:val="7"/>
        <w:keepNext/>
        <w:numPr>
          <w:numId w:val="0"/>
        </w:numPr>
        <w:spacing w:line="360" w:lineRule="exact" w:before="160" w:after="120"/>
        <w:ind w:firstLine="0"/>
      </w:pPr>
      <w:bookmarkStart w:id="220" w:name="花园变规划分析"/>
      <w:r>
        <w:rPr>
          <w:rFonts w:ascii="Times New Roman" w:hAnsi="Times New Roman" w:eastAsia="方正仿宋_GBK"/>
          <w:b/>
          <w:sz w:val="24"/>
        </w:rPr>
        <w:t xml:space="preserve">花园变规划分析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2025年本站最大正向、反向净负荷分别为63.57 MW、0.00 MW。刚性方案当年主变容量为80.00 MVA、储能额定功率0.00 MW；弹性方案分别为80.00 MVA和0.00 MW。两类方案本站主变总容量相同。弹性方案按当年各站局部极值计算的站级负载率为84%。</w:t>
      </w:r>
    </w:p>
    <w:p>
      <w:pPr>
        <w:pStyle w:val="2"/>
        <w:keepNext/>
        <w:spacing w:line="280" w:lineRule="exact" w:before="120" w:after="80"/>
        <w:ind w:firstLine="0"/>
        <w:jc w:val="center"/>
      </w:pPr>
      <w:r>
        <w:rPr>
          <w:rFonts w:ascii="Times New Roman" w:hAnsi="Times New Roman" w:eastAsia="宋体"/>
          <w:b w:val="0"/>
          <w:sz w:val="21"/>
        </w:rPr>
        <w:t xml:space="preserve">表5-38 花园变年度配置与正向峰值正常转接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47.02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47.02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MW，转接后净负荷为49.60 MW；区域最低净负荷工况下为19.62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MW、19.62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四年校核截面中，本站绝对功率最大的工况出现在2023年，转接前为64.13 MW，主要表现为正向受电需求。按该年设备扣除最大单台主变后，剩余容量40.00 MVA。故障方式下本站转出26.13 MW、承接0.00 MW，其中与庆云桥变之间的主要转出功率为10.59 MW，转接后净负荷为38.00 MW。这一工况通过邻站分担本站故障后的正向负荷。</w:t>
      </w:r>
    </w:p>
    <w:p>
      <w:pPr>
        <w:pStyle w:val="7"/>
        <w:keepNext/>
        <w:numPr>
          <w:numId w:val="0"/>
        </w:numPr>
        <w:spacing w:line="360" w:lineRule="exact" w:before="160" w:after="120"/>
        <w:ind w:firstLine="0"/>
      </w:pPr>
      <w:bookmarkStart w:id="221" w:name="惠民变规划分析"/>
      <w:r>
        <w:rPr>
          <w:rFonts w:ascii="Times New Roman" w:hAnsi="Times New Roman" w:eastAsia="方正仿宋_GBK"/>
          <w:b/>
          <w:sz w:val="24"/>
        </w:rPr>
        <w:t xml:space="preserve">惠民变规划分析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2025年本站最大正向、反向净负荷分别为85.29 MW、0.00 MW。刚性方案当年主变容量为103.00 MVA、储能额定功率0.00 MW；弹性方案分别为103.00 MVA和0.00 MW。两类方案本站主变总容量相同。弹性方案按当年各站局部极值计算的站级负载率为87%。</w:t>
      </w:r>
    </w:p>
    <w:p>
      <w:pPr>
        <w:pStyle w:val="2"/>
        <w:keepNext/>
        <w:spacing w:line="280" w:lineRule="exact" w:before="120" w:after="80"/>
        <w:ind w:firstLine="0"/>
        <w:jc w:val="center"/>
      </w:pPr>
      <w:r>
        <w:rPr>
          <w:rFonts w:ascii="Times New Roman" w:hAnsi="Times New Roman" w:eastAsia="宋体"/>
          <w:b w:val="0"/>
          <w:sz w:val="21"/>
        </w:rPr>
        <w:t xml:space="preserve">表5-39 惠民变年度配置与正向峰值正常转接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74.38</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MW，转接后净负荷为74.38 MW；区域最低净负荷工况下为24.04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MW、24.04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四年校核截面中，本站绝对功率最大的工况出现在2023年，转接前为86.03 MW，主要表现为正向受电需求。按该年设备扣除最大单台主变后，剩余容量40.00 MVA。故障方式下本站转出48.03 MW、承接0.00 MW，其中与大庙变之间的主要转出功率为28.84 MW，转接后净负荷为38.00 MW。这一工况通过邻站分担本站故障后的正向负荷。</w:t>
      </w:r>
    </w:p>
    <w:p>
      <w:pPr>
        <w:pStyle w:val="7"/>
        <w:keepNext/>
        <w:numPr>
          <w:numId w:val="0"/>
        </w:numPr>
        <w:spacing w:line="360" w:lineRule="exact" w:before="160" w:after="120"/>
        <w:ind w:firstLine="0"/>
      </w:pPr>
      <w:bookmarkStart w:id="222" w:name="夹河变规划分析"/>
      <w:r>
        <w:rPr>
          <w:rFonts w:ascii="Times New Roman" w:hAnsi="Times New Roman" w:eastAsia="方正仿宋_GBK"/>
          <w:b/>
          <w:sz w:val="24"/>
        </w:rPr>
        <w:t xml:space="preserve">夹河变规划分析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2025年本站最大正向、反向净负荷分别为46.06 MW、6.81 MW。刚性方案当年主变容量为80.00 MVA、储能额定功率0.00 MW；弹性方案分别为80.00 MVA和0.00 MW。两类方案本站主变总容量相同。弹性方案按当年各站局部极值计算的站级负载率为61%。</w:t>
      </w:r>
    </w:p>
    <w:p>
      <w:pPr>
        <w:pStyle w:val="2"/>
        <w:keepNext/>
        <w:spacing w:line="280" w:lineRule="exact" w:before="120" w:after="80"/>
        <w:ind w:firstLine="0"/>
        <w:jc w:val="center"/>
      </w:pPr>
      <w:r>
        <w:rPr>
          <w:rFonts w:ascii="Times New Roman" w:hAnsi="Times New Roman" w:eastAsia="宋体"/>
          <w:b w:val="0"/>
          <w:sz w:val="21"/>
        </w:rPr>
        <w:t xml:space="preserve">表5-40 夹河变年度配置与正向峰值正常转接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46.06</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MW，转接后净负荷为46.06 MW；区域最低净负荷工况下为-6.81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MW、-6.81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四年校核截面中，本站绝对功率最大的工况出现在2023年，转接前为46.47 MW，主要表现为正向受电需求。按该年设备扣除最大单台主变后，剩余容量40.00 MVA。故障方式下本站转出8.47 MW、承接0.00 MW，其中与开元变之间的主要转出功率为8.47 MW，转接后净负荷为38.00 MW。这一工况通过邻站分担本站故障后的正向负荷。</w:t>
      </w:r>
    </w:p>
    <w:p>
      <w:pPr>
        <w:pStyle w:val="7"/>
        <w:keepNext/>
        <w:numPr>
          <w:numId w:val="0"/>
        </w:numPr>
        <w:spacing w:line="360" w:lineRule="exact" w:before="160" w:after="120"/>
        <w:ind w:firstLine="0"/>
      </w:pPr>
      <w:bookmarkStart w:id="223" w:name="开元变规划分析"/>
      <w:r>
        <w:rPr>
          <w:rFonts w:ascii="Times New Roman" w:hAnsi="Times New Roman" w:eastAsia="方正仿宋_GBK"/>
          <w:b/>
          <w:sz w:val="24"/>
        </w:rPr>
        <w:t xml:space="preserve">开元变规划分析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该站初始主变组合为40+63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2025年本站最大正向、反向净负荷分别为56.24 MW、0.00 MW。刚性方案当年主变容量为103.00 MVA、储能额定功率0.00 MW；弹性方案分别为103.00 MVA和0.00 MW。两类方案本站主变总容量相同。弹性方案按当年各站局部极值计算的站级负载率为57%。</w:t>
      </w:r>
    </w:p>
    <w:p>
      <w:pPr>
        <w:pStyle w:val="2"/>
        <w:keepNext/>
        <w:spacing w:line="280" w:lineRule="exact" w:before="120" w:after="80"/>
        <w:ind w:firstLine="0"/>
        <w:jc w:val="center"/>
      </w:pPr>
      <w:r>
        <w:rPr>
          <w:rFonts w:ascii="Times New Roman" w:hAnsi="Times New Roman" w:eastAsia="宋体"/>
          <w:b w:val="0"/>
          <w:sz w:val="21"/>
        </w:rPr>
        <w:t xml:space="preserve">表5-41 开元变年度配置与正向峰值正常转接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55.22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56.24</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MW，转接后净负荷为56.24 MW；区域最低净负荷工况下为13.51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MW、13.51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四年校核截面中，本站绝对功率最大的工况出现在2023年，转接前为56.73 MW，主要表现为正向受电需求。按该年设备扣除最大单台主变后，剩余容量40.00 MVA。故障方式下本站转出18.73 MW、承接0.00 MW，其中与吴庄变之间的主要转出功率为18.73 MW，转接后净负荷为38.00 MW。这一工况通过邻站分担本站故障后的正向负荷。</w:t>
      </w:r>
    </w:p>
    <w:p>
      <w:pPr>
        <w:pStyle w:val="7"/>
        <w:keepNext/>
        <w:numPr>
          <w:numId w:val="0"/>
        </w:numPr>
        <w:spacing w:line="360" w:lineRule="exact" w:before="160" w:after="120"/>
        <w:ind w:firstLine="0"/>
      </w:pPr>
      <w:bookmarkStart w:id="224" w:name="奎山变规划分析"/>
      <w:r>
        <w:rPr>
          <w:rFonts w:ascii="Times New Roman" w:hAnsi="Times New Roman" w:eastAsia="方正仿宋_GBK"/>
          <w:b/>
          <w:sz w:val="24"/>
        </w:rPr>
        <w:t xml:space="preserve">奎山变规划分析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2025年本站最大正向、反向净负荷分别为83.73 MW、0.00 MW。刚性方案当年主变容量为130.00 MVA、储能额定功率0.00 MW；弹性方案分别为130.00 MVA和0.00 MW。两类方案本站主变总容量相同。弹性方案按当年各站局部极值计算的站级负载率为68%。</w:t>
      </w:r>
    </w:p>
    <w:p>
      <w:pPr>
        <w:pStyle w:val="2"/>
        <w:keepNext/>
        <w:spacing w:line="280" w:lineRule="exact" w:before="120" w:after="80"/>
        <w:ind w:firstLine="0"/>
        <w:jc w:val="center"/>
      </w:pPr>
      <w:r>
        <w:rPr>
          <w:rFonts w:ascii="Times New Roman" w:hAnsi="Times New Roman" w:eastAsia="宋体"/>
          <w:b w:val="0"/>
          <w:sz w:val="21"/>
        </w:rPr>
        <w:t xml:space="preserve">表5-42 奎山变年度配置与正向峰值正常转接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66.93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72.06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88.42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78.52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86.99</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MW、承接15.55 MW，转接后净负荷为86.99 MW；区域最低净负荷工况下为22.48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本站最大单台主变停运后剩余容量为50.00 MVA。两代表工况重新转供后的本站净负荷分别为47.50 MW、22.48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四年校核截面中，本站绝对功率最大的工况出现在2023年，转接前为84.47 MW，主要表现为正向受电需求。按该年设备扣除最大单台主变后，剩余容量50.00 MVA。故障方式下本站转出36.97 MW、承接0.00 MW，其中与翟山变之间的主要转出功率为36.97 MW，转接后净负荷为47.50 MW。这一工况通过邻站分担本站故障后的正向负荷。</w:t>
      </w:r>
    </w:p>
    <w:p>
      <w:pPr>
        <w:pStyle w:val="7"/>
        <w:keepNext/>
        <w:numPr>
          <w:numId w:val="0"/>
        </w:numPr>
        <w:spacing w:line="360" w:lineRule="exact" w:before="160" w:after="120"/>
        <w:ind w:firstLine="0"/>
      </w:pPr>
      <w:bookmarkStart w:id="225" w:name="刘湾变规划分析"/>
      <w:r>
        <w:rPr>
          <w:rFonts w:ascii="Times New Roman" w:hAnsi="Times New Roman" w:eastAsia="方正仿宋_GBK"/>
          <w:b/>
          <w:sz w:val="24"/>
        </w:rPr>
        <w:t xml:space="preserve">刘湾变规划分析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2025年本站最大正向、反向净负荷分别为71.22 MW、13.31 MW。刚性方案当年主变容量为90.00 MVA、储能额定功率0.00 MW；弹性方案分别为90.00 MVA和0.00 MW。两类方案本站主变总容量相同。弹性方案按当年各站局部极值计算的站级负载率为83%。</w:t>
      </w:r>
    </w:p>
    <w:p>
      <w:pPr>
        <w:pStyle w:val="2"/>
        <w:keepNext/>
        <w:spacing w:line="280" w:lineRule="exact" w:before="120" w:after="80"/>
        <w:ind w:firstLine="0"/>
        <w:jc w:val="center"/>
      </w:pPr>
      <w:r>
        <w:rPr>
          <w:rFonts w:ascii="Times New Roman" w:hAnsi="Times New Roman" w:eastAsia="宋体"/>
          <w:b w:val="0"/>
          <w:sz w:val="21"/>
        </w:rPr>
        <w:t xml:space="preserve">表5-43 刘湾变年度配置与正向峰值正常转接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57.30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57.30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60.43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MW，转接后净负荷为60.43 MW；区域最低净负荷工况下为2.04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MW、2.04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四年校核截面中，本站绝对功率最大的工况出现在2023年，转接前为71.84 MW，主要表现为正向受电需求。按该年设备扣除最大单台主变后，剩余容量40.00 MVA。故障方式下本站转出33.84 MW、承接0.00 MW，其中与拾屯变之间的主要转出功率为33.11 MW，转接后净负荷为38.00 MW。这一工况通过邻站分担本站故障后的正向负荷。</w:t>
      </w:r>
    </w:p>
    <w:p>
      <w:pPr>
        <w:pStyle w:val="7"/>
        <w:keepNext/>
        <w:numPr>
          <w:numId w:val="0"/>
        </w:numPr>
        <w:spacing w:line="360" w:lineRule="exact" w:before="160" w:after="120"/>
        <w:ind w:firstLine="0"/>
      </w:pPr>
      <w:bookmarkStart w:id="226" w:name="龙湖变规划分析"/>
      <w:r>
        <w:rPr>
          <w:rFonts w:ascii="Times New Roman" w:hAnsi="Times New Roman" w:eastAsia="方正仿宋_GBK"/>
          <w:b/>
          <w:sz w:val="24"/>
        </w:rPr>
        <w:t xml:space="preserve">龙湖变规划分析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2025年本站最大正向、反向净负荷分别为31.83 MW、0.00 MW。刚性方案当年主变容量为80.00 MVA、储能额定功率0.00 MW；弹性方案分别为80.00 MVA和0.00 MW。两类方案本站主变总容量相同。弹性方案按当年各站局部极值计算的站级负载率为42%。</w:t>
      </w:r>
    </w:p>
    <w:p>
      <w:pPr>
        <w:pStyle w:val="2"/>
        <w:keepNext/>
        <w:spacing w:line="280" w:lineRule="exact" w:before="120" w:after="80"/>
        <w:ind w:firstLine="0"/>
        <w:jc w:val="center"/>
      </w:pPr>
      <w:r>
        <w:rPr>
          <w:rFonts w:ascii="Times New Roman" w:hAnsi="Times New Roman" w:eastAsia="宋体"/>
          <w:b w:val="0"/>
          <w:sz w:val="21"/>
        </w:rPr>
        <w:t xml:space="preserve">表5-44 龙湖变年度配置与正向峰值正常转接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28.53</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MW，转接后净负荷为28.53 MW；区域最低净负荷工况下为9.38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MVA。两代表工况重新转供后的本站净负荷分别为28.53 MW、9.38 MW，两方向最小容量余量为9.47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四年校核截面中，本站绝对功率最大的工况出现在2023年，转接前为32.11 MW，主要表现为正向受电需求。按该年设备扣除最大单台主变后，剩余容量40.00 MVA。该工况本站由剩余主变满足承载要求。</w:t>
      </w:r>
    </w:p>
    <w:p>
      <w:pPr>
        <w:pStyle w:val="7"/>
        <w:keepNext/>
        <w:numPr>
          <w:numId w:val="0"/>
        </w:numPr>
        <w:spacing w:line="360" w:lineRule="exact" w:before="160" w:after="120"/>
        <w:ind w:firstLine="0"/>
      </w:pPr>
      <w:bookmarkStart w:id="227" w:name="庞庄变规划分析"/>
      <w:r>
        <w:rPr>
          <w:rFonts w:ascii="Times New Roman" w:hAnsi="Times New Roman" w:eastAsia="方正仿宋_GBK"/>
          <w:b/>
          <w:sz w:val="24"/>
        </w:rPr>
        <w:t xml:space="preserve">庞庄变规划分析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2025年本站最大正向、反向净负荷分别为11.20 MW、7.08 MW。刚性方案当年主变容量为80.00 MVA、储能额定功率0.00 MW；弹性方案分别为80.00 MVA和0.00 MW。两类方案本站主变总容量相同。弹性方案按当年各站局部极值计算的站级负载率为15%。</w:t>
      </w:r>
    </w:p>
    <w:p>
      <w:pPr>
        <w:pStyle w:val="2"/>
        <w:keepNext/>
        <w:spacing w:line="280" w:lineRule="exact" w:before="120" w:after="80"/>
        <w:ind w:firstLine="0"/>
        <w:jc w:val="center"/>
      </w:pPr>
      <w:r>
        <w:rPr>
          <w:rFonts w:ascii="Times New Roman" w:hAnsi="Times New Roman" w:eastAsia="宋体"/>
          <w:b w:val="0"/>
          <w:sz w:val="21"/>
        </w:rPr>
        <w:t xml:space="preserve">表5-45 庞庄变年度配置与正向峰值正常转接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13.90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MW、承接4.40 MW，转接后净负荷为13.90 MW；区域最低净负荷工况下为-6.87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MVA。两代表工况重新转供后的本站净负荷分别为13.90 MW、-6.87 MW，两方向最小容量余量为24.10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四年校核截面中，本站绝对功率最大的工况出现在2023年，转接前为11.30 MW，主要表现为正向受电需求。按该年设备扣除最大单台主变后，剩余容量40.00 MVA。该工况本站由剩余主变满足承载要求。</w:t>
      </w:r>
    </w:p>
    <w:p>
      <w:pPr>
        <w:pStyle w:val="7"/>
        <w:keepNext/>
        <w:numPr>
          <w:numId w:val="0"/>
        </w:numPr>
        <w:spacing w:line="360" w:lineRule="exact" w:before="160" w:after="120"/>
        <w:ind w:firstLine="0"/>
      </w:pPr>
      <w:bookmarkStart w:id="228" w:name="彭场变规划分析"/>
      <w:r>
        <w:rPr>
          <w:rFonts w:ascii="Times New Roman" w:hAnsi="Times New Roman" w:eastAsia="方正仿宋_GBK"/>
          <w:b/>
          <w:sz w:val="24"/>
        </w:rPr>
        <w:t xml:space="preserve">彭场变规划分析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2025年本站最大正向、反向净负荷分别为64.92 MW、0.00 MW。刚性方案当年主变容量为90.00 MVA、储能额定功率0.00 MW；弹性方案分别为90.00 MVA和0.00 MW。两类方案本站主变总容量相同。弹性方案按当年各站局部极值计算的站级负载率为76%。</w:t>
      </w:r>
    </w:p>
    <w:p>
      <w:pPr>
        <w:pStyle w:val="2"/>
        <w:keepNext/>
        <w:spacing w:line="280" w:lineRule="exact" w:before="120" w:after="80"/>
        <w:ind w:firstLine="0"/>
        <w:jc w:val="center"/>
      </w:pPr>
      <w:r>
        <w:rPr>
          <w:rFonts w:ascii="Times New Roman" w:hAnsi="Times New Roman" w:eastAsia="宋体"/>
          <w:b w:val="0"/>
          <w:sz w:val="21"/>
        </w:rPr>
        <w:t xml:space="preserve">表5-46 彭场变年度配置与正向峰值正常转接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55.66</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MW，转接后净负荷为55.66 MW；区域最低净负荷工况下为7.76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MW、7.76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四年校核截面中，本站绝对功率最大的工况出现在2023年，转接前为65.49 MW，主要表现为正向受电需求。按该年设备扣除最大单台主变后，剩余容量40.00 MVA。故障方式下本站转出27.49 MW、承接0.00 MW，其中与庆云桥变之间的主要转出功率为12.88 MW，转接后净负荷为38.00 MW。这一工况通过邻站分担本站故障后的正向负荷。</w:t>
      </w:r>
    </w:p>
    <w:p>
      <w:pPr>
        <w:pStyle w:val="7"/>
        <w:keepNext/>
        <w:numPr>
          <w:numId w:val="0"/>
        </w:numPr>
        <w:spacing w:line="360" w:lineRule="exact" w:before="160" w:after="120"/>
        <w:ind w:firstLine="0"/>
      </w:pPr>
      <w:bookmarkStart w:id="229" w:name="庆云桥变规划分析"/>
      <w:r>
        <w:rPr>
          <w:rFonts w:ascii="Times New Roman" w:hAnsi="Times New Roman" w:eastAsia="方正仿宋_GBK"/>
          <w:b/>
          <w:sz w:val="24"/>
        </w:rPr>
        <w:t xml:space="preserve">庆云桥变规划分析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2025年本站最大正向、反向净负荷分别为65.76 MW、0.00 MW。刚性方案当年主变容量为80.00 MVA、储能额定功率0.00 MW；弹性方案分别为80.00 MVA和0.00 MW。两类方案本站主变总容量相同。弹性方案按当年各站局部极值计算的站级负载率为87%。</w:t>
      </w:r>
    </w:p>
    <w:p>
      <w:pPr>
        <w:pStyle w:val="2"/>
        <w:keepNext/>
        <w:spacing w:line="280" w:lineRule="exact" w:before="120" w:after="80"/>
        <w:ind w:firstLine="0"/>
        <w:jc w:val="center"/>
      </w:pPr>
      <w:r>
        <w:rPr>
          <w:rFonts w:ascii="Times New Roman" w:hAnsi="Times New Roman" w:eastAsia="宋体"/>
          <w:b w:val="0"/>
          <w:sz w:val="21"/>
        </w:rPr>
        <w:t xml:space="preserve">表5-47 庆云桥变年度配置与正向峰值正常转接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61.19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58.87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58.96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55.41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58.45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MW，转接后净负荷为58.45 MW；区域最低净负荷工况下为17.85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MW、17.85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四年校核截面中，本站绝对功率最大的工况出现在2023年，转接前为66.34 MW，主要表现为正向受电需求。按该年设备扣除最大单台主变后，剩余容量40.00 MVA。故障方式下本站转出28.34 MW、承接0.00 MW，其中与开元变之间的主要转出功率为19.47 MW，转接后净负荷为38.00 MW。这一工况通过邻站分担本站故障后的正向负荷。</w:t>
      </w:r>
    </w:p>
    <w:p>
      <w:pPr>
        <w:pStyle w:val="7"/>
        <w:keepNext/>
        <w:numPr>
          <w:numId w:val="0"/>
        </w:numPr>
        <w:spacing w:line="360" w:lineRule="exact" w:before="160" w:after="120"/>
        <w:ind w:firstLine="0"/>
      </w:pPr>
      <w:bookmarkStart w:id="230" w:name="山南变规划分析"/>
      <w:r>
        <w:rPr>
          <w:rFonts w:ascii="Times New Roman" w:hAnsi="Times New Roman" w:eastAsia="方正仿宋_GBK"/>
          <w:b/>
          <w:sz w:val="24"/>
        </w:rPr>
        <w:t xml:space="preserve">山南变规划分析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2025年本站最大正向、反向净负荷分别为5.80 MW、0.00 MW。刚性方案当年主变容量为80.00 MVA、储能额定功率0.00 MW；弹性方案分别为80.00 MVA和0.00 MW。两类方案本站主变总容量相同。弹性方案按当年各站局部极值计算的站级负载率为8%。</w:t>
      </w:r>
    </w:p>
    <w:p>
      <w:pPr>
        <w:pStyle w:val="2"/>
        <w:keepNext/>
        <w:spacing w:line="280" w:lineRule="exact" w:before="120" w:after="80"/>
        <w:ind w:firstLine="0"/>
        <w:jc w:val="center"/>
      </w:pPr>
      <w:r>
        <w:rPr>
          <w:rFonts w:ascii="Times New Roman" w:hAnsi="Times New Roman" w:eastAsia="宋体"/>
          <w:b w:val="0"/>
          <w:sz w:val="21"/>
        </w:rPr>
        <w:t xml:space="preserve">表5-48 山南变年度配置与正向峰值正常转接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5.80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MW，转接后净负荷为5.80 MW；区域最低净负荷工况下为0.64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MVA。两代表工况重新转供后的本站净负荷分别为5.80 MW、0.64 MW，两方向最小容量余量为32.20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四年校核截面中，本站绝对功率最大的工况出现在2023年，转接前为5.85 MW，主要表现为正向受电需求。按该年设备扣除最大单台主变后，剩余容量40.00 MVA。该工况本站由剩余主变满足承载要求。</w:t>
      </w:r>
    </w:p>
    <w:p>
      <w:pPr>
        <w:pStyle w:val="7"/>
        <w:keepNext/>
        <w:numPr>
          <w:numId w:val="0"/>
        </w:numPr>
        <w:spacing w:line="360" w:lineRule="exact" w:before="160" w:after="120"/>
        <w:ind w:firstLine="0"/>
      </w:pPr>
      <w:bookmarkStart w:id="231" w:name="升辉变规划分析"/>
      <w:r>
        <w:rPr>
          <w:rFonts w:ascii="Times New Roman" w:hAnsi="Times New Roman" w:eastAsia="方正仿宋_GBK"/>
          <w:b/>
          <w:sz w:val="24"/>
        </w:rPr>
        <w:t xml:space="preserve">升辉变规划分析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该站初始主变组合为80+80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2025年本站最大正向、反向净负荷分别为38.35 MW、0.00 MW。刚性方案当年主变容量为160.00 MVA、储能额定功率0.00 MW；弹性方案分别为160.00 MVA和0.00 MW。两类方案本站主变总容量相同。弹性方案按当年各站局部极值计算的站级负载率为25%。</w:t>
      </w:r>
    </w:p>
    <w:p>
      <w:pPr>
        <w:pStyle w:val="2"/>
        <w:keepNext/>
        <w:spacing w:line="280" w:lineRule="exact" w:before="120" w:after="80"/>
        <w:ind w:firstLine="0"/>
        <w:jc w:val="center"/>
      </w:pPr>
      <w:r>
        <w:rPr>
          <w:rFonts w:ascii="Times New Roman" w:hAnsi="Times New Roman" w:eastAsia="宋体"/>
          <w:b w:val="0"/>
          <w:sz w:val="21"/>
        </w:rPr>
        <w:t xml:space="preserve">表5-49 升辉变年度配置与正向峰值正常转接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28.55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MW，转接后净负荷为28.55 MW；区域最低净负荷工况下为11.59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本站最大单台主变停运后剩余容量为80.00 MVA。两代表工况重新转供后的本站净负荷分别为28.55 MW、11.59 MW，两方向最小容量余量为47.45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四年校核截面中，本站绝对功率最大的工况出现在2023年，转接前为38.68 MW，主要表现为正向受电需求。按该年设备扣除最大单台主变后，剩余容量80.00 MVA。该工况本站由剩余主变满足承载要求。</w:t>
      </w:r>
    </w:p>
    <w:p>
      <w:pPr>
        <w:pStyle w:val="7"/>
        <w:keepNext/>
        <w:numPr>
          <w:numId w:val="0"/>
        </w:numPr>
        <w:spacing w:line="360" w:lineRule="exact" w:before="160" w:after="120"/>
        <w:ind w:firstLine="0"/>
      </w:pPr>
      <w:bookmarkStart w:id="232" w:name="石桥变规划分析"/>
      <w:r>
        <w:rPr>
          <w:rFonts w:ascii="Times New Roman" w:hAnsi="Times New Roman" w:eastAsia="方正仿宋_GBK"/>
          <w:b/>
          <w:sz w:val="24"/>
        </w:rPr>
        <w:t xml:space="preserve">石桥变规划分析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2025年本站最大正向、反向净负荷分别为110.02 MW、10.95 MW。刚性方案当年主变容量为143.00 MVA、储能额定功率0.00 MW；弹性方案分别为143.00 MVA和0.00 MW。两类方案本站主变总容量相同。弹性方案按当年各站局部极值计算的站级负载率为81%。</w:t>
      </w:r>
    </w:p>
    <w:p>
      <w:pPr>
        <w:pStyle w:val="2"/>
        <w:keepNext/>
        <w:spacing w:line="280" w:lineRule="exact" w:before="120" w:after="80"/>
        <w:ind w:firstLine="0"/>
        <w:jc w:val="center"/>
      </w:pPr>
      <w:r>
        <w:rPr>
          <w:rFonts w:ascii="Times New Roman" w:hAnsi="Times New Roman" w:eastAsia="宋体"/>
          <w:b w:val="0"/>
          <w:sz w:val="21"/>
        </w:rPr>
        <w:t xml:space="preserve">表5-50 石桥变年度配置与正向峰值正常转接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103.71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MW，转接后净负荷为103.71 MW；区域最低净负荷工况下为2.91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本站最大单台主变停运后剩余容量为63.00 MVA。两代表工况重新转供后的本站净负荷分别为59.85 MW、2.91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四年校核截面中，本站绝对功率最大的工况出现在2023年，转接前为110.98 MW，主要表现为正向受电需求。按该年设备扣除最大单台主变后，剩余容量63.00 MVA。故障方式下本站转出51.13 MW、承接0.00 MW，其中与响山变之间的主要转出功率为24.34 MW，转接后净负荷为59.85 MW。这一工况通过邻站分担本站故障后的正向负荷。</w:t>
      </w:r>
    </w:p>
    <w:p>
      <w:pPr>
        <w:pStyle w:val="7"/>
        <w:keepNext/>
        <w:numPr>
          <w:numId w:val="0"/>
        </w:numPr>
        <w:spacing w:line="360" w:lineRule="exact" w:before="160" w:after="120"/>
        <w:ind w:firstLine="0"/>
      </w:pPr>
      <w:bookmarkStart w:id="233" w:name="拾屯变规划分析"/>
      <w:r>
        <w:rPr>
          <w:rFonts w:ascii="Times New Roman" w:hAnsi="Times New Roman" w:eastAsia="方正仿宋_GBK"/>
          <w:b/>
          <w:sz w:val="24"/>
        </w:rPr>
        <w:t xml:space="preserve">拾屯变规划分析</w:t>
      </w:r>
      <w:bookmarkEnd w:id="233"/>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2025年本站最大正向、反向净负荷分别为73.47 MW、0.00 MW。刚性方案当年主变容量为80.00 MVA、储能额定功率0.00 MW；弹性方案分别为80.00 MVA和0.00 MW。两类方案本站主变总容量相同。弹性方案按当年各站局部极值计算的站级负载率为97%。</w:t>
      </w:r>
    </w:p>
    <w:p>
      <w:pPr>
        <w:pStyle w:val="2"/>
        <w:keepNext/>
        <w:spacing w:line="280" w:lineRule="exact" w:before="120" w:after="80"/>
        <w:ind w:firstLine="0"/>
        <w:jc w:val="center"/>
      </w:pPr>
      <w:r>
        <w:rPr>
          <w:rFonts w:ascii="Times New Roman" w:hAnsi="Times New Roman" w:eastAsia="宋体"/>
          <w:b w:val="0"/>
          <w:sz w:val="21"/>
        </w:rPr>
        <w:t xml:space="preserve">表5-51 拾屯变年度配置与正向峰值正常转接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3.11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3.74</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MW、承接3.74 MW，转接后净负荷为76.00 MW；区域最低净负荷工况下为4.74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MW、4.74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四年校核截面中，本站绝对功率最大的工况出现在2023年，转接前为74.11 MW，主要表现为正向受电需求。按该年设备扣除最大单台主变后，剩余容量40.00 MVA。故障方式下本站转出36.11 MW、承接0.00 MW，其中与花园变之间的主要转出功率为22.73 MW，转接后净负荷为38.00 MW。这一工况通过邻站分担本站故障后的正向负荷。</w:t>
      </w:r>
    </w:p>
    <w:p>
      <w:pPr>
        <w:pStyle w:val="7"/>
        <w:keepNext/>
        <w:numPr>
          <w:numId w:val="0"/>
        </w:numPr>
        <w:spacing w:line="360" w:lineRule="exact" w:before="160" w:after="120"/>
        <w:ind w:firstLine="0"/>
      </w:pPr>
      <w:bookmarkStart w:id="234" w:name="统一变规划分析"/>
      <w:r>
        <w:rPr>
          <w:rFonts w:ascii="Times New Roman" w:hAnsi="Times New Roman" w:eastAsia="方正仿宋_GBK"/>
          <w:b/>
          <w:sz w:val="24"/>
        </w:rPr>
        <w:t xml:space="preserve">统一变规划分析</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2025年本站最大正向、反向净负荷分别为92.94 MW、0.00 MW。刚性方案当年主变容量为80.00 MVA、储能额定功率0.00 MW；弹性方案分别为80.00 MVA和0.00 MW。两类方案本站主变总容量相同。弹性方案按当年各站局部极值计算的站级负载率为122%。</w:t>
      </w:r>
    </w:p>
    <w:p>
      <w:pPr>
        <w:pStyle w:val="2"/>
        <w:keepNext/>
        <w:spacing w:line="280" w:lineRule="exact" w:before="120" w:after="80"/>
        <w:ind w:firstLine="0"/>
        <w:jc w:val="center"/>
      </w:pPr>
      <w:r>
        <w:rPr>
          <w:rFonts w:ascii="Times New Roman" w:hAnsi="Times New Roman" w:eastAsia="宋体"/>
          <w:b w:val="0"/>
          <w:sz w:val="21"/>
        </w:rPr>
        <w:t xml:space="preserve">表5-52 统一变年度配置与正向峰值正常转接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2025年区域正向峰值正常工况下，本站转出15.55 MW、承接0.00 MW，转接后净负荷为76.00 MW；区域最低净负荷工况下为14.84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MW、14.84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四年校核截面中，本站绝对功率最大的工况出现在2023年，转接前为93.76 MW，主要表现为正向受电需求。按该年设备扣除最大单台主变后，剩余容量40.00 MVA。故障方式下本站转出55.76 MW、承接0.00 MW，其中与奎山变之间的主要转出功率为32.73 MW，转接后净负荷为38.00 MW。这一工况通过邻站分担本站故障后的正向负荷。</w:t>
      </w:r>
    </w:p>
    <w:p>
      <w:pPr>
        <w:pStyle w:val="7"/>
        <w:keepNext/>
        <w:numPr>
          <w:numId w:val="0"/>
        </w:numPr>
        <w:spacing w:line="360" w:lineRule="exact" w:before="160" w:after="120"/>
        <w:ind w:firstLine="0"/>
      </w:pPr>
      <w:bookmarkStart w:id="235" w:name="吴庄变规划分析"/>
      <w:r>
        <w:rPr>
          <w:rFonts w:ascii="Times New Roman" w:hAnsi="Times New Roman" w:eastAsia="方正仿宋_GBK"/>
          <w:b/>
          <w:sz w:val="24"/>
        </w:rPr>
        <w:t xml:space="preserve">吴庄变规划分析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该站初始主变组合为50+80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2025年本站最大正向、反向净负荷分别为103.02 MW、0.00 MW。刚性方案当年主变容量为130.00 MVA、储能额定功率0.00 MW；弹性方案分别为130.00 MVA和0.00 MW。两类方案本站主变总容量相同。弹性方案按当年各站局部极值计算的站级负载率为83%。</w:t>
      </w:r>
    </w:p>
    <w:p>
      <w:pPr>
        <w:pStyle w:val="2"/>
        <w:keepNext/>
        <w:spacing w:line="280" w:lineRule="exact" w:before="120" w:after="80"/>
        <w:ind w:firstLine="0"/>
        <w:jc w:val="center"/>
      </w:pPr>
      <w:r>
        <w:rPr>
          <w:rFonts w:ascii="Times New Roman" w:hAnsi="Times New Roman" w:eastAsia="宋体"/>
          <w:b w:val="0"/>
          <w:sz w:val="21"/>
        </w:rPr>
        <w:t xml:space="preserve">表5-53 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91.46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97.32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91.46</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96.47</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MW，转接后净负荷为96.47 MW；区域最低净负荷工况下为31.10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本站最大单台主变停运后剩余容量为50.00 MVA。两代表工况重新转供后的本站净负荷分别为47.50 MW、31.10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四年校核截面中，本站绝对功率最大的工况出现在2023年，转接前为103.92 MW，主要表现为正向受电需求。按该年设备扣除最大单台主变后，剩余容量50.00 MVA。故障方式下本站转出56.42 MW、承接0.00 MW，其中与翟山变之间的主要转出功率为39.78 MW，转接后净负荷为47.50 MW。这一工况通过邻站分担本站故障后的正向负荷。</w:t>
      </w:r>
    </w:p>
    <w:p>
      <w:pPr>
        <w:pStyle w:val="7"/>
        <w:keepNext/>
        <w:numPr>
          <w:numId w:val="0"/>
        </w:numPr>
        <w:spacing w:line="360" w:lineRule="exact" w:before="160" w:after="120"/>
        <w:ind w:firstLine="0"/>
      </w:pPr>
      <w:bookmarkStart w:id="236" w:name="西郊变规划分析"/>
      <w:r>
        <w:rPr>
          <w:rFonts w:ascii="Times New Roman" w:hAnsi="Times New Roman" w:eastAsia="方正仿宋_GBK"/>
          <w:b/>
          <w:sz w:val="24"/>
        </w:rPr>
        <w:t xml:space="preserve">西郊变规划分析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2025年本站最大正向、反向净负荷分别为128.27 MW、0.00 MW。刚性方案当年主变容量为126.00 MVA、储能额定功率0.00 MW；弹性方案分别为126.00 MVA和0.00 MW。两类方案本站主变总容量相同。弹性方案按当年各站局部极值计算的站级负载率为107%。</w:t>
      </w:r>
    </w:p>
    <w:p>
      <w:pPr>
        <w:pStyle w:val="2"/>
        <w:keepNext/>
        <w:spacing w:line="280" w:lineRule="exact" w:before="120" w:after="80"/>
        <w:ind w:firstLine="0"/>
        <w:jc w:val="center"/>
      </w:pPr>
      <w:r>
        <w:rPr>
          <w:rFonts w:ascii="Times New Roman" w:hAnsi="Times New Roman" w:eastAsia="宋体"/>
          <w:b w:val="0"/>
          <w:sz w:val="21"/>
        </w:rPr>
        <w:t xml:space="preserve">表5-54 西郊变年度配置与正向峰值正常转接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0.48</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9.69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8.57</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119.70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2025年区域正向峰值正常工况下，本站转出8.57 MW、承接0.00 MW，转接后净负荷为119.70 MW；区域最低净负荷工况下为32.04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本站最大单台主变停运后剩余容量为63.00 MVA。两代表工况重新转供后的本站净负荷分别为59.85 MW、32.04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四年校核截面中，本站绝对功率最大的工况出现在2023年，转接前为129.39 MW，主要表现为正向受电需求。按该年设备扣除最大单台主变后，剩余容量63.00 MVA。故障方式下本站转出69.54 MW、承接0.00 MW，其中与古彭变之间的主要转出功率为27.51 MW，转接后净负荷为59.85 MW。这一工况通过邻站分担本站故障后的正向负荷。</w:t>
      </w:r>
    </w:p>
    <w:p>
      <w:pPr>
        <w:pStyle w:val="7"/>
        <w:keepNext/>
        <w:numPr>
          <w:numId w:val="0"/>
        </w:numPr>
        <w:spacing w:line="360" w:lineRule="exact" w:before="160" w:after="120"/>
        <w:ind w:firstLine="0"/>
      </w:pPr>
      <w:bookmarkStart w:id="237" w:name="祥和变规划分析"/>
      <w:r>
        <w:rPr>
          <w:rFonts w:ascii="Times New Roman" w:hAnsi="Times New Roman" w:eastAsia="方正仿宋_GBK"/>
          <w:b/>
          <w:sz w:val="24"/>
        </w:rPr>
        <w:t xml:space="preserve">祥和变规划分析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该站初始主变组合为40+50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2025年本站最大正向、反向净负荷分别为19.37 MW、0.00 MW。刚性方案当年主变容量为90.00 MVA、储能额定功率0.00 MW；弹性方案分别为90.00 MVA和0.00 MW。两类方案本站主变总容量相同。弹性方案按当年各站局部极值计算的站级负载率为23%。</w:t>
      </w:r>
    </w:p>
    <w:p>
      <w:pPr>
        <w:pStyle w:val="2"/>
        <w:keepNext/>
        <w:spacing w:line="280" w:lineRule="exact" w:before="120" w:after="80"/>
        <w:ind w:firstLine="0"/>
        <w:jc w:val="center"/>
      </w:pPr>
      <w:r>
        <w:rPr>
          <w:rFonts w:ascii="Times New Roman" w:hAnsi="Times New Roman" w:eastAsia="宋体"/>
          <w:b w:val="0"/>
          <w:sz w:val="21"/>
        </w:rPr>
        <w:t xml:space="preserve">表5-55 祥和变年度配置与正向峰值正常转接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MW，转接后净负荷为19.35 MW；区域最低净负荷工况下为5.17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MVA。两代表工况重新转供后的本站净负荷分别为19.35 MW、5.17 MW，两方向最小容量余量为18.65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四年校核截面中，本站绝对功率最大的工况出现在2023年，转接前为19.54 MW，主要表现为正向受电需求。按该年设备扣除最大单台主变后，剩余容量40.00 MVA。该工况本站由剩余主变满足承载要求。</w:t>
      </w:r>
    </w:p>
    <w:p>
      <w:pPr>
        <w:pStyle w:val="7"/>
        <w:keepNext/>
        <w:numPr>
          <w:numId w:val="0"/>
        </w:numPr>
        <w:spacing w:line="360" w:lineRule="exact" w:before="160" w:after="120"/>
        <w:ind w:firstLine="0"/>
      </w:pPr>
      <w:bookmarkStart w:id="238" w:name="响山变规划分析"/>
      <w:r>
        <w:rPr>
          <w:rFonts w:ascii="Times New Roman" w:hAnsi="Times New Roman" w:eastAsia="方正仿宋_GBK"/>
          <w:b/>
          <w:sz w:val="24"/>
        </w:rPr>
        <w:t xml:space="preserve">响山变规划分析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2025年本站最大正向、反向净负荷分别为53.11 MW、0.00 MW。刚性方案当年主变容量为80.00 MVA、储能额定功率0.00 MW；弹性方案分别为80.00 MVA和0.00 MW。两类方案本站主变总容量相同。弹性方案按当年各站局部极值计算的站级负载率为70%。</w:t>
      </w:r>
    </w:p>
    <w:p>
      <w:pPr>
        <w:pStyle w:val="2"/>
        <w:keepNext/>
        <w:spacing w:line="280" w:lineRule="exact" w:before="120" w:after="80"/>
        <w:ind w:firstLine="0"/>
        <w:jc w:val="center"/>
      </w:pPr>
      <w:r>
        <w:rPr>
          <w:rFonts w:ascii="Times New Roman" w:hAnsi="Times New Roman" w:eastAsia="宋体"/>
          <w:b w:val="0"/>
          <w:sz w:val="21"/>
        </w:rPr>
        <w:t xml:space="preserve">表5-56 响山变年度配置与正向峰值正常转接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53.11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MW，转接后净负荷为53.11 MW；区域最低净负荷工况下为11.38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MVA。两代表工况重新转供后的本站净负荷分别为38.00 MW、11.38 MW，两方向最小容量余量为0.00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四年校核截面中，本站绝对功率最大的工况出现在2023年，转接前为53.58 MW，主要表现为正向受电需求。按该年设备扣除最大单台主变后，剩余容量40.00 MVA。故障方式下本站转出15.58 MW、承接0.00 MW，其中与刘湾变之间的主要转出功率为15.58 MW，转接后净负荷为38.00 MW。这一工况通过邻站分担本站故障后的正向负荷。</w:t>
      </w:r>
    </w:p>
    <w:p>
      <w:pPr>
        <w:pStyle w:val="7"/>
        <w:keepNext/>
        <w:numPr>
          <w:numId w:val="0"/>
        </w:numPr>
        <w:spacing w:line="360" w:lineRule="exact" w:before="160" w:after="120"/>
        <w:ind w:firstLine="0"/>
      </w:pPr>
      <w:bookmarkStart w:id="239" w:name="玉潭变规划分析"/>
      <w:r>
        <w:rPr>
          <w:rFonts w:ascii="Times New Roman" w:hAnsi="Times New Roman" w:eastAsia="方正仿宋_GBK"/>
          <w:b/>
          <w:sz w:val="24"/>
        </w:rPr>
        <w:t xml:space="preserve">玉潭变规划分析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该站初始主变组合为63+63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2025年本站最大正向、反向净负荷分别为45.03 MW、0.00 MW。刚性方案当年主变容量为126.00 MVA、储能额定功率0.00 MW；弹性方案分别为126.00 MVA和0.00 MW。两类方案本站主变总容量相同。弹性方案按当年各站局部极值计算的站级负载率为38%。</w:t>
      </w:r>
    </w:p>
    <w:p>
      <w:pPr>
        <w:pStyle w:val="2"/>
        <w:keepNext/>
        <w:spacing w:line="280" w:lineRule="exact" w:before="120" w:after="80"/>
        <w:ind w:firstLine="0"/>
        <w:jc w:val="center"/>
      </w:pPr>
      <w:r>
        <w:rPr>
          <w:rFonts w:ascii="Times New Roman" w:hAnsi="Times New Roman" w:eastAsia="宋体"/>
          <w:b w:val="0"/>
          <w:sz w:val="21"/>
        </w:rPr>
        <w:t xml:space="preserve">表5-57 玉潭变年度配置与正向峰值正常转接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45.03</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47.65</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0.43</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45.45</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MW、承接0.43 MW，转接后净负荷为45.45 MW；区域最低净负荷工况下为9.12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本站最大单台主变停运后剩余容量为63.00 MVA。两代表工况重新转供后的本站净负荷分别为45.45 MW、9.12 MW，两方向最小容量余量为14.40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四年校核截面中，本站绝对功率最大的工况出现在2023年，转接前为45.42 MW，主要表现为正向受电需求。按该年设备扣除最大单台主变后，剩余容量63.00 MVA。故障方式下本站转出0.00 MW、承接2.23 MW，其中与西郊变之间的主要承接功率为2.23 MW，转接后净负荷为47.65 MW。该工况的站间任务随局部功率方向和接收余量安排。</w:t>
      </w:r>
    </w:p>
    <w:p>
      <w:pPr>
        <w:pStyle w:val="7"/>
        <w:keepNext/>
        <w:numPr>
          <w:numId w:val="0"/>
        </w:numPr>
        <w:spacing w:line="360" w:lineRule="exact" w:before="160" w:after="120"/>
        <w:ind w:firstLine="0"/>
      </w:pPr>
      <w:bookmarkStart w:id="240" w:name="茱萸变规划分析"/>
      <w:r>
        <w:rPr>
          <w:rFonts w:ascii="Times New Roman" w:hAnsi="Times New Roman" w:eastAsia="方正仿宋_GBK"/>
          <w:b/>
          <w:sz w:val="24"/>
        </w:rPr>
        <w:t xml:space="preserve">茱萸变规划分析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该站初始主变组合为40+40 MVA。四年保留初始主变组合。弹性方案四年均由主变及网络承担供电任务。</w:t>
      </w:r>
    </w:p>
    <w:p>
      <w:pPr>
        <w:pStyle w:val="2"/>
        <w:widowControl/>
        <w:spacing w:line="348" w:lineRule="exact" w:before="0" w:after="0"/>
        <w:ind w:firstLine="480"/>
        <w:jc w:val="both"/>
      </w:pPr>
      <w:r>
        <w:rPr>
          <w:rFonts w:ascii="Times New Roman" w:hAnsi="Times New Roman" w:eastAsia="方正仿宋_GBK"/>
          <w:b w:val="0"/>
          <w:sz w:val="24"/>
        </w:rPr>
        <w:t xml:space="preserve">2025年本站最大正向、反向净负荷分别为16.47 MW、5.61 MW。刚性方案当年主变容量为80.00 MVA、储能额定功率0.00 MW；弹性方案分别为80.00 MVA和0.00 MW。两类方案本站主变总容量相同。弹性方案按当年各站局部极值计算的站级负载率为22%。</w:t>
      </w:r>
    </w:p>
    <w:p>
      <w:pPr>
        <w:pStyle w:val="2"/>
        <w:keepNext/>
        <w:spacing w:line="280" w:lineRule="exact" w:before="120" w:after="80"/>
        <w:ind w:firstLine="0"/>
        <w:jc w:val="center"/>
      </w:pPr>
      <w:r>
        <w:rPr>
          <w:rFonts w:ascii="Times New Roman" w:hAnsi="Times New Roman" w:eastAsia="宋体"/>
          <w:b w:val="0"/>
          <w:sz w:val="21"/>
        </w:rPr>
        <w:t xml:space="preserve">表5-58 茱萸变年度配置与正向峰值正常转接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11.51</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2025年区域正向峰值正常工况下，本站转出0.00 MW、承接0.00 MW，转接后净负荷为11.51 MW；区域最低净负荷工况下为-4.81 MW。</w:t>
      </w:r>
    </w:p>
    <w:p>
      <w:pPr>
        <w:pStyle w:val="2"/>
        <w:widowControl/>
        <w:spacing w:line="348" w:lineRule="exact" w:before="0" w:after="0"/>
        <w:ind w:firstLine="480"/>
        <w:jc w:val="both"/>
      </w:pPr>
      <w:r>
        <w:rPr>
          <w:rFonts w:ascii="Times New Roman" w:hAnsi="Times New Roman" w:eastAsia="方正仿宋_GBK"/>
          <w:b w:val="0"/>
          <w:sz w:val="24"/>
        </w:rPr>
        <w:t xml:space="preserve">本站最大单台主变停运后剩余容量为40.00 MVA。两代表工况重新转供后的本站净负荷分别为11.51 MW、-4.81 MW，两方向最小容量余量为26.49 MW，正向储能有效支撑功率为0.00 MW。</w:t>
      </w:r>
    </w:p>
    <w:p>
      <w:pPr>
        <w:pStyle w:val="2"/>
        <w:widowControl/>
        <w:spacing w:line="348" w:lineRule="exact" w:before="0" w:after="0"/>
        <w:ind w:firstLine="480"/>
        <w:jc w:val="both"/>
      </w:pPr>
      <w:r>
        <w:rPr>
          <w:rFonts w:ascii="Times New Roman" w:hAnsi="Times New Roman" w:eastAsia="方正仿宋_GBK"/>
          <w:b w:val="0"/>
          <w:sz w:val="24"/>
        </w:rPr>
        <w:t xml:space="preserve">四年校核截面中，本站绝对功率最大的工况出现在2023年，转接前为16.61 MW，主要表现为正向受电需求。按该年设备扣除最大单台主变后，剩余容量40.00 MVA。该工况本站由剩余主变满足承载要求。</w:t>
      </w:r>
    </w:p>
    <w:p>
      <w:pPr>
        <w:pStyle w:val="5"/>
        <w:keepNext/>
        <w:numPr>
          <w:numId w:val="0"/>
        </w:numPr>
        <w:spacing w:line="390" w:lineRule="exact" w:before="160" w:after="120"/>
        <w:ind w:firstLine="0"/>
      </w:pPr>
      <w:bookmarkStart w:id="241" w:name="年度设备配置与站间差异"/>
      <w:r>
        <w:rPr>
          <w:rFonts w:ascii="Times New Roman" w:hAnsi="Times New Roman" w:eastAsia="方正仿宋_GBK"/>
          <w:b/>
          <w:sz w:val="26"/>
        </w:rPr>
        <w:t xml:space="preserve">5.4.7 年度设备配置与站间差异</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区域总容量可以由更换较大主变、增加主变台数或两者结合形成。总容量相近的站，在最大单台主变N-1后的剩余容量也可能不同，因此需要同时列示设备组合与配储地点。</w:t>
      </w:r>
    </w:p>
    <w:p>
      <w:pPr>
        <w:pStyle w:val="2"/>
        <w:keepNext/>
        <w:spacing w:line="280" w:lineRule="exact" w:before="120" w:after="80"/>
        <w:ind w:firstLine="0"/>
        <w:jc w:val="center"/>
      </w:pPr>
      <w:r>
        <w:rPr>
          <w:rFonts w:ascii="Times New Roman" w:hAnsi="Times New Roman" w:eastAsia="宋体"/>
          <w:b w:val="0"/>
          <w:sz w:val="21"/>
        </w:rPr>
        <w:t xml:space="preserve">表5-59 2025年站级展示范围内主变台数与配储站数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两台主变站数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三台主变站数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三台主变站占比</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配储站数</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22.70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3.60</w:t>
            </w:r>
          </w:p>
        </w:tc>
      </w:tr>
      <w:tr>
        <w:trPr>
          <w:cantSplit/>
        </w:trPr>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2025年邳州两类方案均有1座三台主变站，但配储站数及储能规模不同；市区两类方案均保持两台主变的站内结构，弹性方案通过翟山变单台升档提高故障后剩余容量。主变台数只反映设备结构的一部分，同样为两台主变的站，额定规格和最大单台停运后的可用容量仍有差异。各年的具体组合、支援方向和投运变化需结合逐站表确定。</w:t>
      </w:r>
    </w:p>
    <w:p>
      <w:pPr>
        <w:pStyle w:val="2"/>
        <w:widowControl/>
        <w:spacing w:line="348" w:lineRule="exact" w:before="0" w:after="0"/>
        <w:ind w:firstLine="480"/>
        <w:jc w:val="both"/>
      </w:pPr>
      <w:r>
        <w:rPr>
          <w:rFonts w:ascii="Times New Roman" w:hAnsi="Times New Roman" w:eastAsia="方正仿宋_GBK"/>
          <w:b w:val="0"/>
          <w:sz w:val="24"/>
        </w:rPr>
        <w:t xml:space="preserve">这些设备结果为区域推荐区间提供了具体工程含义：同一容载比可以由不同站内设备结构构成，区间选择需要与主变台数、规格及站间任务相对应。先比较各站需求，再归纳区域指标，能够解释新增容量用于哪些站点，以及费用变化来自哪些建设措施。</w:t>
      </w:r>
    </w:p>
    <w:p>
      <w:pPr>
        <w:pStyle w:val="2"/>
        <w:widowControl/>
        <w:spacing w:line="348" w:lineRule="exact" w:before="0" w:after="0"/>
        <w:ind w:firstLine="480"/>
        <w:jc w:val="both"/>
      </w:pPr>
      <w:r>
        <w:rPr>
          <w:rFonts w:ascii="Times New Roman" w:hAnsi="Times New Roman" w:eastAsia="方正仿宋_GBK"/>
          <w:b w:val="0"/>
          <w:sz w:val="24"/>
        </w:rPr>
        <w:t xml:space="preserve">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w:t>
      </w:r>
    </w:p>
    <w:p>
      <w:pPr>
        <w:pStyle w:val="4"/>
        <w:keepNext/>
        <w:numPr>
          <w:numId w:val="0"/>
        </w:numPr>
        <w:spacing w:line="480" w:lineRule="exact" w:before="160" w:after="120"/>
        <w:ind w:firstLine="0"/>
      </w:pPr>
      <w:bookmarkStart w:id="1915" w:name="h915"/>
      <w:bookmarkStart w:id="242" w:name="措施作用与工程衔接"/>
      <w:r>
        <w:rPr>
          <w:rFonts w:ascii="Times New Roman" w:hAnsi="Times New Roman" w:eastAsia="方正仿宋_GBK"/>
          <w:b/>
          <w:sz w:val="32"/>
        </w:rPr>
        <w:t xml:space="preserve">5.5 措施作用与工程衔接</w:t>
      </w:r>
      <w:bookmarkEnd w:id="242"/>
      <w:bookmarkEnd w:id="1915"/>
    </w:p>
    <w:p>
      <w:pPr>
        <w:pStyle w:val="5"/>
        <w:keepNext/>
        <w:numPr>
          <w:numId w:val="0"/>
        </w:numPr>
        <w:spacing w:line="390" w:lineRule="exact" w:before="160" w:after="120"/>
        <w:ind w:firstLine="0"/>
      </w:pPr>
      <w:bookmarkStart w:id="243" w:name="逐年负荷转接与站间任务"/>
      <w:r>
        <w:rPr>
          <w:rFonts w:ascii="Times New Roman" w:hAnsi="Times New Roman" w:eastAsia="方正仿宋_GBK"/>
          <w:b/>
          <w:sz w:val="26"/>
        </w:rPr>
        <w:t xml:space="preserve">5.5.1 逐年负荷转接与站间任务</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联络建设数量、线路允许转供能力和实际转接功率是不同量。新增线路按建设数量计投资，可转能力受线路及两端设备限制，实际转接功率则按具体运行工况确定。下面分别列示区域正向峰值与最低净负荷两种正常工况。</w:t>
      </w:r>
    </w:p>
    <w:p>
      <w:pPr>
        <w:pStyle w:val="2"/>
        <w:keepNext/>
        <w:spacing w:line="280" w:lineRule="exact" w:before="120" w:after="80"/>
        <w:ind w:firstLine="0"/>
        <w:jc w:val="center"/>
      </w:pPr>
      <w:r>
        <w:rPr>
          <w:rFonts w:ascii="Times New Roman" w:hAnsi="Times New Roman" w:eastAsia="宋体"/>
          <w:b w:val="0"/>
          <w:sz w:val="21"/>
        </w:rPr>
        <w:t xml:space="preserve">表5-60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7.65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keepNext/>
        <w:spacing w:line="280" w:lineRule="exact" w:before="120" w:after="80"/>
        <w:ind w:firstLine="0"/>
        <w:jc w:val="center"/>
      </w:pPr>
      <w:r>
        <w:rPr>
          <w:rFonts w:ascii="Times New Roman" w:hAnsi="Times New Roman" w:eastAsia="宋体"/>
          <w:b w:val="0"/>
          <w:sz w:val="21"/>
        </w:rPr>
        <w:t xml:space="preserve">表5-61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9.78</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16.36</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10.80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15.55</w:t>
            </w:r>
          </w:p>
        </w:tc>
      </w:tr>
      <w:tr>
        <w:trPr>
          <w:cantSplit/>
        </w:trPr>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同一设备布局可对应多种可行负荷分配，表中转接量展示所列方案的网络利用情况。后续工程安排应结合开关位置、实际负荷块和操作条件确定具体转供方式。</w:t>
      </w:r>
    </w:p>
    <w:p>
      <w:pPr>
        <w:pStyle w:val="5"/>
        <w:keepNext/>
        <w:numPr>
          <w:numId w:val="0"/>
        </w:numPr>
        <w:spacing w:line="390" w:lineRule="exact" w:before="160" w:after="120"/>
        <w:ind w:firstLine="0"/>
      </w:pPr>
      <w:bookmarkStart w:id="244" w:name="主变储能与联络的共同作用"/>
      <w:r>
        <w:rPr>
          <w:rFonts w:ascii="Times New Roman" w:hAnsi="Times New Roman" w:eastAsia="方正仿宋_GBK"/>
          <w:b/>
          <w:sz w:val="26"/>
        </w:rPr>
        <w:t xml:space="preserve">5.5.2 主变、储能与联络的共同作用</w:t>
      </w:r>
      <w:bookmarkEnd w:id="244"/>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w:t>
      </w:r>
    </w:p>
    <w:p>
      <w:pPr>
        <w:pStyle w:val="2"/>
        <w:widowControl/>
        <w:spacing w:line="348" w:lineRule="exact" w:before="0" w:after="0"/>
        <w:ind w:firstLine="480"/>
        <w:jc w:val="both"/>
      </w:pPr>
      <w:r>
        <w:rPr>
          <w:rFonts w:ascii="Times New Roman" w:hAnsi="Times New Roman" w:eastAsia="方正仿宋_GBK"/>
          <w:b w:val="0"/>
          <w:sz w:val="24"/>
        </w:rPr>
        <w:t xml:space="preserve">逐站结果显示，设备选择与站间任务相互衔接。翟山变的更换直接增加最大单台主变停运后的剩余容量；邢楼变的第三台主变建设改变原有两台小容量主变的组合；保持原设备的站点则结合既有通道安排故障负荷。各站的建设方式由本地源荷、相邻站能力、可扩建位置与工程费用共同确定，区域费用下降最终对应这些具体措施的差异。</w:t>
      </w:r>
    </w:p>
    <w:p>
      <w:pPr>
        <w:pStyle w:val="5"/>
        <w:keepNext/>
        <w:numPr>
          <w:numId w:val="0"/>
        </w:numPr>
        <w:spacing w:line="390" w:lineRule="exact" w:before="160" w:after="120"/>
        <w:ind w:firstLine="0"/>
      </w:pPr>
      <w:bookmarkStart w:id="245" w:name="储能支撑与必要转供量"/>
      <w:r>
        <w:rPr>
          <w:rFonts w:ascii="Times New Roman" w:hAnsi="Times New Roman" w:eastAsia="方正仿宋_GBK"/>
          <w:b/>
          <w:sz w:val="26"/>
        </w:rPr>
        <w:t xml:space="preserve">5.5.3 储能支撑与必要转供量</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邳州正向支撑持续时间为2 h，每柜有效功率0.08170 MW；市区为6 h，每柜约0.02723 MW。邳州弹性方案2025年储能额定功率3.60 MW、额定能量7.74 MWh，刚性方案分别为22.70 MW、48.81 MWh。市区两类方案均通过主变和网络满足本次静态支撑要求。</w:t>
      </w:r>
    </w:p>
    <w:p>
      <w:pPr>
        <w:pStyle w:val="2"/>
        <w:keepNext/>
        <w:spacing w:line="280" w:lineRule="exact" w:before="120" w:after="80"/>
        <w:ind w:firstLine="0"/>
        <w:jc w:val="center"/>
      </w:pPr>
      <w:r>
        <w:rPr>
          <w:rFonts w:ascii="Times New Roman" w:hAnsi="Times New Roman" w:eastAsia="宋体"/>
          <w:b w:val="0"/>
          <w:sz w:val="21"/>
        </w:rPr>
        <w:t xml:space="preserve">表5-62 逐年最大必要既有转供功率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方案</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正常最大/MW</w:t>
            </w:r>
          </w:p>
        </w:tc>
        <w:tc>
          <w:tcPr>
            <w:tcW w:type="dxa" w:w="1662"/>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N-1最大/MW</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11.08</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70.10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26.05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85.90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12.70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72.55</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24.12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83.97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50.17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46.76</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弹性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62.82</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3.41</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50.17</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46.50</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7.03</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53.79</w:t>
            </w:r>
          </w:p>
        </w:tc>
      </w:tr>
      <w:tr>
        <w:trPr>
          <w:cantSplit/>
        </w:trPr>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刚性</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16.06</w:t>
            </w:r>
          </w:p>
        </w:tc>
        <w:tc>
          <w:tcPr>
            <w:tcW w:type="dxa" w:w="1662"/>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62.82</w:t>
            </w:r>
          </w:p>
        </w:tc>
      </w:tr>
    </w:tbl>
    <w:p>
      <w:pPr>
        <w:pStyle w:val="2"/>
        <w:widowControl/>
        <w:spacing w:line="348" w:lineRule="exact" w:before="0" w:after="0"/>
        <w:ind w:firstLine="480"/>
        <w:jc w:val="both"/>
      </w:pPr>
      <w:r>
        <w:rPr>
          <w:rFonts w:ascii="Times New Roman" w:hAnsi="Times New Roman" w:eastAsia="方正仿宋_GBK"/>
          <w:b w:val="0"/>
          <w:sz w:val="24"/>
        </w:rPr>
        <w:t xml:space="preserve">表中固定设备方案后，以最小总通道转供功率计算必要转供，并分别列出正常和N-1工况中的最大既有转供量。既有网络支援在正常及故障工况下共同参与容量平衡，新增联络费用由实际建设项目计取。</w:t>
      </w:r>
    </w:p>
    <w:p>
      <w:pPr>
        <w:pStyle w:val="2"/>
        <w:widowControl/>
        <w:spacing w:line="348" w:lineRule="exact" w:before="0" w:after="0"/>
        <w:ind w:firstLine="480"/>
        <w:jc w:val="both"/>
      </w:pPr>
      <w:r>
        <w:rPr>
          <w:rFonts w:ascii="Times New Roman" w:hAnsi="Times New Roman" w:eastAsia="方正仿宋_GBK"/>
          <w:b w:val="0"/>
          <w:sz w:val="24"/>
        </w:rPr>
        <w:t xml:space="preserve">必要转供功率还说明既有网络的作用。市区弹性方案没有新增联络，仍需要在既有逐站额度和通道内安排正常及故障支援；刚性方案的5项新增工程是在相同既有网络基础上增加可用路径。邳州两类方案均建设联络，但储能和主变的站内分布不同，各年的必要转供任务随负荷及投运状态变化。比较新增工程时，应将已有网络提供的支援与新建通道形成的增量分别对应到方案。</w:t>
      </w:r>
    </w:p>
    <w:p>
      <w:pPr>
        <w:pStyle w:val="4"/>
        <w:keepNext/>
        <w:numPr>
          <w:numId w:val="0"/>
        </w:numPr>
        <w:spacing w:line="480" w:lineRule="exact" w:before="160" w:after="120"/>
        <w:ind w:firstLine="0"/>
      </w:pPr>
      <w:bookmarkStart w:id="1931" w:name="h931"/>
      <w:bookmarkStart w:id="246" w:name="六参数推广矩阵"/>
      <w:r>
        <w:rPr>
          <w:rFonts w:ascii="Times New Roman" w:hAnsi="Times New Roman" w:eastAsia="方正仿宋_GBK"/>
          <w:b/>
          <w:sz w:val="32"/>
        </w:rPr>
        <w:t xml:space="preserve">5.6 六参数推广矩阵</w:t>
      </w:r>
      <w:bookmarkEnd w:id="246"/>
      <w:bookmarkEnd w:id="1931"/>
    </w:p>
    <w:p>
      <w:pPr>
        <w:pStyle w:val="5"/>
        <w:keepNext/>
        <w:numPr>
          <w:numId w:val="0"/>
        </w:numPr>
        <w:spacing w:line="390" w:lineRule="exact" w:before="160" w:after="120"/>
        <w:ind w:firstLine="0"/>
      </w:pPr>
      <w:bookmarkStart w:id="247" w:name="参数组织与推广模型"/>
      <w:r>
        <w:rPr>
          <w:rFonts w:ascii="Times New Roman" w:hAnsi="Times New Roman" w:eastAsia="方正仿宋_GBK"/>
          <w:b/>
          <w:sz w:val="26"/>
        </w:rPr>
        <w:t xml:space="preserve">5.6.1 参数组织与推广模型</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推广采用第3.5节全部六项参数：分布式电源装机渗透率、年最大净负荷平均增长率、电缆长度占比、初始转供率、储能支撑持续时间和负荷分散系数。参数的政策依据、采样节点和相关系数见第3.5节，本节将同一有效结果库归纳为容载比矩阵。</w:t>
      </w:r>
    </w:p>
    <w:p>
      <w:pPr>
        <w:pStyle w:val="2"/>
        <w:widowControl/>
        <w:spacing w:line="348" w:lineRule="exact" w:before="0" w:after="0"/>
        <w:ind w:firstLine="480"/>
        <w:jc w:val="both"/>
      </w:pPr>
      <w:r>
        <w:rPr>
          <w:rFonts w:ascii="Times New Roman" w:hAnsi="Times New Roman" w:eastAsia="方正仿宋_GBK"/>
          <w:b w:val="0"/>
          <w:sz w:val="24"/>
        </w:rPr>
        <w:t xml:space="preserve">五站模板每站初始两台50 MVA主变，基期网供峰值250 MW，目标时点为基期后第4年。主变允许规格、扩建位置、馈线和间隔条件进入承载约束，主变、储能和新增联络按共同评价期费用比选。</w:t>
      </w:r>
    </w:p>
    <w:tbl>
      <w:tblPr>
        <w:tblW w:type="dxa" w:w="8312"/>
        <w:jc w:val="center"/>
        <w:tblInd w:w="0" w:type="dxa"/>
        <w:tblLayout w:type="fixed"/>
        <w:tblBorders>
          <w:top w:val="nil"/>
          <w:bottom w:val="nil"/>
          <w:insideH w:val="nil"/>
          <w:insideV w:val="nil"/>
          <w:left w:val="nil"/>
          <w:right w:val="nil"/>
        </w:tblBorders>
        <w:tblCellMar>
          <w:top w:w="0" w:type="dxa"/>
          <w:left w:w="0" w:type="dxa"/>
          <w:bottom w:w="0" w:type="dxa"/>
          <w:right w:w="0" w:type="dxa"/>
        </w:tblCellMar>
        <w:tblCaption w:val="ReportEquation"/>
      </w:tblPr>
      <w:tblGrid>
        <w:gridCol w:w="737"/>
        <w:gridCol w:w="6838"/>
        <w:gridCol w:w="737"/>
      </w:tblGrid>
      <w:tr>
        <w:trPr>
          <w:cantSplit/>
        </w:trPr>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pPr>
          </w:p>
        </w:tc>
        <w:tc>
          <w:tcPr>
            <w:tcW w:type="dxa" w:w="6838"/>
            <w:tcMar>
              <w:top w:w="0" w:type="dxa"/>
              <w:left w:w="0" w:type="dxa"/>
              <w:bottom w:w="0" w:type="dxa"/>
              <w:right w:w="0" w:type="dxa"/>
            </w:tcMar>
            <w:vAlign w:val="center"/>
          </w:tcPr>
          <w:p>
            <w:pPr>
              <w:keepNext/>
              <w:spacing w:line="276" w:lineRule="auto" w:before="100" w:after="100"/>
              <w:ind w:firstLine="0" w:firstLineChars="0" w:hanging="0" w:hangingChars="0" w:left="0" w:right="0" w:start="0" w:end="0" w:leftChars="0" w:rightChars="0" w:startChars="0" w:endChars="0"/>
              <w:jc w:val="center"/>
            </w:pPr>
            <m:oMath>
              <m:m>
                <m:mPr>
                  <m:baseJc m:val="center"/>
                  <m:plcHide m:val="1"/>
                  <m:mcs>
                    <m:mc>
                      <m:mcPr>
                        <m:mcJc m:val="right"/>
                        <m:count m:val="1"/>
                      </m:mcPr>
                    </m:mc>
                    <m:mc>
                      <m:mcPr>
                        <m:mcJc m:val="left"/>
                        <m:count m:val="1"/>
                      </m:mcPr>
                    </m:mc>
                  </m:mcs>
                </m:mP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250</m:t>
                    </m:r>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1</m:t>
                    </m:r>
                    <m:r>
                      <m:rPr>
                        <m:nor m:val="1"/>
                      </m:rPr>
                      <w:rPr>
                        <w:rFonts w:ascii="Times New Roman" w:hAnsi="Times New Roman" w:cs="Times New Roman" w:eastAsia="方正仿宋_GBK"/>
                        <w:i w:val="0"/>
                        <w:iCs w:val="0"/>
                      </w:rPr>
                      <m:t>+</m:t>
                    </m:r>
                    <m:acc>
                      <m:accPr>
                        <m:chr m:val="‾"/>
                      </m:accPr>
                      <m:e>
                        <m:r>
                          <m:rPr>
                            <m:nor m:val="1"/>
                          </m:rPr>
                          <w:rPr>
                            <w:rFonts w:ascii="Times New Roman" w:hAnsi="Times New Roman" w:cs="Times New Roman" w:eastAsia="方正仿宋_GBK"/>
                            <w:i w:val="1"/>
                            <w:iCs w:val="1"/>
                          </w:rPr>
                          <m:t>g</m:t>
                        </m:r>
                      </m:e>
                    </m:acc>
                    <m:sSup>
                      <m:e>
                        <m:r>
                          <m:rPr>
                            <m:nor m:val="1"/>
                          </m:rPr>
                          <w:rPr>
                            <w:rFonts w:ascii="Times New Roman" w:hAnsi="Times New Roman" w:cs="Times New Roman" w:eastAsia="方正仿宋_GBK"/>
                            <w:i w:val="0"/>
                            <w:iCs w:val="0"/>
                          </w:rPr>
                          <m:t>)</m:t>
                        </m:r>
                      </m:e>
                      <m:sup>
                        <m:r>
                          <m:rPr>
                            <m:nor m:val="1"/>
                          </m:rPr>
                          <w:rPr>
                            <w:rFonts w:ascii="Times New Roman" w:hAnsi="Times New Roman" w:cs="Times New Roman" w:eastAsia="方正仿宋_GBK"/>
                            <w:i w:val="0"/>
                            <w:iCs w:val="0"/>
                          </w:rPr>
                          <m:t>4</m:t>
                        </m:r>
                      </m:sup>
                    </m:sSup>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e>
                  <m:e>
                    <m:r>
                      <m:rPr>
                        <m:nor m:val="1"/>
                      </m:rPr>
                      <w:rPr>
                        <w:rFonts w:ascii="Times New Roman" w:hAnsi="Times New Roman" w:cs="Times New Roman" w:eastAsia="方正仿宋_GBK"/>
                        <w:i w:val="0"/>
                        <w:iCs w:val="0"/>
                      </w:rPr>
                      <m:t>=</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r>
                  <m:e>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e>
                  <m:e>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0.30</m:t>
                    </m:r>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r>
                      <m:rPr>
                        <m:nor m:val="1"/>
                      </m:rPr>
                      <w:rPr>
                        <w:rFonts w:ascii="Times New Roman" w:hAnsi="Times New Roman" w:cs="Times New Roman" w:eastAsia="方正仿宋_GBK"/>
                        <w:i w:val="0"/>
                        <w:iCs w:val="0"/>
                      </w:rPr>
                      <m:t>0.75</m:t>
                    </m:r>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r>
                      <m:rPr>
                        <m:nor m:val="1"/>
                      </m:rPr>
                      <w:rPr>
                        <w:rFonts w:ascii="Times New Roman" w:hAnsi="Times New Roman" w:cs="Times New Roman" w:eastAsia="方正仿宋_GBK"/>
                        <w:i w:val="0"/>
                        <w:iCs w:val="0"/>
                      </w:rPr>
                      <m:t>.</m:t>
                    </m:r>
                  </m:e>
                </m:mr>
              </m:m>
            </m:oMath>
          </w:p>
        </w:tc>
        <w:tc>
          <w:tcPr>
            <w:tcW w:type="dxa" w:w="737"/>
            <w:tcMar>
              <w:top w:w="0" w:type="dxa"/>
              <w:left w:w="0" w:type="dxa"/>
              <w:bottom w:w="0" w:type="dxa"/>
              <w:right w:w="0" w:type="dxa"/>
            </w:tcMar>
            <w:vAlign w:val="center"/>
          </w:tcPr>
          <w:p>
            <w:pPr>
              <w:keepNext/>
              <w:spacing w:before="0" w:after="0"/>
              <w:ind w:firstLine="0" w:firstLineChars="0" w:hanging="0" w:hangingChars="0" w:left="0" w:right="0" w:start="0" w:end="0" w:leftChars="0" w:rightChars="0" w:startChars="0" w:endChars="0"/>
              <w:jc w:val="right"/>
            </w:pPr>
            <w:r>
              <w:rPr>
                <w:rFonts w:ascii="Times New Roman" w:hAnsi="Times New Roman" w:eastAsia="方正仿宋_GBK"/>
                <w:b w:val="0"/>
                <w:sz w:val="18"/>
              </w:rPr>
              <w:t>（5-11）</w:t>
            </w:r>
          </w:p>
        </w:tc>
      </w:tr>
    </w:tbl>
    <w:p>
      <w:pPr>
        <w:pStyle w:val="FirstParagraph"/>
        <w:widowControl/>
        <w:spacing w:line="348" w:lineRule="exact" w:before="0" w:after="0"/>
        <w:ind w:firstLine="0" w:left="0" w:right="0" w:firstLineChars="0" w:hanging="0" w:hangingChars="0" w:start="0" w:end="0" w:leftChars="0" w:rightChars="0" w:startChars="0" w:endChars="0"/>
        <w:jc w:val="both"/>
      </w:pPr>
      <w:r>
        <w:rPr>
          <w:rFonts w:ascii="Times New Roman" w:hAnsi="Times New Roman" w:eastAsia="方正仿宋_GBK"/>
          <w:b w:val="0"/>
          <w:sz w:val="24"/>
        </w:rPr>
        <w:t xml:space="preserve">式中，</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T</m:t>
            </m:r>
          </m:sub>
        </m:sSub>
      </m:oMath>
      <w:r>
        <w:rPr>
          <w:rFonts w:ascii="Times New Roman" w:hAnsi="Times New Roman" w:eastAsia="方正仿宋_GBK"/>
          <w:b w:val="0"/>
          <w:sz w:val="24"/>
        </w:rPr>
        <w:t xml:space="preserve">为基期后第4年的网供最大负荷，</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v</m:t>
            </m:r>
            <m:r>
              <m:rPr>
                <m:sty m:val="p"/>
                <m:nor m:val="1"/>
              </m:rPr>
              <w:rPr>
                <w:rFonts w:ascii="Times New Roman" w:hAnsi="Times New Roman" w:cs="Times New Roman" w:eastAsia="方正仿宋_GBK"/>
                <w:i w:val="0"/>
                <w:iCs w:val="0"/>
              </w:rPr>
              <m:t>e</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i</m:t>
            </m:r>
            <m:r>
              <m:rPr>
                <m:sty m:val="p"/>
                <m:nor m:val="1"/>
              </m:rPr>
              <w:rPr>
                <w:rFonts w:ascii="Times New Roman" w:hAnsi="Times New Roman" w:cs="Times New Roman" w:eastAsia="方正仿宋_GBK"/>
                <w:i w:val="0"/>
                <w:iCs w:val="0"/>
              </w:rPr>
              <m:t>n</m:t>
            </m:r>
            <m:r>
              <m:rPr>
                <m:sty m:val="p"/>
                <m:nor m:val="1"/>
              </m:rPr>
              <w:rPr>
                <w:rFonts w:ascii="Times New Roman" w:hAnsi="Times New Roman" w:cs="Times New Roman" w:eastAsia="方正仿宋_GBK"/>
                <w:i w:val="0"/>
                <w:iCs w:val="0"/>
              </w:rPr>
              <m:t>g</m:t>
            </m:r>
          </m:sub>
        </m:sSub>
      </m:oMath>
      <w:r>
        <w:rPr>
          <w:rFonts w:ascii="Times New Roman" w:hAnsi="Times New Roman" w:eastAsia="方正仿宋_GBK"/>
          <w:b w:val="0"/>
          <w:sz w:val="24"/>
        </w:rPr>
        <w:t xml:space="preserve">、</w:t>
      </w:r>
      <m:oMath>
        <m:sSub>
          <m:e>
            <m:r>
              <m:rPr>
                <m:nor m:val="1"/>
              </m:rPr>
              <w:rPr>
                <w:rFonts w:ascii="Times New Roman" w:hAnsi="Times New Roman" w:cs="Times New Roman" w:eastAsia="方正仿宋_GBK"/>
                <w:i w:val="1"/>
                <w:iCs w:val="1"/>
              </w:rPr>
              <m:t>P</m:t>
            </m:r>
          </m:e>
          <m:sub>
            <m:r>
              <m:rPr>
                <m:nor m:val="1"/>
              </m:rPr>
              <w:rPr>
                <w:rFonts w:ascii="Times New Roman" w:hAnsi="Times New Roman" w:cs="Times New Roman" w:eastAsia="方正仿宋_GBK"/>
                <w:i w:val="1"/>
                <w:iCs w:val="1"/>
              </w:rPr>
              <m:t>i</m:t>
            </m:r>
            <m:r>
              <m:rPr>
                <m:nor m:val="1"/>
              </m:rPr>
              <w:rPr>
                <w:rFonts w:ascii="Times New Roman" w:hAnsi="Times New Roman" w:cs="Times New Roman" w:eastAsia="方正仿宋_GBK"/>
                <w:i w:val="0"/>
                <w:iCs w:val="0"/>
              </w:rPr>
              <m:t>,</m:t>
            </m:r>
            <m:r>
              <m:rPr>
                <m:sty m:val="p"/>
                <m:nor m:val="1"/>
              </m:rPr>
              <w:rPr>
                <w:rFonts w:ascii="Times New Roman" w:hAnsi="Times New Roman" w:cs="Times New Roman" w:eastAsia="方正仿宋_GBK"/>
                <w:i w:val="0"/>
                <w:iCs w:val="0"/>
              </w:rPr>
              <m:t>d</m:t>
            </m:r>
            <m:r>
              <m:rPr>
                <m:sty m:val="p"/>
                <m:nor m:val="1"/>
              </m:rPr>
              <w:rPr>
                <w:rFonts w:ascii="Times New Roman" w:hAnsi="Times New Roman" w:cs="Times New Roman" w:eastAsia="方正仿宋_GBK"/>
                <w:i w:val="0"/>
                <w:iCs w:val="0"/>
              </w:rPr>
              <m:t>a</m:t>
            </m:r>
            <m:r>
              <m:rPr>
                <m:sty m:val="p"/>
                <m:nor m:val="1"/>
              </m:rPr>
              <w:rPr>
                <w:rFonts w:ascii="Times New Roman" w:hAnsi="Times New Roman" w:cs="Times New Roman" w:eastAsia="方正仿宋_GBK"/>
                <w:i w:val="0"/>
                <w:iCs w:val="0"/>
              </w:rPr>
              <m:t>y</m:t>
            </m:r>
          </m:sub>
        </m:sSub>
      </m:oMath>
      <w:r>
        <w:rPr>
          <w:rFonts w:ascii="Times New Roman" w:hAnsi="Times New Roman" w:eastAsia="方正仿宋_GBK"/>
          <w:b w:val="0"/>
          <w:sz w:val="24"/>
        </w:rPr>
        <w:t xml:space="preserve">为站</w:t>
      </w:r>
      <m:oMath>
        <m:r>
          <m:rPr>
            <m:nor m:val="1"/>
          </m:rPr>
          <w:rPr>
            <w:rFonts w:ascii="Times New Roman" w:hAnsi="Times New Roman" w:cs="Times New Roman" w:eastAsia="方正仿宋_GBK"/>
            <w:i w:val="1"/>
            <w:iCs w:val="1"/>
          </w:rPr>
          <m:t>i</m:t>
        </m:r>
      </m:oMath>
      <w:r>
        <w:rPr>
          <w:rFonts w:ascii="Times New Roman" w:hAnsi="Times New Roman" w:eastAsia="方正仿宋_GBK"/>
          <w:b w:val="0"/>
          <w:sz w:val="24"/>
        </w:rPr>
        <w:t xml:space="preserve">晚峰及日间净负荷，单位MW；</w:t>
      </w:r>
      <m:oMath>
        <m:acc>
          <m:accPr>
            <m:chr m:val="‾"/>
          </m:accPr>
          <m:e>
            <m:r>
              <m:rPr>
                <m:nor m:val="1"/>
              </m:rPr>
              <w:rPr>
                <w:rFonts w:ascii="Times New Roman" w:hAnsi="Times New Roman" w:cs="Times New Roman" w:eastAsia="方正仿宋_GBK"/>
                <w:i w:val="1"/>
                <w:iCs w:val="1"/>
              </w:rPr>
              <m:t>g</m:t>
            </m:r>
          </m:e>
        </m:acc>
      </m:oMath>
      <w:r>
        <w:rPr>
          <w:rFonts w:ascii="Times New Roman" w:hAnsi="Times New Roman" w:eastAsia="方正仿宋_GBK"/>
          <w:b w:val="0"/>
          <w:sz w:val="24"/>
        </w:rPr>
        <w:t xml:space="preserve">为年最大净负荷平均增长率，</w:t>
      </w:r>
      <m:oMath>
        <m:sSub>
          <m:e>
            <m:r>
              <m:rPr>
                <m:nor m:val="1"/>
              </m:rPr>
              <w:rPr>
                <w:rFonts w:ascii="Times New Roman" w:hAnsi="Times New Roman" w:cs="Times New Roman" w:eastAsia="方正仿宋_GBK"/>
                <w:i w:val="1"/>
                <w:iCs w:val="1"/>
              </w:rPr>
              <m:t>η</m:t>
            </m:r>
          </m:e>
          <m:sub>
            <m:r>
              <m:rPr>
                <m:nor m:val="1"/>
              </m:rPr>
              <w:rPr>
                <w:rFonts w:ascii="Times New Roman" w:hAnsi="Times New Roman" w:cs="Times New Roman" w:eastAsia="方正仿宋_GBK"/>
                <w:i w:val="1"/>
                <w:iCs w:val="1"/>
              </w:rPr>
              <m:t>C</m:t>
            </m:r>
          </m:sub>
        </m:sSub>
      </m:oMath>
      <w:r>
        <w:rPr>
          <w:rFonts w:ascii="Times New Roman" w:hAnsi="Times New Roman" w:eastAsia="方正仿宋_GBK"/>
          <w:b w:val="0"/>
          <w:sz w:val="24"/>
        </w:rPr>
        <w:t xml:space="preserve">为装机渗透率；</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L</m:t>
            </m:r>
          </m:sup>
        </m:sSubSup>
      </m:oMath>
      <w:r>
        <w:rPr>
          <w:rFonts w:ascii="Times New Roman" w:hAnsi="Times New Roman" w:eastAsia="方正仿宋_GBK"/>
          <w:b w:val="0"/>
          <w:sz w:val="24"/>
        </w:rPr>
        <w:t xml:space="preserve">、</w:t>
      </w:r>
      <m:oMath>
        <m:sSubSup>
          <m:e>
            <m:r>
              <m:rPr>
                <m:nor m:val="1"/>
              </m:rPr>
              <w:rPr>
                <w:rFonts w:ascii="Times New Roman" w:hAnsi="Times New Roman" w:cs="Times New Roman" w:eastAsia="方正仿宋_GBK"/>
                <w:i w:val="1"/>
                <w:iCs w:val="1"/>
              </w:rPr>
              <m:t>w</m:t>
            </m:r>
          </m:e>
          <m:sub>
            <m:r>
              <m:rPr>
                <m:nor m:val="1"/>
              </m:rPr>
              <w:rPr>
                <w:rFonts w:ascii="Times New Roman" w:hAnsi="Times New Roman" w:cs="Times New Roman" w:eastAsia="方正仿宋_GBK"/>
                <w:i w:val="1"/>
                <w:iCs w:val="1"/>
              </w:rPr>
              <m:t>i</m:t>
            </m:r>
          </m:sub>
          <m:sup>
            <m:r>
              <m:rPr>
                <m:nor m:val="1"/>
              </m:rPr>
              <w:rPr>
                <w:rFonts w:ascii="Times New Roman" w:hAnsi="Times New Roman" w:cs="Times New Roman" w:eastAsia="方正仿宋_GBK"/>
                <w:i w:val="1"/>
                <w:iCs w:val="1"/>
              </w:rPr>
              <m:t>G</m:t>
            </m:r>
          </m:sup>
        </m:sSubSup>
      </m:oMath>
      <w:r>
        <w:rPr>
          <w:rFonts w:ascii="Times New Roman" w:hAnsi="Times New Roman" w:eastAsia="方正仿宋_GBK"/>
          <w:b w:val="0"/>
          <w:sz w:val="24"/>
        </w:rPr>
        <w:t xml:space="preserve">分别为负荷、光伏分配权重，各自合计为1。晚峰光伏出力取零，日间负荷和光伏出力系数分别为0.30、0.75。</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以各站局部高峰工况体现，每个工况的区域合计仍为同一规划时点峰值。既有相邻站环网按基期可实现转供率标定通道能力和馈线余量；新增联络可配置独立接收馈线，并受备用间隔限制。电缆长度占比按第4.3节折算线路费用。</w:t>
      </w:r>
    </w:p>
    <w:p>
      <w:pPr>
        <w:pStyle w:val="2"/>
        <w:keepNext/>
        <w:spacing w:line="280" w:lineRule="exact" w:before="120" w:after="80"/>
        <w:ind w:firstLine="0"/>
        <w:jc w:val="center"/>
      </w:pPr>
      <w:r>
        <w:rPr>
          <w:rFonts w:ascii="Times New Roman" w:hAnsi="Times New Roman" w:eastAsia="宋体"/>
          <w:b w:val="0"/>
          <w:sz w:val="21"/>
        </w:rPr>
        <w:t xml:space="preserve">表5-63 五站推广模板</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初始设备</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5站，每站2×50 MVA；按位置允许升档和扩建第三台50 MVA</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基期网供峰值/目标时点</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 MW/基期后第4年</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既有网络</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相邻站环网；按基期可实现转供率标定通道和馈线余量</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新增联络</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单项3 km、7.49 MW；允许独立接收馈线，备用间隔按站限制</w:t>
            </w:r>
          </w:p>
        </w:tc>
      </w:tr>
      <w:tr>
        <w:trPr>
          <w:cantSplit/>
        </w:trPr>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经济参数</w:t>
            </w:r>
          </w:p>
        </w:tc>
        <w:tc>
          <w:tcPr>
            <w:tcW w:type="dxa" w:w="4156"/>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第四章统一工程价格与评价期费用</w:t>
            </w:r>
          </w:p>
        </w:tc>
      </w:tr>
      <w:tr>
        <w:trPr>
          <w:cantSplit/>
        </w:trPr>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容载比</w:t>
            </w:r>
          </w:p>
        </w:tc>
        <w:tc>
          <w:tcPr>
            <w:tcW w:type="dxa" w:w="4156"/>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由满足正常及N-1约束、按费用目标比选的可行设备方案计算</w:t>
            </w:r>
          </w:p>
        </w:tc>
      </w:tr>
    </w:tbl>
    <w:p>
      <w:pPr>
        <w:pStyle w:val="5"/>
        <w:keepNext/>
        <w:numPr>
          <w:numId w:val="0"/>
        </w:numPr>
        <w:spacing w:line="390" w:lineRule="exact" w:before="160" w:after="120"/>
        <w:ind w:firstLine="0"/>
      </w:pPr>
      <w:bookmarkStart w:id="248" w:name="矩阵结果与查表方法"/>
      <w:r>
        <w:rPr>
          <w:rFonts w:ascii="Times New Roman" w:hAnsi="Times New Roman" w:eastAsia="方正仿宋_GBK"/>
          <w:b/>
          <w:sz w:val="26"/>
        </w:rPr>
        <w:t xml:space="preserve">5.6.2 矩阵结果与查表方法</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六项参数共设置34686个组合，其中32112个有效组合形成容载比区间。按电缆长度占比三档、储能支撑持续时间三个定值和负荷分散系数三个定值分为27张表，每表以平均增长率和装机渗透率构成12行、初始转供率构成4列，共1296个单元。每个单元包含2～60个有效样本，容载比区间总体为1.36～3.15。</w:t>
      </w:r>
    </w:p>
    <w:p>
      <w:pPr>
        <w:pStyle w:val="2"/>
        <w:widowControl/>
        <w:spacing w:line="348" w:lineRule="exact" w:before="0" w:after="0"/>
        <w:ind w:firstLine="480"/>
        <w:jc w:val="both"/>
      </w:pPr>
      <w:r>
        <w:rPr>
          <w:rFonts w:ascii="Times New Roman" w:hAnsi="Times New Roman" w:eastAsia="方正仿宋_GBK"/>
          <w:b w:val="0"/>
          <w:sz w:val="24"/>
        </w:rPr>
        <w:t xml:space="preserve">查表先确定电缆长度占比档、储能支撑持续时间和负荷分散系数，再按平均增长率、装机渗透率选行，按初始转供率选列。表内为对应有效节点的容载比有限范围，源荷与转供参数采用首尾开口分类，时间及分散系数按表题所列定值使用。</w:t>
      </w:r>
    </w:p>
    <w:p>
      <w:pPr>
        <w:pStyle w:val="2"/>
        <w:keepNext/>
        <w:spacing w:line="280" w:lineRule="exact" w:before="120" w:after="80"/>
        <w:ind w:firstLine="0"/>
        <w:jc w:val="center"/>
      </w:pPr>
      <w:r>
        <w:rPr>
          <w:rFonts w:ascii="Times New Roman" w:hAnsi="Times New Roman" w:eastAsia="宋体"/>
          <w:b w:val="0"/>
          <w:sz w:val="21"/>
        </w:rPr>
        <w:t xml:space="preserve">表5-64 电缆长度占比≤10%，储能支撑2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2.25～2.60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表5-65 电缆长度占比≤10%，储能支撑2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2.25～2.60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表5-66 电缆长度占比≤10%，储能支撑2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2.25～2.69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2.25～2.60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1.94～1.98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1.94～1.98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表5-67 电缆长度占比≤10%，储能支撑4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表5-68 电缆长度占比≤10%，储能支撑4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表5-69 电缆长度占比≤10%，储能支撑4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表5-70 电缆长度占比≤10%，储能支撑6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1.47～1.51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表5-71 电缆长度占比≤10%，储能支撑6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表5-72 电缆长度占比≤10%，储能支撑6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表5-73 电缆长度占比(10%,30%]，储能支撑2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1.47～1.51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表5-74 电缆长度占比(10%,30%]，储能支撑2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表5-75 电缆长度占比(10%,30%]，储能支撑2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1.94～1.98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1.94～1.98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表5-76 电缆长度占比(10%,30%]，储能支撑4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1.47～1.51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表5-77 电缆长度占比(10%,30%]，储能支撑4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表5-78 电缆长度占比(10%,30%]，储能支撑4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1.52～1.87</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表5-79 电缆长度占比(10%,30%]，储能支撑6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1.47～1.51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1.36～1.48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表5-80 电缆长度占比(10%,30%]，储能支撑6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表5-81 电缆长度占比(10%,30%]，储能支撑6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1.52～2.02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2.01～2.54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1.36～1.51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表5-82 电缆长度占比&gt;30%，储能支撑2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表5-83 电缆长度占比&gt;30%，储能支撑2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2.34～2.92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表5-84 电缆长度占比&gt;30%，储能支撑2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2.40～3.15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1.94～1.98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1.94～1.98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表5-85 电缆长度占比&gt;30%，储能支撑4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表5-86 电缆长度占比&gt;30%，储能支撑4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表5-87 电缆长度占比&gt;30%，储能支撑4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1.97～2.03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2.24～2.59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表5-88 电缆长度占比&gt;30%，储能支撑6 h，负荷分散系数1.00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1.77～2.26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1.50～1.62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1.50～1.95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2.08～2.42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表5-89 电缆长度占比&gt;30%，储能支撑6 h，负荷分散系数1.10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1.88～2.23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1.61～2.17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1.50～1.78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2.31～2.49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2.16～2.49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1.93～2.42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2"/>
        <w:keepNext/>
        <w:spacing w:line="280" w:lineRule="exact" w:before="120" w:after="80"/>
        <w:ind w:firstLine="0"/>
        <w:jc w:val="center"/>
      </w:pPr>
      <w:r>
        <w:rPr>
          <w:rFonts w:ascii="Times New Roman" w:hAnsi="Times New Roman" w:eastAsia="宋体"/>
          <w:b w:val="0"/>
          <w:sz w:val="21"/>
        </w:rPr>
        <w:t xml:space="preserve">表5-90 电缆长度占比&gt;30%，储能支撑6 h，负荷分散系数1.15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平均增长率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装机渗透率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(30%,50%]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(50%,70%]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&gt;70%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1.84～2.00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2.03～2.40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1.84～2.20</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2.43～3.15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2.43～2.91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2.43～2.84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1.70～1.89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2.13～2.43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1.70～1.96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2.42～2.92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2.25～2.81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2.25～2.71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2.06～2.10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1.77～2.07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1.67～1.94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1.52～1.78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2.06～2.30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1.67～2.30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1.52～2.14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2.16～2.65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2.01～2.65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1.91～1.99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1.61～1.92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1.36～1.62</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2.02～2.06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1.91～2.24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1.61～2.09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1.47～1.95</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&gt;2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2.45～2.50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2.24～2.59</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2.01～2.42</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1.80～2.42</w:t>
            </w:r>
          </w:p>
        </w:tc>
      </w:tr>
    </w:tbl>
    <w:p>
      <w:pPr>
        <w:pStyle w:val="5"/>
        <w:keepNext/>
        <w:numPr>
          <w:numId w:val="0"/>
        </w:numPr>
        <w:spacing w:line="390" w:lineRule="exact" w:before="160" w:after="120"/>
        <w:ind w:firstLine="0"/>
      </w:pPr>
      <w:bookmarkStart w:id="249" w:name="参数关联对应的设备变化"/>
      <w:r>
        <w:rPr>
          <w:rFonts w:ascii="Times New Roman" w:hAnsi="Times New Roman" w:eastAsia="方正仿宋_GBK"/>
          <w:b/>
          <w:sz w:val="26"/>
        </w:rPr>
        <w:t xml:space="preserve">5.6.3 参数关联对应的设备变化</w:t>
      </w:r>
      <w:bookmarkEnd w:id="249"/>
    </w:p>
    <w:p>
      <w:pPr>
        <w:pStyle w:val="FirstParagraph"/>
        <w:widowControl/>
        <w:spacing w:line="348" w:lineRule="exact" w:before="0" w:after="0"/>
        <w:ind w:firstLine="480"/>
        <w:jc w:val="both"/>
      </w:pPr>
      <w:r>
        <w:rPr>
          <w:rFonts w:ascii="Times New Roman" w:hAnsi="Times New Roman" w:eastAsia="方正仿宋_GBK"/>
          <w:b w:val="0"/>
          <w:sz w:val="24"/>
        </w:rPr>
        <w:t xml:space="preserve">第3.5节组内相关显示，装机渗透率增加主要提高反向容量需求，初始转供率提高通常减少本地容量或新增工程需求。平均增长率同时改变规划时点负荷和设备配置，容载比随容量离散投运呈阶段变化。电缆长度占比、支撑时间及负荷分散系数则在部分组合中触发设备替代。</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32188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50"/>
                    <a:stretch>
                      <a:fillRect/>
                    </a:stretch>
                  </pic:blipFill>
                  <pic:spPr bwMode="auto">
                    <a:xfrm>
                      <a:off x="0" y="0"/>
                      <a:ext cx="5120640" cy="33218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图5-4 装机渗透率与年最大净负荷平均增长率对应的容载比</w:t>
      </w:r>
    </w:p>
    <w:p>
      <w:pPr>
        <w:pStyle w:val="2"/>
        <w:widowControl/>
        <w:spacing w:line="348" w:lineRule="exact" w:before="0" w:after="0"/>
        <w:ind w:firstLine="480"/>
        <w:jc w:val="both"/>
      </w:pPr>
      <w:r>
        <w:rPr>
          <w:rFonts w:ascii="Times New Roman" w:hAnsi="Times New Roman" w:eastAsia="方正仿宋_GBK"/>
          <w:b w:val="0"/>
          <w:sz w:val="24"/>
        </w:rPr>
        <w:t xml:space="preserve">图中固定电缆长度占比10%、初始转供率40%、储能支撑持续时间4 h和负荷分散系数1.10，显示同一组背景下源荷条件的作用。</w:t>
      </w:r>
    </w:p>
    <w:p>
      <w:pPr>
        <w:pStyle w:val="5"/>
        <w:keepNext/>
        <w:numPr>
          <w:numId w:val="0"/>
        </w:numPr>
        <w:spacing w:line="390" w:lineRule="exact" w:before="160" w:after="120"/>
        <w:ind w:firstLine="0"/>
      </w:pPr>
      <w:bookmarkStart w:id="251" w:name="固定源荷条件下的转供序列"/>
      <w:r>
        <w:rPr>
          <w:rFonts w:ascii="Times New Roman" w:hAnsi="Times New Roman" w:eastAsia="方正仿宋_GBK"/>
          <w:b/>
          <w:sz w:val="26"/>
        </w:rPr>
        <w:t xml:space="preserve">5.6.4 固定源荷条件下的转供序列</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固定装机渗透率1.50、平均增长率4%、电缆长度占比10%、储能支撑持续时间4 h和负荷分散系数1.10，比较10%～90%的完整初始转供率序列。</w:t>
      </w:r>
    </w:p>
    <w:p>
      <w:pPr>
        <w:pStyle w:val="2"/>
        <w:keepNext/>
        <w:spacing w:line="280" w:lineRule="exact" w:before="120" w:after="80"/>
        <w:ind w:firstLine="0"/>
        <w:jc w:val="center"/>
      </w:pPr>
      <w:r>
        <w:rPr>
          <w:rFonts w:ascii="Times New Roman" w:hAnsi="Times New Roman" w:eastAsia="宋体"/>
          <w:b w:val="0"/>
          <w:sz w:val="21"/>
        </w:rPr>
        <w:t xml:space="preserve">表5-91 固定源荷和线路条件下的转供率比较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初始转供率</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5348.03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4967.43</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2104.89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1621.57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1500.74</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70%、80%、90%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1379.91</w:t>
            </w:r>
          </w:p>
        </w:tc>
      </w:tr>
    </w:tbl>
    <w:p>
      <w:pPr>
        <w:pStyle w:val="2"/>
        <w:widowControl/>
        <w:spacing w:line="348" w:lineRule="exact" w:before="0" w:after="0"/>
        <w:ind w:firstLine="480"/>
        <w:jc w:val="both"/>
      </w:pPr>
      <w:r>
        <w:rPr>
          <w:rFonts w:ascii="Times New Roman" w:hAnsi="Times New Roman" w:eastAsia="方正仿宋_GBK"/>
          <w:b w:val="0"/>
          <w:sz w:val="24"/>
        </w:rPr>
        <w:t xml:space="preserve">10%～30%转供率之间发生主变配置切换，其中20%节点以储能补充局部缺口。30%及以上节点保持550.00 MVA、无储能的配置，新增联络随既有转供能力提高而减少，70%及以上节点采用相同设备方案。对应的容量变化集中于低转供阶段，后续改善主要表现为联络建设费用下降。</w:t>
      </w:r>
    </w:p>
    <w:p>
      <w:pPr>
        <w:pStyle w:val="5"/>
        <w:keepNext/>
        <w:numPr>
          <w:numId w:val="0"/>
        </w:numPr>
        <w:spacing w:line="390" w:lineRule="exact" w:before="160" w:after="120"/>
        <w:ind w:firstLine="0"/>
      </w:pPr>
      <w:bookmarkStart w:id="252" w:name="装机渗透率与双向容量需求"/>
      <w:r>
        <w:rPr>
          <w:rFonts w:ascii="Times New Roman" w:hAnsi="Times New Roman" w:eastAsia="方正仿宋_GBK"/>
          <w:b/>
          <w:sz w:val="26"/>
        </w:rPr>
        <w:t xml:space="preserve">5.6.5 装机渗透率与双向容量需求</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固定平均增长率4%、电缆长度占比10%、初始转供率40%、储能支撑持续时间4 h和负荷分散系数1.10，读取装机渗透率0～3.00、步长0.25的完整序列。</w:t>
      </w:r>
    </w:p>
    <w:p>
      <w:pPr>
        <w:pStyle w:val="2"/>
        <w:keepNext/>
        <w:spacing w:line="280" w:lineRule="exact" w:before="120" w:after="80"/>
        <w:ind w:firstLine="0"/>
        <w:jc w:val="center"/>
      </w:pPr>
      <w:r>
        <w:rPr>
          <w:rFonts w:ascii="Times New Roman" w:hAnsi="Times New Roman" w:eastAsia="宋体"/>
          <w:b w:val="0"/>
          <w:sz w:val="21"/>
        </w:rPr>
        <w:t xml:space="preserve">表5-92 装机渗透率对应的设备配置变化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0～1.50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2483.72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626.00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2.14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5720.12</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6693.98</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15745.19</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2.75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786.00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2.69</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29449.91</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129.20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40296.03</w:t>
            </w:r>
          </w:p>
        </w:tc>
      </w:tr>
    </w:tbl>
    <w:p>
      <w:pPr>
        <w:pStyle w:val="2"/>
        <w:widowControl/>
        <w:spacing w:line="348" w:lineRule="exact" w:before="0" w:after="0"/>
        <w:ind w:firstLine="480"/>
        <w:jc w:val="both"/>
      </w:pPr>
      <w:r>
        <w:rPr>
          <w:rFonts w:ascii="Times New Roman" w:hAnsi="Times New Roman" w:eastAsia="方正仿宋_GBK"/>
          <w:b w:val="0"/>
          <w:sz w:val="24"/>
        </w:rPr>
        <w:t xml:space="preserve">注：0～1.50合并表示该范围内步长0.25的采样节点采用相同方案。</w:t>
      </w:r>
    </w:p>
    <w:p>
      <w:pPr>
        <w:pStyle w:val="2"/>
        <w:widowControl/>
        <w:spacing w:line="348" w:lineRule="exact" w:before="0" w:after="0"/>
        <w:ind w:firstLine="480"/>
        <w:jc w:val="both"/>
      </w:pPr>
      <w:r>
        <w:rPr>
          <w:rFonts w:ascii="Times New Roman" w:hAnsi="Times New Roman" w:eastAsia="方正仿宋_GBK"/>
          <w:b w:val="0"/>
          <w:sz w:val="24"/>
        </w:rPr>
        <w:t xml:space="preserve">在0～1.50的已采样节点中，主变及联络配置保持一致，晚间正向供电任务决定该段的基础设备规模。装机渗透率达到1.75时先出现储能，主变容量仍保持550.00 MVA，说明反向缺口开始通过局部补充措施解决；达到2.00时主变升至626.00 MVA，设备选择进入另一组合。更高装机节点同时增加主变与储能，至3.00节点主变达到820.00 MVA、储能额定功率129.20 MW，容量候选和反向需求共同影响费用。</w:t>
      </w:r>
    </w:p>
    <w:p>
      <w:pPr>
        <w:pStyle w:val="2"/>
        <w:widowControl/>
        <w:spacing w:line="348" w:lineRule="exact" w:before="0" w:after="0"/>
        <w:ind w:firstLine="480"/>
        <w:jc w:val="both"/>
      </w:pPr>
      <w:r>
        <w:rPr>
          <w:rFonts w:ascii="Times New Roman" w:hAnsi="Times New Roman" w:eastAsia="方正仿宋_GBK"/>
          <w:b w:val="0"/>
          <w:sz w:val="24"/>
        </w:rPr>
        <w:t xml:space="preserve">这一序列解释了第3.5节装机渗透率正相关的工程来源。光伏装机增加先改变日间净负荷，只有进入现有主变及网络难以承担的区段，才触发设备变化。转供调整用电负荷归属，电源保留原站；在反向工况，向其他站转出用电负荷可能加大本地反送，因此正向转供方式与反向吸收方式需分别校核。主变、储能和联络的组合应随功率方向落实[7]。</w:t>
      </w:r>
    </w:p>
    <w:p>
      <w:pPr>
        <w:pStyle w:val="5"/>
        <w:keepNext/>
        <w:numPr>
          <w:numId w:val="0"/>
        </w:numPr>
        <w:spacing w:line="390" w:lineRule="exact" w:before="160" w:after="120"/>
        <w:ind w:firstLine="0"/>
      </w:pPr>
      <w:bookmarkStart w:id="253" w:name="平均增长率与容量储备消耗"/>
      <w:r>
        <w:rPr>
          <w:rFonts w:ascii="Times New Roman" w:hAnsi="Times New Roman" w:eastAsia="方正仿宋_GBK"/>
          <w:b/>
          <w:sz w:val="26"/>
        </w:rPr>
        <w:t xml:space="preserve">5.6.6 平均增长率与容量储备消耗</w:t>
      </w:r>
      <w:bookmarkEnd w:id="253"/>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固定装机渗透率1.50、电缆长度占比10%、初始转供率40%、支撑持续时间4 h及负荷分散系数1.10，比较锁定库中相应的八个增长节点。</w:t>
      </w:r>
    </w:p>
    <w:p>
      <w:pPr>
        <w:pStyle w:val="2"/>
        <w:keepNext/>
        <w:spacing w:line="280" w:lineRule="exact" w:before="120" w:after="80"/>
        <w:ind w:firstLine="0"/>
        <w:jc w:val="center"/>
      </w:pPr>
      <w:r>
        <w:rPr>
          <w:rFonts w:ascii="Times New Roman" w:hAnsi="Times New Roman" w:eastAsia="宋体"/>
          <w:b w:val="0"/>
          <w:sz w:val="21"/>
        </w:rPr>
        <w:t xml:space="preserve">表5-93 平均增长率对应的容量及工程变化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1379.91</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2.03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1621.57</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1742.40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2390.00</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1.83</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3726.46</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5.60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6564.58</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676.00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7704.18</w:t>
            </w:r>
          </w:p>
        </w:tc>
      </w:tr>
    </w:tbl>
    <w:p>
      <w:pPr>
        <w:pStyle w:val="2"/>
        <w:widowControl/>
        <w:spacing w:line="348" w:lineRule="exact" w:before="0" w:after="0"/>
        <w:ind w:firstLine="480"/>
        <w:jc w:val="both"/>
      </w:pPr>
      <w:r>
        <w:rPr>
          <w:rFonts w:ascii="Times New Roman" w:hAnsi="Times New Roman" w:eastAsia="方正仿宋_GBK"/>
          <w:b w:val="0"/>
          <w:sz w:val="24"/>
        </w:rPr>
        <w:t xml:space="preserve">从零增长至4%的节点，主变均为550.00 MVA。负荷增长逐步消耗该容量的储备，容载比下降，同时通过增加联络满足局部供电要求。5.5%节点仍保持同一主变容量，以少量储能补充缺口；7%节点主变升至600.00 MVA，容载比出现回升。8%、10%节点继续采用不同主变组合，表明容量以整台设备离散投运，容载比在连续增长条件下可以呈阶段波动。</w:t>
      </w:r>
    </w:p>
    <w:p>
      <w:pPr>
        <w:pStyle w:val="2"/>
        <w:widowControl/>
        <w:spacing w:line="348" w:lineRule="exact" w:before="0" w:after="0"/>
        <w:ind w:firstLine="480"/>
        <w:jc w:val="both"/>
      </w:pPr>
      <w:r>
        <w:rPr>
          <w:rFonts w:ascii="Times New Roman" w:hAnsi="Times New Roman" w:eastAsia="方正仿宋_GBK"/>
          <w:b w:val="0"/>
          <w:sz w:val="24"/>
        </w:rPr>
        <w:t xml:space="preserve">平均增长率与容载比的负相关应联系这些容量和负荷的共同变化。较高增长节点的容载比可以较低，但主变规模、联络数量或费用仍可能更高；相同主变规模下，比值下降首先表示负荷分母增加。地区案例保留真实逐年负荷与建设时序，推广模板则比较基期后第4年的配置，两者分别回答建设时点和给定发展水平下的规模问题。</w:t>
      </w:r>
    </w:p>
    <w:p>
      <w:pPr>
        <w:pStyle w:val="5"/>
        <w:keepNext/>
        <w:numPr>
          <w:numId w:val="0"/>
        </w:numPr>
        <w:spacing w:line="390" w:lineRule="exact" w:before="160" w:after="120"/>
        <w:ind w:firstLine="0"/>
      </w:pPr>
      <w:bookmarkStart w:id="254" w:name="电缆长度占比与联络主变替代"/>
      <w:r>
        <w:rPr>
          <w:rFonts w:ascii="Times New Roman" w:hAnsi="Times New Roman" w:eastAsia="方正仿宋_GBK"/>
          <w:b/>
          <w:sz w:val="26"/>
        </w:rPr>
        <w:t xml:space="preserve">5.6.7 电缆长度占比与联络、主变替代</w:t>
      </w:r>
      <w:bookmarkEnd w:id="254"/>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固定装机渗透率2.50、平均增长率4%、初始转供率70%、支撑持续时间4 h和负荷分散系数1.10，读取10%、30%、50%、80%、90%电缆长度占比节点。全部节点采用相同的单位线路能力和候选网络，费用按第四章长度加权关系计算。</w:t>
      </w:r>
    </w:p>
    <w:p>
      <w:pPr>
        <w:pStyle w:val="2"/>
        <w:keepNext/>
        <w:spacing w:line="280" w:lineRule="exact" w:before="120" w:after="80"/>
        <w:ind w:firstLine="0"/>
        <w:jc w:val="center"/>
      </w:pPr>
      <w:r>
        <w:rPr>
          <w:rFonts w:ascii="Times New Roman" w:hAnsi="Times New Roman" w:eastAsia="宋体"/>
          <w:b w:val="0"/>
          <w:sz w:val="21"/>
        </w:rPr>
        <w:t xml:space="preserve">表5-94 电缆长度占比对应的造价与设备切换</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10%、30%、50%、80%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660.00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2.26</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12680.32～14900.59</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90%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710.00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2.43</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28.00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15147.71</w:t>
            </w:r>
          </w:p>
        </w:tc>
      </w:tr>
    </w:tbl>
    <w:p>
      <w:pPr>
        <w:pStyle w:val="2"/>
        <w:widowControl/>
        <w:spacing w:line="348" w:lineRule="exact" w:before="0" w:after="0"/>
        <w:ind w:firstLine="480"/>
        <w:jc w:val="both"/>
      </w:pPr>
      <w:r>
        <w:rPr>
          <w:rFonts w:ascii="Times New Roman" w:hAnsi="Times New Roman" w:eastAsia="方正仿宋_GBK"/>
          <w:b w:val="0"/>
          <w:sz w:val="24"/>
        </w:rPr>
        <w:t xml:space="preserve">注：首行四个节点配置相同，费用范围对应四个已计算节点。</w:t>
      </w:r>
    </w:p>
    <w:p>
      <w:pPr>
        <w:pStyle w:val="2"/>
        <w:widowControl/>
        <w:spacing w:line="348" w:lineRule="exact" w:before="0" w:after="0"/>
        <w:ind w:firstLine="480"/>
        <w:jc w:val="both"/>
      </w:pPr>
      <w:r>
        <w:rPr>
          <w:rFonts w:ascii="Times New Roman" w:hAnsi="Times New Roman" w:eastAsia="方正仿宋_GBK"/>
          <w:b w:val="0"/>
          <w:sz w:val="24"/>
        </w:rPr>
        <w:t xml:space="preserve">10%～80%范围内的四个已采样节点采用相同设备，费用增加来自同一组新增联络的造价变化；90%节点则将主变由660.00 MVA提高至710.00 MVA，新增联络由7项减少为4项，储能配置保持28.00 MW。高电缆占比下新增联络较贵，费用比选转向更多站内容量，形成主变与联络的替代。该变化具有明确的项目费用依据。</w:t>
      </w:r>
    </w:p>
    <w:p>
      <w:pPr>
        <w:pStyle w:val="2"/>
        <w:widowControl/>
        <w:spacing w:line="348" w:lineRule="exact" w:before="0" w:after="0"/>
        <w:ind w:firstLine="480"/>
        <w:jc w:val="both"/>
      </w:pPr>
      <w:r>
        <w:rPr>
          <w:rFonts w:ascii="Times New Roman" w:hAnsi="Times New Roman" w:eastAsia="方正仿宋_GBK"/>
          <w:b w:val="0"/>
          <w:sz w:val="24"/>
        </w:rPr>
        <w:t xml:space="preserve">电缆长度占比与初始转供率在本次库中相关系数为0.28，两者的工程作用仍分别对应造价和既有网络能力。上述比较固定转供率，显示造价自身引起的设备切换；第5.6.4节固定线路条件，显示既有能力改善带来的新增工程减少。两组结果共同说明参数间统计关联与各自规划作用应分别报告，全部六项结果保留供甲方判断。</w:t>
      </w:r>
    </w:p>
    <w:p>
      <w:pPr>
        <w:pStyle w:val="5"/>
        <w:keepNext/>
        <w:numPr>
          <w:numId w:val="0"/>
        </w:numPr>
        <w:spacing w:line="390" w:lineRule="exact" w:before="160" w:after="120"/>
        <w:ind w:firstLine="0"/>
      </w:pPr>
      <w:bookmarkStart w:id="255" w:name="储能持续时间与有效功率配置"/>
      <w:r>
        <w:rPr>
          <w:rFonts w:ascii="Times New Roman" w:hAnsi="Times New Roman" w:eastAsia="方正仿宋_GBK"/>
          <w:b/>
          <w:sz w:val="26"/>
        </w:rPr>
        <w:t xml:space="preserve">5.6.8 储能持续时间与有效功率配置</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固定装机渗透率2.50、平均增长率4%、电缆长度占比10%、初始转供率40%和负荷分散系数1.10，分别读取2、4、6 h三个定值。三组主变均为710.00 MVA，新增联络均为8项，储能有效支撑功率约14.38 MW。</w:t>
      </w:r>
    </w:p>
    <w:p>
      <w:pPr>
        <w:pStyle w:val="2"/>
        <w:keepNext/>
        <w:spacing w:line="280" w:lineRule="exact" w:before="120" w:after="80"/>
        <w:ind w:firstLine="0"/>
        <w:jc w:val="center"/>
      </w:pPr>
      <w:r>
        <w:rPr>
          <w:rFonts w:ascii="Times New Roman" w:hAnsi="Times New Roman" w:eastAsia="宋体"/>
          <w:b w:val="0"/>
          <w:sz w:val="21"/>
        </w:rPr>
        <w:t xml:space="preserve">表5-95 固定主变及联络配置下的储能持续时间比较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储能支撑持续时间/h</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储能额定能量/MWh</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17.60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37.84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11921.75</w:t>
            </w:r>
          </w:p>
        </w:tc>
      </w:tr>
      <w:tr>
        <w:trPr>
          <w:cantSplit/>
        </w:trPr>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35.20</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75.68</w:t>
            </w:r>
          </w:p>
        </w:tc>
        <w:tc>
          <w:tcPr>
            <w:tcW w:type="dxa" w:w="2078"/>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15745.19</w:t>
            </w:r>
          </w:p>
        </w:tc>
      </w:tr>
      <w:tr>
        <w:trPr>
          <w:cantSplit/>
        </w:trPr>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6</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52.80</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113.52</w:t>
            </w:r>
          </w:p>
        </w:tc>
        <w:tc>
          <w:tcPr>
            <w:tcW w:type="dxa" w:w="2078"/>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19568.63</w:t>
            </w:r>
          </w:p>
        </w:tc>
      </w:tr>
    </w:tbl>
    <w:p>
      <w:pPr>
        <w:pStyle w:val="2"/>
        <w:widowControl/>
        <w:spacing w:line="348" w:lineRule="exact" w:before="0" w:after="0"/>
        <w:ind w:firstLine="480"/>
        <w:jc w:val="both"/>
      </w:pPr>
      <w:r>
        <w:rPr>
          <w:rFonts w:ascii="Times New Roman" w:hAnsi="Times New Roman" w:eastAsia="方正仿宋_GBK"/>
          <w:b w:val="0"/>
          <w:sz w:val="24"/>
        </w:rPr>
        <w:t xml:space="preserve">该组设备所需补充的有效功率接近一致，持续时间由2 h延长至4 h和6 h时，储能额定功率及额定能量按所需柜数增加，费用相应提高。主变及联络没有切换，说明这一组背景下增加柜数仍是相应可行组合的选择。其工程含义是：持续时间控制为同一功率缺口准备多少可用电量，铭牌功率变化还需结合有效支撑功率解释。</w:t>
      </w:r>
    </w:p>
    <w:p>
      <w:pPr>
        <w:pStyle w:val="2"/>
        <w:widowControl/>
        <w:spacing w:line="348" w:lineRule="exact" w:before="0" w:after="0"/>
        <w:ind w:firstLine="480"/>
        <w:jc w:val="both"/>
      </w:pPr>
      <w:r>
        <w:rPr>
          <w:rFonts w:ascii="Times New Roman" w:hAnsi="Times New Roman" w:eastAsia="方正仿宋_GBK"/>
          <w:b w:val="0"/>
          <w:sz w:val="24"/>
        </w:rPr>
        <w:t xml:space="preserve">第3.5节统计中，支撑时间仅在12%的受控组触发主变容量变化，其余组可能保持主变并调整储能，也可能由主变和网络满足全部需求。时间参数因此按2、4、6 h分别展示，便于将地区近峰特征与具体设备配置对应。实际项目的支撑时长还需结合故障恢复过程和功率缺口持续时间核定[28][10]。</w:t>
      </w:r>
    </w:p>
    <w:p>
      <w:pPr>
        <w:pStyle w:val="5"/>
        <w:keepNext/>
        <w:numPr>
          <w:numId w:val="0"/>
        </w:numPr>
        <w:spacing w:line="390" w:lineRule="exact" w:before="160" w:after="120"/>
        <w:ind w:firstLine="0"/>
      </w:pPr>
      <w:bookmarkStart w:id="256" w:name="负荷分散系数与局部高峰承载"/>
      <w:r>
        <w:rPr>
          <w:rFonts w:ascii="Times New Roman" w:hAnsi="Times New Roman" w:eastAsia="方正仿宋_GBK"/>
          <w:b/>
          <w:sz w:val="26"/>
        </w:rPr>
        <w:t xml:space="preserve">5.6.9 负荷分散系数与局部高峰承载</w:t>
      </w:r>
      <w:bookmarkEnd w:id="256"/>
    </w:p>
    <w:p>
      <w:pPr>
        <w:pStyle w:val="FirstParagraph"/>
        <w:widowControl/>
        <w:spacing w:line="348" w:lineRule="exact" w:before="0" w:after="0"/>
        <w:ind w:firstLine="480"/>
        <w:jc w:val="both"/>
      </w:pPr>
      <w:r>
        <w:rPr>
          <w:rFonts w:ascii="Times New Roman" w:hAnsi="Times New Roman" w:eastAsia="方正仿宋_GBK"/>
          <w:b w:val="0"/>
          <w:sz w:val="24"/>
        </w:rPr>
        <w:t xml:space="preserve">固定装机渗透率0、平均增长率4%、电缆长度占比10%、初始转供率40%和储能支撑持续时间4 h，分别比较负荷分散系数1.00、1.10、1.15。各工况区域负荷合计相同，分散系数改变局部高峰在各站之间的分布。</w:t>
      </w:r>
    </w:p>
    <w:p>
      <w:pPr>
        <w:pStyle w:val="2"/>
        <w:keepNext/>
        <w:spacing w:line="280" w:lineRule="exact" w:before="120" w:after="80"/>
        <w:ind w:firstLine="0"/>
        <w:jc w:val="center"/>
      </w:pPr>
      <w:r>
        <w:rPr>
          <w:rFonts w:ascii="Times New Roman" w:hAnsi="Times New Roman" w:eastAsia="宋体"/>
          <w:b w:val="0"/>
          <w:sz w:val="21"/>
        </w:rPr>
        <w:t xml:space="preserve">表5-96 局部峰值分散程度对应的设备配置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参数节点</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主变/MVA</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新增联络/条</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sz w:val="18"/>
              </w:rPr>
              <w:t>费用现值/万元</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500.00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1.71</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4</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591.95</w:t>
            </w:r>
          </w:p>
        </w:tc>
      </w:tr>
      <w:tr>
        <w:trPr>
          <w:cantSplit/>
        </w:trPr>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w:t>
            </w:r>
          </w:p>
        </w:tc>
        <w:tc>
          <w:tcPr>
            <w:tcW w:type="dxa" w:w="1385"/>
            <w:vAlign w:val="center"/>
            <w:tcMar>
              <w:left w:w="70" w:type="dxa"/>
              <w:right w:w="70" w:type="dxa"/>
            </w:tcMar>
          </w:tcPr>
          <w:p>
            <w:pPr>
              <w:keepNext/>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1984.06</w:t>
            </w:r>
          </w:p>
        </w:tc>
      </w:tr>
      <w:tr>
        <w:trPr>
          <w:cantSplit/>
        </w:trPr>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1.15</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550.00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hanging="0" w:hangingChars="0" w:left="0" w:right="0" w:start="0" w:end="0" w:leftChars="0" w:rightChars="0" w:startChars="0" w:endChars="0"/>
              <w:jc w:val="center"/>
            </w:pPr>
            <w:r>
              <w:rPr>
                <w:rFonts w:ascii="Times New Roman" w:hAnsi="Times New Roman" w:eastAsia="宋体"/>
                <w:b w:val="0"/>
                <w:sz w:val="18"/>
              </w:rPr>
              <w:t>2225.73</w:t>
            </w:r>
          </w:p>
        </w:tc>
      </w:tr>
    </w:tbl>
    <w:p>
      <w:pPr>
        <w:pStyle w:val="2"/>
        <w:widowControl/>
        <w:spacing w:line="348" w:lineRule="exact" w:before="0" w:after="0"/>
        <w:ind w:firstLine="480"/>
        <w:jc w:val="both"/>
      </w:pPr>
      <w:r>
        <w:rPr>
          <w:rFonts w:ascii="Times New Roman" w:hAnsi="Times New Roman" w:eastAsia="方正仿宋_GBK"/>
          <w:b w:val="0"/>
          <w:sz w:val="24"/>
        </w:rPr>
        <w:t xml:space="preserve">由1.00至1.10时，主变增加50.00 MVA，原少量储能退出，并增加联络；由1.10至1.15时，主变容量保持550.00 MVA，进一步增加2项联络。前一段体现局部高峰任务触发主变补强，后一段通过更多转接路径利用已有容量。区域同时峰值相同，仍可以形成不同的站级设备需求。</w:t>
      </w:r>
    </w:p>
    <w:p>
      <w:pPr>
        <w:pStyle w:val="2"/>
        <w:widowControl/>
        <w:spacing w:line="348" w:lineRule="exact" w:before="0" w:after="0"/>
        <w:ind w:firstLine="480"/>
        <w:jc w:val="both"/>
      </w:pPr>
      <w:r>
        <w:rPr>
          <w:rFonts w:ascii="Times New Roman" w:hAnsi="Times New Roman" w:eastAsia="方正仿宋_GBK"/>
          <w:b w:val="0"/>
          <w:sz w:val="24"/>
        </w:rPr>
        <w:t xml:space="preserve">在装机渗透率2.50、其余背景相同的另一组节点中，三种分散系数均采用710.00 MVA主变，但储能额定功率分别为28.40、35.20、45.90 MW，新增联络也有调整。反向容量和局部高峰共同影响配置时，分散程度的作用可以更多体现为储能与线路组合。矩阵将三个定值分别列示，可保留这些设备差异，后续查表应与片区各站峰值及实际联络条件衔接。</w:t>
      </w:r>
    </w:p>
    <w:p>
      <w:pPr>
        <w:pStyle w:val="4"/>
        <w:keepNext/>
        <w:numPr>
          <w:numId w:val="0"/>
        </w:numPr>
        <w:spacing w:line="480" w:lineRule="exact" w:before="160" w:after="120"/>
        <w:ind w:firstLine="0"/>
      </w:pPr>
      <w:bookmarkStart w:id="2004" w:name="h1004"/>
      <w:bookmarkStart w:id="257" w:name="规划建议"/>
      <w:r>
        <w:rPr>
          <w:rFonts w:ascii="Times New Roman" w:hAnsi="Times New Roman" w:eastAsia="方正仿宋_GBK"/>
          <w:b/>
          <w:sz w:val="32"/>
        </w:rPr>
        <w:t xml:space="preserve">5.7 规划建议</w:t>
      </w:r>
      <w:bookmarkEnd w:id="257"/>
      <w:bookmarkEnd w:id="2004"/>
    </w:p>
    <w:p>
      <w:pPr>
        <w:pStyle w:val="5"/>
        <w:keepNext/>
        <w:numPr>
          <w:numId w:val="0"/>
        </w:numPr>
        <w:spacing w:line="390" w:lineRule="exact" w:before="160" w:after="120"/>
        <w:ind w:firstLine="0"/>
      </w:pPr>
      <w:bookmarkStart w:id="258" w:name="按源荷条件和网络能力选取容量"/>
      <w:r>
        <w:rPr>
          <w:rFonts w:ascii="Times New Roman" w:hAnsi="Times New Roman" w:eastAsia="方正仿宋_GBK"/>
          <w:b/>
          <w:sz w:val="26"/>
        </w:rPr>
        <w:t xml:space="preserve">5.7.1 按源荷条件和网络能力选取容量</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邳州兼顾晚间正向供电、日间反向输送及各站局部峰值，市区结合既有网络和邻站承接能力确定补强位置。地区全部电压等级转供统计约67%、92%，进入110 kV案例时落实为逐站MW能力和具体网络约束。推广矩阵保留全部六项参数，规划应用根据片区实际取值查表。</w:t>
      </w:r>
    </w:p>
    <w:p>
      <w:pPr>
        <w:pStyle w:val="5"/>
        <w:keepNext/>
        <w:numPr>
          <w:numId w:val="0"/>
        </w:numPr>
        <w:spacing w:line="390" w:lineRule="exact" w:before="160" w:after="120"/>
        <w:ind w:firstLine="0"/>
      </w:pPr>
      <w:bookmarkStart w:id="259" w:name="统筹主变储能及联络建设"/>
      <w:r>
        <w:rPr>
          <w:rFonts w:ascii="Times New Roman" w:hAnsi="Times New Roman" w:eastAsia="方正仿宋_GBK"/>
          <w:b/>
          <w:sz w:val="26"/>
        </w:rPr>
        <w:t xml:space="preserve">5.7.2 统筹主变、储能及联络建设</w:t>
      </w:r>
      <w:bookmarkEnd w:id="259"/>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pPr>
        <w:pStyle w:val="5"/>
        <w:keepNext/>
        <w:numPr>
          <w:numId w:val="0"/>
        </w:numPr>
        <w:spacing w:line="390" w:lineRule="exact" w:before="160" w:after="120"/>
        <w:ind w:firstLine="0"/>
      </w:pPr>
      <w:bookmarkStart w:id="260" w:name="保留参数区间滚动更新计算依据"/>
      <w:r>
        <w:rPr>
          <w:rFonts w:ascii="Times New Roman" w:hAnsi="Times New Roman" w:eastAsia="方正仿宋_GBK"/>
          <w:b/>
          <w:sz w:val="26"/>
        </w:rPr>
        <w:t xml:space="preserve">5.7.3 保留参数区间，滚动更新计算依据</w:t>
      </w:r>
      <w:bookmarkEnd w:id="260"/>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61" w:name="推荐区间与具体设备的衔接"/>
      <w:r>
        <w:rPr>
          <w:rFonts w:ascii="Times New Roman" w:hAnsi="Times New Roman" w:eastAsia="方正仿宋_GBK"/>
          <w:b/>
          <w:sz w:val="26"/>
        </w:rPr>
        <w:t xml:space="preserve">5.7.4 推荐区间与具体设备的衔接</w:t>
      </w:r>
      <w:bookmarkEnd w:id="261"/>
    </w:p>
    <w:p>
      <w:pPr>
        <w:pStyle w:val="FirstParagraph"/>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推荐区间与地区年网供最大负荷结合，可得到区域主变容量的初步范围。例如网供最大负荷1000.00 MW时，容载比每变化0.10，对应主变总容量变化100.00 MVA。容量分配结合各站正反向功率、最大单台主变N-1和站间承接能力落实。</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对应不同设备组合。对有扩建位置且停运后剩余容量不足的站，增加主变台数可以提高供电储备；峰值缺口较短的站可比较储能支撑；邻站余量较大的站可利用联络。推荐容载比与逐站措施及投运时点一并确定。</w:t>
      </w:r>
    </w:p>
    <w:p>
      <w:pPr>
        <w:pStyle w:val="5"/>
        <w:keepNext/>
        <w:numPr>
          <w:numId w:val="0"/>
        </w:numPr>
        <w:spacing w:line="390" w:lineRule="exact" w:before="160" w:after="120"/>
        <w:ind w:firstLine="0"/>
      </w:pPr>
      <w:bookmarkStart w:id="262" w:name="邳州与市区建设措施的综合比较"/>
      <w:r>
        <w:rPr>
          <w:rFonts w:ascii="Times New Roman" w:hAnsi="Times New Roman" w:eastAsia="方正仿宋_GBK"/>
          <w:b/>
          <w:sz w:val="26"/>
        </w:rPr>
        <w:t xml:space="preserve">5.7.5 邳州与市区建设措施的综合比较</w:t>
      </w:r>
      <w:bookmarkEnd w:id="262"/>
    </w:p>
    <w:p>
      <w:pPr>
        <w:pStyle w:val="FirstParagraph"/>
        <w:widowControl/>
        <w:spacing w:line="348" w:lineRule="exact" w:before="0" w:after="0"/>
        <w:ind w:firstLine="480"/>
        <w:jc w:val="both"/>
      </w:pPr>
      <w:r>
        <w:rPr>
          <w:rFonts w:ascii="Times New Roman" w:hAnsi="Times New Roman" w:eastAsia="方正仿宋_GBK"/>
          <w:b w:val="0"/>
          <w:sz w:val="24"/>
        </w:rPr>
        <w:t xml:space="preserve">两地区的弹性方案均增加了区域主变容量，逐站采用不同的建设方式。部分站更换既有主变，部分站扩建第三台，部分站保持原有设备并利用邻站支援。地区比值反映总容量与负荷的关系，逐站年度表反映设备和转供任务，两者共同说明新增容量的具体用途。</w:t>
      </w:r>
    </w:p>
    <w:p>
      <w:pPr>
        <w:pStyle w:val="2"/>
        <w:widowControl/>
        <w:spacing w:line="348" w:lineRule="exact" w:before="0" w:after="0"/>
        <w:ind w:firstLine="480"/>
        <w:jc w:val="both"/>
      </w:pPr>
      <w:r>
        <w:rPr>
          <w:rFonts w:ascii="Times New Roman" w:hAnsi="Times New Roman" w:eastAsia="方正仿宋_GBK"/>
          <w:b w:val="0"/>
          <w:sz w:val="24"/>
        </w:rPr>
        <w:t xml:space="preserve">邳州两类方案2025年主变容量均为1704.00 MVA、容载比1.78。弹性方案在首年完成较多主变建设，2025年储能额定能量为7.74 MWh，累计新增联络14条；刚性方案受首年容量上限限制，2025年储能为48.81 MWh，累计新增联络15条。最终主变容量相同，建设时序和替代措施不同。</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市区弹性方案首年更换一台40 MVA主变为63 MVA，四年容量保持2923.00 MVA，2025年容载比1.91；刚性方案容量保持2900.00 MVA，首年新增5条联络，2025年容载比1.90。两地区刚性可行方案费用合计21790.82万元，弹性为15793.49万元，减少约28%。</w:t>
      </w:r>
    </w:p>
    <w:p>
      <w:pPr>
        <w:pStyle w:val="2"/>
        <w:widowControl/>
        <w:spacing w:line="348" w:lineRule="exact" w:before="0" w:after="0"/>
        <w:ind w:firstLine="480"/>
        <w:jc w:val="both"/>
      </w:pPr>
      <w:r>
        <w:rPr>
          <w:rFonts w:ascii="Times New Roman" w:hAnsi="Times New Roman" w:eastAsia="方正仿宋_GBK"/>
          <w:b w:val="0"/>
          <w:sz w:val="24"/>
        </w:rPr>
        <w:t xml:space="preserve">年度建设需先满足当年需求，再利用后续在役容量。实际负荷回落可以增加同一容量下的比值，负荷恢复可以消耗已有储备；整台主变的离散投运又使容量按项目变化。推荐区间提供前期比选范围，逐站工程和建设时点用于落实</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的规划方案。</w:t>
      </w:r>
    </w:p>
    <w:p>
      <w:pPr>
        <w:pStyle w:val="3"/>
        <w:keepNext/>
        <w:pageBreakBefore/>
        <w:numPr>
          <w:numId w:val="0"/>
        </w:numPr>
        <w:spacing w:line="540" w:lineRule="exact" w:before="0" w:after="120"/>
        <w:ind w:firstLine="0"/>
      </w:pPr>
      <w:bookmarkStart w:id="2019" w:name="h1019"/>
      <w:bookmarkStart w:id="263" w:name="第六章-结论与建议"/>
      <w:r>
        <w:rPr>
          <w:rFonts w:ascii="Times New Roman" w:hAnsi="Times New Roman" w:eastAsia="方正仿宋_GBK"/>
          <w:b/>
          <w:sz w:val="36"/>
        </w:rPr>
        <w:t xml:space="preserve">第六章 结论与建议</w:t>
      </w:r>
      <w:bookmarkEnd w:id="263"/>
      <w:bookmarkEnd w:id="2019"/>
    </w:p>
    <w:p>
      <w:pPr>
        <w:pStyle w:val="FirstParagraph"/>
        <w:widowControl/>
        <w:spacing w:line="348" w:lineRule="exact" w:before="0" w:after="0"/>
        <w:ind w:firstLine="480"/>
        <w:jc w:val="both"/>
      </w:pPr>
      <w:r>
        <w:rPr>
          <w:rFonts w:ascii="Times New Roman" w:hAnsi="Times New Roman" w:eastAsia="方正仿宋_GBK"/>
          <w:b w:val="0"/>
          <w:sz w:val="24"/>
        </w:rPr>
        <w:t xml:space="preserve">本项目围绕分布式新能源接入后区域容载比与站级双向容量需求的协调问题，以邳州和市区为案例，比较相同供电约束下的主变、储能和10 kV联络组合。地区计算用于判断放宽容量约束后措施及费用如何变化，五站参数推广用于归纳这些结果的适用条件，形成分片区的容载比推荐范围。</w:t>
      </w:r>
    </w:p>
    <w:p>
      <w:pPr>
        <w:pStyle w:val="4"/>
        <w:keepNext/>
        <w:numPr>
          <w:numId w:val="0"/>
        </w:numPr>
        <w:spacing w:line="480" w:lineRule="exact" w:before="160" w:after="120"/>
        <w:ind w:firstLine="0"/>
      </w:pPr>
      <w:bookmarkStart w:id="2021" w:name="h1021"/>
      <w:bookmarkStart w:id="264" w:name="主要研究结论"/>
      <w:r>
        <w:rPr>
          <w:rFonts w:ascii="Times New Roman" w:hAnsi="Times New Roman" w:eastAsia="方正仿宋_GBK"/>
          <w:b/>
          <w:sz w:val="32"/>
        </w:rPr>
        <w:t xml:space="preserve">6.1 主要研究结论</w:t>
      </w:r>
      <w:bookmarkEnd w:id="264"/>
      <w:bookmarkEnd w:id="2021"/>
    </w:p>
    <w:p>
      <w:pPr>
        <w:pStyle w:val="5"/>
        <w:keepNext/>
        <w:numPr>
          <w:numId w:val="0"/>
        </w:numPr>
        <w:spacing w:line="390" w:lineRule="exact" w:before="160" w:after="120"/>
        <w:ind w:firstLine="0"/>
      </w:pPr>
      <w:bookmarkStart w:id="265" w:name="容载比与局部容量压力应结合分析"/>
      <w:r>
        <w:rPr>
          <w:rFonts w:ascii="Times New Roman" w:hAnsi="Times New Roman" w:eastAsia="方正仿宋_GBK"/>
          <w:b/>
          <w:sz w:val="26"/>
        </w:rPr>
        <w:t xml:space="preserve">6.1.1 容载比与局部容量压力应结合分析</w:t>
      </w:r>
      <w:bookmarkEnd w:id="265"/>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66" w:name="弹性容量配置降低了所设条件下的方案费用"/>
      <w:r>
        <w:rPr>
          <w:rFonts w:ascii="Times New Roman" w:hAnsi="Times New Roman" w:eastAsia="方正仿宋_GBK"/>
          <w:b/>
          <w:sz w:val="26"/>
        </w:rPr>
        <w:t xml:space="preserve">6.1.2 弹性容量配置降低了所设条件下的方案费用</w:t>
      </w:r>
      <w:bookmarkEnd w:id="266"/>
    </w:p>
    <w:p>
      <w:pPr>
        <w:pStyle w:val="FirstParagraph"/>
        <w:widowControl/>
        <w:spacing w:line="348" w:lineRule="exact" w:before="0" w:after="0"/>
        <w:ind w:firstLine="480"/>
        <w:jc w:val="both"/>
      </w:pPr>
      <w:r>
        <w:rPr>
          <w:rFonts w:ascii="Times New Roman" w:hAnsi="Times New Roman" w:eastAsia="方正仿宋_GBK"/>
          <w:b w:val="0"/>
          <w:sz w:val="24"/>
        </w:rPr>
        <w:t xml:space="preserve">在相同初始设备、实际年度负荷及逐站转供约束下，邳州两类方案2025年主变容量均为1704.00 MVA、容载比1.78；市区弹性方案为2923.00 MVA、1.91，刚性为2900.00 MVA、1.90。弹性配置由承载需求和费用确定，容量随年度建设保持非减。</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邳州弹性方案首年完成主变补强，减少后期配储，2025年储能额定能量7.74 MWh，刚性为48.81 MWh。市区弹性方案以一台主变更换替代刚性方案的5项新增联络。两地区刚性可行方案费用合计21790.82万元，弹性为15793.49万元，减少5997.33万元，约28%。</w:t>
      </w:r>
    </w:p>
    <w:p>
      <w:pPr>
        <w:pStyle w:val="5"/>
        <w:keepNext/>
        <w:numPr>
          <w:numId w:val="0"/>
        </w:numPr>
        <w:spacing w:line="390" w:lineRule="exact" w:before="160" w:after="120"/>
        <w:ind w:firstLine="0"/>
      </w:pPr>
      <w:bookmarkStart w:id="267"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67"/>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当前模型将转接功率绑定具体馈线和站间候选，既有边不重复计建设费用，新增边按投运年计费。共用馈线的联络共用可转负荷和接收余量，邻站主变同时通过容量校核。</w:t>
      </w:r>
    </w:p>
    <w:p>
      <w:pPr>
        <w:pStyle w:val="5"/>
        <w:keepNext/>
        <w:numPr>
          <w:numId w:val="0"/>
        </w:numPr>
        <w:spacing w:line="390" w:lineRule="exact" w:before="160" w:after="120"/>
        <w:ind w:firstLine="0"/>
      </w:pPr>
      <w:bookmarkStart w:id="268" w:name="六参数矩阵给出有条件的容载比范围"/>
      <w:r>
        <w:rPr>
          <w:rFonts w:ascii="Times New Roman" w:hAnsi="Times New Roman" w:eastAsia="方正仿宋_GBK"/>
          <w:b/>
          <w:sz w:val="26"/>
        </w:rPr>
        <w:t xml:space="preserve">6.1.4 六参数矩阵给出有条件的容载比范围</w:t>
      </w:r>
      <w:bookmarkEnd w:id="268"/>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保留装机渗透率、年最大净负荷平均增长率、电缆长度占比、初始转供率、储能支撑持续时间和负荷分散系数全部六项参数。32112个有效节点按时间与分散系数的三个定值分别列示，形成27张表、1296个单元，容载比总体区间为1.36～3.15。</w:t>
      </w:r>
    </w:p>
    <w:p>
      <w:pPr>
        <w:pStyle w:val="2"/>
        <w:widowControl/>
        <w:spacing w:line="348" w:lineRule="exact" w:before="0" w:after="0"/>
        <w:ind w:firstLine="480"/>
        <w:jc w:val="both"/>
      </w:pPr>
      <w:r>
        <w:rPr>
          <w:rFonts w:ascii="Times New Roman" w:hAnsi="Times New Roman" w:eastAsia="方正仿宋_GBK"/>
          <w:b w:val="0"/>
          <w:sz w:val="24"/>
        </w:rPr>
        <w:t xml:space="preserve">固定其余五项后的组内相关系数依次为0.88、－0.80、0.45、－0.74、0.27、0.52。参数间电缆占比与转供率的Pearson系数为0.28，其余配对绝对值不超过0.15。上述统计描述本次有效情景库，六项参数均作为查表条件列示。</w:t>
      </w:r>
    </w:p>
    <w:p>
      <w:pPr>
        <w:pStyle w:val="4"/>
        <w:keepNext/>
        <w:numPr>
          <w:numId w:val="0"/>
        </w:numPr>
        <w:spacing w:line="480" w:lineRule="exact" w:before="160" w:after="120"/>
        <w:ind w:firstLine="0"/>
      </w:pPr>
      <w:bookmarkStart w:id="2035" w:name="h1035"/>
      <w:bookmarkStart w:id="269" w:name="规划应用建议"/>
      <w:r>
        <w:rPr>
          <w:rFonts w:ascii="Times New Roman" w:hAnsi="Times New Roman" w:eastAsia="方正仿宋_GBK"/>
          <w:b/>
          <w:sz w:val="32"/>
        </w:rPr>
        <w:t xml:space="preserve">6.2 规划应用建议</w:t>
      </w:r>
      <w:bookmarkEnd w:id="269"/>
      <w:bookmarkEnd w:id="2035"/>
    </w:p>
    <w:p>
      <w:pPr>
        <w:pStyle w:val="5"/>
        <w:keepNext/>
        <w:numPr>
          <w:numId w:val="0"/>
        </w:numPr>
        <w:spacing w:line="390" w:lineRule="exact" w:before="160" w:after="120"/>
        <w:ind w:firstLine="0"/>
      </w:pPr>
      <w:bookmarkStart w:id="270" w:name="按输入区间查表再落实设备方案"/>
      <w:r>
        <w:rPr>
          <w:rFonts w:ascii="Times New Roman" w:hAnsi="Times New Roman" w:eastAsia="方正仿宋_GBK"/>
          <w:b/>
          <w:sz w:val="26"/>
        </w:rPr>
        <w:t xml:space="preserve">6.2.1 按输入区间查表，再落实设备方案</w:t>
      </w:r>
      <w:bookmarkEnd w:id="270"/>
    </w:p>
    <w:p>
      <w:pPr>
        <w:pStyle w:val="FirstParagraph"/>
        <w:widowControl/>
        <w:spacing w:line="348" w:lineRule="exact" w:before="0" w:after="0"/>
        <w:ind w:firstLine="480"/>
        <w:jc w:val="both"/>
      </w:pPr>
      <w:r>
        <w:rPr>
          <w:rFonts w:ascii="Times New Roman" w:hAnsi="Times New Roman" w:eastAsia="方正仿宋_GBK"/>
          <w:b w:val="0"/>
          <w:sz w:val="24"/>
        </w:rPr>
        <w:t xml:space="preserve">先按同一统计范围计算源荷指标和复合增长率，以完整精度判断参数区间；再核对初始主变、负荷分散系数、联络路径及可扩建位置。查表范围用于初步比选，最终容载比应由可实施的设备组合与同年网供峰值计算。最大容量由设备和站址条件确定。</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271" w:name="核实分区转供能力与储能支撑条件"/>
      <w:r>
        <w:rPr>
          <w:rFonts w:ascii="Times New Roman" w:hAnsi="Times New Roman" w:eastAsia="方正仿宋_GBK"/>
          <w:b/>
          <w:sz w:val="26"/>
        </w:rPr>
        <w:t xml:space="preserve">6.2.2 核实分区转供能力与储能支撑条件</w:t>
      </w:r>
      <w:bookmarkEnd w:id="271"/>
    </w:p>
    <w:p>
      <w:pPr>
        <w:pStyle w:val="FirstParagraph"/>
        <w:widowControl/>
        <w:spacing w:line="348" w:lineRule="exact" w:before="0" w:after="0"/>
        <w:ind w:firstLine="480"/>
        <w:jc w:val="both"/>
      </w:pPr>
      <w:r>
        <w:rPr>
          <w:rFonts w:ascii="Times New Roman" w:hAnsi="Times New Roman" w:eastAsia="方正仿宋_GBK"/>
          <w:b w:val="0"/>
          <w:sz w:val="24"/>
        </w:rPr>
        <w:t xml:space="preserve">地区转供统计按补充资料的可转负荷与损失负荷计算，市区约92%、邳州约67%；案例对每站既有转出功率施加对应MW上限，并共同校核馈线接收余量和邻站主变能力。新增联络分别按市区约80%、邳州约11%的电缆长度占比计价。</w:t>
      </w:r>
    </w:p>
    <w:p>
      <w:pPr>
        <w:pStyle w:val="2"/>
        <w:widowControl/>
        <w:spacing w:line="348" w:lineRule="exact" w:before="0" w:after="0"/>
        <w:ind w:firstLine="480"/>
        <w:jc w:val="both"/>
      </w:pPr>
      <w:r>
        <w:rPr>
          <w:rFonts w:ascii="Times New Roman" w:hAnsi="Times New Roman" w:eastAsia="方正仿宋_GBK"/>
          <w:b w:val="0"/>
          <w:sz w:val="24"/>
        </w:rPr>
        <w:t xml:space="preserve">储能正向支撑持续时间采用邳州2 h、市区6 h，推广比较2、4、6 h。工程应用结合容量缺口的连续过程与故障恢复时间确定支撑要求，并核定可放电电量和可充电空间。</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272" w:name="随数据和工程条件更新结果"/>
      <w:r>
        <w:rPr>
          <w:rFonts w:ascii="Times New Roman" w:hAnsi="Times New Roman" w:eastAsia="方正仿宋_GBK"/>
          <w:b/>
          <w:sz w:val="26"/>
        </w:rPr>
        <w:t xml:space="preserve">6.2.3 随数据和工程条件更新结果</w:t>
      </w:r>
      <w:bookmarkEnd w:id="272"/>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保留输入参数的区间形式，新增年度资料用于更新区间内的计算节点和设备配置。线路造价、储能价格、负荷分布或可用间隔改变后，按统一费用范围重新比较，同步更新设备方案与推荐区间。</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047" w:name="h1047"/>
      <w:bookmarkStart w:id="273" w:name="后续研究方向"/>
      <w:r>
        <w:rPr>
          <w:rFonts w:ascii="Times New Roman" w:hAnsi="Times New Roman" w:eastAsia="方正仿宋_GBK"/>
          <w:b/>
          <w:sz w:val="32"/>
        </w:rPr>
        <w:t xml:space="preserve">6.3 后续研究方向</w:t>
      </w:r>
      <w:bookmarkEnd w:id="273"/>
      <w:bookmarkEnd w:id="2047"/>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采用市区45个、邳州26个同期静态截面，覆盖地区和各站局部极值；既有等效通道及部分设备条件采用研究假设，后续结合真实接线补充逐时荷电状态、电压和保护校核。费用包括共同评价期内的建设、固定运维及规定更新，尚未纳入期末残值、储能充电和损耗等科目。研究结果用于当前假定下的技术经济比选，具体建设需以核定网络和工程资料进一步校核。</w:t>
      </w:r>
    </w:p>
    <w:p>
      <w:pPr>
        <w:pStyle w:val="5"/>
        <w:keepNext/>
        <w:numPr>
          <w:numId w:val="0"/>
        </w:numPr>
        <w:spacing w:line="390" w:lineRule="exact" w:before="160" w:after="120"/>
        <w:ind w:firstLine="0"/>
      </w:pPr>
      <w:bookmarkStart w:id="274" w:name="深化储能运行与实际网络校核"/>
      <w:r>
        <w:rPr>
          <w:rFonts w:ascii="Times New Roman" w:hAnsi="Times New Roman" w:eastAsia="方正仿宋_GBK"/>
          <w:b/>
          <w:sz w:val="26"/>
        </w:rPr>
        <w:t xml:space="preserve">6.3.1 深化储能运行与实际网络校核</w:t>
      </w:r>
      <w:bookmarkEnd w:id="274"/>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275" w:name="拓展片区结构和经济参数"/>
      <w:r>
        <w:rPr>
          <w:rFonts w:ascii="Times New Roman" w:hAnsi="Times New Roman" w:eastAsia="方正仿宋_GBK"/>
          <w:b/>
          <w:sz w:val="26"/>
        </w:rPr>
        <w:t xml:space="preserve">6.3.2 拓展片区结构和经济参数</w:t>
      </w:r>
      <w:bookmarkEnd w:id="275"/>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053" w:name="h1053"/>
      <w:bookmarkStart w:id="276" w:name="参考文献"/>
      <w:r>
        <w:rPr>
          <w:rFonts w:ascii="Times New Roman" w:hAnsi="Times New Roman" w:eastAsia="方正仿宋_GBK"/>
          <w:b/>
          <w:sz w:val="36"/>
        </w:rPr>
        <w:t xml:space="preserve">参考文献</w:t>
      </w:r>
      <w:bookmarkEnd w:id="276"/>
      <w:bookmarkEnd w:id="2053"/>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[87]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[88] National Institute of Standards and Technology. Dataplot: Rank Correlation Independence Test[EB/OL]. [2026-10-07]. https://www.itl.nist.gov/div898/software/dataplot/refman1/auxillar/rankcorr.htm.</w:t>
      </w:r>
    </w:p>
    <w:p>
      <w:pPr>
        <w:pStyle w:val="2"/>
        <w:widowControl/>
        <w:spacing w:line="320" w:lineRule="exact" w:before="0" w:after="80"/>
        <w:ind w:firstLine="0"/>
        <w:jc w:val="left"/>
      </w:pPr>
      <w:r>
        <w:rPr>
          <w:rFonts w:ascii="Times New Roman" w:hAnsi="Times New Roman" w:eastAsia="方正仿宋_GBK"/>
          <w:b w:val="0"/>
          <w:sz w:val="21"/>
        </w:rPr>
        <w:t xml:space="preserve">[89]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[90]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[91]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[92]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[93]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[94]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[95] 李阳彤, 王主丁, 陈琳, 等. 基于变电站容量概率规划的分布式电源可信度和有源配电网容载比计算分析[J]. 电网技术, 2026, 50(2): 619-628. DOI: 10.13335/j.1000-3673.pst.2024.1440.</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Times New Roman"/>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88" Type="http://schemas.openxmlformats.org/officeDocument/2006/relationships/image" Target="media/rId188.png"/><Relationship Id="rId98" Type="http://schemas.openxmlformats.org/officeDocument/2006/relationships/image" Target="media/rId98.png"/><Relationship Id="rId111" Type="http://schemas.openxmlformats.org/officeDocument/2006/relationships/image" Target="media/rId111.png"/><Relationship Id="rId130" Type="http://schemas.openxmlformats.org/officeDocument/2006/relationships/image" Target="media/rId130.png"/><Relationship Id="rId114" Type="http://schemas.openxmlformats.org/officeDocument/2006/relationships/image" Target="media/rId114.png"/><Relationship Id="rId191" Type="http://schemas.openxmlformats.org/officeDocument/2006/relationships/image" Target="media/rId191.png"/><Relationship Id="rId109" Type="http://schemas.openxmlformats.org/officeDocument/2006/relationships/image" Target="media/rId109.png"/><Relationship Id="rId192" Type="http://schemas.openxmlformats.org/officeDocument/2006/relationships/image" Target="media/rId192.png"/><Relationship Id="rId128" Type="http://schemas.openxmlformats.org/officeDocument/2006/relationships/image" Target="media/rId128.png"/><Relationship Id="rId113" Type="http://schemas.openxmlformats.org/officeDocument/2006/relationships/image" Target="media/rId113.png"/><Relationship Id="rId250" Type="http://schemas.openxmlformats.org/officeDocument/2006/relationships/image" Target="media/rId250.png"/><Relationship Id="rId103" Type="http://schemas.openxmlformats.org/officeDocument/2006/relationships/image" Target="media/rId103.png"/><Relationship Id="rId157" Type="http://schemas.openxmlformats.org/officeDocument/2006/relationships/image" Target="media/rId157.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131</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2026-10-13T13:26:57Z</dcterms:created>
  <dcterms:modified xsi:type="dcterms:W3CDTF">2026-10-13T13:26:57Z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