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25</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30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33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33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33</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40</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43</w:t>
      </w:r>
      <w:r>
        <w:fldChar w:fldCharType="end"/>
      </w:r>
    </w:p>
    <w:p>
      <w:pPr>
        <w:sectPr>
          <w:footerReference w:type="default" r:id="rId42"/>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基于上述问题，本研究保留传统容载比的物理定义，将弹性容载比规划控制值（公式中记为</w:t>
      </w:r>
      <w:r>
        <w:rPr>
          <w:rFonts w:ascii="Times New Roman" w:hAnsi="Times New Roman" w:eastAsia="仿宋_GB2312"/>
          <w:b w:val="0"/>
          <w:i/>
          <w:sz w:val="28"/>
        </w:rPr>
        <w:t>R</w:t>
      </w:r>
      <w:r>
        <w:rPr>
          <w:rFonts w:ascii="Times New Roman" w:hAnsi="Times New Roman" w:eastAsia="仿宋_GB2312"/>
          <w:b w:val="0"/>
          <w:i w:val="0"/>
          <w:sz w:val="28"/>
          <w:vertAlign w:val="subscript"/>
        </w:rPr>
        <w:t>cap</w:t>
      </w:r>
      <w:r>
        <w:rPr>
          <w:rFonts w:ascii="Times New Roman" w:hAnsi="Times New Roman" w:eastAsia="仿宋_GB2312"/>
          <w:b w:val="0"/>
          <w:sz w:val="28"/>
        </w:rPr>
        <w:t>）定位为规划期新增变电容量的约束参数，并以2021年实际在役资产为各方案的共同起点。在此基础上，将正向容量需求、局部反向承载、储能时序约束和10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现有正式数据成果中尚未形成可核验的“样本编码—中文片区名称”统一映射，因此对暂无法确认中文名称的样本仅保留单一编码标识，待正式名称核定后统一替换。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kV片区内部反向承载压力的空间调节能力，本研究同步开展10 kV高光伏跨站供电边界重构分析。专题范围聚焦墩集变与河湾变所带六条目标馈线，研究在局部变电站反向承载压力较高、相邻变电站仍有承接空间时，如何优先利用既有联络、必要时配置新增联络，将光伏富余供电单元调整至相邻站供电范围。其中，墩南线与河炮线之间的既有联络作为典型案例，用于验证“反向压力识别—既有联络利用—供电边界重构—受端承载校核—新增联络容量定型”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（4）开展弹性容载比规划控制值扫描、局部阈值细化及多参数敏感性分析，识别经济释放阈值、稳健近优下限、容载比非主导和技术约束优先等不同规划响应，避免对所有片区采用同一数值结论。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kV高光伏跨站供电边界重构规划模型，以墩南—河炮既有联络为案例识别局部光伏净外送需求，量化既有联络可转移能力，并在既有通道不足时计算新增联络容量需求和候选受端馈线，使10 kV层面的反向功率空间转移能力与110 kV弹性容载比规划形成工程衔接。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keepNext/>
        <w:keepLines/>
        <w:ind w:firstLine="0" w:firstLineChars="0"/>
      </w:pPr>
      <w:r>
        <w:drawing>
          <wp:inline xmlns:a="http://schemas.openxmlformats.org/drawingml/2006/main" xmlns:pic="http://schemas.openxmlformats.org/drawingml/2006/picture">
            <wp:extent cx="4968000" cy="5319053"/>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90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弹性容载比规划控制值扫描及敏感性分析识别经济释放阈值与稳健建议下限。对于10 kV层面的局部问题，则进一步通过供电边界重构分析高光伏净外送功率能否经既有或新增联络向相邻站转移，并同步校核受端通道和变电站反向承接能力。整个分析过程中，技术可行性始终先于数值推荐，避免以单一比例指标替代设备能力、接入位置和网络结构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tabs>
          <w:tab w:val="center" w:pos="4100"/>
          <w:tab w:val="right" w:pos="8200"/>
        </w:tabs>
        <w:spacing w:line="1174" w:lineRule="atLeast" w:before="80" w:after="80"/>
      </w:pPr>
      <w:r>
        <w:tab/>
      </w:r>
      <w:r>
        <w:drawing>
          <wp:inline xmlns:a="http://schemas.openxmlformats.org/drawingml/2006/main" xmlns:pic="http://schemas.openxmlformats.org/drawingml/2006/picture">
            <wp:extent cx="1216152" cy="466344"/>
            <wp:docPr id="2" name="Picture 2"/>
            <wp:cNvGraphicFramePr>
              <a:graphicFrameLocks noChangeAspect="1"/>
            </wp:cNvGraphicFramePr>
            <a:graphic>
              <a:graphicData uri="http://schemas.openxmlformats.org/drawingml/2006/picture">
                <pic:pic>
                  <pic:nvPicPr>
                    <pic:cNvPr id="0" name="equation.png"/>
                    <pic:cNvPicPr/>
                  </pic:nvPicPr>
                  <pic:blipFill>
                    <a:blip r:embed="rId14"/>
                    <a:stretch>
                      <a:fillRect/>
                    </a:stretch>
                  </pic:blipFill>
                  <pic:spPr>
                    <a:xfrm>
                      <a:off x="0" y="0"/>
                      <a:ext cx="1216152" cy="466344"/>
                    </a:xfrm>
                    <a:prstGeom prst="rect"/>
                  </pic:spPr>
                </pic:pic>
              </a:graphicData>
            </a:graphic>
          </wp:inline>
        </w:drawing>
      </w:r>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w:t>
      </w:r>
      <w:r>
        <w:rPr>
          <w:rFonts w:ascii="Times New Roman" w:hAnsi="Times New Roman" w:eastAsia="仿宋_GB2312"/>
          <w:b w:val="0"/>
          <w:i/>
          <w:sz w:val="28"/>
        </w:rPr>
        <w:t>S</w:t>
      </w:r>
      <w:r>
        <w:rPr>
          <w:rFonts w:ascii="Times New Roman" w:hAnsi="Times New Roman" w:eastAsia="仿宋_GB2312"/>
          <w:b w:val="0"/>
          <w:i/>
          <w:sz w:val="28"/>
          <w:vertAlign w:val="subscript"/>
        </w:rPr>
        <w:t>y</w:t>
      </w:r>
      <w:r>
        <w:rPr>
          <w:rFonts w:ascii="Times New Roman" w:hAnsi="Times New Roman" w:eastAsia="仿宋_GB2312"/>
          <w:b w:val="0"/>
          <w:sz w:val="28"/>
        </w:rPr>
        <w:t xml:space="preserve"> 为第 </w:t>
      </w:r>
      <w:r>
        <w:rPr>
          <w:rFonts w:ascii="Times New Roman" w:hAnsi="Times New Roman" w:eastAsia="仿宋_GB2312"/>
          <w:b w:val="0"/>
          <w:i/>
          <w:sz w:val="28"/>
        </w:rPr>
        <w:t>y</w:t>
      </w:r>
      <w:r>
        <w:rPr>
          <w:rFonts w:ascii="Times New Roman" w:hAnsi="Times New Roman" w:eastAsia="仿宋_GB2312"/>
          <w:b w:val="0"/>
          <w:sz w:val="28"/>
        </w:rPr>
        <w:t xml:space="preserve"> 年在役变电总容量；</w:t>
      </w:r>
      <w:r>
        <w:rPr>
          <w:rFonts w:ascii="Times New Roman" w:hAnsi="Times New Roman" w:eastAsia="仿宋_GB2312"/>
          <w:b w:val="0"/>
          <w:i/>
          <w:sz w:val="28"/>
        </w:rPr>
        <w:t>P</w:t>
      </w:r>
      <w:r>
        <w:rPr>
          <w:rFonts w:ascii="Times New Roman" w:hAnsi="Times New Roman" w:eastAsia="仿宋_GB2312"/>
          <w:b w:val="0"/>
          <w:i/>
          <w:sz w:val="28"/>
          <w:vertAlign w:val="subscript"/>
        </w:rPr>
        <w:t>y</w:t>
      </w:r>
      <w:r>
        <w:rPr>
          <w:rFonts w:ascii="Times New Roman" w:hAnsi="Times New Roman" w:eastAsia="仿宋_GB2312"/>
          <w:b w:val="0"/>
          <w:i w:val="0"/>
          <w:sz w:val="28"/>
          <w:vertAlign w:val="superscript"/>
        </w:rPr>
        <w:t>+</w:t>
      </w:r>
      <w:r>
        <w:rPr>
          <w:rFonts w:ascii="Times New Roman" w:hAnsi="Times New Roman" w:eastAsia="仿宋_GB2312"/>
          <w:b w:val="0"/>
          <w:sz w:val="28"/>
        </w:rPr>
        <w:t xml:space="preserve"> 为同一规划路径下重新计算的正向年最大供电负荷。考虑储能充放电和局部互济后，</w:t>
      </w:r>
      <w:r>
        <w:rPr>
          <w:rFonts w:ascii="Times New Roman" w:hAnsi="Times New Roman" w:eastAsia="仿宋_GB2312"/>
          <w:b w:val="0"/>
          <w:i/>
          <w:sz w:val="28"/>
        </w:rPr>
        <w:t>P</w:t>
      </w:r>
      <w:r>
        <w:rPr>
          <w:rFonts w:ascii="Times New Roman" w:hAnsi="Times New Roman" w:eastAsia="仿宋_GB2312"/>
          <w:b w:val="0"/>
          <w:i/>
          <w:sz w:val="28"/>
          <w:vertAlign w:val="subscript"/>
        </w:rPr>
        <w:t>y</w:t>
      </w:r>
      <w:r>
        <w:rPr>
          <w:rFonts w:ascii="Times New Roman" w:hAnsi="Times New Roman" w:eastAsia="仿宋_GB2312"/>
          <w:b w:val="0"/>
          <w:i w:val="0"/>
          <w:sz w:val="28"/>
          <w:vertAlign w:val="superscript"/>
        </w:rPr>
        <w:t>+</w:t>
      </w:r>
      <w:r>
        <w:rPr>
          <w:rFonts w:ascii="Times New Roman" w:hAnsi="Times New Roman" w:eastAsia="仿宋_GB2312"/>
          <w:b w:val="0"/>
          <w:sz w:val="28"/>
        </w:rPr>
        <w:t xml:space="preserve"> 由净负荷序列确定：</w:t>
      </w:r>
    </w:p>
    <w:p>
      <w:pPr>
        <w:keepLines/>
        <w:jc w:val="left"/>
        <w:ind w:firstLine="0" w:firstLineChars="0"/>
        <w:tabs>
          <w:tab w:val="center" w:pos="4100"/>
          <w:tab w:val="right" w:pos="8200"/>
        </w:tabs>
        <w:spacing w:line="1241" w:lineRule="atLeast" w:before="80" w:after="80"/>
      </w:pPr>
      <w:r>
        <w:tab/>
      </w:r>
      <w:r>
        <w:drawing>
          <wp:inline xmlns:a="http://schemas.openxmlformats.org/drawingml/2006/main" xmlns:pic="http://schemas.openxmlformats.org/drawingml/2006/picture">
            <wp:extent cx="3744000" cy="304405"/>
            <wp:docPr id="3" name="Picture 3"/>
            <wp:cNvGraphicFramePr>
              <a:graphicFrameLocks noChangeAspect="1"/>
            </wp:cNvGraphicFramePr>
            <a:graphic>
              <a:graphicData uri="http://schemas.openxmlformats.org/drawingml/2006/picture">
                <pic:pic>
                  <pic:nvPicPr>
                    <pic:cNvPr id="0" name="equation.png"/>
                    <pic:cNvPicPr/>
                  </pic:nvPicPr>
                  <pic:blipFill>
                    <a:blip r:embed="rId15"/>
                    <a:stretch>
                      <a:fillRect/>
                    </a:stretch>
                  </pic:blipFill>
                  <pic:spPr>
                    <a:xfrm>
                      <a:off x="0" y="0"/>
                      <a:ext cx="3744000" cy="304405"/>
                    </a:xfrm>
                    <a:prstGeom prst="rect"/>
                  </pic:spPr>
                </pic:pic>
              </a:graphicData>
            </a:graphic>
          </wp:inline>
        </w:drawing>
      </w:r>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弹性容载比规划控制值。</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各规划方案均以2021年实际在役变电容量为共同起点。既有容量保持在役，不因控制值变化假设退役或拆除；弹性容载比规划控制值只约束规划期新增容量：</w:t>
      </w:r>
    </w:p>
    <w:p>
      <w:pPr>
        <w:keepLines/>
        <w:jc w:val="left"/>
        <w:ind w:firstLine="0" w:firstLineChars="0"/>
        <w:tabs>
          <w:tab w:val="center" w:pos="4100"/>
          <w:tab w:val="right" w:pos="8200"/>
        </w:tabs>
        <w:spacing w:line="987" w:lineRule="atLeast" w:before="80" w:after="80"/>
      </w:pPr>
      <w:r>
        <w:tab/>
      </w:r>
      <w:r>
        <w:drawing>
          <wp:inline xmlns:a="http://schemas.openxmlformats.org/drawingml/2006/main" xmlns:pic="http://schemas.openxmlformats.org/drawingml/2006/picture">
            <wp:extent cx="3340608" cy="347472"/>
            <wp:docPr id="4" name="Picture 4"/>
            <wp:cNvGraphicFramePr>
              <a:graphicFrameLocks noChangeAspect="1"/>
            </wp:cNvGraphicFramePr>
            <a:graphic>
              <a:graphicData uri="http://schemas.openxmlformats.org/drawingml/2006/picture">
                <pic:pic>
                  <pic:nvPicPr>
                    <pic:cNvPr id="0" name="equation.png"/>
                    <pic:cNvPicPr/>
                  </pic:nvPicPr>
                  <pic:blipFill>
                    <a:blip r:embed="rId16"/>
                    <a:stretch>
                      <a:fillRect/>
                    </a:stretch>
                  </pic:blipFill>
                  <pic:spPr>
                    <a:xfrm>
                      <a:off x="0" y="0"/>
                      <a:ext cx="3340608" cy="347472"/>
                    </a:xfrm>
                    <a:prstGeom prst="rect"/>
                  </pic:spPr>
                </pic:pic>
              </a:graphicData>
            </a:graphic>
          </wp:inline>
        </w:drawing>
      </w:r>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弹性容载比规划控制值而不构成约束违反。</w:t>
      </w:r>
    </w:p>
    <w:p>
      <w:pPr>
        <w:pStyle w:val="38"/>
        <w:jc w:val="center"/>
        <w:keepNext/>
        <w:keepLines/>
        <w:ind w:firstLine="0" w:firstLineChars="0"/>
      </w:pPr>
      <w:r>
        <w:drawing>
          <wp:inline xmlns:a="http://schemas.openxmlformats.org/drawingml/2006/main" xmlns:pic="http://schemas.openxmlformats.org/drawingml/2006/picture">
            <wp:extent cx="4968000" cy="3246347"/>
            <wp:docPr id="5" name="Picture 5"/>
            <wp:cNvGraphicFramePr>
              <a:graphicFrameLocks noChangeAspect="1"/>
            </wp:cNvGraphicFramePr>
            <a:graphic>
              <a:graphicData uri="http://schemas.openxmlformats.org/drawingml/2006/picture">
                <pic:pic>
                  <pic:nvPicPr>
                    <pic:cNvPr id="0" name="图3-1_物理容载比与规划控制值.png"/>
                    <pic:cNvPicPr/>
                  </pic:nvPicPr>
                  <pic:blipFill>
                    <a:blip r:embed="rId17"/>
                    <a:stretch>
                      <a:fillRect/>
                    </a:stretch>
                  </pic:blipFill>
                  <pic:spPr>
                    <a:xfrm>
                      <a:off x="0" y="0"/>
                      <a:ext cx="4968000" cy="3246347"/>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图2-1给出了两类指标的关系：实际物理容载比用于描述最终容量配置状态，弹性容载比规划控制值用于控制规划期新增容量空间。将两者分开，是避免存量资产被错误纳入刚性上限的关键。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荷电状态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tabs>
          <w:tab w:val="center" w:pos="4100"/>
          <w:tab w:val="right" w:pos="8200"/>
        </w:tabs>
        <w:spacing w:line="1030" w:lineRule="atLeast" w:before="80" w:after="80"/>
      </w:pPr>
      <w:r>
        <w:tab/>
      </w:r>
      <w:r>
        <w:drawing>
          <wp:inline xmlns:a="http://schemas.openxmlformats.org/drawingml/2006/main" xmlns:pic="http://schemas.openxmlformats.org/drawingml/2006/picture">
            <wp:extent cx="2950464" cy="374904"/>
            <wp:docPr id="6" name="Picture 6"/>
            <wp:cNvGraphicFramePr>
              <a:graphicFrameLocks noChangeAspect="1"/>
            </wp:cNvGraphicFramePr>
            <a:graphic>
              <a:graphicData uri="http://schemas.openxmlformats.org/drawingml/2006/picture">
                <pic:pic>
                  <pic:nvPicPr>
                    <pic:cNvPr id="0" name="equation.png"/>
                    <pic:cNvPicPr/>
                  </pic:nvPicPr>
                  <pic:blipFill>
                    <a:blip r:embed="rId18"/>
                    <a:stretch>
                      <a:fillRect/>
                    </a:stretch>
                  </pic:blipFill>
                  <pic:spPr>
                    <a:xfrm>
                      <a:off x="0" y="0"/>
                      <a:ext cx="2950464" cy="374904"/>
                    </a:xfrm>
                    <a:prstGeom prst="rect"/>
                  </pic:spPr>
                </pic:pic>
              </a:graphicData>
            </a:graphic>
          </wp:inline>
        </w:drawing>
      </w:r>
      <w:r>
        <w:rPr>
          <w:rFonts w:ascii="Times New Roman" w:hAnsi="Times New Roman" w:eastAsia="仿宋_GB2312"/>
          <w:b w:val="0"/>
          <w:sz w:val="28"/>
        </w:rPr>
        <w:tab/>
        <w:t>（2-4）</w:t>
      </w:r>
    </w:p>
    <w:p>
      <w:pPr>
        <w:keepLines/>
        <w:jc w:val="left"/>
        <w:ind w:firstLine="0" w:firstLineChars="0"/>
        <w:tabs>
          <w:tab w:val="center" w:pos="4100"/>
          <w:tab w:val="right" w:pos="8200"/>
        </w:tabs>
        <w:spacing w:line="960" w:lineRule="atLeast" w:before="80" w:after="80"/>
      </w:pPr>
      <w:r>
        <w:tab/>
      </w:r>
      <w:r>
        <w:drawing>
          <wp:inline xmlns:a="http://schemas.openxmlformats.org/drawingml/2006/main" xmlns:pic="http://schemas.openxmlformats.org/drawingml/2006/picture">
            <wp:extent cx="2993136" cy="274320"/>
            <wp:docPr id="7" name="Picture 7"/>
            <wp:cNvGraphicFramePr>
              <a:graphicFrameLocks noChangeAspect="1"/>
            </wp:cNvGraphicFramePr>
            <a:graphic>
              <a:graphicData uri="http://schemas.openxmlformats.org/drawingml/2006/picture">
                <pic:pic>
                  <pic:nvPicPr>
                    <pic:cNvPr id="0" name="equation.png"/>
                    <pic:cNvPicPr/>
                  </pic:nvPicPr>
                  <pic:blipFill>
                    <a:blip r:embed="rId19"/>
                    <a:stretch>
                      <a:fillRect/>
                    </a:stretch>
                  </pic:blipFill>
                  <pic:spPr>
                    <a:xfrm>
                      <a:off x="0" y="0"/>
                      <a:ext cx="2993136" cy="274320"/>
                    </a:xfrm>
                    <a:prstGeom prst="rect"/>
                  </pic:spPr>
                </pic:pic>
              </a:graphicData>
            </a:graphic>
          </wp:inline>
        </w:drawing>
      </w:r>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w:t>
      </w:r>
      <w:r>
        <w:rPr>
          <w:rFonts w:ascii="Times New Roman" w:hAnsi="Times New Roman" w:eastAsia="仿宋_GB2312"/>
          <w:b w:val="0"/>
          <w:i/>
          <w:sz w:val="28"/>
        </w:rPr>
        <w:t>E</w:t>
      </w:r>
      <w:r>
        <w:rPr>
          <w:rFonts w:ascii="Times New Roman" w:hAnsi="Times New Roman" w:eastAsia="仿宋_GB2312"/>
          <w:b w:val="0"/>
          <w:i/>
          <w:sz w:val="28"/>
          <w:vertAlign w:val="subscript"/>
        </w:rPr>
        <w:t>t</w:t>
      </w:r>
      <w:r>
        <w:rPr>
          <w:rFonts w:ascii="Times New Roman" w:hAnsi="Times New Roman" w:eastAsia="仿宋_GB2312"/>
          <w:b w:val="0"/>
          <w:sz w:val="28"/>
        </w:rPr>
        <w:t xml:space="preserve"> 为时刻 </w:t>
      </w:r>
      <w:r>
        <w:rPr>
          <w:rFonts w:ascii="Times New Roman" w:hAnsi="Times New Roman" w:eastAsia="仿宋_GB2312"/>
          <w:b w:val="0"/>
          <w:i/>
          <w:sz w:val="28"/>
        </w:rPr>
        <w:t>t</w:t>
      </w:r>
      <w:r>
        <w:rPr>
          <w:rFonts w:ascii="Times New Roman" w:hAnsi="Times New Roman" w:eastAsia="仿宋_GB2312"/>
          <w:b w:val="0"/>
          <w:sz w:val="28"/>
        </w:rPr>
        <w:t xml:space="preserve"> 的储能电量，</w:t>
      </w:r>
      <w:r>
        <w:rPr>
          <w:rFonts w:ascii="Times New Roman" w:hAnsi="Times New Roman" w:eastAsia="仿宋_GB2312"/>
          <w:b w:val="0"/>
          <w:i/>
          <w:sz w:val="28"/>
        </w:rPr>
        <w:t>P</w:t>
      </w:r>
      <w:r>
        <w:rPr>
          <w:rFonts w:ascii="Times New Roman" w:hAnsi="Times New Roman" w:eastAsia="仿宋_GB2312"/>
          <w:b w:val="0"/>
          <w:i/>
          <w:sz w:val="28"/>
          <w:vertAlign w:val="subscript"/>
        </w:rPr>
        <w:t>c,t</w:t>
      </w:r>
      <w:r>
        <w:rPr>
          <w:rFonts w:ascii="Times New Roman" w:hAnsi="Times New Roman" w:eastAsia="仿宋_GB2312"/>
          <w:b w:val="0"/>
          <w:sz w:val="28"/>
        </w:rPr>
        <w:t xml:space="preserve"> 和 </w:t>
      </w:r>
      <w:r>
        <w:rPr>
          <w:rFonts w:ascii="Times New Roman" w:hAnsi="Times New Roman" w:eastAsia="仿宋_GB2312"/>
          <w:b w:val="0"/>
          <w:i/>
          <w:sz w:val="28"/>
        </w:rPr>
        <w:t>P</w:t>
      </w:r>
      <w:r>
        <w:rPr>
          <w:rFonts w:ascii="Times New Roman" w:hAnsi="Times New Roman" w:eastAsia="仿宋_GB2312"/>
          <w:b w:val="0"/>
          <w:i/>
          <w:sz w:val="28"/>
          <w:vertAlign w:val="subscript"/>
        </w:rPr>
        <w:t>d,t</w:t>
      </w:r>
      <w:r>
        <w:rPr>
          <w:rFonts w:ascii="Times New Roman" w:hAnsi="Times New Roman" w:eastAsia="仿宋_GB2312"/>
          <w:b w:val="0"/>
          <w:sz w:val="28"/>
        </w:rPr>
        <w:t xml:space="preserve"> 分别为充电功率和放电功率。QX-00005具备2025年8760小时连续运行时序，储能荷电状态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tabs>
          <w:tab w:val="center" w:pos="4100"/>
          <w:tab w:val="right" w:pos="8200"/>
        </w:tabs>
        <w:spacing w:line="1174" w:lineRule="atLeast" w:before="80" w:after="80"/>
      </w:pPr>
      <w:r>
        <w:tab/>
      </w:r>
      <w:r>
        <w:drawing>
          <wp:inline xmlns:a="http://schemas.openxmlformats.org/drawingml/2006/main" xmlns:pic="http://schemas.openxmlformats.org/drawingml/2006/picture">
            <wp:extent cx="1679448" cy="466344"/>
            <wp:docPr id="8" name="Picture 8"/>
            <wp:cNvGraphicFramePr>
              <a:graphicFrameLocks noChangeAspect="1"/>
            </wp:cNvGraphicFramePr>
            <a:graphic>
              <a:graphicData uri="http://schemas.openxmlformats.org/drawingml/2006/picture">
                <pic:pic>
                  <pic:nvPicPr>
                    <pic:cNvPr id="0" name="equation.png"/>
                    <pic:cNvPicPr/>
                  </pic:nvPicPr>
                  <pic:blipFill>
                    <a:blip r:embed="rId20"/>
                    <a:stretch>
                      <a:fillRect/>
                    </a:stretch>
                  </pic:blipFill>
                  <pic:spPr>
                    <a:xfrm>
                      <a:off x="0" y="0"/>
                      <a:ext cx="1679448" cy="466344"/>
                    </a:xfrm>
                    <a:prstGeom prst="rect"/>
                  </pic:spPr>
                </pic:pic>
              </a:graphicData>
            </a:graphic>
          </wp:inline>
        </w:drawing>
      </w:r>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tabs>
          <w:tab w:val="center" w:pos="4100"/>
          <w:tab w:val="right" w:pos="8200"/>
        </w:tabs>
        <w:spacing w:line="1289" w:lineRule="atLeast" w:before="80" w:after="80"/>
      </w:pPr>
      <w:r>
        <w:tab/>
      </w:r>
      <w:r>
        <w:drawing>
          <wp:inline xmlns:a="http://schemas.openxmlformats.org/drawingml/2006/main" xmlns:pic="http://schemas.openxmlformats.org/drawingml/2006/picture">
            <wp:extent cx="1944623" cy="539496"/>
            <wp:docPr id="9" name="Picture 9"/>
            <wp:cNvGraphicFramePr>
              <a:graphicFrameLocks noChangeAspect="1"/>
            </wp:cNvGraphicFramePr>
            <a:graphic>
              <a:graphicData uri="http://schemas.openxmlformats.org/drawingml/2006/picture">
                <pic:pic>
                  <pic:nvPicPr>
                    <pic:cNvPr id="0" name="equation.png"/>
                    <pic:cNvPicPr/>
                  </pic:nvPicPr>
                  <pic:blipFill>
                    <a:blip r:embed="rId21"/>
                    <a:stretch>
                      <a:fillRect/>
                    </a:stretch>
                  </pic:blipFill>
                  <pic:spPr>
                    <a:xfrm>
                      <a:off x="0" y="0"/>
                      <a:ext cx="1944623" cy="539496"/>
                    </a:xfrm>
                    <a:prstGeom prst="rect"/>
                  </pic:spPr>
                </pic:pic>
              </a:graphicData>
            </a:graphic>
          </wp:inline>
        </w:drawing>
      </w:r>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tabs>
          <w:tab w:val="center" w:pos="4100"/>
          <w:tab w:val="right" w:pos="8200"/>
        </w:tabs>
        <w:spacing w:line="1054" w:lineRule="atLeast" w:before="80" w:after="80"/>
      </w:pPr>
      <w:r>
        <w:tab/>
      </w:r>
      <w:r>
        <w:drawing>
          <wp:inline xmlns:a="http://schemas.openxmlformats.org/drawingml/2006/main" xmlns:pic="http://schemas.openxmlformats.org/drawingml/2006/picture">
            <wp:extent cx="2097024" cy="390144"/>
            <wp:docPr id="10" name="Picture 10"/>
            <wp:cNvGraphicFramePr>
              <a:graphicFrameLocks noChangeAspect="1"/>
            </wp:cNvGraphicFramePr>
            <a:graphic>
              <a:graphicData uri="http://schemas.openxmlformats.org/drawingml/2006/picture">
                <pic:pic>
                  <pic:nvPicPr>
                    <pic:cNvPr id="0" name="equation.png"/>
                    <pic:cNvPicPr/>
                  </pic:nvPicPr>
                  <pic:blipFill>
                    <a:blip r:embed="rId22"/>
                    <a:stretch>
                      <a:fillRect/>
                    </a:stretch>
                  </pic:blipFill>
                  <pic:spPr>
                    <a:xfrm>
                      <a:off x="0" y="0"/>
                      <a:ext cx="2097024" cy="390144"/>
                    </a:xfrm>
                    <a:prstGeom prst="rect"/>
                  </pic:spPr>
                </pic:pic>
              </a:graphicData>
            </a:graphic>
          </wp:inline>
        </w:drawing>
      </w:r>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tabs>
          <w:tab w:val="center" w:pos="4100"/>
          <w:tab w:val="right" w:pos="8200"/>
        </w:tabs>
        <w:spacing w:line="1284" w:lineRule="atLeast" w:before="80" w:after="80"/>
      </w:pPr>
      <w:r>
        <w:tab/>
      </w:r>
      <w:r>
        <w:drawing>
          <wp:inline xmlns:a="http://schemas.openxmlformats.org/drawingml/2006/main" xmlns:pic="http://schemas.openxmlformats.org/drawingml/2006/picture">
            <wp:extent cx="1962912" cy="536448"/>
            <wp:docPr id="11" name="Picture 11"/>
            <wp:cNvGraphicFramePr>
              <a:graphicFrameLocks noChangeAspect="1"/>
            </wp:cNvGraphicFramePr>
            <a:graphic>
              <a:graphicData uri="http://schemas.openxmlformats.org/drawingml/2006/picture">
                <pic:pic>
                  <pic:nvPicPr>
                    <pic:cNvPr id="0" name="equation.png"/>
                    <pic:cNvPicPr/>
                  </pic:nvPicPr>
                  <pic:blipFill>
                    <a:blip r:embed="rId23"/>
                    <a:stretch>
                      <a:fillRect/>
                    </a:stretch>
                  </pic:blipFill>
                  <pic:spPr>
                    <a:xfrm>
                      <a:off x="0" y="0"/>
                      <a:ext cx="1962912" cy="536448"/>
                    </a:xfrm>
                    <a:prstGeom prst="rect"/>
                  </pic:spPr>
                </pic:pic>
              </a:graphicData>
            </a:graphic>
          </wp:inline>
        </w:drawing>
      </w:r>
      <w:r>
        <w:rPr>
          <w:rFonts w:ascii="Times New Roman" w:hAnsi="Times New Roman" w:eastAsia="仿宋_GB2312"/>
          <w:b w:val="0"/>
          <w:sz w:val="28"/>
        </w:rPr>
        <w:tab/>
        <w:t>（3-4）</w:t>
      </w:r>
    </w:p>
    <w:p>
      <w:pPr>
        <w:pStyle w:val="38"/>
        <w:jc w:val="center"/>
        <w:keepNext/>
        <w:keepLines/>
        <w:ind w:firstLine="0" w:firstLineChars="0"/>
      </w:pPr>
      <w:r>
        <w:drawing>
          <wp:inline xmlns:a="http://schemas.openxmlformats.org/drawingml/2006/main" xmlns:pic="http://schemas.openxmlformats.org/drawingml/2006/picture">
            <wp:extent cx="4968000" cy="4397876"/>
            <wp:docPr id="12" name="Picture 12"/>
            <wp:cNvGraphicFramePr>
              <a:graphicFrameLocks noChangeAspect="1"/>
            </wp:cNvGraphicFramePr>
            <a:graphic>
              <a:graphicData uri="http://schemas.openxmlformats.org/drawingml/2006/picture">
                <pic:pic>
                  <pic:nvPicPr>
                    <pic:cNvPr id="0" name="图4-1_典型片区核心指标.png"/>
                    <pic:cNvPicPr/>
                  </pic:nvPicPr>
                  <pic:blipFill>
                    <a:blip r:embed="rId24"/>
                    <a:stretch>
                      <a:fillRect/>
                    </a:stretch>
                  </pic:blipFill>
                  <pic:spPr>
                    <a:xfrm>
                      <a:off x="0" y="0"/>
                      <a:ext cx="4968000" cy="439787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形成数值型弹性容载比规划控制值建议片区四项核心运行指标</w:t>
      </w:r>
    </w:p>
    <w:p>
      <w:pPr>
        <w:spacing w:before="0" w:after="0" w:line="560" w:lineRule="exact"/>
        <w:jc w:val="both"/>
        <w:ind w:firstLineChars="200" w:firstLine="200"/>
      </w:pPr>
      <w:r>
        <w:rPr>
          <w:rFonts w:ascii="Times New Roman" w:hAnsi="Times New Roman" w:eastAsia="仿宋_GB2312"/>
          <w:b w:val="0"/>
          <w:sz w:val="28"/>
        </w:rPr>
        <w:t>图3-1聚焦当前已形成数值型弹性容载比规划控制值建议的QX-00001和QX-00005。两个片区均表现出较明确的正向峰值增长，但其源荷规模、局部反向潮流和线路统计负载余度并不相同，说明弹性容载比规划控制值建议不能由某一项指标直接确定，而应由片区特征、工程约束与规划优化共同决定。其余对照样本主要用于检验方法适用边界，不在正式数值推荐结果中逐片区展开。</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kV高光伏跨站供电边界重构表达</w:t>
      </w:r>
    </w:p>
    <w:p>
      <w:pPr>
        <w:spacing w:before="0" w:after="0" w:line="560" w:lineRule="exact"/>
        <w:jc w:val="both"/>
        <w:ind w:firstLineChars="200" w:firstLine="200"/>
      </w:pPr>
      <w:r>
        <w:rPr>
          <w:rFonts w:ascii="Times New Roman" w:hAnsi="Times New Roman" w:eastAsia="仿宋_GB2312"/>
          <w:b w:val="0"/>
          <w:sz w:val="28"/>
        </w:rPr>
        <w:t>110 kV层面的反向承载压力具有明显的空间不均衡性。同一片区内，不同变电站及其下辖10 kV馈线的负荷水平、分布式光伏规模和反向潮流强度并不一致。当局部110 kV变电站在高光伏、低负荷时段出现较强反向送电，而相邻变电站仍具有承接空间时，可通过调整10 kV供电边界，将部分净发电供电单元转移至相邻站供电范围，从而改变光伏富余功率向上级电网反送的路径。该过程并不减少光伏实际出力，而是对反向功率进行空间重分配。</w:t>
      </w:r>
    </w:p>
    <w:p>
      <w:pPr>
        <w:spacing w:before="0" w:after="0" w:line="560" w:lineRule="exact"/>
        <w:jc w:val="both"/>
        <w:ind w:firstLineChars="200" w:firstLine="200"/>
      </w:pPr>
      <w:r>
        <w:rPr>
          <w:rFonts w:ascii="Times New Roman" w:hAnsi="Times New Roman" w:eastAsia="仿宋_GB2312"/>
          <w:b w:val="0"/>
          <w:sz w:val="28"/>
        </w:rPr>
        <w:t>为描述这一过程，本研究将10 kV网络抽象为由馈线、物理支路、联络关系和可调整供电单元组成的拓扑图。分段、联络等开关设备统一视为供电边界控制资源，模型关注其是否能够支撑供电归属调整，而不以实时分合状态识别或现场倒闸顺序为研究对象。规划重构后必须保持单电源辐射运行，禁止两个110 kV电源通过10 kV网络直接并列。实时开关状态、遥控属性、保护定值和具体操作步骤属于工程实施阶段的专项校核内容。</w:t>
      </w:r>
    </w:p>
    <w:p>
      <w:pPr>
        <w:spacing w:before="0" w:after="0" w:line="560" w:lineRule="exact"/>
        <w:jc w:val="both"/>
        <w:ind w:firstLineChars="200" w:firstLine="200"/>
      </w:pPr>
      <w:r>
        <w:rPr>
          <w:rFonts w:ascii="Times New Roman" w:hAnsi="Times New Roman" w:eastAsia="仿宋_GB2312"/>
          <w:b w:val="0"/>
          <w:sz w:val="28"/>
        </w:rPr>
        <w:t>对任一可调整供电归属的供电单元k，定义净有功功率为：</w:t>
      </w:r>
    </w:p>
    <w:p>
      <w:pPr>
        <w:keepLines/>
        <w:jc w:val="left"/>
        <w:ind w:firstLine="0" w:firstLineChars="0"/>
        <w:tabs>
          <w:tab w:val="center" w:pos="4100"/>
          <w:tab w:val="right" w:pos="8200"/>
        </w:tabs>
        <w:spacing w:line="960" w:lineRule="atLeast" w:before="80" w:after="80"/>
      </w:pPr>
      <w:r>
        <w:tab/>
      </w:r>
      <w:r>
        <w:drawing>
          <wp:inline xmlns:a="http://schemas.openxmlformats.org/drawingml/2006/main" xmlns:pic="http://schemas.openxmlformats.org/drawingml/2006/picture">
            <wp:extent cx="1776984" cy="274320"/>
            <wp:docPr id="13" name="Picture 13"/>
            <wp:cNvGraphicFramePr>
              <a:graphicFrameLocks noChangeAspect="1"/>
            </wp:cNvGraphicFramePr>
            <a:graphic>
              <a:graphicData uri="http://schemas.openxmlformats.org/drawingml/2006/picture">
                <pic:pic>
                  <pic:nvPicPr>
                    <pic:cNvPr id="0" name="equation.png"/>
                    <pic:cNvPicPr/>
                  </pic:nvPicPr>
                  <pic:blipFill>
                    <a:blip r:embed="rId25"/>
                    <a:stretch>
                      <a:fillRect/>
                    </a:stretch>
                  </pic:blipFill>
                  <pic:spPr>
                    <a:xfrm>
                      <a:off x="0" y="0"/>
                      <a:ext cx="1776984" cy="274320"/>
                    </a:xfrm>
                    <a:prstGeom prst="rect"/>
                  </pic:spPr>
                </pic:pic>
              </a:graphicData>
            </a:graphic>
          </wp:inline>
        </w:drawing>
      </w:r>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当净有功功率小于0时，该单元为净发电单元，可用于跨站转移的光伏富余功率为：</w:t>
      </w:r>
    </w:p>
    <w:p>
      <w:pPr>
        <w:keepLines/>
        <w:jc w:val="left"/>
        <w:ind w:firstLine="0" w:firstLineChars="0"/>
        <w:tabs>
          <w:tab w:val="center" w:pos="4100"/>
          <w:tab w:val="right" w:pos="8200"/>
        </w:tabs>
        <w:spacing w:line="960" w:lineRule="atLeast" w:before="80" w:after="80"/>
      </w:pPr>
      <w:r>
        <w:tab/>
      </w:r>
      <w:r>
        <w:drawing>
          <wp:inline xmlns:a="http://schemas.openxmlformats.org/drawingml/2006/main" xmlns:pic="http://schemas.openxmlformats.org/drawingml/2006/picture">
            <wp:extent cx="2791968" cy="274320"/>
            <wp:docPr id="14" name="Picture 14"/>
            <wp:cNvGraphicFramePr>
              <a:graphicFrameLocks noChangeAspect="1"/>
            </wp:cNvGraphicFramePr>
            <a:graphic>
              <a:graphicData uri="http://schemas.openxmlformats.org/drawingml/2006/picture">
                <pic:pic>
                  <pic:nvPicPr>
                    <pic:cNvPr id="0" name="equation.png"/>
                    <pic:cNvPicPr/>
                  </pic:nvPicPr>
                  <pic:blipFill>
                    <a:blip r:embed="rId26"/>
                    <a:stretch>
                      <a:fillRect/>
                    </a:stretch>
                  </pic:blipFill>
                  <pic:spPr>
                    <a:xfrm>
                      <a:off x="0" y="0"/>
                      <a:ext cx="2791968" cy="274320"/>
                    </a:xfrm>
                    <a:prstGeom prst="rect"/>
                  </pic:spPr>
                </pic:pic>
              </a:graphicData>
            </a:graphic>
          </wp:inline>
        </w:drawing>
      </w:r>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定义二元供电归属变量：取0表示仍由原110 kV变电站供电，取1表示通过供电边界重构调整至相邻变电站供电范围，则跨站转移功率为：</w:t>
      </w:r>
    </w:p>
    <w:p>
      <w:pPr>
        <w:keepLines/>
        <w:jc w:val="left"/>
        <w:ind w:firstLine="0" w:firstLineChars="0"/>
        <w:tabs>
          <w:tab w:val="center" w:pos="4100"/>
          <w:tab w:val="right" w:pos="8200"/>
        </w:tabs>
        <w:spacing w:line="1241" w:lineRule="atLeast" w:before="80" w:after="80"/>
      </w:pPr>
      <w:r>
        <w:tab/>
      </w:r>
      <w:r>
        <w:drawing>
          <wp:inline xmlns:a="http://schemas.openxmlformats.org/drawingml/2006/main" xmlns:pic="http://schemas.openxmlformats.org/drawingml/2006/picture">
            <wp:extent cx="1319784" cy="509016"/>
            <wp:docPr id="15" name="Picture 15"/>
            <wp:cNvGraphicFramePr>
              <a:graphicFrameLocks noChangeAspect="1"/>
            </wp:cNvGraphicFramePr>
            <a:graphic>
              <a:graphicData uri="http://schemas.openxmlformats.org/drawingml/2006/picture">
                <pic:pic>
                  <pic:nvPicPr>
                    <pic:cNvPr id="0" name="equation.png"/>
                    <pic:cNvPicPr/>
                  </pic:nvPicPr>
                  <pic:blipFill>
                    <a:blip r:embed="rId27"/>
                    <a:stretch>
                      <a:fillRect/>
                    </a:stretch>
                  </pic:blipFill>
                  <pic:spPr>
                    <a:xfrm>
                      <a:off x="0" y="0"/>
                      <a:ext cx="1319784" cy="509016"/>
                    </a:xfrm>
                    <a:prstGeom prst="rect"/>
                  </pic:spPr>
                </pic:pic>
              </a:graphicData>
            </a:graphic>
          </wp:inline>
        </w:drawing>
      </w:r>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当前六条目标馈线已完成馈线—变电站映射、关键物理支路、规划级线路参数、负荷/光伏边界和主要联络关系整理。墩集变对应墩振线、墩西线和墩南线；河湾变对应河东线、河炮线和河镇线。其中，墩南线与河炮线之间已形成既有联络，两侧端点和关键路径均已达到规划计算所需的数据质量，可作为首个跨站供电边界重构案例。</w:t>
      </w:r>
    </w:p>
    <w:p>
      <w:pPr>
        <w:spacing w:before="0" w:after="0" w:line="560" w:lineRule="exact"/>
        <w:jc w:val="both"/>
        <w:ind w:firstLineChars="200" w:firstLine="200"/>
      </w:pPr>
      <w:r>
        <w:rPr>
          <w:rFonts w:ascii="Times New Roman" w:hAnsi="Times New Roman" w:eastAsia="仿宋_GB2312"/>
          <w:b w:val="0"/>
          <w:sz w:val="28"/>
        </w:rPr>
        <w:t>受现有数据粒度限制，墩南线7.34 MW为馈线级实际光伏峰值出力锚点，尚不能完整还原各局部区段在同一时刻的负荷—光伏空间分布。因此，正式数值算例以馈线级作为当前最小可验证单元；供电归属变量用于建立可扩展的局部优化框架。后续如补充节点级光伏分布或同步量测，可直接将馈线级单元细化为多个局部供电单元，而无需改变模型结构。</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tabs>
          <w:tab w:val="center" w:pos="4100"/>
          <w:tab w:val="right" w:pos="8200"/>
        </w:tabs>
        <w:spacing w:line="1054" w:lineRule="atLeast" w:before="80" w:after="80"/>
      </w:pPr>
      <w:r>
        <w:tab/>
      </w:r>
      <w:r>
        <w:drawing>
          <wp:inline xmlns:a="http://schemas.openxmlformats.org/drawingml/2006/main" xmlns:pic="http://schemas.openxmlformats.org/drawingml/2006/picture">
            <wp:extent cx="2203704" cy="390144"/>
            <wp:docPr id="16" name="Picture 16"/>
            <wp:cNvGraphicFramePr>
              <a:graphicFrameLocks noChangeAspect="1"/>
            </wp:cNvGraphicFramePr>
            <a:graphic>
              <a:graphicData uri="http://schemas.openxmlformats.org/drawingml/2006/picture">
                <pic:pic>
                  <pic:nvPicPr>
                    <pic:cNvPr id="0" name="equation.png"/>
                    <pic:cNvPicPr/>
                  </pic:nvPicPr>
                  <pic:blipFill>
                    <a:blip r:embed="rId28"/>
                    <a:stretch>
                      <a:fillRect/>
                    </a:stretch>
                  </pic:blipFill>
                  <pic:spPr>
                    <a:xfrm>
                      <a:off x="0" y="0"/>
                      <a:ext cx="2203704" cy="390144"/>
                    </a:xfrm>
                    <a:prstGeom prst="rect"/>
                  </pic:spPr>
                </pic:pic>
              </a:graphicData>
            </a:graphic>
          </wp:inline>
        </w:drawing>
      </w:r>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w:t>
      </w:r>
      <w:r>
        <w:rPr>
          <w:rFonts w:ascii="Times New Roman" w:hAnsi="Times New Roman" w:eastAsia="仿宋_GB2312"/>
          <w:b w:val="0"/>
          <w:i/>
          <w:sz w:val="28"/>
        </w:rPr>
        <w:t>r</w:t>
      </w:r>
      <w:r>
        <w:rPr>
          <w:rFonts w:ascii="Times New Roman" w:hAnsi="Times New Roman" w:eastAsia="仿宋_GB2312"/>
          <w:b w:val="0"/>
          <w:sz w:val="28"/>
        </w:rPr>
        <w:t xml:space="preserve"> 为折现率，</w:t>
      </w:r>
      <w:r>
        <w:rPr>
          <w:rFonts w:ascii="Times New Roman" w:hAnsi="Times New Roman" w:eastAsia="仿宋_GB2312"/>
          <w:b w:val="0"/>
          <w:i/>
          <w:sz w:val="28"/>
        </w:rPr>
        <w:t>n</w:t>
      </w:r>
      <w:r>
        <w:rPr>
          <w:rFonts w:ascii="Times New Roman" w:hAnsi="Times New Roman" w:eastAsia="仿宋_GB2312"/>
          <w:b w:val="0"/>
          <w:sz w:val="28"/>
        </w:rPr>
        <w:t xml:space="preserve"> 为设备经济寿命。单项在役措施的等年成本为：</w:t>
      </w:r>
    </w:p>
    <w:p>
      <w:pPr>
        <w:keepLines/>
        <w:jc w:val="left"/>
        <w:ind w:firstLine="0" w:firstLineChars="0"/>
        <w:tabs>
          <w:tab w:val="center" w:pos="4100"/>
          <w:tab w:val="right" w:pos="8200"/>
        </w:tabs>
        <w:spacing w:line="960" w:lineRule="atLeast" w:before="80" w:after="80"/>
      </w:pPr>
      <w:r>
        <w:tab/>
      </w:r>
      <w:r>
        <w:drawing>
          <wp:inline xmlns:a="http://schemas.openxmlformats.org/drawingml/2006/main" xmlns:pic="http://schemas.openxmlformats.org/drawingml/2006/picture">
            <wp:extent cx="2904744" cy="274320"/>
            <wp:docPr id="17" name="Picture 17"/>
            <wp:cNvGraphicFramePr>
              <a:graphicFrameLocks noChangeAspect="1"/>
            </wp:cNvGraphicFramePr>
            <a:graphic>
              <a:graphicData uri="http://schemas.openxmlformats.org/drawingml/2006/picture">
                <pic:pic>
                  <pic:nvPicPr>
                    <pic:cNvPr id="0" name="equation.png"/>
                    <pic:cNvPicPr/>
                  </pic:nvPicPr>
                  <pic:blipFill>
                    <a:blip r:embed="rId29"/>
                    <a:stretch>
                      <a:fillRect/>
                    </a:stretch>
                  </pic:blipFill>
                  <pic:spPr>
                    <a:xfrm>
                      <a:off x="0" y="0"/>
                      <a:ext cx="2904744" cy="274320"/>
                    </a:xfrm>
                    <a:prstGeom prst="rect"/>
                  </pic:spPr>
                </pic:pic>
              </a:graphicData>
            </a:graphic>
          </wp:inline>
        </w:drawing>
      </w:r>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w:t>
      </w:r>
      <w:r>
        <w:rPr>
          <w:rFonts w:ascii="Times New Roman" w:hAnsi="Times New Roman" w:eastAsia="仿宋_GB2312"/>
          <w:b w:val="0"/>
          <w:i/>
          <w:sz w:val="28"/>
        </w:rPr>
        <w:t>C</w:t>
      </w:r>
      <w:r>
        <w:rPr>
          <w:rFonts w:ascii="Times New Roman" w:hAnsi="Times New Roman" w:eastAsia="仿宋_GB2312"/>
          <w:b w:val="0"/>
          <w:i w:val="0"/>
          <w:sz w:val="28"/>
          <w:vertAlign w:val="subscript"/>
        </w:rPr>
        <w:t>inv</w:t>
      </w:r>
      <w:r>
        <w:rPr>
          <w:rFonts w:ascii="Times New Roman" w:hAnsi="Times New Roman" w:eastAsia="仿宋_GB2312"/>
          <w:b w:val="0"/>
          <w:sz w:val="28"/>
        </w:rPr>
        <w:t xml:space="preserve"> 为初始投资，</w:t>
      </w:r>
      <w:r>
        <w:rPr>
          <w:rFonts w:ascii="Times New Roman" w:hAnsi="Times New Roman" w:eastAsia="仿宋_GB2312"/>
          <w:b w:val="0"/>
          <w:i/>
          <w:sz w:val="28"/>
        </w:rPr>
        <w:t>C</w:t>
      </w:r>
      <w:r>
        <w:rPr>
          <w:rFonts w:ascii="Times New Roman" w:hAnsi="Times New Roman" w:eastAsia="仿宋_GB2312"/>
          <w:b w:val="0"/>
          <w:i w:val="0"/>
          <w:sz w:val="28"/>
          <w:vertAlign w:val="subscript"/>
        </w:rPr>
        <w:t>om</w:t>
      </w:r>
      <w:r>
        <w:rPr>
          <w:rFonts w:ascii="Times New Roman" w:hAnsi="Times New Roman" w:eastAsia="仿宋_GB2312"/>
          <w:b w:val="0"/>
          <w:sz w:val="28"/>
        </w:rPr>
        <w:t xml:space="preserve"> 为年固定运维成本。单项措施等年成本的单位为万元/年。设备价格、经济寿命和固定运维费率作为规划参数参与计算，并在敏感性分析中检验其变化对弹性容载比规划控制值建议和措施组合的影响。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tabs>
          <w:tab w:val="center" w:pos="4100"/>
          <w:tab w:val="right" w:pos="8200"/>
        </w:tabs>
        <w:spacing w:line="1548" w:lineRule="atLeast" w:before="80" w:after="80"/>
      </w:pPr>
      <w:r>
        <w:tab/>
      </w:r>
      <w:r>
        <w:drawing>
          <wp:inline xmlns:a="http://schemas.openxmlformats.org/drawingml/2006/main" xmlns:pic="http://schemas.openxmlformats.org/drawingml/2006/picture">
            <wp:extent cx="2660904" cy="704088"/>
            <wp:docPr id="18" name="Picture 18"/>
            <wp:cNvGraphicFramePr>
              <a:graphicFrameLocks noChangeAspect="1"/>
            </wp:cNvGraphicFramePr>
            <a:graphic>
              <a:graphicData uri="http://schemas.openxmlformats.org/drawingml/2006/picture">
                <pic:pic>
                  <pic:nvPicPr>
                    <pic:cNvPr id="0" name="equation.png"/>
                    <pic:cNvPicPr/>
                  </pic:nvPicPr>
                  <pic:blipFill>
                    <a:blip r:embed="rId30"/>
                    <a:stretch>
                      <a:fillRect/>
                    </a:stretch>
                  </pic:blipFill>
                  <pic:spPr>
                    <a:xfrm>
                      <a:off x="0" y="0"/>
                      <a:ext cx="2660904" cy="704088"/>
                    </a:xfrm>
                    <a:prstGeom prst="rect"/>
                  </pic:spPr>
                </pic:pic>
              </a:graphicData>
            </a:graphic>
          </wp:inline>
        </w:drawing>
      </w:r>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弹性容载比规划控制值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弹性容载比规划控制值为2.0，并继续执行存量容量豁免。也就是说，2021年已经在役的主变容量保持不变，弹性容载比规划控制值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QX-00001在弹性容载比规划控制值为2.0时不新增变电容量，2025年需配置138个储能模块，对应13.8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弹性容载比规划控制值，同时设置不施加弹性容载比规划控制值上限的对照方案；在经济响应发生变化的位置附近，再以0.001步长进行局部细化。为避免单一参数条件下的局部最优直接被作为规划建议，本研究进一步以不施加弹性容载比规划控制值上限方案的成本为基准，将成本上浮5%以内定义为近优集合，并在多组敏感性情景中寻找共同满足条件的弹性容载比规划控制值范围。</w:t>
      </w:r>
    </w:p>
    <w:p>
      <w:pPr>
        <w:pStyle w:val="38"/>
        <w:jc w:val="center"/>
        <w:keepNext/>
        <w:keepLines/>
        <w:ind w:firstLine="0" w:firstLineChars="0"/>
      </w:pPr>
      <w:r>
        <w:drawing>
          <wp:inline xmlns:a="http://schemas.openxmlformats.org/drawingml/2006/main" xmlns:pic="http://schemas.openxmlformats.org/drawingml/2006/picture">
            <wp:extent cx="4968000" cy="4131425"/>
            <wp:docPr id="19" name="Picture 19"/>
            <wp:cNvGraphicFramePr>
              <a:graphicFrameLocks noChangeAspect="1"/>
            </wp:cNvGraphicFramePr>
            <a:graphic>
              <a:graphicData uri="http://schemas.openxmlformats.org/drawingml/2006/picture">
                <pic:pic>
                  <pic:nvPicPr>
                    <pic:cNvPr id="0" name="图5-1_弹性控制值成本前沿.png"/>
                    <pic:cNvPicPr/>
                  </pic:nvPicPr>
                  <pic:blipFill>
                    <a:blip r:embed="rId31"/>
                    <a:stretch>
                      <a:fillRect/>
                    </a:stretch>
                  </pic:blipFill>
                  <pic:spPr>
                    <a:xfrm>
                      <a:off x="0" y="0"/>
                      <a:ext cx="4968000" cy="413142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keepNext/>
        <w:keepLines/>
        <w:ind w:firstLine="0" w:firstLineChars="0"/>
      </w:pPr>
      <w:r>
        <w:drawing>
          <wp:inline xmlns:a="http://schemas.openxmlformats.org/drawingml/2006/main" xmlns:pic="http://schemas.openxmlformats.org/drawingml/2006/picture">
            <wp:extent cx="4968000" cy="4054509"/>
            <wp:docPr id="20" name="Picture 20"/>
            <wp:cNvGraphicFramePr>
              <a:graphicFrameLocks noChangeAspect="1"/>
            </wp:cNvGraphicFramePr>
            <a:graphic>
              <a:graphicData uri="http://schemas.openxmlformats.org/drawingml/2006/picture">
                <pic:pic>
                  <pic:nvPicPr>
                    <pic:cNvPr id="0" name="图5-2_弹性控制值规划响应.png"/>
                    <pic:cNvPicPr/>
                  </pic:nvPicPr>
                  <pic:blipFill>
                    <a:blip r:embed="rId32"/>
                    <a:stretch>
                      <a:fillRect/>
                    </a:stretch>
                  </pic:blipFill>
                  <pic:spPr>
                    <a:xfrm>
                      <a:off x="0" y="0"/>
                      <a:ext cx="4968000" cy="405450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弹性容载比规划控制值变化的规划期累计在役等年成本，图4-2进一步展示新增变电容量和储能规模的变化。两个片区均存在明显的“措施转换”现象：当弹性容载比规划控制值低于一定水平时，新增变电容量受到约束，储能需求显著增加；当弹性容载比规划控制值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两个阈值型片区的刚性与弹性方案对比见表4-1。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不施加弹性容载比规划控制值上限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弹性容载比规划控制值为2.0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不施加弹性容载比规划控制值上限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弹性容载比规划控制值为2.0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弹性容载比规划控制值为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在上述刚性—弹性场景对比基础上，将最终形成数值型弹性容载比规划控制值建议的两个典型片区进一步汇总于表4-2。</w:t>
      </w:r>
    </w:p>
    <w:p>
      <w:pPr>
        <w:pStyle w:val="12"/>
        <w:keepNext/>
        <w:spacing w:before="120" w:after="60" w:line="400" w:lineRule="exact"/>
        <w:jc w:val="center"/>
        <w:ind w:firstLine="0" w:firstLineChars="0"/>
      </w:pPr>
      <w:r>
        <w:rPr>
          <w:rFonts w:ascii="Times New Roman" w:hAnsi="Times New Roman" w:eastAsia="仿宋_GB2312"/>
          <w:b w:val="0"/>
          <w:sz w:val="24"/>
        </w:rPr>
        <w:t>表 4-2 数值型建议片区关键阈值及稳健性结果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局部经济释放阈值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5%稳健近优下限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推荐上限识别情况</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弹性容载比规划控制值为2.0相较弹性对照增加成本/万元</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2.359～2.360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扫描至3.0未识别</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293.7765</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2.171～2.172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扫描至3.0未识别</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1613.5239</w:t>
            </w:r>
          </w:p>
        </w:tc>
      </w:tr>
    </w:tbl>
    <w:p>
      <w:pPr>
        <w:spacing w:before="0" w:after="0" w:line="560" w:lineRule="exact"/>
        <w:jc w:val="both"/>
        <w:ind w:firstLineChars="200" w:firstLine="200"/>
      </w:pPr>
      <w:r>
        <w:rPr>
          <w:rFonts w:ascii="Times New Roman" w:hAnsi="Times New Roman" w:eastAsia="仿宋_GB2312"/>
          <w:b w:val="0"/>
          <w:sz w:val="28"/>
        </w:rPr>
        <w:t>表4-2表明，两个片区均存在较清晰的经济释放位置，且稳健近优下限高于单一基准场景的局部释放阈值，可为经济参数和运行边界变化预留一定规划余量。其余对照样本用于识别弹性容载比规划控制值非主导或技术条件优先等方法适用边界，不在正式报告中逐片区给出非数值型推荐结论；后续若基础数据或规划条件发生变化，应重新开展专项优化。</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在最终形成数值型弹性容载比规划控制值建议的两个典型片区中，QX-00001和QX-00005的正向峰值负荷年均变化率分别为6.22%和6.92%，均表现出较明确的正向容量增长需求；对应现状源荷规模比分别为0.973和1.527。两者均存在“弹性容载比规划控制值较紧时扩建受限、储能替代规模上升”的规划响应，但其局部反向潮流和线路容量条件并不相同。因此，新能源规模本身不能直接决定弹性容载比规划控制值取值，仍需结合负荷增长、反向承载、线路压力和工程措施开展专项优化。</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kV线路统计负载余度和正向峰值负荷年均变化率。正式报告将已形成数值型弹性容载比规划控制值建议的典型片区指标汇总于表5-1，其余对照样本仅用于方法边界分析，不在数值推荐表中逐项展开。</w:t>
      </w:r>
    </w:p>
    <w:p>
      <w:pPr>
        <w:pStyle w:val="12"/>
        <w:keepNext/>
        <w:spacing w:before="120" w:after="60" w:line="400" w:lineRule="exact"/>
        <w:jc w:val="center"/>
        <w:ind w:firstLine="0" w:firstLineChars="0"/>
      </w:pPr>
      <w:r>
        <w:rPr>
          <w:rFonts w:ascii="Times New Roman" w:hAnsi="Times New Roman" w:eastAsia="仿宋_GB2312"/>
          <w:b w:val="0"/>
          <w:sz w:val="24"/>
        </w:rPr>
        <w:t>表 5-1 形成数值型弹性容载比规划控制值建议片区关键指标及规划建议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弹性容载比规划控制值建议不低于2.30</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该体系保持正向容载比与反向承载力的概念边界：弹性容载比规划控制值控制规划期新增变电容量，局部反向潮流通过独立指标、储能和设备条件处理；110 kV线路统计负载余度用于识别线路容量压力，不替代完整交流潮流校核。通过这种分层方式，可以先判断“技术上能否实施”，再讨论“弹性容载比规划控制值取值是否需要调整”。</w:t>
      </w:r>
    </w:p>
    <w:p>
      <w:pPr>
        <w:pStyle w:val="4"/>
        <w:pageBreakBefore w:val="0"/>
        <w:jc w:val="left"/>
      </w:pPr>
      <w:r>
        <w:rPr>
          <w:rFonts w:ascii="Times New Roman" w:hAnsi="Times New Roman" w:eastAsia="仿宋_GB2312"/>
          <w:b/>
          <w:sz w:val="28"/>
        </w:rPr>
        <w:t>5.2.1 10 kV跨站反向功率转移约束</w:t>
      </w:r>
    </w:p>
    <w:p>
      <w:pPr>
        <w:spacing w:before="0" w:after="0" w:line="560" w:lineRule="exact"/>
        <w:jc w:val="both"/>
        <w:ind w:firstLineChars="200" w:firstLine="200"/>
      </w:pPr>
      <w:r>
        <w:rPr>
          <w:rFonts w:ascii="Times New Roman" w:hAnsi="Times New Roman" w:eastAsia="仿宋_GB2312"/>
          <w:b w:val="0"/>
          <w:sz w:val="28"/>
        </w:rPr>
        <w:t>10 kV局部互济在本研究中主要服务于高光伏条件下的反向承载压力再分配。规划采用“既有联络优先、既有能力不足再考虑新增联络”的两级策略：第一层利用已形成物理联络条件的通道调整供电边界；第二层针对既有联络无法承接的剩余反向功率，计算新增联络的最小有效容量，并筛选具备受端容量条件的相邻馈线。模型目标按工程优先级依次为：最大化送端反向功率削减量、优先利用既有联络减少新增工程、对剩余需求最小化新增联络有效容量。</w:t>
      </w:r>
    </w:p>
    <w:p>
      <w:pPr>
        <w:spacing w:before="0" w:after="0" w:line="560" w:lineRule="exact"/>
        <w:jc w:val="both"/>
        <w:ind w:firstLineChars="200" w:firstLine="200"/>
      </w:pPr>
      <w:r>
        <w:rPr>
          <w:rFonts w:ascii="Times New Roman" w:hAnsi="Times New Roman" w:eastAsia="仿宋_GB2312"/>
          <w:b w:val="0"/>
          <w:sz w:val="28"/>
        </w:rPr>
        <w:t>对既有联络e，其可用于反向功率转移的能力同时受到送端路径、受端路径和受端变电站承接能力限制。设送端、受端路径规划有效容量分别为S_e,D^eff和S_e,R^eff，受端站剩余反向承接能力为H_R，则既有联络可转移有功功率满足：</w:t>
      </w:r>
    </w:p>
    <w:p>
      <w:pPr>
        <w:keepLines/>
        <w:jc w:val="left"/>
        <w:ind w:firstLine="0" w:firstLineChars="0"/>
        <w:tabs>
          <w:tab w:val="center" w:pos="4100"/>
          <w:tab w:val="right" w:pos="8200"/>
        </w:tabs>
        <w:spacing w:line="1016" w:lineRule="atLeast" w:before="80" w:after="80"/>
      </w:pPr>
      <w:r>
        <w:tab/>
      </w:r>
      <w:r>
        <w:drawing>
          <wp:inline xmlns:a="http://schemas.openxmlformats.org/drawingml/2006/main" xmlns:pic="http://schemas.openxmlformats.org/drawingml/2006/picture">
            <wp:extent cx="3744000" cy="281680"/>
            <wp:docPr id="21" name="Picture 21"/>
            <wp:cNvGraphicFramePr>
              <a:graphicFrameLocks noChangeAspect="1"/>
            </wp:cNvGraphicFramePr>
            <a:graphic>
              <a:graphicData uri="http://schemas.openxmlformats.org/drawingml/2006/picture">
                <pic:pic>
                  <pic:nvPicPr>
                    <pic:cNvPr id="0" name="equation.png"/>
                    <pic:cNvPicPr/>
                  </pic:nvPicPr>
                  <pic:blipFill>
                    <a:blip r:embed="rId33"/>
                    <a:stretch>
                      <a:fillRect/>
                    </a:stretch>
                  </pic:blipFill>
                  <pic:spPr>
                    <a:xfrm>
                      <a:off x="0" y="0"/>
                      <a:ext cx="3744000" cy="281680"/>
                    </a:xfrm>
                    <a:prstGeom prst="rect"/>
                  </pic:spPr>
                </pic:pic>
              </a:graphicData>
            </a:graphic>
          </wp:inline>
        </w:drawing>
      </w:r>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式中，</w:t>
      </w:r>
      <w:r>
        <w:rPr>
          <w:rFonts w:ascii="Times New Roman" w:hAnsi="Times New Roman" w:eastAsia="仿宋_GB2312"/>
          <w:b w:val="0"/>
          <w:i w:val="0"/>
          <w:sz w:val="28"/>
        </w:rPr>
        <w:t xml:space="preserve">cos </w:t>
      </w:r>
      <w:r>
        <w:rPr>
          <w:rFonts w:ascii="Times New Roman" w:hAnsi="Times New Roman" w:eastAsia="仿宋_GB2312"/>
          <w:b w:val="0"/>
          <w:i/>
          <w:sz w:val="28"/>
        </w:rPr>
        <w:t>φ</w:t>
      </w:r>
      <w:r>
        <w:rPr>
          <w:rFonts w:ascii="Times New Roman" w:hAnsi="Times New Roman" w:eastAsia="仿宋_GB2312"/>
          <w:b w:val="0"/>
          <w:i w:val="0"/>
          <w:sz w:val="28"/>
          <w:vertAlign w:val="subscript"/>
        </w:rPr>
        <w:t>tr</w:t>
      </w:r>
      <w:r>
        <w:rPr>
          <w:rFonts w:ascii="Times New Roman" w:hAnsi="Times New Roman" w:eastAsia="仿宋_GB2312"/>
          <w:b w:val="0"/>
          <w:sz w:val="28"/>
        </w:rPr>
        <w:t xml:space="preserve"> 为跨站反向功率转移的功率因数；</w:t>
      </w:r>
      <w:r>
        <w:rPr>
          <w:rFonts w:ascii="Times New Roman" w:hAnsi="Times New Roman" w:eastAsia="仿宋_GB2312"/>
          <w:b w:val="0"/>
          <w:i/>
          <w:sz w:val="28"/>
        </w:rPr>
        <w:t>β</w:t>
      </w:r>
      <w:r>
        <w:rPr>
          <w:rFonts w:ascii="Times New Roman" w:hAnsi="Times New Roman" w:eastAsia="仿宋_GB2312"/>
          <w:b w:val="0"/>
          <w:sz w:val="28"/>
        </w:rPr>
        <w:t xml:space="preserve"> 为反向功率通道控制系数。依据本项目专题分析采用的反向潮流控制条件，</w:t>
      </w:r>
      <w:r>
        <w:rPr>
          <w:rFonts w:ascii="Times New Roman" w:hAnsi="Times New Roman" w:eastAsia="仿宋_GB2312"/>
          <w:b w:val="0"/>
          <w:i/>
          <w:sz w:val="28"/>
        </w:rPr>
        <w:t>β</w:t>
      </w:r>
      <w:r>
        <w:rPr>
          <w:rFonts w:ascii="Times New Roman" w:hAnsi="Times New Roman" w:eastAsia="仿宋_GB2312"/>
          <w:b w:val="0"/>
          <w:sz w:val="28"/>
        </w:rPr>
        <w:t xml:space="preserve"> 取0.80。当前高光伏规划案例按 </w:t>
      </w:r>
      <w:r>
        <w:rPr>
          <w:rFonts w:ascii="Times New Roman" w:hAnsi="Times New Roman" w:eastAsia="仿宋_GB2312"/>
          <w:b w:val="0"/>
          <w:i w:val="0"/>
          <w:sz w:val="28"/>
        </w:rPr>
        <w:t xml:space="preserve">cos </w:t>
      </w:r>
      <w:r>
        <w:rPr>
          <w:rFonts w:ascii="Times New Roman" w:hAnsi="Times New Roman" w:eastAsia="仿宋_GB2312"/>
          <w:b w:val="0"/>
          <w:i/>
          <w:sz w:val="28"/>
        </w:rPr>
        <w:t>φ</w:t>
      </w:r>
      <w:r>
        <w:rPr>
          <w:rFonts w:ascii="Times New Roman" w:hAnsi="Times New Roman" w:eastAsia="仿宋_GB2312"/>
          <w:b w:val="0"/>
          <w:i w:val="0"/>
          <w:sz w:val="28"/>
          <w:vertAlign w:val="subscript"/>
        </w:rPr>
        <w:t>tr</w:t>
      </w:r>
      <w:r>
        <w:rPr>
          <w:rFonts w:ascii="Times New Roman" w:hAnsi="Times New Roman" w:eastAsia="仿宋_GB2312"/>
          <w:b w:val="0"/>
          <w:i w:val="0"/>
          <w:sz w:val="28"/>
        </w:rPr>
        <w:t xml:space="preserve"> ≈ 1.0</w:t>
      </w:r>
      <w:r>
        <w:rPr>
          <w:rFonts w:ascii="Times New Roman" w:hAnsi="Times New Roman" w:eastAsia="仿宋_GB2312"/>
          <w:b w:val="0"/>
          <w:sz w:val="28"/>
        </w:rPr>
        <w:t xml:space="preserve"> 进行容量换算。该80%控制线仅用于受端反向功率通道的规划筛查，不作为普通正向负荷转供的统一负载率上限，也不解释为国家或行业通用标准。</w:t>
      </w:r>
    </w:p>
    <w:p>
      <w:pPr>
        <w:spacing w:before="0" w:after="0" w:line="560" w:lineRule="exact"/>
        <w:jc w:val="both"/>
        <w:ind w:firstLineChars="200" w:firstLine="200"/>
      </w:pPr>
      <w:r>
        <w:rPr>
          <w:rFonts w:ascii="Times New Roman" w:hAnsi="Times New Roman" w:eastAsia="仿宋_GB2312"/>
          <w:b w:val="0"/>
          <w:sz w:val="28"/>
        </w:rPr>
        <w:t>供电边界重构后，送端站和受端站的净功率分别更新为：</w:t>
      </w:r>
    </w:p>
    <w:p>
      <w:pPr>
        <w:keepLines/>
        <w:jc w:val="left"/>
        <w:ind w:firstLine="0" w:firstLineChars="0"/>
        <w:tabs>
          <w:tab w:val="center" w:pos="4100"/>
          <w:tab w:val="right" w:pos="8200"/>
        </w:tabs>
        <w:spacing w:line="982" w:lineRule="atLeast" w:before="80" w:after="80"/>
      </w:pPr>
      <w:r>
        <w:tab/>
      </w:r>
      <w:r>
        <w:drawing>
          <wp:inline xmlns:a="http://schemas.openxmlformats.org/drawingml/2006/main" xmlns:pic="http://schemas.openxmlformats.org/drawingml/2006/picture">
            <wp:extent cx="3328416" cy="344424"/>
            <wp:docPr id="22" name="Picture 22"/>
            <wp:cNvGraphicFramePr>
              <a:graphicFrameLocks noChangeAspect="1"/>
            </wp:cNvGraphicFramePr>
            <a:graphic>
              <a:graphicData uri="http://schemas.openxmlformats.org/drawingml/2006/picture">
                <pic:pic>
                  <pic:nvPicPr>
                    <pic:cNvPr id="0" name="equation.png"/>
                    <pic:cNvPicPr/>
                  </pic:nvPicPr>
                  <pic:blipFill>
                    <a:blip r:embed="rId34"/>
                    <a:stretch>
                      <a:fillRect/>
                    </a:stretch>
                  </pic:blipFill>
                  <pic:spPr>
                    <a:xfrm>
                      <a:off x="0" y="0"/>
                      <a:ext cx="3328416" cy="344424"/>
                    </a:xfrm>
                    <a:prstGeom prst="rect"/>
                  </pic:spPr>
                </pic:pic>
              </a:graphicData>
            </a:graphic>
          </wp:inline>
        </w:drawing>
      </w:r>
      <w:r>
        <w:rPr>
          <w:rFonts w:ascii="Times New Roman" w:hAnsi="Times New Roman" w:eastAsia="仿宋_GB2312"/>
          <w:b w:val="0"/>
          <w:sz w:val="28"/>
        </w:rPr>
        <w:tab/>
        <w:t>（5-2）</w:t>
      </w:r>
    </w:p>
    <w:p>
      <w:pPr>
        <w:spacing w:before="0" w:after="0" w:line="560" w:lineRule="exact"/>
        <w:jc w:val="both"/>
        <w:ind w:firstLineChars="200" w:firstLine="200"/>
      </w:pPr>
      <w:r>
        <w:rPr>
          <w:rFonts w:ascii="Times New Roman" w:hAnsi="Times New Roman" w:eastAsia="仿宋_GB2312"/>
          <w:b w:val="0"/>
          <w:sz w:val="28"/>
        </w:rPr>
        <w:t>其中规定正值为净负荷、负值为反向送电。由式（5-2）可见，跨站转移会降低送端站反向功率绝对值，同时增加受端站反向功率，因此必须同时校核“送端减压”和“受端承载”，不能将跨站转移等同于光伏消纳量增加。</w:t>
      </w:r>
    </w:p>
    <w:p>
      <w:pPr>
        <w:spacing w:before="0" w:after="0" w:line="560" w:lineRule="exact"/>
        <w:jc w:val="both"/>
        <w:ind w:firstLineChars="200" w:firstLine="200"/>
      </w:pPr>
      <w:r>
        <w:rPr>
          <w:rFonts w:ascii="Times New Roman" w:hAnsi="Times New Roman" w:eastAsia="仿宋_GB2312"/>
          <w:b w:val="0"/>
          <w:sz w:val="28"/>
        </w:rPr>
        <w:t>若高光伏场景下的净富余功率超过既有联络可承接能力，则剩余需求为：</w:t>
      </w:r>
    </w:p>
    <w:p>
      <w:pPr>
        <w:keepLines/>
        <w:jc w:val="left"/>
        <w:ind w:firstLine="0" w:firstLineChars="0"/>
        <w:tabs>
          <w:tab w:val="center" w:pos="4100"/>
          <w:tab w:val="right" w:pos="8200"/>
        </w:tabs>
        <w:spacing w:line="960" w:lineRule="atLeast" w:before="80" w:after="80"/>
      </w:pPr>
      <w:r>
        <w:tab/>
      </w:r>
      <w:r>
        <w:drawing>
          <wp:inline xmlns:a="http://schemas.openxmlformats.org/drawingml/2006/main" xmlns:pic="http://schemas.openxmlformats.org/drawingml/2006/picture">
            <wp:extent cx="2642616" cy="274320"/>
            <wp:docPr id="23" name="Picture 23"/>
            <wp:cNvGraphicFramePr>
              <a:graphicFrameLocks noChangeAspect="1"/>
            </wp:cNvGraphicFramePr>
            <a:graphic>
              <a:graphicData uri="http://schemas.openxmlformats.org/drawingml/2006/picture">
                <pic:pic>
                  <pic:nvPicPr>
                    <pic:cNvPr id="0" name="equation.png"/>
                    <pic:cNvPicPr/>
                  </pic:nvPicPr>
                  <pic:blipFill>
                    <a:blip r:embed="rId35"/>
                    <a:stretch>
                      <a:fillRect/>
                    </a:stretch>
                  </pic:blipFill>
                  <pic:spPr>
                    <a:xfrm>
                      <a:off x="0" y="0"/>
                      <a:ext cx="2642616" cy="274320"/>
                    </a:xfrm>
                    <a:prstGeom prst="rect"/>
                  </pic:spPr>
                </pic:pic>
              </a:graphicData>
            </a:graphic>
          </wp:inline>
        </w:drawing>
      </w:r>
      <w:r>
        <w:rPr>
          <w:rFonts w:ascii="Times New Roman" w:hAnsi="Times New Roman" w:eastAsia="仿宋_GB2312"/>
          <w:b w:val="0"/>
          <w:sz w:val="28"/>
        </w:rPr>
        <w:tab/>
        <w:t>（5-3）</w:t>
      </w:r>
    </w:p>
    <w:p>
      <w:pPr>
        <w:spacing w:before="0" w:after="0" w:line="560" w:lineRule="exact"/>
        <w:jc w:val="both"/>
        <w:ind w:firstLineChars="200" w:firstLine="200"/>
      </w:pPr>
      <w:r>
        <w:rPr>
          <w:rFonts w:ascii="Times New Roman" w:hAnsi="Times New Roman" w:eastAsia="仿宋_GB2312"/>
          <w:b w:val="0"/>
          <w:sz w:val="28"/>
        </w:rPr>
        <w:t>当仍存在正的剩余转移需求且相邻站仍有承接空间时，进入新增联络层。按相同反向通道控制口径，新联络所需的最小规划有效容量为：</w:t>
      </w:r>
    </w:p>
    <w:p>
      <w:pPr>
        <w:keepLines/>
        <w:jc w:val="left"/>
        <w:ind w:firstLine="0" w:firstLineChars="0"/>
        <w:tabs>
          <w:tab w:val="center" w:pos="4100"/>
          <w:tab w:val="right" w:pos="8200"/>
        </w:tabs>
        <w:spacing w:line="1059" w:lineRule="atLeast" w:before="80" w:after="80"/>
      </w:pPr>
      <w:r>
        <w:tab/>
      </w:r>
      <w:r>
        <w:drawing>
          <wp:inline xmlns:a="http://schemas.openxmlformats.org/drawingml/2006/main" xmlns:pic="http://schemas.openxmlformats.org/drawingml/2006/picture">
            <wp:extent cx="1447800" cy="393192"/>
            <wp:docPr id="24" name="Picture 24"/>
            <wp:cNvGraphicFramePr>
              <a:graphicFrameLocks noChangeAspect="1"/>
            </wp:cNvGraphicFramePr>
            <a:graphic>
              <a:graphicData uri="http://schemas.openxmlformats.org/drawingml/2006/picture">
                <pic:pic>
                  <pic:nvPicPr>
                    <pic:cNvPr id="0" name="equation.png"/>
                    <pic:cNvPicPr/>
                  </pic:nvPicPr>
                  <pic:blipFill>
                    <a:blip r:embed="rId36"/>
                    <a:stretch>
                      <a:fillRect/>
                    </a:stretch>
                  </pic:blipFill>
                  <pic:spPr>
                    <a:xfrm>
                      <a:off x="0" y="0"/>
                      <a:ext cx="1447800" cy="393192"/>
                    </a:xfrm>
                    <a:prstGeom prst="rect"/>
                  </pic:spPr>
                </pic:pic>
              </a:graphicData>
            </a:graphic>
          </wp:inline>
        </w:drawing>
      </w:r>
      <w:r>
        <w:rPr>
          <w:rFonts w:ascii="Times New Roman" w:hAnsi="Times New Roman" w:eastAsia="仿宋_GB2312"/>
          <w:b w:val="0"/>
          <w:sz w:val="28"/>
        </w:rPr>
        <w:tab/>
        <w:t>（5-4）</w:t>
      </w:r>
    </w:p>
    <w:p>
      <w:pPr>
        <w:spacing w:before="0" w:after="0" w:line="560" w:lineRule="exact"/>
        <w:jc w:val="both"/>
        <w:ind w:firstLineChars="200" w:firstLine="200"/>
      </w:pPr>
      <w:r>
        <w:rPr>
          <w:rFonts w:ascii="Times New Roman" w:hAnsi="Times New Roman" w:eastAsia="仿宋_GB2312"/>
          <w:b w:val="0"/>
          <w:sz w:val="28"/>
        </w:rPr>
        <w:t>式（5-4）给出了由剩余有功转移需求反推新增联络容量的统一换算关系。当前案例取cosφtr≈1.0，因此所得MVA值可近似作为相应MW有功转移需求在80%控制条件下的有效容量下限。上述容量下限用于确定新增联络的容量等级和候选受端馈线，不直接等同于具体线路型号、线路长度或工程投资。由于当前缺少候选接入点地理信息系统坐标和线路廊道，本研究不虚构新建线路的最短路径和工程长度；若后续进入工程选线阶段，应进一步结合接入点—站端全过程径、电压偏差、短路电流、保护配置和建设条件开展专项设计。</w:t>
      </w:r>
    </w:p>
    <w:p>
      <w:pPr>
        <w:spacing w:before="0" w:after="0" w:line="560" w:lineRule="exact"/>
        <w:jc w:val="both"/>
        <w:ind w:firstLineChars="200" w:firstLine="200"/>
      </w:pPr>
      <w:r>
        <w:rPr>
          <w:rFonts w:ascii="Times New Roman" w:hAnsi="Times New Roman" w:eastAsia="仿宋_GB2312"/>
          <w:b w:val="0"/>
          <w:sz w:val="28"/>
        </w:rPr>
        <w:t>拓扑方面，模型只要求重构后保持单电源辐射运行，不允许两个110 kV电源经10 kV网络直接并列。分段开关、联络开关的实时状态以及具体倒闸顺序不作为规划模型的阻塞输入；其工程作用统一抽象为“具备或可通过工程措施形成必要的供电边界切换能力”。故障后的负荷转供仍是联络网架的附加可靠性价值，但不作为本专题的主要优化目标。</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tabs>
          <w:tab w:val="center" w:pos="4100"/>
          <w:tab w:val="right" w:pos="8200"/>
        </w:tabs>
        <w:spacing w:line="1001" w:lineRule="atLeast" w:before="80" w:after="80"/>
      </w:pPr>
      <w:r>
        <w:tab/>
      </w:r>
      <w:r>
        <w:drawing>
          <wp:inline xmlns:a="http://schemas.openxmlformats.org/drawingml/2006/main" xmlns:pic="http://schemas.openxmlformats.org/drawingml/2006/picture">
            <wp:extent cx="2590800" cy="356616"/>
            <wp:docPr id="25" name="Picture 25"/>
            <wp:cNvGraphicFramePr>
              <a:graphicFrameLocks noChangeAspect="1"/>
            </wp:cNvGraphicFramePr>
            <a:graphic>
              <a:graphicData uri="http://schemas.openxmlformats.org/drawingml/2006/picture">
                <pic:pic>
                  <pic:nvPicPr>
                    <pic:cNvPr id="0" name="equation.png"/>
                    <pic:cNvPicPr/>
                  </pic:nvPicPr>
                  <pic:blipFill>
                    <a:blip r:embed="rId37"/>
                    <a:stretch>
                      <a:fillRect/>
                    </a:stretch>
                  </pic:blipFill>
                  <pic:spPr>
                    <a:xfrm>
                      <a:off x="0" y="0"/>
                      <a:ext cx="2590800" cy="356616"/>
                    </a:xfrm>
                    <a:prstGeom prst="rect"/>
                  </pic:spPr>
                </pic:pic>
              </a:graphicData>
            </a:graphic>
          </wp:inline>
        </w:drawing>
      </w:r>
      <w:r>
        <w:rPr>
          <w:rFonts w:ascii="Times New Roman" w:hAnsi="Times New Roman" w:eastAsia="仿宋_GB2312"/>
          <w:b w:val="0"/>
          <w:sz w:val="28"/>
        </w:rPr>
        <w:tab/>
        <w:t>（5-5）</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弹性容载比专项优化。原因在于，QX-00001和QX-00005的2.50、2.30建议下限来自工程约束下的弹性容载比规划控制值扫描、局部阈值细化和敏感性分析，并不是由4项指标加权求和得到。若在缺少专家确认的情况下直接设置权重，再反推弹性容载比规划控制值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层次分析法判断矩阵。因此，本报告不虚构具体层次分析法权重值，也不以未经专家确认的权重修改现有弹性容载比规划控制值结果。后续如组织专家赋权，可将目标层设为“片区弹性容载比规划适用性”，准则层对应源荷规模、局部反向压力、线路统计负载余度和正向负荷增长四类信息。层次分析法结果可用于相似片区筛选、信息采集优先级和规划人员辅助判断，最终弹性容载比规划控制值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弹性容载比规划控制值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从规划响应看，并非所有样本都需要形成数值型弹性容载比规划控制值建议：部分样本在当前规划期内容载比并非主导约束，另有部分样本需优先满足设备、网络、接入或时序条件。正式提交时，为避免将“非主导”或“数据/技术边界”误读为数值推荐失败，本报告仅对已经形成稳定经济释放响应的QX-00001和QX-00005给出数值型建议，见表5-2。由于当前数值型推荐样本仅有2个，现有样本不能形成具有外推能力的连续四维区间，表5-2仅作为已验证典型样本的规划参考，不能直接套用于其他片区。</w:t>
      </w:r>
    </w:p>
    <w:p>
      <w:pPr>
        <w:pStyle w:val="12"/>
        <w:keepNext/>
        <w:spacing w:before="120" w:after="60" w:line="400" w:lineRule="exact"/>
        <w:jc w:val="center"/>
        <w:ind w:firstLine="0" w:firstLineChars="0"/>
      </w:pPr>
      <w:r>
        <w:rPr>
          <w:rFonts w:ascii="Times New Roman" w:hAnsi="Times New Roman" w:eastAsia="仿宋_GB2312"/>
          <w:b w:val="0"/>
          <w:sz w:val="24"/>
        </w:rPr>
        <w:t>表 5-2 数值型弹性容载比建议样本支持表</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数值建议</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主要技术方案</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弹性容载比规划控制值建议不低于2.50；当前未识别推荐上限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变电扩建与储能协同</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弹性容载比规划控制值建议不低于2.30；当前未识别推荐上限</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变电扩建与储能协同</w:t>
            </w:r>
          </w:p>
        </w:tc>
      </w:tr>
    </w:tbl>
    <w:p>
      <w:pPr>
        <w:pStyle w:val="38"/>
        <w:jc w:val="center"/>
        <w:keepNext/>
        <w:keepLines/>
        <w:ind w:firstLine="0" w:firstLineChars="0"/>
      </w:pPr>
      <w:r>
        <w:drawing>
          <wp:inline xmlns:a="http://schemas.openxmlformats.org/drawingml/2006/main" xmlns:pic="http://schemas.openxmlformats.org/drawingml/2006/picture">
            <wp:extent cx="4968000" cy="5856526"/>
            <wp:docPr id="26" name="Picture 26"/>
            <wp:cNvGraphicFramePr>
              <a:graphicFrameLocks noChangeAspect="1"/>
            </wp:cNvGraphicFramePr>
            <a:graphic>
              <a:graphicData uri="http://schemas.openxmlformats.org/drawingml/2006/picture">
                <pic:pic>
                  <pic:nvPicPr>
                    <pic:cNvPr id="0" name="图8-1_工程应用流程.png"/>
                    <pic:cNvPicPr/>
                  </pic:nvPicPr>
                  <pic:blipFill>
                    <a:blip r:embed="rId38"/>
                    <a:stretch>
                      <a:fillRect/>
                    </a:stretch>
                  </pic:blipFill>
                  <pic:spPr>
                    <a:xfrm>
                      <a:off x="0" y="0"/>
                      <a:ext cx="4968000" cy="58565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新片区应先完成技术可行性校核，再计算4项核心指标并查找可比样本。与QX-00001或QX-00005特征相近时，2.50或2.30仅作为弹性容载比专项扫描起点，不能直接作为最终控制值。变电扩建、储能及10 kV供电边界重构等措施应针对片区主导矛盾组合配置；故障转供仅作为联络网架的附加可靠性价值。</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在弹性容载比规划控制值为2.0条件下，存量容量豁免后允许新增的变电容量不足以支持50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在不施加弹性容载比规划控制值上限的对照方案中，QX-00005新增50 MVA变电容量，2025年储能规模降至465个模块，对应46.5 MW/99.975 MWh，实际物理容载比为2.1715720，规划期累计在役等年成本为1745.5283万元。与弹性容载比规划控制值为2.0方案相比，储能减少497个模块，功率减少49.7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弹性容载比规划控制值为2.0刚性方案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不施加弹性容载比规划控制值上限方案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弹性容载比规划控制值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弹性容载比规划控制值为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对照样本分析还表明，并非所有高渗透片区都需要配置数值型弹性容载比规划控制值：当弹性容载比规划控制值不是规划方案的主导约束，或设备、网络、接入及运行时序条件尚未满足时，应优先处理对应工程问题，而不宜人为赋予弹性容载比规划控制区间。因此，本报告将数值型推荐集中于已形成稳定经济释放响应的两个典型片区，其余样本仅作为方法适用边界的内部支撑。</w:t>
      </w:r>
    </w:p>
    <w:p>
      <w:pPr>
        <w:spacing w:before="0" w:after="0" w:line="560" w:lineRule="exact"/>
        <w:jc w:val="both"/>
        <w:ind w:firstLineChars="200" w:firstLine="200"/>
      </w:pPr>
      <w:r>
        <w:rPr>
          <w:rFonts w:ascii="Times New Roman" w:hAnsi="Times New Roman" w:eastAsia="仿宋_GB2312"/>
          <w:b w:val="0"/>
          <w:sz w:val="28"/>
        </w:rPr>
        <w:t>为检查两个数值型建议与对应优化结果的一致性，将QX-00001和QX-00005的片区指标、局部释放阈值及稳健近优结果重新对照，开展样本内一致性检查，结果见表6-2。由于检查对象仍来自形成建议的原始样本，该过程用于确认结果口径自洽，不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数值型建议样本内一致性检查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局部经济释放阈值</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稳健近优下限</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正式建议</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2.359～2.360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弹性容载比规划控制值建议不低于2.50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2.171～2.172</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2.30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弹性容载比规划控制值建议不低于2.30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两个样本能够支持“经济释放阈值—敏感性稳健下限—正式建议”之间的一致性，但尚不能证明4项指标与弹性容载比规划控制值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墩南—河炮既有联络高光伏跨站供电边界重构案例验证</w:t>
      </w:r>
    </w:p>
    <w:p>
      <w:pPr>
        <w:spacing w:before="0" w:after="0" w:line="560" w:lineRule="exact"/>
        <w:jc w:val="both"/>
        <w:ind w:firstLineChars="200" w:firstLine="200"/>
      </w:pPr>
      <w:r>
        <w:rPr>
          <w:rFonts w:ascii="Times New Roman" w:hAnsi="Times New Roman" w:eastAsia="仿宋_GB2312"/>
          <w:b w:val="0"/>
          <w:sz w:val="28"/>
        </w:rPr>
        <w:t>为验证10 kV层面的跨站反向功率转移方法，选取墩集变墩南线与河湾变河炮线之间的墩南—河炮既有联络作为典型案例。墩南侧源端至联络点的规划路径约2.25 km，导线基准热限为8.6603 MVA；考虑馈线485 A运行允许值后，规划有效容量取较严的8.4004 MVA。河炮侧联络点至站端路径约2.75 km，导线基准热限为9.5263 MVA，低于馈线运行允许上限10.3057 MVA，受端路径规划有效容量据此取9.5263 MVA。河炮线现有光伏汇总为0 kVA。由于缺少与墩南线光伏峰值严格同步的受端负荷断面，容量筛查不利用河炮线本地负荷抵消转移功率，而将跨站转移功率按全额占用受端通道处理，属于偏保守口径。高光伏反向转移按功率因数近似1.0进行规划级容量换算，因此本案例中MVA通道限值可近似映射为MW有功转移上限。</w:t>
      </w:r>
    </w:p>
    <w:p>
      <w:pPr>
        <w:spacing w:before="0" w:after="0" w:line="560" w:lineRule="exact"/>
        <w:jc w:val="both"/>
        <w:ind w:firstLineChars="200" w:firstLine="200"/>
      </w:pPr>
      <w:r>
        <w:rPr>
          <w:rFonts w:ascii="Times New Roman" w:hAnsi="Times New Roman" w:eastAsia="仿宋_GB2312"/>
          <w:b w:val="0"/>
          <w:sz w:val="28"/>
        </w:rPr>
        <w:t>墩集变与河湾变2025年年度最小净负荷分别为-37.27 MW和-5.22 MW，表明墩集侧反向送电压力明显高于河湾侧。该组数据用于识别跨站功率再分配的工程方向，但两个年度最小值并非同一时间戳，不能直接解释为某一历史同步断面的双站潮流。按河湾变最大主变退出后剩余50 MVA容量进行简单N-1热容量筛查，并扣除5.22 MW反向功率锚点后，站级反向承接余量约44.78 MW，高于墩南—河炮既有联络通道上限，因此当前案例的主导容量约束来自10 kV受端通道而非站级容量。该余量仅用于规划级热容量筛查，不替代实际N-1潮流、母线电压和保护校核。墩南线另具有7.34 MW实际光伏峰值出力锚点，该数值用于构造高光伏规划场景，不解释为完整装机容量。</w:t>
      </w:r>
    </w:p>
    <w:p>
      <w:pPr>
        <w:pStyle w:val="38"/>
        <w:jc w:val="center"/>
        <w:keepNext/>
        <w:keepLines/>
        <w:ind w:firstLine="0" w:firstLineChars="0"/>
      </w:pPr>
      <w:r>
        <w:drawing>
          <wp:inline xmlns:a="http://schemas.openxmlformats.org/drawingml/2006/main" xmlns:pic="http://schemas.openxmlformats.org/drawingml/2006/picture">
            <wp:extent cx="4968000" cy="2906369"/>
            <wp:docPr id="27" name="Picture 27"/>
            <wp:cNvGraphicFramePr>
              <a:graphicFrameLocks noChangeAspect="1"/>
            </wp:cNvGraphicFramePr>
            <a:graphic>
              <a:graphicData uri="http://schemas.openxmlformats.org/drawingml/2006/picture">
                <pic:pic>
                  <pic:nvPicPr>
                    <pic:cNvPr id="0" name="图6-1_TIE002分段联络示意.png"/>
                    <pic:cNvPicPr/>
                  </pic:nvPicPr>
                  <pic:blipFill>
                    <a:blip r:embed="rId39"/>
                    <a:stretch>
                      <a:fillRect/>
                    </a:stretch>
                  </pic:blipFill>
                  <pic:spPr>
                    <a:xfrm>
                      <a:off x="0" y="0"/>
                      <a:ext cx="4968000" cy="290636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墩南—河炮既有联络高光伏跨站供电边界重构示意</w:t>
      </w:r>
    </w:p>
    <w:p>
      <w:pPr>
        <w:spacing w:before="0" w:after="0" w:line="560" w:lineRule="exact"/>
        <w:jc w:val="both"/>
        <w:ind w:firstLineChars="200" w:firstLine="200"/>
      </w:pPr>
      <w:r>
        <w:rPr>
          <w:rFonts w:ascii="Times New Roman" w:hAnsi="Times New Roman" w:eastAsia="仿宋_GB2312"/>
          <w:b w:val="0"/>
          <w:sz w:val="28"/>
        </w:rPr>
        <w:t>图6-1所示的研究逻辑不是故障后的负荷恢复，而是高光伏时段的供电边界调整。规划模型先识别墩南线净外送富余功率，再判断墩南—河炮既有联络能否作为既有跨站通道承接该功率。重构时通过退出原供电边界并投入站间联络，使相应供电单元转入河湾变供电范围，同时保持10 kV网络单电源辐射运行。具体采用哪一台现场开关、开关当前状态及倒闸顺序不在本研究中逐项模拟，而在工程实施阶段复核。</w:t>
      </w:r>
    </w:p>
    <w:p>
      <w:pPr>
        <w:spacing w:before="0" w:after="0" w:line="560" w:lineRule="exact"/>
        <w:jc w:val="both"/>
        <w:ind w:firstLineChars="200" w:firstLine="200"/>
      </w:pPr>
      <w:r>
        <w:rPr>
          <w:rFonts w:ascii="Times New Roman" w:hAnsi="Times New Roman" w:eastAsia="仿宋_GB2312"/>
          <w:b w:val="0"/>
          <w:sz w:val="28"/>
        </w:rPr>
        <w:t>墩南—河炮既有联络在反向功率场景下的保守转移能力为：</w:t>
      </w:r>
    </w:p>
    <w:p>
      <w:pPr>
        <w:keepLines/>
        <w:jc w:val="left"/>
        <w:ind w:firstLine="0" w:firstLineChars="0"/>
        <w:tabs>
          <w:tab w:val="center" w:pos="4100"/>
          <w:tab w:val="right" w:pos="8200"/>
        </w:tabs>
        <w:spacing w:line="968" w:lineRule="atLeast" w:before="80" w:after="80"/>
      </w:pPr>
      <w:r>
        <w:tab/>
      </w:r>
      <w:r>
        <w:drawing>
          <wp:inline xmlns:a="http://schemas.openxmlformats.org/drawingml/2006/main" xmlns:pic="http://schemas.openxmlformats.org/drawingml/2006/picture">
            <wp:extent cx="3744000" cy="156415"/>
            <wp:docPr id="28" name="Picture 28"/>
            <wp:cNvGraphicFramePr>
              <a:graphicFrameLocks noChangeAspect="1"/>
            </wp:cNvGraphicFramePr>
            <a:graphic>
              <a:graphicData uri="http://schemas.openxmlformats.org/drawingml/2006/picture">
                <pic:pic>
                  <pic:nvPicPr>
                    <pic:cNvPr id="0" name="equation.png"/>
                    <pic:cNvPicPr/>
                  </pic:nvPicPr>
                  <pic:blipFill>
                    <a:blip r:embed="rId40"/>
                    <a:stretch>
                      <a:fillRect/>
                    </a:stretch>
                  </pic:blipFill>
                  <pic:spPr>
                    <a:xfrm>
                      <a:off x="0" y="0"/>
                      <a:ext cx="3744000" cy="156415"/>
                    </a:xfrm>
                    <a:prstGeom prst="rect"/>
                  </pic:spPr>
                </pic:pic>
              </a:graphicData>
            </a:graphic>
          </wp:inline>
        </w:drawing>
      </w:r>
      <w:r>
        <w:rPr>
          <w:rFonts w:ascii="Times New Roman" w:hAnsi="Times New Roman" w:eastAsia="仿宋_GB2312"/>
          <w:b w:val="0"/>
          <w:sz w:val="28"/>
        </w:rPr>
        <w:tab/>
        <w:t>（6-1）</w:t>
      </w:r>
    </w:p>
    <w:p>
      <w:pPr>
        <w:spacing w:before="0" w:after="0" w:line="560" w:lineRule="exact"/>
        <w:jc w:val="both"/>
        <w:ind w:firstLineChars="200" w:firstLine="200"/>
      </w:pPr>
      <w:r>
        <w:rPr>
          <w:rFonts w:ascii="Times New Roman" w:hAnsi="Times New Roman" w:eastAsia="仿宋_GB2312"/>
          <w:b w:val="0"/>
          <w:sz w:val="28"/>
        </w:rPr>
        <w:t>在最保守的“本地负荷为0”包络下，当前7.34 MW光伏峰值锚点可全部作为净外送功率。此时河炮侧路径反向利用率为77.05%，低于本项目80%反向通道控制线，因此墩南—河炮既有联络从容量尺度上能够承接当前光伏峰值锚点对应的保守外送上界，无需因当前锚点立即新增联络容量。</w:t>
      </w:r>
    </w:p>
    <w:p>
      <w:pPr>
        <w:spacing w:before="0" w:after="0" w:line="560" w:lineRule="exact"/>
        <w:jc w:val="both"/>
        <w:ind w:firstLineChars="200" w:firstLine="200"/>
      </w:pPr>
      <w:r>
        <w:rPr>
          <w:rFonts w:ascii="Times New Roman" w:hAnsi="Times New Roman" w:eastAsia="仿宋_GB2312"/>
          <w:b w:val="0"/>
          <w:sz w:val="28"/>
        </w:rPr>
        <w:t>若采用高光伏规划场景中30%负荷系数，即以墩南线年度最大有功6.529596 MW的30%作为本地负荷代理，则当前光伏锚点下净富余功率为：</w:t>
      </w:r>
    </w:p>
    <w:p>
      <w:pPr>
        <w:keepLines/>
        <w:jc w:val="left"/>
        <w:ind w:firstLine="0" w:firstLineChars="0"/>
        <w:tabs>
          <w:tab w:val="center" w:pos="4100"/>
          <w:tab w:val="right" w:pos="8200"/>
        </w:tabs>
        <w:spacing w:line="960" w:lineRule="atLeast" w:before="80" w:after="80"/>
      </w:pPr>
      <w:r>
        <w:tab/>
      </w:r>
      <w:r>
        <w:drawing>
          <wp:inline xmlns:a="http://schemas.openxmlformats.org/drawingml/2006/main" xmlns:pic="http://schemas.openxmlformats.org/drawingml/2006/picture">
            <wp:extent cx="3744000" cy="203601"/>
            <wp:docPr id="29" name="Picture 29"/>
            <wp:cNvGraphicFramePr>
              <a:graphicFrameLocks noChangeAspect="1"/>
            </wp:cNvGraphicFramePr>
            <a:graphic>
              <a:graphicData uri="http://schemas.openxmlformats.org/drawingml/2006/picture">
                <pic:pic>
                  <pic:nvPicPr>
                    <pic:cNvPr id="0" name="equation.png"/>
                    <pic:cNvPicPr/>
                  </pic:nvPicPr>
                  <pic:blipFill>
                    <a:blip r:embed="rId41"/>
                    <a:stretch>
                      <a:fillRect/>
                    </a:stretch>
                  </pic:blipFill>
                  <pic:spPr>
                    <a:xfrm>
                      <a:off x="0" y="0"/>
                      <a:ext cx="3744000" cy="203601"/>
                    </a:xfrm>
                    <a:prstGeom prst="rect"/>
                  </pic:spPr>
                </pic:pic>
              </a:graphicData>
            </a:graphic>
          </wp:inline>
        </w:drawing>
      </w:r>
      <w:r>
        <w:rPr>
          <w:rFonts w:ascii="Times New Roman" w:hAnsi="Times New Roman" w:eastAsia="仿宋_GB2312"/>
          <w:b w:val="0"/>
          <w:sz w:val="28"/>
        </w:rPr>
        <w:tab/>
        <w:t>（6-2）</w:t>
      </w:r>
    </w:p>
    <w:p>
      <w:pPr>
        <w:spacing w:before="0" w:after="0" w:line="560" w:lineRule="exact"/>
        <w:jc w:val="both"/>
        <w:ind w:firstLineChars="200" w:firstLine="200"/>
      </w:pPr>
      <w:r>
        <w:rPr>
          <w:rFonts w:ascii="Times New Roman" w:hAnsi="Times New Roman" w:eastAsia="仿宋_GB2312"/>
          <w:b w:val="0"/>
          <w:sz w:val="28"/>
        </w:rPr>
        <w:t>对应河炮侧路径利用率约56.49%，既有联络具有更充足的容量余度。该结果属于规划应力场景，不解释为历史同步潮流。</w:t>
      </w:r>
    </w:p>
    <w:p>
      <w:pPr>
        <w:spacing w:before="0" w:after="0" w:line="560" w:lineRule="exact"/>
        <w:jc w:val="both"/>
        <w:ind w:firstLineChars="200" w:firstLine="200"/>
      </w:pPr>
      <w:r>
        <w:rPr>
          <w:rFonts w:ascii="Times New Roman" w:hAnsi="Times New Roman" w:eastAsia="仿宋_GB2312"/>
          <w:b w:val="0"/>
          <w:sz w:val="28"/>
        </w:rPr>
        <w:t>为评估新能源继续增长后的边界，进一步设置光伏倍率场景。当本地负荷取0、光伏达到当前峰值锚点的1.2倍时，净外送功率为8.808 MW，墩南—河炮既有联络按80%控制可承担7.62104 MW，剩余1.18696 MW需由新增联络或其他措施承担，对应新增联络最小规划有效容量约1.4837 MVA。当负荷系数取0.3、光伏达到1.5倍时，净外送功率约9.0511 MW，既有联络之后仍有约1.4301 MW剩余需求，对应新增联络最小规划有效容量约1.7876 MVA。</w:t>
      </w:r>
    </w:p>
    <w:p>
      <w:pPr>
        <w:spacing w:before="0" w:after="0" w:line="560" w:lineRule="exact"/>
        <w:jc w:val="both"/>
        <w:ind w:firstLineChars="200" w:firstLine="200"/>
      </w:pPr>
      <w:r>
        <w:rPr>
          <w:rFonts w:ascii="Times New Roman" w:hAnsi="Times New Roman" w:eastAsia="仿宋_GB2312"/>
          <w:b w:val="0"/>
          <w:sz w:val="28"/>
        </w:rPr>
        <w:t>河湾变下辖河东线、河炮线和河镇线的馈线级容量筛查表明，在上述未来压力场景中，河东线和河镇线从站端容量尺度上均具备承接剩余转移需求的条件，可作为新增联络进一步勘察的候选受端馈线。该筛查仅用于确定“是否值得进入工程选线”，不表示已经形成具体线路路径。由于当前缺少候选接入点地理信息系统坐标和廊道距离，本研究不进一步给出新建线路长度或投资额。</w:t>
      </w:r>
    </w:p>
    <w:p>
      <w:pPr>
        <w:spacing w:before="0" w:after="0" w:line="560" w:lineRule="exact"/>
        <w:jc w:val="both"/>
        <w:ind w:firstLineChars="200" w:firstLine="200"/>
      </w:pPr>
      <w:r>
        <w:rPr>
          <w:rFonts w:ascii="Times New Roman" w:hAnsi="Times New Roman" w:eastAsia="仿宋_GB2312"/>
          <w:b w:val="0"/>
          <w:sz w:val="28"/>
        </w:rPr>
        <w:t>上述场景的容量对比结果汇总见表6-3。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墩南—河炮既有联络高光伏跨站反向功率转移规划结果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规划场景</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净外送/需转移功率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墩南—河炮既有联络利用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剩余新增转移需求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MW，受端利用率77.05%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既有联络可完整承接</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MW，受端利用率56.49%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既有联络余度较充足</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1.2倍PV、零本地负荷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8.8080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1.1870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进入新增联络层；最小有效容量约1.4837 MVA</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1.5倍PV、30%负荷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9.0511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1.4301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进入新增联络层；最小有效容量约1.7876 MVA</w:t>
            </w:r>
          </w:p>
        </w:tc>
      </w:tr>
    </w:tbl>
    <w:p>
      <w:pPr>
        <w:spacing w:before="0" w:after="0" w:line="560" w:lineRule="exact"/>
        <w:jc w:val="both"/>
        <w:ind w:firstLineChars="200" w:firstLine="200"/>
      </w:pPr>
      <w:r>
        <w:rPr>
          <w:rFonts w:ascii="Times New Roman" w:hAnsi="Times New Roman" w:eastAsia="仿宋_GB2312"/>
          <w:b w:val="0"/>
          <w:sz w:val="28"/>
        </w:rPr>
        <w:t>该案例说明，10 kV联络在110 kV弹性规划中的核心作用，是为局部反向功率提供可重构的空间转移通道。其价值不能用联络开关数量简单表征，而应由光伏富余功率、既有通道有效容量、相邻站反向承接能力以及重构后的辐射运行条件共同决定。故障转供可作为同一联络网架的附加可靠性收益，但不是本案例的主要规划结论。</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弹性容载比规划控制值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弹性容载比规划控制值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弹性容载比规划控制值的敏感程度明显不同。对照样本分析表明，部分片区在当前规划期内容载比控制并非主导约束，另有部分片区需要优先解决设备、网络、接入位置或时序技术条件。因此，“一片一策”的核心不是为每个片区简单配置一个不同数值。本报告正式数值建议仅保留已经形成稳定经济释放响应的QX-00001和QX-00005，其余情况作为方法适用边界，不人为赋予推荐区间。</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kV局部互济的主要规划价值之一，是利用供电边界重构在相邻110 kV变电站之间重新分配高光伏反向功率。墩南—河炮既有联络案例表明，在零本地负荷的保守包络下，墩南线7.34 MW实际光伏峰值出力锚点可由既有联络完整承接，河炮侧路径反向利用率约77.05%，低于本项目80%反向通道控制线；当光伏升至1.2倍且本地负荷取零时，既有联络后仍有约1.187 MW剩余需求，对应新增联络最小有效容量约1.484 MVA。由此可见，10 kV联络方案应采用“既有联络优先、能力不足再新增”的分层规划逻辑，并同时校核送端减压、受端反向承载、通道容量和辐射运行条件。</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节点级光伏空间分布、候选新联络接入点地理信息系统坐标和线路廊道信息，并在工程实施阶段对关键联络方案开展交流潮流、短路电流、保护适应性和具体运行方式专项校核。在样本规模扩大后，可重新识别4项核心指标与弹性容载比规划控制值建议之间的适用边界，并通过独立片区、留出样本和年度滚动规划持续检验方法的工程推广性。对于层次分析法部分，后续可组织规划、运行和设计专业专家形成正式判断矩阵并开展一致性检验，但其定位仍应是辅助决策，不替代专项规划优化。</w:t>
      </w:r>
    </w:p>
    <w:p>
      <w:pPr>
        <w:pStyle w:val="2"/>
        <w:pageBreakBefore w:val="0"/>
        <w:jc w:val="left"/>
      </w:pPr>
      <w:bookmarkStart w:id="30" w:name="_TocReport0030"/>
      <w:r>
        <w:rPr>
          <w:rFonts w:ascii="Times New Roman" w:hAnsi="Times New Roman" w:eastAsia="仿宋_GB2312"/>
          <w:b/>
          <w:sz w:val="36"/>
        </w:rPr>
        <w:t>参考文献</w:t>
      </w:r>
      <w:bookmarkEnd w:id="30"/>
    </w:p>
    <w:p>
      <w:pPr>
        <w:keepLines/>
        <w:spacing w:before="0" w:after="0" w:line="40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keepLines/>
        <w:spacing w:before="0" w:after="0" w:line="40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keepLines/>
        <w:spacing w:before="0" w:after="0" w:line="40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keepLines/>
        <w:spacing w:before="0" w:after="0" w:line="40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keepLines/>
        <w:spacing w:before="0" w:after="0" w:line="400" w:lineRule="exact"/>
        <w:jc w:val="both"/>
        <w:ind w:leftChars="200" w:hangingChars="200" w:left="560" w:hanging="560"/>
      </w:pPr>
      <w:r>
        <w:rPr>
          <w:rFonts w:ascii="Times New Roman" w:hAnsi="Times New Roman" w:eastAsia="仿宋_GB2312"/>
          <w:b w:val="0"/>
          <w:sz w:val="28"/>
        </w:rPr>
        <w:t>[5] DL/T 5729—2023 配电网规划设计技术导则[S].</w:t>
      </w:r>
    </w:p>
    <w:p>
      <w:pPr>
        <w:keepLines/>
        <w:spacing w:before="0" w:after="0" w:line="40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keepLines/>
        <w:spacing w:before="0" w:after="0" w:line="40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keepLines/>
        <w:spacing w:before="0" w:after="0" w:line="40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keepLines/>
        <w:spacing w:before="0" w:after="0" w:line="40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keepLines/>
        <w:spacing w:before="0" w:after="0" w:line="40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keepLines/>
        <w:spacing w:before="0" w:after="0" w:line="40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keepLines/>
        <w:spacing w:before="0" w:after="0" w:line="40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keepLines/>
        <w:spacing w:before="0" w:after="0" w:line="40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keepLines/>
        <w:spacing w:before="0" w:after="0" w:line="40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keepLines/>
        <w:spacing w:before="0" w:after="0" w:line="40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keepLines/>
        <w:spacing w:before="0" w:after="0" w:line="40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keepLines/>
        <w:spacing w:before="0" w:after="0" w:line="40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keepLines/>
        <w:spacing w:before="0" w:after="0" w:line="40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keepLines/>
        <w:spacing w:before="0" w:after="0" w:line="40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keepLines/>
        <w:spacing w:before="0" w:after="0" w:line="40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