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研究报告数据来源与参数计算说明（2026年10月）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本文件与本轮六章研究报告、容载比条件矩阵工作簿配套，集中保存原始收资定位、建模换算、估计规则及费用参数依据。报告正文以邳州、市区的实际建模输入开展运行分析与寻优，丰县只作描述性对照。以下资料说明不作为研究报告正文附录。</w:t>
      </w:r>
    </w:p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1 本轮计算版本与适用范围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基准采用2026年10月1日同措施、同起点的四路径联合规划，2022—2025年刚性R≤2.0、弹性R≥2.001，市区同方案每年低于邳州至少0.001，弹性研究上侧为2.6。地区内两方案共同2021年反事实起点，主变、储能和新线状态非减。仅计新增措施，费用排序不强制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正常负荷转接用途为区县内年度负荷归属调整，区域任务守恒、容载比分母固定；电源仍在原站，反送上界为原反送峰加转出峰。共同10%为研究使用上限，不是标准故障转供比例。既有全站对仿真通道覆盖新增任务，新线在本轮正价格范围被支配而选零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矩阵包括12个两价格交叉条件和6个技术条件，共18组、72条地区方案路径、7056个站年。基准和9个需要改变布局或任务的情景完整计算；线路组合使用正费用及同任务可替代证明，沿用对应储能情景布局后独立复核。重复布局不计作新增观测样本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当前原始与派生结果目录：实验/研究/rebuild_2026/outputs/joint_shared_measure/transfer_10pct_all_years_load_reallocation；矩阵目录：研究报告/01研究推荐/2026-10-01条件矩阵。9月29日ordered_guide及事故转供代理旧方案不作为本轮终稿数值依据。</w:t>
      </w:r>
    </w:p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2 原始文件与完整性记录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实验/研究/data/tuomin/电网建模数据_Agent整合版_V1.2/近5年容载比.xlsx；16888字节；SHA256：f64be1be4955a268e97edc2678b2a39c3e89f651b7f40cc96e2e700395fe45a1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实验/研究/data/tuomin/电网建模数据_Agent整合版_V1.2/逐月分县分布式光伏.xlsx；16815字节；SHA256：64b5f1a7a6cf210bd43be0b1b8bf5bca549c0160432e8a76a149e90087335539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实验/研究/data/tuomin/电网建模数据_Agent整合版_V1.2/2025设备负载统计表.xlsx；26251664字节；SHA256：563180da9b4fd16012c14ddb974e76ce1f06dfdd8ca13816a2ac529901b91176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实验/研究/data/tuomin/电网建模数据_Agent整合版_V1.2/邳州主变负载率.xlsx；14899475字节；SHA256：38837890ab239005f7ce26b33a3510d948a13abfea1ad8dae387b8ef8a83e911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实验/研究/data/tuomin/补充数据/徐州市区脱敏.zip；4405898字节；SHA256：e1e33cecd1b0aaf03e4325406b4363b850dc1560a7ceb470697447ce464a967f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实验/研究/data/tuomin/电网建模数据_Agent整合版_V1.2/光伏8760小时数据.xlsx；336227字节；SHA256：e923691ffe6073e8ad0f75729745d6e66261a32e0807c6d8e757689d0a956f5d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实验/研究/data/tuomin/电网建模数据_Agent整合版_V1.2/110（35）kv设备明细.xlsx；221855字节；SHA256：f0144a48c89031b732d6bcf436b48f1890dc20e353e56bc90c90c3861e09d208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实验/研究/data/tuomin/电网建模数据_Agent整合版_V1.2/江苏徐州邢楼110千伏变电站主变扩建等工程建设规模及投资汇总表(1).xlsx；19492字节；SHA256：110081ca62981f08a97f5b353bde277cb8ea774c1433e76552ece75994b1537e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参考政策/DL-T+5729-2023+配电网规划设计技术导则.pdf；19245329字节；SHA256：c0256583876451a159abeac4d7673459c9ae4f6b2594ed241e6e40db81571bdf</w:t>
      </w:r>
    </w:p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3 年度容量与负荷的原格定位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cantSplit/>
          <w:tblHeader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地区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年份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容量格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原容量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负荷格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原负荷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容量MVA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负荷MW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邳州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2021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Sheet1!C19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202.7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Sheet1!D19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73.177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2027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731.77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邳州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2022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Sheet1!F19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204.55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Sheet1!G19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82.5004193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2045.5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825.004193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邳州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2023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Sheet1!I19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215.1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Sheet1!J19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76.1231803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2151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761.231803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邳州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Sheet1!L19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216.95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86.2661537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2169.5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862.661537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邳州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Sheet1!O19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213.95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Sheet1!P19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95.645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2139.5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956.45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市区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2021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Sheet1!C9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311.35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Sheet1!D9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144.977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3113.5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1449.77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市区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2022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Sheet1!F9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334.5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Sheet1!G9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143.2369977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3345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1432.369977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市区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2023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Sheet1!I9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357.5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Sheet1!J9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154.2216749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3575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1542.216749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市区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Sheet1!L9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367.5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144.9401567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3675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1449.401567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市区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Sheet1!O9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370.1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Sheet1!P9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152.882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3701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1528.82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丰县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2021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Sheet1!C34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123.5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Sheet1!D34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42.78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1235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427.8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丰县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2022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Sheet1!F34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123.5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Sheet1!G34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48.1402045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1235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481.402045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丰县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2023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Sheet1!I34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136.5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Sheet1!J34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48.9474752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1365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489.474752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丰县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Sheet1!L34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136.5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51.7378225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1365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517.378225</w:t>
            </w:r>
          </w:p>
        </w:tc>
      </w:tr>
      <w:tr>
        <w:trPr>
          <w:cantSplit/>
        </w:trPr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丰县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Sheet1!O34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142.5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Sheet1!P34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54.455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1425</w:t>
            </w:r>
          </w:p>
        </w:tc>
        <w:tc>
          <w:tcPr>
            <w:tcW w:type="dxa" w:w="1039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544.55</w:t>
            </w:r>
          </w:p>
        </w:tc>
      </w:tr>
    </w:tbl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原容量万千伏安、负荷万千瓦分别乘10。原负荷列名称为降压负荷，作为年网供最大负荷代理；未取得同刻形成记录时不改称已核定标准分母。原表比值存在显示舍入，报告均由换算容量与负荷重算。2025年邳州容量2139.5 MVA、市区3701 MVA。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2021年共同反事实容量为邳州1463.5 MVA、市区2462 MVA。邳州控制目标2×731.77=1463.54 MVA，再按槽位规格离散形成；市区按1.7×1449.77=2464.609 MVA控制离散初态。二者不是原表实有容量，原表为2027与3113.5 MVA。各站起点与市区标定见基准站年表和city_2021_district_calibration.csv。</w:t>
      </w:r>
    </w:p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4 月度光伏与前两年回推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cantSplit/>
          <w:tblHeader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地区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年份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12月原格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12月原值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采用MW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市区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2023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Sheet1!M4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25.3679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253.679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邳州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2023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Sheet1!M6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56.4702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564.702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丰县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2023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Sheet1!M9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34.235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342.35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市区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2024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Sheet1!M16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36.2438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362.438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邳州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2024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Sheet1!M18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112.6578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1126.578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丰县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2024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Sheet1!M21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49.4494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494.494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市区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Sheet1!M29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49.118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491.18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邳州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Sheet1!M31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155.9638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1559.638</w:t>
            </w:r>
          </w:p>
        </w:tc>
      </w:tr>
      <w:tr>
        <w:trPr>
          <w:cantSplit/>
        </w:trPr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丰县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2025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Sheet1!M34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59.2812</w:t>
            </w:r>
          </w:p>
        </w:tc>
        <w:tc>
          <w:tcPr>
            <w:tcW w:type="dxa" w:w="1662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592.812</w:t>
            </w:r>
          </w:p>
        </w:tc>
      </w:tr>
    </w:tbl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原光伏表未写明数值单位。本轮按项目统一建模口径将原数值乘10解释为MW，此项属于明确的单位采用假定，尚待原统计提供方核定。报告中的建模光伏规模、源荷比及电量估计均在该口径下形成，不把换算后的全部数值称为原表已经注明单位的实测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2021—2022年无同来源月度记录。对每个月m，C(y,m)=C(2023,m)×[C(2023,m)/C(2024,m)]^(2023−y)。2023—2025年月度规模用原表换算。图展示完整建模序列并将前两年标为回推。历史压力采用各站2025年春秋工作日10—15时低净负荷模板月份的同月倍率，不只使用12月倍率。</w:t>
      </w:r>
    </w:p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5 站级负荷、方向与持续时间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邳州主变负载率.xlsx逐列时序经电压与站号映射形成110 kV序列，市区徐州市区脱敏.zip内有功净负荷文件经已核定映射去重。市区源表值(kV)表头错误，第二列按MW读取。全零序列不作为正常轻载；补充SIM-CITY站无对应设备原行，其规格与C类为研究假定。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邳州缺1 h，年度积分按前后均值补值；市区代表序列421 h按同周类型均值补值。缺测记录保留，补值不称为观测。全年峰值和持续时间统计按既定时序模板，连续事件以相邻1 h判断。反向峰为零时无事件。模型储能使用E/max(2.15,H95)，零与数值下限1 h均受铭牌2.15 h限制。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正向：2025年独立站峰乘地区年度尺度；邳州尺度为区县原负荷/2025样本同期峰，市区先按原样本年度比例形成场景，再标定到区县年度负荷。反向：模板用户负荷为max(模板净功率,同月夜间中位数)，模板光伏为用户负荷−净功率，历史净功率为用户负荷×年度尺度−光伏×同月装机倍率，取负部分。2025年再与独立站反向极值比较取较大值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压力结果直接见基准rigid/elastic_stations.csv的forward_mw、reverse_mw、forward_duration_h、reverse_duration_h。图中的绝对峰为max(正向,反向)；站任务之和不替代区域同期峰。设备年最大负载率来自2025设备负载统计表主变1表P列，110 kV筛选后按区县统计；其不是模型同时点负载率。</w:t>
      </w:r>
    </w:p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6 电量、源荷比和关联分析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光伏8760小时数据为3408 MW系统光伏资料典型曲线，原始情景并非本区县2025年分布式电源逐站实测，日期按2025非闰年映射。光伏电量=逐时系数×相邻月末平均装机×1 h求和。用户电量=覆盖系数×带符号净交换年积分＋光伏电量，忽略损耗及未单独建模其他电源。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邳州覆盖系数1.005033、市区1.169435；用户峰值采用日间净功率加回光伏与夜间候选负荷较大值。2025年源荷比估计邳州1.630653、市区0.317876；电量渗透率估计40.2778%与8.6940%。丰县最大负荷代理544.55 MW，借用两地年负荷率均值0.502489，形成2397002 MWh用户电量和30.0384%渗透率，只用于描述性对照。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邳州12个月相关分析固定容量2139.5 MVA，不称为标准年度容载比。与电量渗透率的Pearson描述性系数分别为容量/月正向峰0.6556、绝对有功压力比−0.6579。按12个月样本使用，不作因果推断。年度丰县与邳州仅两点，不输出有统计解释力的跨地区相关系数。</w:t>
      </w:r>
    </w:p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7 工程价格、计算系数及假定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本轮值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/>
                <w:sz w:val="18"/>
              </w:rPr>
              <w:t>依据或计算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替换工程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16.573333万元/新购MVA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Sheet1!P21+P36除以10×(E21+E36)，(1151+1335)/150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第三台50 MVA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1223万元/项目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Sheet1第14、16行静态投资(1206+1240)/2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储能柜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21.0456262万元/柜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浏阳成交2104562.62元，10柜最低1 MW/2.15 MWh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储能单柜规模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0.1 MW/0.215 MWh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10柜保证包线性拆分，规模外推假定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储能上侧对照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27.2万元/柜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苏州100 kW/215 kWh子项最高限价，非中标价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新线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106.8万元/条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3×(0.9×24+0.1×120)+2×3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新线可转任务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7.491 MW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墩振线23—24杆区段负荷重建；热限代理9.05 MW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主变／线路比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约1.22364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(16.573333/0.95)/(106.8/7.491)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主变／储能比3 h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约0.05941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(16.573333/0.95)/(210.456262/(2.15/3))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功率因数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0.95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共同静态筛查假定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经济评价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2021年末—2041年、6%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研究评价期及实价折现假定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寿命与运维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主变/线20年、1%；储能10年、3%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统一研究参数，不冒称导则定额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更新规则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投运年＋寿命严格小于2041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同实价更新；运维投运次年起至2041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正常转接使用限制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2771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本轮研究假定，非事故转供标准</w:t>
            </w:r>
          </w:p>
        </w:tc>
      </w:tr>
    </w:tbl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成本档案位于研究报告/数据来源/2026-09-28_10kV线路与成本依据。华容县2020规划表7-1提供24万元/km架空、120万元/km电缆电气、3万元/台智能开关；线路参考未自行增加无依据的土建、征地或间隔费用。徐州线路迁改116.17万元项目无对应长度，不用于元/km标定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储能案例原公告：苏州项目编号TCAXCG2024156-2，2025年3月25日；浏阳中标2024年8月15日。保证规模采用最低2.15 MWh，标题2.2 MWh不交替代入。原档案文件定位及哈希参考本目录一并复制的工程依据登记，旧登记中的方案控制条件以本文件覆盖。</w:t>
      </w:r>
    </w:p>
    <w:p>
      <w:pPr>
        <w:pStyle w:val="3"/>
        <w:spacing w:line="360" w:lineRule="auto"/>
        <w:ind w:firstLine="0"/>
        <w:numPr>
          <w:numId w:val="0"/>
        </w:numPr>
      </w:pPr>
      <w:r>
        <w:rPr>
          <w:rFonts w:ascii="Times New Roman" w:hAnsi="Times New Roman" w:eastAsia="仿宋_GB2312"/>
          <w:b/>
          <w:sz w:val="32"/>
        </w:rPr>
        <w:t>8 规范、研究指标与结果文件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规范状态于2026年10月1日通过全国标准信息公共服务平台核对：DL/T 5729—2023于2024年6月28日实施，DL/T 2041—2025于2026年6月18日实施。项目2025年4月修订稿仍按研究资料使用，不替代正式版条款。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正式版状态依据：https://std.samr.gov.cn/hb/search/stdHBDetailedCNF?id=2E1288291AD60971E06397BE0A0ABFD2；https://std.samr.gov.cn/hb/search/stdHBDetailedCNF?id=52C44B7747821D39E06397BE0A0A8891。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DL/T 5729—2023：2.0.4网供负荷、2.0.9及6.3.2容载比、6.3.3行政区县边界、6.3.4增长分档、6.3.5特定阶段调整、6.2单元供电安全、7.1.2故障或检修转移、8.2.1主变规格。装机及电量渗透率定义按项目2025年4月修订稿研究口径，不称为正式标准条款。H95、两个费用比和四年1∶2∶3∶4权重均为本项目计算方法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完整措施工作簿：研究报告/01研究推荐/2026-10-01条件矩阵/容载比条件矩阵与全部措施.xlsx。独立核查：研究报告/05_review/2026-10-01重构/矩阵独立复核.json。表列全部年度、站年及站对转接，目录中各情景保留原精度CSV和求解状态。正文只展示与技术论证相关的图表与公式，不加入程序路径或核验日志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工作簿的弹性指标、弹性措施两页对应正文18组条件下的弹性年度路径，年度值全部超过2.0。经济推荐、推荐措施两页对应实际费用较低的路径；平滑增长市区、增长加快两地区可能优选刚性。两类推荐各自使用对应容量、费用和措施，不拼接成新方案。</w:t>
      </w:r>
    </w:p>
    <w:p>
      <w:pPr>
        <w:spacing w:line="300" w:lineRule="auto"/>
        <w:ind w:firstLine="480"/>
      </w:pPr>
      <w:r>
        <w:rPr>
          <w:rFonts w:ascii="Times New Roman" w:hAnsi="Times New Roman" w:eastAsia="仿宋_GB2312"/>
          <w:b w:val="0"/>
          <w:sz w:val="24"/>
        </w:rPr>
        <w:t>现金流、单位换算和容量守恒由输出另行重算。72条路径全部通过，最低余量容许数值误差1×10^−4 MW，费用差小于0.002万元。最优性证据与静态容量证据分别使用，不宣称已经验证交流潮流、供电恢复动作或全年储能荷电状态。</w:t>
      </w:r>
    </w:p>
    <w:sectPr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白日梦想家" w:date="2026-09-29T19:20:22Z" w:initials="">
    <w:p w14:paraId="6E766011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是否需要强调“日前”和“两充两放”</w:t>
      </w:r>
    </w:p>
  </w:comment>
  <w:comment w:id="1" w:author="白日梦想家" w:date="2026-09-29T19:27:34Z" w:initials="">
    <w:p w14:paraId="227A0A52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数据不对，分布式6240MW，接入110kV及以下电压等级的6813MW。</w:t>
      </w:r>
    </w:p>
  </w:comment>
  <w:comment w:id="2" w:author="白日梦想家" w:date="2026-09-29T19:29:54Z" w:initials="">
    <w:p w14:paraId="7377AFB9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防二次过载闭锁是什么校核</w:t>
      </w:r>
    </w:p>
  </w:comment>
  <w:comment w:id="3" w:author="白日梦想家" w:date="2026-09-29T19:30:19Z" w:initials="">
    <w:p w14:paraId="46E5AF54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框内字体调大，分电压等级接入</w:t>
      </w:r>
      <w:r>
        <w:rPr>
          <w:rFonts w:ascii="Times New Roman" w:hAnsi="Times New Roman" w:eastAsia="仿宋_GB2312"/>
          <w:sz w:val="28"/>
        </w:rPr>
        <w:t>GB/T 36547-2018《电化学储能</w:t>
      </w:r>
      <w:r>
        <w:rPr>
          <w:rFonts w:hint="eastAsia" w:ascii="Times New Roman" w:hAnsi="Times New Roman" w:eastAsia="仿宋_GB2312"/>
          <w:sz w:val="28"/>
        </w:rPr>
        <w:t>系统</w:t>
      </w:r>
      <w:r>
        <w:rPr>
          <w:rFonts w:ascii="Times New Roman" w:hAnsi="Times New Roman" w:eastAsia="仿宋_GB2312"/>
          <w:sz w:val="28"/>
        </w:rPr>
        <w:t>接入电网技术规定》</w:t>
      </w:r>
      <w:r>
        <w:rPr>
          <w:rFonts w:hint="eastAsia" w:ascii="Times New Roman" w:hAnsi="Times New Roman"/>
          <w:sz w:val="28"/>
          <w:lang w:val="en-US" w:eastAsia="zh-CN"/>
        </w:rPr>
        <w:t>的要求是5MW~100MW 35、110kV接入，0.5MW~5MW 6~20kV接入，100MW以上，220kV接入</w:t>
      </w:r>
    </w:p>
  </w:comment>
  <w:comment w:id="4" w:author="白日梦想家" w:date="2026-09-29T19:41:10Z" w:initials="">
    <w:p w14:paraId="43E87A08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这部分内容直接抄宿迁电网滚动规划就可以，避免自己描述。</w:t>
      </w:r>
    </w:p>
  </w:comment>
  <w:comment w:id="5" w:author="白日梦想家" w:date="2026-09-29T19:45:59Z" w:initials="">
    <w:p w14:paraId="3A8BA530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核实这部分数据，怎么来的？</w:t>
      </w:r>
    </w:p>
  </w:comment>
  <w:comment w:id="6" w:author="白日梦想家" w:date="2026-09-29T19:49:32Z" w:initials="">
    <w:p w14:paraId="0D86AE41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数据也不对，2030年是8799MW</w:t>
      </w:r>
    </w:p>
  </w:comment>
  <w:comment w:id="7" w:author="白日梦想家" w:date="2026-09-29T19:56:05Z" w:initials="">
    <w:p w14:paraId="08C57D94">
      <w:pPr>
        <w:pStyle w:val="15"/>
        <w:rPr>
          <w:rFonts w:ascii="Times New Roman" w:hAnsi="Times New Roman" w:eastAsia="方正仿宋_GBK" w:cs="Times New Roman"/>
          <w:sz w:val="30"/>
          <w:szCs w:val="30"/>
          <w:lang w:eastAsia="zh-CN"/>
        </w:rPr>
      </w:pPr>
      <w:r>
        <w:rPr>
          <w:rFonts w:hint="eastAsia"/>
          <w:lang w:val="en-US" w:eastAsia="zh-CN"/>
        </w:rPr>
        <w:t>由于与徐州东部电网连在一起，因此与徐州东部220kV电网存在功率交换。</w:t>
      </w:r>
      <w:r>
        <w:rPr>
          <w:rFonts w:ascii="Times New Roman" w:hAnsi="Times New Roman" w:eastAsia="方正仿宋_GBK" w:cs="Times New Roman"/>
          <w:sz w:val="30"/>
          <w:szCs w:val="30"/>
          <w:lang w:eastAsia="zh-CN"/>
        </w:rPr>
        <w:t>徐宿分区</w:t>
      </w:r>
      <w:r>
        <w:rPr>
          <w:rFonts w:hint="eastAsia" w:ascii="Times New Roman" w:hAnsi="Times New Roman" w:eastAsia="方正仿宋_GBK" w:cs="Times New Roman"/>
          <w:sz w:val="30"/>
          <w:szCs w:val="30"/>
          <w:lang w:eastAsia="zh-CN"/>
        </w:rPr>
        <w:t>主要包括</w:t>
      </w:r>
      <w:r>
        <w:rPr>
          <w:rFonts w:ascii="Times New Roman" w:hAnsi="Times New Roman" w:eastAsia="方正仿宋_GBK" w:cs="Times New Roman"/>
          <w:sz w:val="30"/>
          <w:szCs w:val="30"/>
          <w:lang w:eastAsia="zh-CN"/>
        </w:rPr>
        <w:t>徐州东部新沂、邳州、睢宁电网和宿迁电网，分区内以岱山变、姚湖变、沭阳变、钟吾变、宿豫变、双泗变6座500kV变电站及徐塘电厂、宿迁电厂</w:t>
      </w:r>
      <w:r>
        <w:rPr>
          <w:rFonts w:hint="eastAsia" w:ascii="Times New Roman" w:hAnsi="Times New Roman" w:eastAsia="方正仿宋_GBK" w:cs="Times New Roman"/>
          <w:sz w:val="30"/>
          <w:szCs w:val="30"/>
          <w:lang w:eastAsia="zh-CN"/>
        </w:rPr>
        <w:t>、协鑫电厂</w:t>
      </w:r>
      <w:r>
        <w:rPr>
          <w:rFonts w:ascii="Times New Roman" w:hAnsi="Times New Roman" w:eastAsia="方正仿宋_GBK" w:cs="Times New Roman"/>
          <w:sz w:val="30"/>
          <w:szCs w:val="30"/>
          <w:lang w:eastAsia="zh-CN"/>
        </w:rPr>
        <w:t>为主要电源支撑点。</w:t>
      </w:r>
    </w:p>
    <w:p w14:paraId="518E2871">
      <w:pPr>
        <w:pStyle w:val="15"/>
        <w:rPr>
          <w:rFonts w:hint="default" w:ascii="Times New Roman" w:hAnsi="Times New Roman" w:eastAsia="方正仿宋_GBK" w:cs="Times New Roman"/>
          <w:sz w:val="30"/>
          <w:szCs w:val="30"/>
          <w:lang w:val="en-US" w:eastAsia="zh-CN"/>
        </w:rPr>
      </w:pPr>
    </w:p>
  </w:comment>
  <w:comment w:id="8" w:author="白日梦想家" w:date="2026-09-29T19:59:45Z" w:initials="">
    <w:p w14:paraId="056F70E0">
      <w:pPr>
        <w:pStyle w:val="15"/>
      </w:pPr>
      <w:r>
        <w:annotationRef/>
      </w:r>
    </w:p>
  </w:comment>
  <w:comment w:id="9" w:author="白日梦想家" w:date="2026-09-29T19:59:47Z" w:initials="">
    <w:p w14:paraId="70E51D4A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凌晨重载吗？</w:t>
      </w:r>
    </w:p>
  </w:comment>
  <w:comment w:id="10" w:author="白日梦想家" w:date="2026-09-29T20:00:40Z" w:initials="">
    <w:p w14:paraId="7FD205D5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6台主变平均？</w:t>
      </w:r>
    </w:p>
  </w:comment>
  <w:comment w:id="11" w:author="白日梦想家" w:date="2026-09-29T20:02:06Z" w:initials="">
    <w:p w14:paraId="724A8902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中午是倒送还是正向降压，如果是倒送取“-”号</w:t>
      </w:r>
    </w:p>
  </w:comment>
  <w:comment w:id="12" w:author="白日梦想家" w:date="2026-09-29T20:05:11Z" w:initials="">
    <w:p w14:paraId="31CAC2F5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分位数？改为置信度？</w:t>
      </w:r>
    </w:p>
  </w:comment>
  <w:comment w:id="13" w:author="白日梦想家" w:date="2026-09-29T20:04:20Z" w:initials="">
    <w:p w14:paraId="766F2C8F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这点说的挺好，可以盘点下本地燃煤机组的装机，并统一单位，前面是MW/h，后面是%/min。</w:t>
      </w:r>
    </w:p>
  </w:comment>
  <w:comment w:id="14" w:author="白日梦想家" w:date="2026-09-29T20:07:19Z" w:initials="">
    <w:p w14:paraId="4FC742B6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结合gopt的几条220kV线路，取个断面。</w:t>
      </w:r>
    </w:p>
  </w:comment>
  <w:comment w:id="15" w:author="白日梦想家" w:date="2026-09-29T20:26:39Z" w:initials="">
    <w:p w14:paraId="1CB5DEA7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这是什么概念</w:t>
      </w:r>
    </w:p>
  </w:comment>
  <w:comment w:id="16" w:author="白日梦想家" w:date="2026-09-29T20:31:37Z" w:initials="">
    <w:p w14:paraId="7B15BC63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为什么不把储能充放电的阶梯型曲线放在下面了</w:t>
      </w:r>
    </w:p>
  </w:comment>
  <w:comment w:id="17" w:author="白日梦想家" w:date="2026-09-29T20:29:59Z" w:initials="">
    <w:p w14:paraId="7F184AA7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-122.7MW，为什么会重载，单位报告统一采用MW、MVA，</w:t>
      </w:r>
    </w:p>
  </w:comment>
  <w:comment w:id="18" w:author="白日梦想家" w:date="2026-09-29T20:33:09Z" w:initials="">
    <w:p w14:paraId="1F2644AE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通常2台主变按80%×2台主变容量控制负载率，3台主变按67%×3台主变容量控制负载率</w:t>
      </w:r>
    </w:p>
  </w:comment>
  <w:comment w:id="19" w:author="啊额 王" w:date="2026-09-29T15:37:00Z" w:initials="啊额">
    <w:p w14:paraId="0E1513A2">
      <w:pPr>
        <w:pStyle w:val="15"/>
        <w:ind w:firstLine="420"/>
      </w:pPr>
      <w:r>
        <w:rPr>
          <w:rFonts w:hint="eastAsia"/>
        </w:rPr>
        <w:t>感觉不太行，在用电高峰，充电，重载，感觉是大概率的。</w:t>
      </w:r>
    </w:p>
  </w:comment>
  <w:comment w:id="20" w:author="白日梦想家" w:date="2026-09-29T20:35:56Z" w:initials="">
    <w:p w14:paraId="2EC13269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详细说说如何测试的</w:t>
      </w:r>
    </w:p>
  </w:comment>
  <w:comment w:id="21" w:author="白日梦想家" w:date="2026-09-29T20:39:08Z" w:initials="">
    <w:p w14:paraId="285998CC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套用我之前写的电网描述</w:t>
      </w:r>
    </w:p>
  </w:comment>
  <w:comment w:id="22" w:author="白日梦想家" w:date="2026-09-29T20:42:10Z" w:initials="">
    <w:p w14:paraId="660316B3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图中文字太小看不清，可拆成4张图，前面有一张图也是这种情况</w:t>
      </w:r>
    </w:p>
  </w:comment>
  <w:comment w:id="23" w:author="白日梦想家" w:date="2026-09-29T20:46:05Z" w:initials="">
    <w:p w14:paraId="77F51198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行间距统一</w:t>
      </w:r>
    </w:p>
  </w:comment>
  <w:comment w:id="24" w:author="啊额 王" w:date="2026-09-29T15:01:00Z" w:initials="啊额">
    <w:p w14:paraId="73F4D4A8">
      <w:pPr>
        <w:pStyle w:val="15"/>
        <w:ind w:firstLine="0" w:firstLineChars="0"/>
      </w:pPr>
      <w:r>
        <w:rPr>
          <w:rFonts w:hint="eastAsia"/>
        </w:rPr>
        <w:t>过往报告中的内容，与本报告逻辑不太对应</w:t>
      </w:r>
    </w:p>
  </w:comment>
  <w:comment w:id="25" w:author="白日梦想家" w:date="2026-09-29T20:38:16Z" w:initials="">
    <w:p w14:paraId="06ADD36A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哪里对对应了？</w:t>
      </w:r>
    </w:p>
  </w:comment>
  <w:comment w:id="26" w:author="白日梦想家" w:date="2026-09-29T20:52:18Z" w:initials="">
    <w:p w14:paraId="209FB261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这部分怎么写要慎重，如果延缓电网投资，可以考虑将储能纳入电网投资，进入输配电价。我有个南网的ppt可以参考</w:t>
      </w:r>
    </w:p>
  </w:comment>
  <w:comment w:id="27" w:author="白日梦想家" w:date="2026-09-29T20:50:27Z" w:initials="">
    <w:p w14:paraId="1F6EDA0B">
      <w:pPr>
        <w:pStyle w:val="15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温和两充两放什么意思？都能两充两放，为什么全年利用天数只有300多天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E766011" w15:done="0"/>
  <w15:commentEx w15:paraId="227A0A52" w15:done="0"/>
  <w15:commentEx w15:paraId="7377AFB9" w15:done="0"/>
  <w15:commentEx w15:paraId="46E5AF54" w15:done="0"/>
  <w15:commentEx w15:paraId="43E87A08" w15:done="0"/>
  <w15:commentEx w15:paraId="3A8BA530" w15:done="0"/>
  <w15:commentEx w15:paraId="0D86AE41" w15:done="0"/>
  <w15:commentEx w15:paraId="518E2871" w15:done="0"/>
  <w15:commentEx w15:paraId="056F70E0" w15:done="0"/>
  <w15:commentEx w15:paraId="70E51D4A" w15:done="0" w15:paraIdParent="056F70E0"/>
  <w15:commentEx w15:paraId="7FD205D5" w15:done="0"/>
  <w15:commentEx w15:paraId="724A8902" w15:done="0"/>
  <w15:commentEx w15:paraId="31CAC2F5" w15:done="0"/>
  <w15:commentEx w15:paraId="766F2C8F" w15:done="0"/>
  <w15:commentEx w15:paraId="4FC742B6" w15:done="0"/>
  <w15:commentEx w15:paraId="1CB5DEA7" w15:done="0"/>
  <w15:commentEx w15:paraId="7B15BC63" w15:done="0"/>
  <w15:commentEx w15:paraId="7F184AA7" w15:done="0"/>
  <w15:commentEx w15:paraId="1F2644AE" w15:done="0"/>
  <w15:commentEx w15:paraId="0E1513A2" w15:done="0"/>
  <w15:commentEx w15:paraId="2EC13269" w15:done="0" w15:paraIdParent="0E1513A2"/>
  <w15:commentEx w15:paraId="285998CC" w15:done="0"/>
  <w15:commentEx w15:paraId="660316B3" w15:done="0"/>
  <w15:commentEx w15:paraId="77F51198" w15:done="0"/>
  <w15:commentEx w15:paraId="73F4D4A8" w15:done="0"/>
  <w15:commentEx w15:paraId="06ADD36A" w15:done="0" w15:paraIdParent="73F4D4A8"/>
  <w15:commentEx w15:paraId="209FB261" w15:done="0"/>
  <w15:commentEx w15:paraId="1F6EDA0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C4CFC">
    <w:pPr>
      <w:pStyle w:val="1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B1ADE">
    <w:pPr>
      <w:pStyle w:val="1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8332B">
    <w:pPr>
      <w:pStyle w:val="19"/>
      <w:ind w:firstLine="36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CF3D6">
    <w:pPr>
      <w:pStyle w:val="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71610">
    <w:pPr>
      <w:pStyle w:val="2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82D3F">
    <w:pPr>
      <w:pStyle w:val="20"/>
      <w:ind w:firstLine="360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5D4B73"/>
    <w:multiLevelType w:val="multilevel"/>
    <w:tmpl w:val="4C5D4B73"/>
    <w:lvl w:ilvl="0" w:tentative="0">
      <w:start w:val="1"/>
      <w:numFmt w:val="decimal"/>
      <w:pStyle w:val="3"/>
      <w:lvlText w:val="%1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</w:lvl>
    <w:lvl w:ilvl="2" w:tentative="0">
      <w:start w:val="1"/>
      <w:numFmt w:val="decimal"/>
      <w:isLgl/>
      <w:lvlText w:val="%1.%2.%3"/>
      <w:lvlJc w:val="left"/>
      <w:pPr>
        <w:ind w:left="720" w:hanging="720"/>
      </w:p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</w:lvl>
  </w:abstractNum>
  <w:abstractNum w:abstractNumId="1">
    <w:nsid w:val="59C64203"/>
    <w:multiLevelType w:val="multilevel"/>
    <w:tmpl w:val="59C64203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白日梦想家">
    <w15:presenceInfo w15:providerId="WPS Office" w15:userId="886633066"/>
  </w15:person>
  <w15:person w15:author="啊额 王">
    <w15:presenceInfo w15:providerId="Windows Live" w15:userId="ca137211ed9f22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31E"/>
    <w:rsid w:val="00060EFC"/>
    <w:rsid w:val="00092C43"/>
    <w:rsid w:val="00096978"/>
    <w:rsid w:val="00103F73"/>
    <w:rsid w:val="001072B6"/>
    <w:rsid w:val="00111F9B"/>
    <w:rsid w:val="00127917"/>
    <w:rsid w:val="0013090F"/>
    <w:rsid w:val="00134317"/>
    <w:rsid w:val="001361CA"/>
    <w:rsid w:val="00151BED"/>
    <w:rsid w:val="0015322E"/>
    <w:rsid w:val="001615B2"/>
    <w:rsid w:val="00173DE0"/>
    <w:rsid w:val="001748AB"/>
    <w:rsid w:val="001C2124"/>
    <w:rsid w:val="001D06A0"/>
    <w:rsid w:val="001F3662"/>
    <w:rsid w:val="001F6811"/>
    <w:rsid w:val="002077C5"/>
    <w:rsid w:val="00227BE2"/>
    <w:rsid w:val="002554C4"/>
    <w:rsid w:val="00256A84"/>
    <w:rsid w:val="002649CF"/>
    <w:rsid w:val="00282151"/>
    <w:rsid w:val="002A2D59"/>
    <w:rsid w:val="002B1996"/>
    <w:rsid w:val="002B3FF6"/>
    <w:rsid w:val="002C65BF"/>
    <w:rsid w:val="002F7B71"/>
    <w:rsid w:val="003139EE"/>
    <w:rsid w:val="00316753"/>
    <w:rsid w:val="00341985"/>
    <w:rsid w:val="00392DD7"/>
    <w:rsid w:val="003A248B"/>
    <w:rsid w:val="003B06D8"/>
    <w:rsid w:val="003B45BE"/>
    <w:rsid w:val="003E6A8F"/>
    <w:rsid w:val="003F5C3D"/>
    <w:rsid w:val="004026BD"/>
    <w:rsid w:val="004272F6"/>
    <w:rsid w:val="00437AC8"/>
    <w:rsid w:val="004745A3"/>
    <w:rsid w:val="004813AE"/>
    <w:rsid w:val="00486F7C"/>
    <w:rsid w:val="0049757C"/>
    <w:rsid w:val="004B66B9"/>
    <w:rsid w:val="004C2847"/>
    <w:rsid w:val="004F567E"/>
    <w:rsid w:val="0051131E"/>
    <w:rsid w:val="0053403F"/>
    <w:rsid w:val="00545009"/>
    <w:rsid w:val="005464C8"/>
    <w:rsid w:val="00555DF3"/>
    <w:rsid w:val="00574F20"/>
    <w:rsid w:val="00585B81"/>
    <w:rsid w:val="005935D0"/>
    <w:rsid w:val="00593C06"/>
    <w:rsid w:val="005B4760"/>
    <w:rsid w:val="005D1A04"/>
    <w:rsid w:val="005F7F3B"/>
    <w:rsid w:val="00612911"/>
    <w:rsid w:val="00672739"/>
    <w:rsid w:val="00677EB4"/>
    <w:rsid w:val="006961E9"/>
    <w:rsid w:val="006D7AA2"/>
    <w:rsid w:val="00703B1D"/>
    <w:rsid w:val="00713550"/>
    <w:rsid w:val="00750D45"/>
    <w:rsid w:val="00752ED7"/>
    <w:rsid w:val="00755058"/>
    <w:rsid w:val="007B1948"/>
    <w:rsid w:val="007B6BFA"/>
    <w:rsid w:val="007D5439"/>
    <w:rsid w:val="00841CF6"/>
    <w:rsid w:val="008707CA"/>
    <w:rsid w:val="0087620D"/>
    <w:rsid w:val="008A2F6D"/>
    <w:rsid w:val="008A324A"/>
    <w:rsid w:val="008F5EE9"/>
    <w:rsid w:val="009108D0"/>
    <w:rsid w:val="00926E92"/>
    <w:rsid w:val="009342DD"/>
    <w:rsid w:val="00954678"/>
    <w:rsid w:val="009927BE"/>
    <w:rsid w:val="00995EB9"/>
    <w:rsid w:val="009A2331"/>
    <w:rsid w:val="009A4161"/>
    <w:rsid w:val="009B5B98"/>
    <w:rsid w:val="009D2D7D"/>
    <w:rsid w:val="009D632A"/>
    <w:rsid w:val="009D6C44"/>
    <w:rsid w:val="009F6ACD"/>
    <w:rsid w:val="00A01706"/>
    <w:rsid w:val="00A132A4"/>
    <w:rsid w:val="00A22E46"/>
    <w:rsid w:val="00A2617E"/>
    <w:rsid w:val="00A264CF"/>
    <w:rsid w:val="00A347CC"/>
    <w:rsid w:val="00A350CC"/>
    <w:rsid w:val="00A41E89"/>
    <w:rsid w:val="00A8608A"/>
    <w:rsid w:val="00AA1473"/>
    <w:rsid w:val="00AB2334"/>
    <w:rsid w:val="00AD0603"/>
    <w:rsid w:val="00AD20E7"/>
    <w:rsid w:val="00B14487"/>
    <w:rsid w:val="00B15CC5"/>
    <w:rsid w:val="00B21A5E"/>
    <w:rsid w:val="00B24CB7"/>
    <w:rsid w:val="00B35331"/>
    <w:rsid w:val="00B552A9"/>
    <w:rsid w:val="00B61BC5"/>
    <w:rsid w:val="00B63656"/>
    <w:rsid w:val="00B8477F"/>
    <w:rsid w:val="00B93F59"/>
    <w:rsid w:val="00BF4F36"/>
    <w:rsid w:val="00C000BE"/>
    <w:rsid w:val="00C26B5A"/>
    <w:rsid w:val="00C537D1"/>
    <w:rsid w:val="00C67B7A"/>
    <w:rsid w:val="00C84D95"/>
    <w:rsid w:val="00C91477"/>
    <w:rsid w:val="00C951F5"/>
    <w:rsid w:val="00CE53B6"/>
    <w:rsid w:val="00CF2EC8"/>
    <w:rsid w:val="00D21D2F"/>
    <w:rsid w:val="00D34ADE"/>
    <w:rsid w:val="00D528AC"/>
    <w:rsid w:val="00D64402"/>
    <w:rsid w:val="00D766E5"/>
    <w:rsid w:val="00D8607E"/>
    <w:rsid w:val="00D90863"/>
    <w:rsid w:val="00DA3FFA"/>
    <w:rsid w:val="00DF1E9D"/>
    <w:rsid w:val="00DF52C0"/>
    <w:rsid w:val="00DF63E4"/>
    <w:rsid w:val="00E16C0A"/>
    <w:rsid w:val="00E66806"/>
    <w:rsid w:val="00E75166"/>
    <w:rsid w:val="00E87341"/>
    <w:rsid w:val="00EB37CF"/>
    <w:rsid w:val="00EB3DCF"/>
    <w:rsid w:val="00F01DF1"/>
    <w:rsid w:val="00F3066A"/>
    <w:rsid w:val="00F37E0D"/>
    <w:rsid w:val="00F47879"/>
    <w:rsid w:val="00F50149"/>
    <w:rsid w:val="00F51785"/>
    <w:rsid w:val="00F5790E"/>
    <w:rsid w:val="00F81F9B"/>
    <w:rsid w:val="00F91BD2"/>
    <w:rsid w:val="00FD1C3B"/>
    <w:rsid w:val="154751BE"/>
    <w:rsid w:val="6CD2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iPriority="62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line="300" w:lineRule="auto" w:before="0" w:after="0"/>
      <w:ind w:firstLineChars="200" w:firstLine="480"/>
      <w:jc w:val="both"/>
    </w:pPr>
    <w:rPr>
      <w:rFonts w:ascii="Times New Roman" w:hAnsi="Times New Roman" w:eastAsia="仿宋_GB2312" w:cstheme="minorBidi"/>
      <w:b w:val="0"/>
      <w:kern w:val="2"/>
      <w:sz w:val="24"/>
      <w:szCs w:val="22"/>
      <w:lang w:val="en-US" w:eastAsia="zh-CN" w:bidi="ar-SA"/>
    </w:rPr>
  </w:style>
  <w:style w:type="paragraph" w:styleId="3">
    <w:name w:val="heading 1"/>
    <w:next w:val="1"/>
    <w:link w:val="36"/>
    <w:qFormat/>
    <w:uiPriority w:val="9"/>
    <w:pPr>
      <w:keepNext/>
      <w:keepLines/>
      <w:numPr>
        <w:ilvl w:val="0"/>
        <w:numId w:val="1"/>
      </w:numPr>
      <w:spacing w:beforeLines="50" w:afterLines="50" w:line="360" w:lineRule="auto" w:before="0" w:after="120"/>
      <w:ind w:firstLine="0"/>
      <w:outlineLvl w:val="0"/>
    </w:pPr>
    <w:rPr>
      <w:rFonts w:ascii="Times New Roman" w:hAnsi="Times New Roman" w:eastAsia="仿宋_GB2312" w:cstheme="minorBidi"/>
      <w:b/>
      <w:bCs/>
      <w:kern w:val="44"/>
      <w:sz w:val="36"/>
      <w:szCs w:val="44"/>
      <w:lang w:val="en-US" w:eastAsia="zh-CN" w:bidi="ar-SA"/>
    </w:rPr>
  </w:style>
  <w:style w:type="paragraph" w:styleId="4">
    <w:name w:val="heading 2"/>
    <w:next w:val="3"/>
    <w:link w:val="37"/>
    <w:semiHidden/>
    <w:unhideWhenUsed/>
    <w:qFormat/>
    <w:uiPriority w:val="9"/>
    <w:pPr>
      <w:keepNext/>
      <w:keepLines/>
      <w:spacing w:before="160" w:after="120" w:line="360" w:lineRule="auto"/>
      <w:ind w:firstLine="0"/>
      <w:outlineLvl w:val="1"/>
    </w:pPr>
    <w:rPr>
      <w:rFonts w:ascii="Times New Roman" w:hAnsi="Times New Roman" w:eastAsia="仿宋_GB2312" w:cstheme="majorBidi"/>
      <w:b/>
      <w:bCs/>
      <w:kern w:val="2"/>
      <w:sz w:val="32"/>
      <w:szCs w:val="32"/>
      <w:lang w:val="en-US" w:eastAsia="zh-CN" w:bidi="ar-SA"/>
    </w:rPr>
  </w:style>
  <w:style w:type="paragraph" w:styleId="5">
    <w:name w:val="heading 3"/>
    <w:basedOn w:val="1"/>
    <w:next w:val="6"/>
    <w:link w:val="38"/>
    <w:semiHidden/>
    <w:unhideWhenUsed/>
    <w:qFormat/>
    <w:uiPriority w:val="9"/>
    <w:pPr>
      <w:keepNext/>
      <w:keepLines/>
      <w:spacing w:beforeLines="50" w:afterLines="50" w:line="360" w:lineRule="auto" w:before="160" w:after="120"/>
      <w:ind w:firstLine="0"/>
      <w:jc w:val="left"/>
      <w:outlineLvl w:val="2"/>
    </w:pPr>
    <w:rPr>
      <w:rFonts w:ascii="Times New Roman" w:hAnsi="Times New Roman" w:eastAsia="仿宋_GB2312"/>
      <w:b/>
      <w:bCs/>
      <w:sz w:val="26"/>
      <w:szCs w:val="32"/>
    </w:rPr>
  </w:style>
  <w:style w:type="paragraph" w:styleId="7">
    <w:name w:val="heading 4"/>
    <w:basedOn w:val="1"/>
    <w:next w:val="1"/>
    <w:link w:val="39"/>
    <w:semiHidden/>
    <w:unhideWhenUsed/>
    <w:qFormat/>
    <w:uiPriority w:val="9"/>
    <w:pPr>
      <w:keepNext/>
      <w:keepLines/>
      <w:spacing w:before="160" w:after="120" w:line="360" w:lineRule="auto"/>
      <w:ind w:firstLineChars="0" w:firstLine="0"/>
      <w:outlineLvl w:val="3"/>
    </w:pPr>
    <w:rPr>
      <w:rFonts w:cstheme="majorBidi" w:ascii="Times New Roman" w:hAnsi="Times New Roman" w:eastAsia="仿宋_GB2312"/>
      <w:b/>
      <w:bCs/>
      <w:sz w:val="24"/>
      <w:szCs w:val="28"/>
    </w:rPr>
  </w:style>
  <w:style w:type="paragraph" w:styleId="8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280" w:after="290" w:line="374" w:lineRule="auto"/>
      <w:outlineLvl w:val="4"/>
    </w:pPr>
    <w:rPr>
      <w:b/>
      <w:bCs/>
      <w:szCs w:val="28"/>
    </w:rPr>
  </w:style>
  <w:style w:type="paragraph" w:styleId="9">
    <w:name w:val="heading 6"/>
    <w:basedOn w:val="1"/>
    <w:next w:val="1"/>
    <w:link w:val="41"/>
    <w:semiHidden/>
    <w:unhideWhenUsed/>
    <w:qFormat/>
    <w:uiPriority w:val="9"/>
    <w:pPr>
      <w:keepNext/>
      <w:keepLines/>
      <w:adjustRightInd/>
      <w:snapToGrid/>
      <w:spacing w:before="240" w:after="64" w:line="319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10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240" w:after="64" w:line="319" w:lineRule="auto"/>
      <w:outlineLvl w:val="6"/>
    </w:pPr>
    <w:rPr>
      <w:b/>
      <w:bCs/>
      <w:szCs w:val="24"/>
    </w:rPr>
  </w:style>
  <w:style w:type="paragraph" w:styleId="11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240" w:after="64" w:line="319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2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240" w:after="64" w:line="319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8">
    <w:name w:val="Default Paragraph Font"/>
    <w:semiHidden/>
    <w:unhideWhenUsed/>
    <w:uiPriority w:val="1"/>
  </w:style>
  <w:style w:type="table" w:default="1" w:styleId="2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35"/>
    <w:semiHidden/>
    <w:unhideWhenUsed/>
    <w:qFormat/>
    <w:uiPriority w:val="99"/>
    <w:pPr>
      <w:spacing w:after="0" w:line="300" w:lineRule="auto" w:before="0"/>
      <w:ind w:firstLine="480"/>
    </w:pPr>
    <w:rPr>
      <w:rFonts w:ascii="Times New Roman" w:hAnsi="Times New Roman" w:eastAsia="仿宋_GB2312"/>
      <w:b w:val="0"/>
      <w:sz w:val="24"/>
    </w:rPr>
  </w:style>
  <w:style w:type="paragraph" w:customStyle="1" w:styleId="6">
    <w:name w:val="正文 缩进"/>
    <w:basedOn w:val="1"/>
    <w:qFormat/>
    <w:uiPriority w:val="99"/>
  </w:style>
  <w:style w:type="paragraph" w:styleId="13">
    <w:name w:val="caption"/>
    <w:next w:val="1"/>
    <w:semiHidden/>
    <w:unhideWhenUsed/>
    <w:qFormat/>
    <w:uiPriority w:val="35"/>
    <w:pPr>
      <w:jc w:val="center"/>
    </w:pPr>
    <w:rPr>
      <w:rFonts w:ascii="Times" w:hAnsi="Times" w:eastAsia="仿宋_GB2312" w:cs="Times New Roman"/>
      <w:kern w:val="2"/>
      <w:sz w:val="24"/>
      <w:szCs w:val="32"/>
      <w:lang w:val="en" w:eastAsia="zh-CN" w:bidi="ar-SA"/>
    </w:rPr>
  </w:style>
  <w:style w:type="paragraph" w:styleId="14">
    <w:name w:val="Document Map"/>
    <w:basedOn w:val="1"/>
    <w:link w:val="49"/>
    <w:semiHidden/>
    <w:unhideWhenUsed/>
    <w:qFormat/>
    <w:uiPriority w:val="99"/>
    <w:pPr>
      <w:adjustRightInd/>
      <w:snapToGrid/>
    </w:pPr>
    <w:rPr>
      <w:rFonts w:ascii="宋体" w:eastAsia="宋体" w:hAnsiTheme="minorHAnsi"/>
      <w:sz w:val="18"/>
      <w:szCs w:val="18"/>
    </w:rPr>
  </w:style>
  <w:style w:type="paragraph" w:styleId="15">
    <w:name w:val="annotation text"/>
    <w:basedOn w:val="1"/>
    <w:link w:val="113"/>
    <w:semiHidden/>
    <w:unhideWhenUsed/>
    <w:uiPriority w:val="99"/>
    <w:pPr>
      <w:jc w:val="left"/>
    </w:pPr>
  </w:style>
  <w:style w:type="paragraph" w:styleId="16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17">
    <w:name w:val="Date"/>
    <w:basedOn w:val="1"/>
    <w:next w:val="1"/>
    <w:link w:val="48"/>
    <w:semiHidden/>
    <w:unhideWhenUsed/>
    <w:qFormat/>
    <w:uiPriority w:val="99"/>
    <w:pPr>
      <w:ind w:left="100" w:leftChars="2500"/>
    </w:pPr>
  </w:style>
  <w:style w:type="paragraph" w:styleId="18">
    <w:name w:val="Balloon Text"/>
    <w:basedOn w:val="1"/>
    <w:link w:val="50"/>
    <w:semiHidden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paragraph" w:styleId="20">
    <w:name w:val="header"/>
    <w:basedOn w:val="1"/>
    <w:link w:val="4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paragraph" w:styleId="21">
    <w:name w:val="toc 1"/>
    <w:basedOn w:val="1"/>
    <w:next w:val="1"/>
    <w:autoRedefine/>
    <w:unhideWhenUsed/>
    <w:qFormat/>
    <w:uiPriority w:val="39"/>
    <w:pPr>
      <w:tabs>
        <w:tab w:val="left" w:pos="0"/>
        <w:tab w:val="right" w:leader="dot" w:pos="8302"/>
      </w:tabs>
      <w:spacing w:line="360" w:lineRule="auto"/>
      <w:ind w:firstLine="0" w:firstLineChars="0"/>
    </w:pPr>
    <w:rPr>
      <w:rFonts w:eastAsia="黑体" w:cs="Times New Roman"/>
      <w:sz w:val="28"/>
    </w:rPr>
  </w:style>
  <w:style w:type="paragraph" w:styleId="22">
    <w:name w:val="toc 2"/>
    <w:basedOn w:val="1"/>
    <w:next w:val="1"/>
    <w:autoRedefine/>
    <w:unhideWhenUsed/>
    <w:qFormat/>
    <w:uiPriority w:val="39"/>
    <w:pPr>
      <w:tabs>
        <w:tab w:val="left" w:pos="1120"/>
        <w:tab w:val="right" w:leader="dot" w:pos="8296"/>
      </w:tabs>
      <w:spacing w:line="360" w:lineRule="auto"/>
      <w:ind w:left="640" w:leftChars="200" w:firstLine="0" w:firstLineChars="0"/>
    </w:pPr>
  </w:style>
  <w:style w:type="paragraph" w:styleId="23">
    <w:name w:val="Normal (Web)"/>
    <w:basedOn w:val="1"/>
    <w:semiHidden/>
    <w:unhideWhenUsed/>
    <w:qFormat/>
    <w:uiPriority w:val="99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4">
    <w:name w:val="annotation subject"/>
    <w:basedOn w:val="15"/>
    <w:next w:val="15"/>
    <w:link w:val="114"/>
    <w:semiHidden/>
    <w:unhideWhenUsed/>
    <w:uiPriority w:val="99"/>
    <w:rPr>
      <w:b/>
      <w:bCs/>
    </w:rPr>
  </w:style>
  <w:style w:type="table" w:styleId="26">
    <w:name w:val="Table Grid"/>
    <w:basedOn w:val="25"/>
    <w:qFormat/>
    <w:uiPriority w:val="99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7">
    <w:name w:val="Light Grid Accent 1"/>
    <w:basedOn w:val="25"/>
    <w:semiHidden/>
    <w:unhideWhenUsed/>
    <w:qFormat/>
    <w:uiPriority w:val="62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rFonts w:hint="default" w:ascii="Cambria" w:hAnsi="Cambria" w:eastAsia="宋体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rFonts w:hint="default" w:ascii="Cambria" w:hAnsi="Cambria" w:eastAsia="宋体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hint="default" w:ascii="Cambria" w:hAnsi="Cambria" w:eastAsia="宋体" w:cs="Times New Roman"/>
        <w:b/>
        <w:bCs/>
      </w:rPr>
    </w:tblStylePr>
    <w:tblStylePr w:type="lastCol">
      <w:rPr>
        <w:rFonts w:hint="default" w:ascii="Cambria" w:hAnsi="Cambria" w:eastAsia="宋体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character" w:styleId="29">
    <w:name w:val="Strong"/>
    <w:basedOn w:val="28"/>
    <w:qFormat/>
    <w:uiPriority w:val="22"/>
    <w:rPr>
      <w:b/>
      <w:bCs/>
    </w:rPr>
  </w:style>
  <w:style w:type="character" w:styleId="30">
    <w:name w:val="FollowedHyperlink"/>
    <w:basedOn w:val="28"/>
    <w:semiHidden/>
    <w:unhideWhenUsed/>
    <w:qFormat/>
    <w:uiPriority w:val="99"/>
    <w:rPr>
      <w:color w:val="800080"/>
      <w:u w:val="single"/>
    </w:rPr>
  </w:style>
  <w:style w:type="character" w:styleId="31">
    <w:name w:val="Hyperlink"/>
    <w:basedOn w:val="28"/>
    <w:unhideWhenUsed/>
    <w:qFormat/>
    <w:uiPriority w:val="99"/>
    <w:rPr>
      <w:color w:val="000000"/>
      <w:u w:val="single"/>
    </w:rPr>
  </w:style>
  <w:style w:type="character" w:styleId="32">
    <w:name w:val="annotation reference"/>
    <w:basedOn w:val="28"/>
    <w:semiHidden/>
    <w:unhideWhenUsed/>
    <w:uiPriority w:val="99"/>
    <w:rPr>
      <w:sz w:val="21"/>
      <w:szCs w:val="21"/>
    </w:rPr>
  </w:style>
  <w:style w:type="paragraph" w:customStyle="1" w:styleId="33">
    <w:name w:val="参考文献"/>
    <w:basedOn w:val="2"/>
    <w:link w:val="34"/>
    <w:autoRedefine/>
    <w:qFormat/>
    <w:uiPriority w:val="0"/>
    <w:pPr>
      <w:widowControl/>
      <w:numPr>
        <w:ilvl w:val="0"/>
        <w:numId w:val="2"/>
      </w:numPr>
      <w:wordWrap w:val="0"/>
      <w:topLinePunct/>
      <w:autoSpaceDE w:val="0"/>
      <w:spacing w:before="180" w:after="180"/>
      <w:ind w:left="420" w:hanging="420"/>
    </w:pPr>
    <w:rPr>
      <w:rFonts w:eastAsia="宋体"/>
    </w:rPr>
  </w:style>
  <w:style w:type="character" w:customStyle="1" w:styleId="34">
    <w:name w:val="参考文献 字符"/>
    <w:basedOn w:val="35"/>
    <w:link w:val="33"/>
    <w:uiPriority w:val="0"/>
    <w:rPr>
      <w:rFonts w:ascii="Times New Roman" w:hAnsi="Times New Roman" w:eastAsia="宋体"/>
    </w:rPr>
  </w:style>
  <w:style w:type="character" w:customStyle="1" w:styleId="35">
    <w:name w:val="正文文本 字符"/>
    <w:basedOn w:val="28"/>
    <w:link w:val="2"/>
    <w:semiHidden/>
    <w:uiPriority w:val="99"/>
  </w:style>
  <w:style w:type="character" w:customStyle="1" w:styleId="36">
    <w:name w:val="标题 1 字符"/>
    <w:basedOn w:val="28"/>
    <w:link w:val="3"/>
    <w:qFormat/>
    <w:uiPriority w:val="9"/>
    <w:rPr>
      <w:rFonts w:ascii="仿宋_GB2312" w:hAnsi="仿宋" w:eastAsia="仿宋_GB2312"/>
      <w:b/>
      <w:bCs/>
      <w:kern w:val="44"/>
      <w:sz w:val="36"/>
      <w:szCs w:val="44"/>
    </w:rPr>
  </w:style>
  <w:style w:type="character" w:customStyle="1" w:styleId="37">
    <w:name w:val="标题 2 字符"/>
    <w:basedOn w:val="28"/>
    <w:link w:val="4"/>
    <w:semiHidden/>
    <w:qFormat/>
    <w:uiPriority w:val="9"/>
    <w:rPr>
      <w:rFonts w:ascii="Times New Roman" w:hAnsi="Times New Roman" w:eastAsia="仿宋_GB2312" w:cstheme="majorBidi"/>
      <w:b/>
      <w:bCs/>
      <w:sz w:val="32"/>
      <w:szCs w:val="32"/>
    </w:rPr>
  </w:style>
  <w:style w:type="character" w:customStyle="1" w:styleId="38">
    <w:name w:val="标题 3 字符"/>
    <w:basedOn w:val="28"/>
    <w:link w:val="5"/>
    <w:semiHidden/>
    <w:qFormat/>
    <w:uiPriority w:val="9"/>
    <w:rPr>
      <w:rFonts w:ascii="Times New Roman" w:hAnsi="Times New Roman" w:eastAsia="仿宋_GB2312"/>
      <w:b/>
      <w:bCs/>
      <w:sz w:val="32"/>
      <w:szCs w:val="32"/>
    </w:rPr>
  </w:style>
  <w:style w:type="character" w:customStyle="1" w:styleId="39">
    <w:name w:val="标题 4 字符"/>
    <w:basedOn w:val="28"/>
    <w:link w:val="7"/>
    <w:semiHidden/>
    <w:qFormat/>
    <w:uiPriority w:val="9"/>
    <w:rPr>
      <w:rFonts w:ascii="Times New Roman" w:hAnsi="Times New Roman" w:eastAsia="仿宋_GB2312" w:cstheme="majorBidi"/>
      <w:b/>
      <w:bCs/>
      <w:sz w:val="32"/>
      <w:szCs w:val="28"/>
    </w:rPr>
  </w:style>
  <w:style w:type="character" w:customStyle="1" w:styleId="40">
    <w:name w:val="标题 5 字符"/>
    <w:basedOn w:val="28"/>
    <w:link w:val="8"/>
    <w:semiHidden/>
    <w:qFormat/>
    <w:uiPriority w:val="9"/>
    <w:rPr>
      <w:rFonts w:ascii="Times New Roman" w:hAnsi="Times New Roman" w:eastAsia="仿宋_GB2312"/>
      <w:b/>
      <w:bCs/>
      <w:sz w:val="32"/>
      <w:szCs w:val="28"/>
    </w:rPr>
  </w:style>
  <w:style w:type="character" w:customStyle="1" w:styleId="41">
    <w:name w:val="标题 6 字符"/>
    <w:basedOn w:val="28"/>
    <w:link w:val="9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2">
    <w:name w:val="标题 7 字符"/>
    <w:basedOn w:val="28"/>
    <w:link w:val="10"/>
    <w:semiHidden/>
    <w:qFormat/>
    <w:uiPriority w:val="9"/>
    <w:rPr>
      <w:rFonts w:ascii="Times New Roman" w:hAnsi="Times New Roman" w:eastAsia="仿宋_GB2312"/>
      <w:b/>
      <w:bCs/>
      <w:sz w:val="24"/>
      <w:szCs w:val="24"/>
    </w:rPr>
  </w:style>
  <w:style w:type="character" w:customStyle="1" w:styleId="43">
    <w:name w:val="标题 8 字符"/>
    <w:basedOn w:val="28"/>
    <w:link w:val="11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4">
    <w:name w:val="标题 9 字符"/>
    <w:basedOn w:val="28"/>
    <w:link w:val="12"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45">
    <w:name w:val="msonormal"/>
    <w:basedOn w:val="1"/>
    <w:qFormat/>
    <w:uiPriority w:val="99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46">
    <w:name w:val="页眉 字符"/>
    <w:basedOn w:val="28"/>
    <w:link w:val="20"/>
    <w:qFormat/>
    <w:uiPriority w:val="99"/>
    <w:rPr>
      <w:rFonts w:ascii="Times New Roman" w:hAnsi="Times New Roman" w:eastAsia="仿宋_GB2312"/>
      <w:sz w:val="18"/>
      <w:szCs w:val="18"/>
    </w:rPr>
  </w:style>
  <w:style w:type="character" w:customStyle="1" w:styleId="47">
    <w:name w:val="页脚 字符"/>
    <w:basedOn w:val="28"/>
    <w:link w:val="19"/>
    <w:qFormat/>
    <w:uiPriority w:val="99"/>
    <w:rPr>
      <w:rFonts w:ascii="Times New Roman" w:hAnsi="Times New Roman" w:eastAsia="仿宋_GB2312"/>
      <w:sz w:val="18"/>
      <w:szCs w:val="18"/>
    </w:rPr>
  </w:style>
  <w:style w:type="character" w:customStyle="1" w:styleId="48">
    <w:name w:val="日期 字符"/>
    <w:basedOn w:val="28"/>
    <w:link w:val="17"/>
    <w:semiHidden/>
    <w:qFormat/>
    <w:uiPriority w:val="99"/>
    <w:rPr>
      <w:rFonts w:ascii="Times New Roman" w:hAnsi="Times New Roman" w:eastAsia="仿宋_GB2312"/>
      <w:sz w:val="32"/>
    </w:rPr>
  </w:style>
  <w:style w:type="character" w:customStyle="1" w:styleId="49">
    <w:name w:val="文档结构图 字符"/>
    <w:basedOn w:val="28"/>
    <w:link w:val="14"/>
    <w:semiHidden/>
    <w:qFormat/>
    <w:uiPriority w:val="99"/>
    <w:rPr>
      <w:rFonts w:ascii="宋体" w:eastAsia="宋体"/>
      <w:sz w:val="18"/>
      <w:szCs w:val="18"/>
    </w:rPr>
  </w:style>
  <w:style w:type="character" w:customStyle="1" w:styleId="50">
    <w:name w:val="批注框文本 字符"/>
    <w:basedOn w:val="28"/>
    <w:link w:val="18"/>
    <w:semiHidden/>
    <w:qFormat/>
    <w:uiPriority w:val="99"/>
    <w:rPr>
      <w:rFonts w:ascii="Times New Roman" w:hAnsi="Times New Roman" w:eastAsia="仿宋_GB2312"/>
      <w:sz w:val="18"/>
      <w:szCs w:val="18"/>
    </w:rPr>
  </w:style>
  <w:style w:type="paragraph" w:styleId="51">
    <w:name w:val="No Spacing"/>
    <w:qFormat/>
    <w:uiPriority w:val="1"/>
    <w:pPr>
      <w:widowControl w:val="0"/>
      <w:jc w:val="both"/>
    </w:pPr>
    <w:rPr>
      <w:rFonts w:eastAsia="仿宋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52">
    <w:name w:val="列表段落 字符"/>
    <w:link w:val="53"/>
    <w:qFormat/>
    <w:locked/>
    <w:uiPriority w:val="34"/>
    <w:rPr>
      <w:rFonts w:ascii="仿宋_GB2312" w:eastAsia="仿宋_GB2312"/>
      <w:sz w:val="32"/>
      <w:szCs w:val="32"/>
    </w:rPr>
  </w:style>
  <w:style w:type="paragraph" w:styleId="53">
    <w:name w:val="List Paragraph"/>
    <w:link w:val="52"/>
    <w:qFormat/>
    <w:uiPriority w:val="34"/>
    <w:pPr>
      <w:spacing w:line="580" w:lineRule="exact"/>
      <w:ind w:firstLine="643" w:firstLineChars="200"/>
    </w:pPr>
    <w:rPr>
      <w:rFonts w:ascii="仿宋_GB2312" w:eastAsia="仿宋_GB2312" w:hAnsiTheme="minorHAnsi" w:cstheme="minorBidi"/>
      <w:kern w:val="2"/>
      <w:sz w:val="32"/>
      <w:szCs w:val="32"/>
      <w:lang w:val="en-US" w:eastAsia="zh-CN" w:bidi="ar-SA"/>
    </w:rPr>
  </w:style>
  <w:style w:type="character" w:customStyle="1" w:styleId="54">
    <w:name w:val="图片 Char"/>
    <w:link w:val="55"/>
    <w:qFormat/>
    <w:locked/>
    <w:uiPriority w:val="0"/>
    <w:rPr>
      <w:rFonts w:ascii="仿宋_GB2312" w:eastAsia="仿宋_GB2312"/>
      <w:sz w:val="32"/>
    </w:rPr>
  </w:style>
  <w:style w:type="paragraph" w:customStyle="1" w:styleId="55">
    <w:name w:val="图片"/>
    <w:link w:val="54"/>
    <w:qFormat/>
    <w:uiPriority w:val="0"/>
    <w:pPr>
      <w:jc w:val="center"/>
    </w:pPr>
    <w:rPr>
      <w:rFonts w:ascii="仿宋_GB2312" w:eastAsia="仿宋_GB2312" w:hAnsiTheme="minorHAnsi" w:cstheme="minorBidi"/>
      <w:kern w:val="2"/>
      <w:sz w:val="32"/>
      <w:szCs w:val="22"/>
      <w:lang w:val="en-US" w:eastAsia="zh-CN" w:bidi="ar-SA"/>
    </w:rPr>
  </w:style>
  <w:style w:type="paragraph" w:customStyle="1" w:styleId="56">
    <w:name w:val="TOC 标题1"/>
    <w:basedOn w:val="3"/>
    <w:next w:val="1"/>
    <w:qFormat/>
    <w:uiPriority w:val="39"/>
    <w:pPr>
      <w:spacing w:before="240" w:beforeLines="0" w:afterLines="0" w:line="256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57">
    <w:name w:val="_Style 40"/>
    <w:basedOn w:val="1"/>
    <w:next w:val="53"/>
    <w:qFormat/>
    <w:uiPriority w:val="99"/>
    <w:pPr>
      <w:adjustRightInd/>
      <w:snapToGrid/>
      <w:ind w:firstLine="420"/>
    </w:pPr>
    <w:rPr>
      <w:rFonts w:ascii="Calibri" w:hAnsi="Calibri" w:eastAsia="宋体" w:cs="Times New Roman"/>
      <w:sz w:val="21"/>
      <w:szCs w:val="24"/>
    </w:rPr>
  </w:style>
  <w:style w:type="paragraph" w:customStyle="1" w:styleId="58">
    <w:name w:val="正文段落"/>
    <w:basedOn w:val="1"/>
    <w:qFormat/>
    <w:uiPriority w:val="99"/>
    <w:pPr>
      <w:adjustRightInd/>
      <w:snapToGrid/>
    </w:pPr>
    <w:rPr>
      <w:rFonts w:cs="Times New Roman"/>
      <w:szCs w:val="20"/>
    </w:rPr>
  </w:style>
  <w:style w:type="paragraph" w:customStyle="1" w:styleId="59">
    <w:name w:val="普通(网站)1"/>
    <w:basedOn w:val="1"/>
    <w:qFormat/>
    <w:uiPriority w:val="99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60">
    <w:name w:val="p0"/>
    <w:basedOn w:val="1"/>
    <w:qFormat/>
    <w:uiPriority w:val="99"/>
    <w:pPr>
      <w:widowControl/>
      <w:adjustRightInd/>
      <w:snapToGrid/>
    </w:pPr>
    <w:rPr>
      <w:rFonts w:eastAsia="宋体" w:cs="Times New Roman"/>
      <w:kern w:val="0"/>
      <w:sz w:val="21"/>
      <w:szCs w:val="20"/>
    </w:rPr>
  </w:style>
  <w:style w:type="paragraph" w:customStyle="1" w:styleId="61">
    <w:name w:val="xl102"/>
    <w:basedOn w:val="1"/>
    <w:qFormat/>
    <w:uiPriority w:val="99"/>
    <w:pPr>
      <w:widowControl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color w:val="000000"/>
      <w:kern w:val="0"/>
      <w:szCs w:val="24"/>
    </w:rPr>
  </w:style>
  <w:style w:type="paragraph" w:customStyle="1" w:styleId="62">
    <w:name w:val="xl103"/>
    <w:basedOn w:val="1"/>
    <w:qFormat/>
    <w:uiPriority w:val="99"/>
    <w:pPr>
      <w:widowControl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color w:val="000000"/>
      <w:kern w:val="0"/>
      <w:szCs w:val="24"/>
    </w:rPr>
  </w:style>
  <w:style w:type="paragraph" w:customStyle="1" w:styleId="63">
    <w:name w:val="xl104"/>
    <w:basedOn w:val="1"/>
    <w:qFormat/>
    <w:uiPriority w:val="99"/>
    <w:pPr>
      <w:widowControl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color w:val="000000"/>
      <w:kern w:val="0"/>
      <w:szCs w:val="24"/>
    </w:rPr>
  </w:style>
  <w:style w:type="paragraph" w:customStyle="1" w:styleId="64">
    <w:name w:val="xl10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65">
    <w:name w:val="xl106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66">
    <w:name w:val="xl107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67">
    <w:name w:val="xl108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BDD7EE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68">
    <w:name w:val="xl109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69">
    <w:name w:val="xl110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70">
    <w:name w:val="xl111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71">
    <w:name w:val="xl112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72">
    <w:name w:val="xl113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73">
    <w:name w:val="xl11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74">
    <w:name w:val="xl115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75">
    <w:name w:val="xl116"/>
    <w:basedOn w:val="1"/>
    <w:qFormat/>
    <w:uiPriority w:val="99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76">
    <w:name w:val="xl117"/>
    <w:basedOn w:val="1"/>
    <w:qFormat/>
    <w:uiPriority w:val="99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77">
    <w:name w:val="xl118"/>
    <w:basedOn w:val="1"/>
    <w:qFormat/>
    <w:uiPriority w:val="99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78">
    <w:name w:val="xl119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color w:val="000000"/>
      <w:kern w:val="0"/>
      <w:szCs w:val="24"/>
    </w:rPr>
  </w:style>
  <w:style w:type="paragraph" w:customStyle="1" w:styleId="79">
    <w:name w:val="xl120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80">
    <w:name w:val="xl121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81">
    <w:name w:val="xl122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82">
    <w:name w:val="xl123"/>
    <w:basedOn w:val="1"/>
    <w:qFormat/>
    <w:uiPriority w:val="99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83">
    <w:name w:val="xl124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84">
    <w:name w:val="xl125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85">
    <w:name w:val="xl126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paragraph" w:customStyle="1" w:styleId="86">
    <w:name w:val="xl64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87">
    <w:name w:val="xl65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88">
    <w:name w:val="xl66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89">
    <w:name w:val="xl67"/>
    <w:basedOn w:val="1"/>
    <w:qFormat/>
    <w:uiPriority w:val="99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3366FF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b/>
      <w:bCs/>
      <w:color w:val="FFFFFF"/>
      <w:kern w:val="0"/>
      <w:szCs w:val="24"/>
    </w:rPr>
  </w:style>
  <w:style w:type="paragraph" w:customStyle="1" w:styleId="90">
    <w:name w:val="xl68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91">
    <w:name w:val="xl69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92">
    <w:name w:val="xl70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93">
    <w:name w:val="xl71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kern w:val="0"/>
      <w:szCs w:val="24"/>
    </w:rPr>
  </w:style>
  <w:style w:type="paragraph" w:customStyle="1" w:styleId="94">
    <w:name w:val="xl72"/>
    <w:basedOn w:val="1"/>
    <w:qFormat/>
    <w:uiPriority w:val="99"/>
    <w:pPr>
      <w:widowControl/>
      <w:adjustRightInd/>
      <w:snapToGrid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95">
    <w:name w:val="xl73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left"/>
    </w:pPr>
    <w:rPr>
      <w:rFonts w:ascii="黑体" w:hAnsi="黑体" w:eastAsia="黑体" w:cs="宋体"/>
      <w:b/>
      <w:bCs/>
      <w:color w:val="FF0000"/>
      <w:kern w:val="0"/>
      <w:szCs w:val="24"/>
    </w:rPr>
  </w:style>
  <w:style w:type="paragraph" w:customStyle="1" w:styleId="96">
    <w:name w:val="xl74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b/>
      <w:bCs/>
      <w:kern w:val="0"/>
      <w:szCs w:val="24"/>
    </w:rPr>
  </w:style>
  <w:style w:type="paragraph" w:customStyle="1" w:styleId="97">
    <w:name w:val="xl75"/>
    <w:basedOn w:val="1"/>
    <w:qFormat/>
    <w:uiPriority w:val="99"/>
    <w:pPr>
      <w:widowControl/>
      <w:shd w:val="clear" w:color="auto" w:fill="E7E6E6"/>
      <w:adjustRightInd/>
      <w:snapToGrid/>
      <w:spacing w:before="100" w:beforeAutospacing="1" w:after="100" w:afterAutospacing="1"/>
      <w:jc w:val="center"/>
    </w:pPr>
    <w:rPr>
      <w:rFonts w:ascii="黑体" w:hAnsi="黑体" w:eastAsia="黑体" w:cs="宋体"/>
      <w:kern w:val="0"/>
      <w:szCs w:val="24"/>
    </w:rPr>
  </w:style>
  <w:style w:type="character" w:customStyle="1" w:styleId="98">
    <w:name w:val="表 字符"/>
    <w:basedOn w:val="54"/>
    <w:link w:val="99"/>
    <w:qFormat/>
    <w:locked/>
    <w:uiPriority w:val="0"/>
    <w:rPr>
      <w:rFonts w:ascii="仿宋_GB2312" w:eastAsia="仿宋_GB2312"/>
      <w:sz w:val="32"/>
      <w:szCs w:val="21"/>
    </w:rPr>
  </w:style>
  <w:style w:type="paragraph" w:customStyle="1" w:styleId="99">
    <w:name w:val="表"/>
    <w:link w:val="98"/>
    <w:qFormat/>
    <w:uiPriority w:val="0"/>
    <w:pPr>
      <w:widowControl w:val="0"/>
    </w:pPr>
    <w:rPr>
      <w:rFonts w:ascii="仿宋_GB2312" w:eastAsia="仿宋_GB2312" w:hAnsiTheme="minorHAnsi" w:cstheme="minorBidi"/>
      <w:kern w:val="2"/>
      <w:sz w:val="32"/>
      <w:szCs w:val="21"/>
      <w:lang w:val="en-US" w:eastAsia="zh-CN" w:bidi="ar-SA"/>
    </w:rPr>
  </w:style>
  <w:style w:type="paragraph" w:customStyle="1" w:styleId="100">
    <w:name w:val="列出段落1"/>
    <w:basedOn w:val="1"/>
    <w:qFormat/>
    <w:uiPriority w:val="99"/>
    <w:pPr>
      <w:adjustRightInd/>
      <w:snapToGrid/>
      <w:ind w:firstLine="420"/>
    </w:pPr>
    <w:rPr>
      <w:rFonts w:ascii="Calibri" w:hAnsi="Calibri" w:eastAsia="宋体" w:cs="黑体"/>
      <w:sz w:val="21"/>
    </w:rPr>
  </w:style>
  <w:style w:type="character" w:styleId="101">
    <w:name w:val="Placeholder Text"/>
    <w:basedOn w:val="28"/>
    <w:semiHidden/>
    <w:qFormat/>
    <w:uiPriority w:val="99"/>
    <w:rPr>
      <w:color w:val="808080"/>
    </w:rPr>
  </w:style>
  <w:style w:type="character" w:customStyle="1" w:styleId="102">
    <w:name w:val="标题 1 字符1"/>
    <w:qFormat/>
    <w:uiPriority w:val="0"/>
    <w:rPr>
      <w:rFonts w:hint="default" w:ascii="Arial" w:hAnsi="Arial" w:eastAsia="宋体" w:cs="Times New Roman"/>
      <w:b/>
      <w:bCs/>
      <w:kern w:val="32"/>
      <w:sz w:val="32"/>
      <w:szCs w:val="32"/>
      <w:lang w:val="zh-CN" w:eastAsia="zh-CN"/>
    </w:rPr>
  </w:style>
  <w:style w:type="character" w:customStyle="1" w:styleId="103">
    <w:name w:val="标题 2 字符1"/>
    <w:qFormat/>
    <w:uiPriority w:val="0"/>
    <w:rPr>
      <w:rFonts w:hint="default" w:ascii="Cambria" w:hAnsi="Cambria" w:eastAsia="宋体" w:cs="Times New Roman"/>
      <w:b/>
      <w:bCs/>
      <w:sz w:val="32"/>
      <w:szCs w:val="32"/>
      <w:lang w:val="zh-CN" w:eastAsia="zh-CN"/>
    </w:rPr>
  </w:style>
  <w:style w:type="character" w:customStyle="1" w:styleId="104">
    <w:name w:val="fontstyle01"/>
    <w:basedOn w:val="28"/>
    <w:qFormat/>
    <w:uiPriority w:val="0"/>
    <w:rPr>
      <w:rFonts w:hint="eastAsia" w:ascii="仿宋" w:hAnsi="仿宋" w:eastAsia="仿宋"/>
      <w:color w:val="000000"/>
      <w:sz w:val="28"/>
      <w:szCs w:val="28"/>
    </w:rPr>
  </w:style>
  <w:style w:type="character" w:customStyle="1" w:styleId="105">
    <w:name w:val="tlid-translation"/>
    <w:basedOn w:val="28"/>
    <w:qFormat/>
    <w:uiPriority w:val="0"/>
  </w:style>
  <w:style w:type="table" w:customStyle="1" w:styleId="106">
    <w:name w:val="网格型1"/>
    <w:basedOn w:val="25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7">
    <w:name w:val="网格型2"/>
    <w:basedOn w:val="25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8">
    <w:name w:val="网格型3"/>
    <w:basedOn w:val="25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9">
    <w:name w:val="网格表 4 - 着色 11"/>
    <w:basedOn w:val="25"/>
    <w:qFormat/>
    <w:uiPriority w:val="4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110">
    <w:name w:val="网格表 6 彩色 - 着色 11"/>
    <w:basedOn w:val="25"/>
    <w:qFormat/>
    <w:uiPriority w:val="51"/>
    <w:rPr>
      <w:rFonts w:ascii="Times New Roman" w:hAnsi="Times New Roman" w:eastAsia="宋体" w:cs="Times New Roman"/>
      <w:color w:val="2F5597" w:themeColor="accent1" w:themeShade="BF"/>
      <w:kern w:val="0"/>
      <w:sz w:val="20"/>
      <w:szCs w:val="20"/>
    </w:r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111">
    <w:name w:val="网格表 41"/>
    <w:basedOn w:val="25"/>
    <w:qFormat/>
    <w:uiPriority w:val="4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12">
    <w:name w:val="网格表 6 彩色1"/>
    <w:basedOn w:val="25"/>
    <w:qFormat/>
    <w:uiPriority w:val="51"/>
    <w:rPr>
      <w:rFonts w:ascii="Times New Roman" w:hAnsi="Times New Roman" w:eastAsia="宋体" w:cs="Times New Roman"/>
      <w:color w:val="000000" w:themeColor="text1"/>
      <w:kern w:val="0"/>
      <w:sz w:val="20"/>
      <w:szCs w:val="20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113">
    <w:name w:val="批注文字 字符"/>
    <w:basedOn w:val="28"/>
    <w:link w:val="15"/>
    <w:semiHidden/>
    <w:uiPriority w:val="99"/>
    <w:rPr>
      <w:rFonts w:ascii="仿宋_GB2312" w:hAnsi="仿宋_GB2312" w:eastAsia="仿宋_GB2312"/>
      <w:sz w:val="24"/>
    </w:rPr>
  </w:style>
  <w:style w:type="character" w:customStyle="1" w:styleId="114">
    <w:name w:val="批注主题 字符"/>
    <w:basedOn w:val="113"/>
    <w:link w:val="24"/>
    <w:semiHidden/>
    <w:uiPriority w:val="99"/>
    <w:rPr>
      <w:rFonts w:ascii="仿宋_GB2312" w:hAnsi="仿宋_GB2312" w:eastAsia="仿宋_GB2312"/>
      <w:b/>
      <w:bCs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4" Type="http://schemas.microsoft.com/office/2011/relationships/people" Target="people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sv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4471</Words>
  <Characters>4904</Characters>
  <Lines>340</Lines>
  <Paragraphs>95</Paragraphs>
  <TotalTime>35</TotalTime>
  <ScaleCrop>false</ScaleCrop>
  <LinksUpToDate>false</LinksUpToDate>
  <CharactersWithSpaces>5239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2026-09-27T15:32:00Z</dcterms:created>
  <dc:creator>研究项目组</dc:creator>
  <cp:lastModifiedBy>白日梦想家</cp:lastModifiedBy>
  <dcterms:modified xsi:type="dcterms:W3CDTF">2026-09-30T02:35:09Z</dcterms:modified>
  <cp:revision>209</cp:revision>
  <dc:title>研究报告数据来源与参数计算说明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eyJoZGlkIjoiNDUzYzYwOGJlNmNkMzRkMGI2Y2UyNjliMTA3NTYxNjEiLCJ1c2VySWQiOiIyMzM5MTEwMTkifQ==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8ECCA4B4BE264E3BAA52A1B8BA4F6691_12</vt:lpwstr>
  </property>
</Properties>
</file>