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400"/>
        <w:ind w:firstLine="0"/>
        <w:jc w:val="center"/>
      </w:pPr>
      <w:r>
        <w:rPr>
          <w:rFonts w:ascii="Times New Roman" w:hAnsi="Times New Roman" w:eastAsia="方正仿宋_GBK"/>
          <w:b/>
          <w:sz w:val="36"/>
        </w:rPr>
        <w:t>内容提要</w:t>
      </w:r>
    </w:p>
    <w:p>
      <w:pPr>
        <w:spacing w:line="360" w:lineRule="exact" w:after="200"/>
        <w:ind w:firstLine="480"/>
        <w:jc w:val="both"/>
      </w:pPr>
      <w:r>
        <w:rPr>
          <w:rFonts w:ascii="Times New Roman" w:hAnsi="Times New Roman" w:eastAsia="方正仿宋_GBK"/>
          <w:b w:val="0"/>
          <w:sz w:val="24"/>
        </w:rPr>
        <w:t>分布式光伏持续接入使110 kV电网同时承担正向供电和反向输送任务，区域容量储备与局部设备负载的关系随源荷条件变化。徐州邳州光伏规模较大，市区用电负荷较集中，两地区具有不同的容量配置需求。本研究利用2021—2025年负荷、光伏装机和设备运行资料，分析新能源渗透水平、净负荷及峰值持续时间，结合主变增容、储能配置和10 kV联络工程费用，研究适应片区运行特征的容载比取值。</w:t>
      </w:r>
    </w:p>
    <w:p>
      <w:pPr>
        <w:spacing w:line="360" w:lineRule="exact" w:after="200"/>
        <w:ind w:firstLine="480"/>
        <w:jc w:val="both"/>
      </w:pPr>
      <w:r>
        <w:rPr>
          <w:rFonts w:ascii="Times New Roman" w:hAnsi="Times New Roman" w:eastAsia="方正仿宋_GBK"/>
          <w:b w:val="0"/>
          <w:sz w:val="24"/>
        </w:rPr>
        <w:t>研究表明，2025年邳州和市区分布式电源装机渗透率估计值分别为1.63和0.32，分布式电源电量渗透率分别为40.28%和8.69%。邳州容量规划需要兼顾光伏集中出力时的反向输送与晚间供电，市区则主要受正向负荷和主变N-1供电要求影响。在共同起点下开展四年规划比选，规划第4年刚性方案容载比为1.95～1.97，弹性方案平均约为2.20。两地区新增措施评价期费用现值合计由159191.34万元降至47659.61万元，降低70.06%；相应储能总功率由503.10 MW降至6.20 MW。适当增加主变容量减少了持续峰段的储能配置需求，是本次费用下降的主要原因。</w:t>
      </w:r>
    </w:p>
    <w:p>
      <w:pPr>
        <w:spacing w:line="360" w:lineRule="exact" w:after="200"/>
        <w:ind w:firstLine="480"/>
        <w:jc w:val="both"/>
      </w:pPr>
      <w:r>
        <w:rPr>
          <w:rFonts w:ascii="Times New Roman" w:hAnsi="Times New Roman" w:eastAsia="方正仿宋_GBK"/>
          <w:b w:val="0"/>
          <w:sz w:val="24"/>
        </w:rPr>
        <w:t>进一步按供电区域类别、负荷分散系数和源荷条件归纳推荐区间，并比较主变与线路、主变与储能单位功率投资比的影响。分类后各组容量配置差异更加清楚，负荷增长、分布式电源装机规模和储能充放电持续时间共同决定推荐范围；线路价格在本次分析范围内主要影响费用。研究建议结合片区源荷特征确定容量储备，邳州重点校核双向容量，市区重点分析主变N-1及站间负荷分配，通过主变增容、储能配置和既有联络利用的技术经济比较，落实分年度建设规模。</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t>第一章 绪论</w:t>
      </w:r>
      <w:r>
        <w:rPr>
          <w:rFonts w:ascii="Times New Roman" w:hAnsi="Times New Roman" w:eastAsia="方正仿宋_GBK"/>
          <w:b/>
          <w:sz w:val="24"/>
        </w:rPr>
        <w:tab/>
      </w:r>
      <w:fldSimple w:instr="PAGEREF h0 \h">
        <w:r>
          <w:t>5</w:t>
        </w:r>
      </w:fldSimple>
    </w:p>
    <w:p>
      <w:pPr>
        <w:tabs>
          <w:tab w:pos="8220" w:val="right" w:leader="dot"/>
        </w:tabs>
        <w:spacing w:line="360" w:lineRule="exact" w:after="40"/>
        <w:ind w:firstLine="0" w:left="240"/>
        <w:jc w:val="left"/>
      </w:pPr>
      <w:r>
        <w:rPr>
          <w:rFonts w:ascii="Times New Roman" w:hAnsi="Times New Roman" w:eastAsia="方正仿宋_GBK"/>
          <w:b w:val="0"/>
          <w:sz w:val="24"/>
        </w:rPr>
        <w:t>1.1 研究背景与意义</w:t>
      </w:r>
      <w:r>
        <w:rPr>
          <w:rFonts w:ascii="Times New Roman" w:hAnsi="Times New Roman" w:eastAsia="方正仿宋_GBK"/>
          <w:b w:val="0"/>
          <w:sz w:val="24"/>
        </w:rPr>
        <w:tab/>
      </w:r>
      <w:fldSimple w:instr="PAGEREF h1 \h">
        <w:r>
          <w:t>5</w:t>
        </w:r>
      </w:fldSimple>
    </w:p>
    <w:p>
      <w:pPr>
        <w:tabs>
          <w:tab w:pos="8220" w:val="right" w:leader="dot"/>
        </w:tabs>
        <w:spacing w:line="360" w:lineRule="exact" w:after="40"/>
        <w:ind w:firstLine="0" w:left="240"/>
        <w:jc w:val="left"/>
      </w:pPr>
      <w:r>
        <w:rPr>
          <w:rFonts w:ascii="Times New Roman" w:hAnsi="Times New Roman" w:eastAsia="方正仿宋_GBK"/>
          <w:b w:val="0"/>
          <w:sz w:val="24"/>
        </w:rPr>
        <w:t>1.2 主要概念与规范依据</w:t>
      </w:r>
      <w:r>
        <w:rPr>
          <w:rFonts w:ascii="Times New Roman" w:hAnsi="Times New Roman" w:eastAsia="方正仿宋_GBK"/>
          <w:b w:val="0"/>
          <w:sz w:val="24"/>
        </w:rPr>
        <w:tab/>
      </w:r>
      <w:fldSimple w:instr="PAGEREF h19 \h">
        <w:r>
          <w:t>7</w:t>
        </w:r>
      </w:fldSimple>
    </w:p>
    <w:p>
      <w:pPr>
        <w:tabs>
          <w:tab w:pos="8220" w:val="right" w:leader="dot"/>
        </w:tabs>
        <w:spacing w:line="360" w:lineRule="exact" w:after="40"/>
        <w:ind w:firstLine="0" w:left="240"/>
        <w:jc w:val="left"/>
      </w:pPr>
      <w:r>
        <w:rPr>
          <w:rFonts w:ascii="Times New Roman" w:hAnsi="Times New Roman" w:eastAsia="方正仿宋_GBK"/>
          <w:b w:val="0"/>
          <w:sz w:val="24"/>
        </w:rPr>
        <w:t>1.3 研究范围与对象</w:t>
      </w:r>
      <w:r>
        <w:rPr>
          <w:rFonts w:ascii="Times New Roman" w:hAnsi="Times New Roman" w:eastAsia="方正仿宋_GBK"/>
          <w:b w:val="0"/>
          <w:sz w:val="24"/>
        </w:rPr>
        <w:tab/>
      </w:r>
      <w:fldSimple w:instr="PAGEREF h33 \h">
        <w:r>
          <w:t>8</w:t>
        </w:r>
      </w:fldSimple>
    </w:p>
    <w:p>
      <w:pPr>
        <w:tabs>
          <w:tab w:pos="8220" w:val="right" w:leader="dot"/>
        </w:tabs>
        <w:spacing w:line="360" w:lineRule="exact" w:after="40"/>
        <w:ind w:firstLine="0" w:left="240"/>
        <w:jc w:val="left"/>
      </w:pPr>
      <w:r>
        <w:rPr>
          <w:rFonts w:ascii="Times New Roman" w:hAnsi="Times New Roman" w:eastAsia="方正仿宋_GBK"/>
          <w:b w:val="0"/>
          <w:sz w:val="24"/>
        </w:rPr>
        <w:t>1.4 研究目标与内容</w:t>
      </w:r>
      <w:r>
        <w:rPr>
          <w:rFonts w:ascii="Times New Roman" w:hAnsi="Times New Roman" w:eastAsia="方正仿宋_GBK"/>
          <w:b w:val="0"/>
          <w:sz w:val="24"/>
        </w:rPr>
        <w:tab/>
      </w:r>
      <w:fldSimple w:instr="PAGEREF h46 \h">
        <w:r>
          <w:t>9</w:t>
        </w:r>
      </w:fldSimple>
    </w:p>
    <w:p>
      <w:pPr>
        <w:tabs>
          <w:tab w:pos="8220" w:val="right" w:leader="dot"/>
        </w:tabs>
        <w:spacing w:line="360" w:lineRule="exact" w:after="40"/>
        <w:ind w:firstLine="0" w:left="240"/>
        <w:jc w:val="left"/>
      </w:pPr>
      <w:r>
        <w:rPr>
          <w:rFonts w:ascii="Times New Roman" w:hAnsi="Times New Roman" w:eastAsia="方正仿宋_GBK"/>
          <w:b w:val="0"/>
          <w:sz w:val="24"/>
        </w:rPr>
        <w:t>1.5 研究方法与技术路线</w:t>
      </w:r>
      <w:r>
        <w:rPr>
          <w:rFonts w:ascii="Times New Roman" w:hAnsi="Times New Roman" w:eastAsia="方正仿宋_GBK"/>
          <w:b w:val="0"/>
          <w:sz w:val="24"/>
        </w:rPr>
        <w:tab/>
      </w:r>
      <w:fldSimple w:instr="PAGEREF h58 \h">
        <w:r>
          <w:t>10</w:t>
        </w:r>
      </w:fldSimple>
    </w:p>
    <w:p>
      <w:pPr>
        <w:tabs>
          <w:tab w:pos="8220" w:val="right" w:leader="dot"/>
        </w:tabs>
        <w:spacing w:line="360" w:lineRule="exact" w:after="40"/>
        <w:ind w:firstLine="0" w:left="240"/>
        <w:jc w:val="left"/>
      </w:pPr>
      <w:r>
        <w:rPr>
          <w:rFonts w:ascii="Times New Roman" w:hAnsi="Times New Roman" w:eastAsia="方正仿宋_GBK"/>
          <w:b w:val="0"/>
          <w:sz w:val="24"/>
        </w:rPr>
        <w:t>1.6 研究成果及应用</w:t>
      </w:r>
      <w:r>
        <w:rPr>
          <w:rFonts w:ascii="Times New Roman" w:hAnsi="Times New Roman" w:eastAsia="方正仿宋_GBK"/>
          <w:b w:val="0"/>
          <w:sz w:val="24"/>
        </w:rPr>
        <w:tab/>
      </w:r>
      <w:fldSimple w:instr="PAGEREF h74 \h">
        <w:r>
          <w:t>12</w:t>
        </w:r>
      </w:fldSimple>
    </w:p>
    <w:p>
      <w:pPr>
        <w:tabs>
          <w:tab w:pos="8220" w:val="right" w:leader="dot"/>
        </w:tabs>
        <w:spacing w:line="360" w:lineRule="exact" w:after="40"/>
        <w:ind w:firstLine="0" w:left="0"/>
        <w:jc w:val="left"/>
      </w:pPr>
      <w:r>
        <w:rPr>
          <w:rFonts w:ascii="Times New Roman" w:hAnsi="Times New Roman" w:eastAsia="方正仿宋_GBK"/>
          <w:b/>
          <w:sz w:val="24"/>
        </w:rPr>
        <w:t>第二章 国内外研究现状</w:t>
      </w:r>
      <w:r>
        <w:rPr>
          <w:rFonts w:ascii="Times New Roman" w:hAnsi="Times New Roman" w:eastAsia="方正仿宋_GBK"/>
          <w:b/>
          <w:sz w:val="24"/>
        </w:rPr>
        <w:tab/>
      </w:r>
      <w:fldSimple w:instr="PAGEREF h77 \h">
        <w:r>
          <w:t>13</w:t>
        </w:r>
      </w:fldSimple>
    </w:p>
    <w:p>
      <w:pPr>
        <w:tabs>
          <w:tab w:pos="8220" w:val="right" w:leader="dot"/>
        </w:tabs>
        <w:spacing w:line="360" w:lineRule="exact" w:after="40"/>
        <w:ind w:firstLine="0" w:left="240"/>
        <w:jc w:val="left"/>
      </w:pPr>
      <w:r>
        <w:rPr>
          <w:rFonts w:ascii="Times New Roman" w:hAnsi="Times New Roman" w:eastAsia="方正仿宋_GBK"/>
          <w:b w:val="0"/>
          <w:sz w:val="24"/>
        </w:rPr>
        <w:t>2.1 国外研究现状</w:t>
      </w:r>
      <w:r>
        <w:rPr>
          <w:rFonts w:ascii="Times New Roman" w:hAnsi="Times New Roman" w:eastAsia="方正仿宋_GBK"/>
          <w:b w:val="0"/>
          <w:sz w:val="24"/>
        </w:rPr>
        <w:tab/>
      </w:r>
      <w:fldSimple w:instr="PAGEREF h80 \h">
        <w:r>
          <w:t>13</w:t>
        </w:r>
      </w:fldSimple>
    </w:p>
    <w:p>
      <w:pPr>
        <w:tabs>
          <w:tab w:pos="8220" w:val="right" w:leader="dot"/>
        </w:tabs>
        <w:spacing w:line="360" w:lineRule="exact" w:after="40"/>
        <w:ind w:firstLine="0" w:left="240"/>
        <w:jc w:val="left"/>
      </w:pPr>
      <w:r>
        <w:rPr>
          <w:rFonts w:ascii="Times New Roman" w:hAnsi="Times New Roman" w:eastAsia="方正仿宋_GBK"/>
          <w:b w:val="0"/>
          <w:sz w:val="24"/>
        </w:rPr>
        <w:t>2.2 国内研究现状</w:t>
      </w:r>
      <w:r>
        <w:rPr>
          <w:rFonts w:ascii="Times New Roman" w:hAnsi="Times New Roman" w:eastAsia="方正仿宋_GBK"/>
          <w:b w:val="0"/>
          <w:sz w:val="24"/>
        </w:rPr>
        <w:tab/>
      </w:r>
      <w:fldSimple w:instr="PAGEREF h102 \h">
        <w:r>
          <w:t>15</w:t>
        </w:r>
      </w:fldSimple>
    </w:p>
    <w:p>
      <w:pPr>
        <w:tabs>
          <w:tab w:pos="8220" w:val="right" w:leader="dot"/>
        </w:tabs>
        <w:spacing w:line="360" w:lineRule="exact" w:after="40"/>
        <w:ind w:firstLine="0" w:left="240"/>
        <w:jc w:val="left"/>
      </w:pPr>
      <w:r>
        <w:rPr>
          <w:rFonts w:ascii="Times New Roman" w:hAnsi="Times New Roman" w:eastAsia="方正仿宋_GBK"/>
          <w:b w:val="0"/>
          <w:sz w:val="24"/>
        </w:rPr>
        <w:t>2.3 国内外研究对比与述评</w:t>
      </w:r>
      <w:r>
        <w:rPr>
          <w:rFonts w:ascii="Times New Roman" w:hAnsi="Times New Roman" w:eastAsia="方正仿宋_GBK"/>
          <w:b w:val="0"/>
          <w:sz w:val="24"/>
        </w:rPr>
        <w:tab/>
      </w:r>
      <w:fldSimple w:instr="PAGEREF h140 \h">
        <w:r>
          <w:t>20</w:t>
        </w:r>
      </w:fldSimple>
    </w:p>
    <w:p>
      <w:pPr>
        <w:tabs>
          <w:tab w:pos="8220" w:val="right" w:leader="dot"/>
        </w:tabs>
        <w:spacing w:line="360" w:lineRule="exact" w:after="40"/>
        <w:ind w:firstLine="0" w:left="240"/>
        <w:jc w:val="left"/>
      </w:pPr>
      <w:r>
        <w:rPr>
          <w:rFonts w:ascii="Times New Roman" w:hAnsi="Times New Roman" w:eastAsia="方正仿宋_GBK"/>
          <w:b w:val="0"/>
          <w:sz w:val="24"/>
        </w:rPr>
        <w:t>2.4 容载比与供电能力的理论联系</w:t>
      </w:r>
      <w:r>
        <w:rPr>
          <w:rFonts w:ascii="Times New Roman" w:hAnsi="Times New Roman" w:eastAsia="方正仿宋_GBK"/>
          <w:b w:val="0"/>
          <w:sz w:val="24"/>
        </w:rPr>
        <w:tab/>
      </w:r>
      <w:fldSimple w:instr="PAGEREF h154 \h">
        <w:r>
          <w:t>21</w:t>
        </w:r>
      </w:fldSimple>
    </w:p>
    <w:p>
      <w:pPr>
        <w:tabs>
          <w:tab w:pos="8220" w:val="right" w:leader="dot"/>
        </w:tabs>
        <w:spacing w:line="360" w:lineRule="exact" w:after="40"/>
        <w:ind w:firstLine="0" w:left="240"/>
        <w:jc w:val="left"/>
      </w:pPr>
      <w:r>
        <w:rPr>
          <w:rFonts w:ascii="Times New Roman" w:hAnsi="Times New Roman" w:eastAsia="方正仿宋_GBK"/>
          <w:b w:val="0"/>
          <w:sz w:val="24"/>
        </w:rPr>
        <w:t>2.5 高渗透率下的源荷特征与容量压力</w:t>
      </w:r>
      <w:r>
        <w:rPr>
          <w:rFonts w:ascii="Times New Roman" w:hAnsi="Times New Roman" w:eastAsia="方正仿宋_GBK"/>
          <w:b w:val="0"/>
          <w:sz w:val="24"/>
        </w:rPr>
        <w:tab/>
      </w:r>
      <w:fldSimple w:instr="PAGEREF h168 \h">
        <w:r>
          <w:t>22</w:t>
        </w:r>
      </w:fldSimple>
    </w:p>
    <w:p>
      <w:pPr>
        <w:tabs>
          <w:tab w:pos="8220" w:val="right" w:leader="dot"/>
        </w:tabs>
        <w:spacing w:line="360" w:lineRule="exact" w:after="40"/>
        <w:ind w:firstLine="0" w:left="240"/>
        <w:jc w:val="left"/>
      </w:pPr>
      <w:r>
        <w:rPr>
          <w:rFonts w:ascii="Times New Roman" w:hAnsi="Times New Roman" w:eastAsia="方正仿宋_GBK"/>
          <w:b w:val="0"/>
          <w:sz w:val="24"/>
        </w:rPr>
        <w:t>2.6 主变、联络与储能的经济替代条件</w:t>
      </w:r>
      <w:r>
        <w:rPr>
          <w:rFonts w:ascii="Times New Roman" w:hAnsi="Times New Roman" w:eastAsia="方正仿宋_GBK"/>
          <w:b w:val="0"/>
          <w:sz w:val="24"/>
        </w:rPr>
        <w:tab/>
      </w:r>
      <w:fldSimple w:instr="PAGEREF h185 \h">
        <w:r>
          <w:t>24</w:t>
        </w:r>
      </w:fldSimple>
    </w:p>
    <w:p>
      <w:pPr>
        <w:tabs>
          <w:tab w:pos="8220" w:val="right" w:leader="dot"/>
        </w:tabs>
        <w:spacing w:line="360" w:lineRule="exact" w:after="40"/>
        <w:ind w:firstLine="0" w:left="240"/>
        <w:jc w:val="left"/>
      </w:pPr>
      <w:r>
        <w:rPr>
          <w:rFonts w:ascii="Times New Roman" w:hAnsi="Times New Roman" w:eastAsia="方正仿宋_GBK"/>
          <w:b w:val="0"/>
          <w:sz w:val="24"/>
        </w:rPr>
        <w:t>2.7 规划寻优方法与本项目选型</w:t>
      </w:r>
      <w:r>
        <w:rPr>
          <w:rFonts w:ascii="Times New Roman" w:hAnsi="Times New Roman" w:eastAsia="方正仿宋_GBK"/>
          <w:b w:val="0"/>
          <w:sz w:val="24"/>
        </w:rPr>
        <w:tab/>
      </w:r>
      <w:fldSimple w:instr="PAGEREF h199 \h">
        <w:r>
          <w:t>25</w:t>
        </w:r>
      </w:fldSimple>
    </w:p>
    <w:p>
      <w:pPr>
        <w:tabs>
          <w:tab w:pos="8220" w:val="right" w:leader="dot"/>
        </w:tabs>
        <w:spacing w:line="360" w:lineRule="exact" w:after="40"/>
        <w:ind w:firstLine="0" w:left="240"/>
        <w:jc w:val="left"/>
      </w:pPr>
      <w:r>
        <w:rPr>
          <w:rFonts w:ascii="Times New Roman" w:hAnsi="Times New Roman" w:eastAsia="方正仿宋_GBK"/>
          <w:b w:val="0"/>
          <w:sz w:val="24"/>
        </w:rPr>
        <w:t>2.8 本项目方法选择与工程衔接</w:t>
      </w:r>
      <w:r>
        <w:rPr>
          <w:rFonts w:ascii="Times New Roman" w:hAnsi="Times New Roman" w:eastAsia="方正仿宋_GBK"/>
          <w:b w:val="0"/>
          <w:sz w:val="24"/>
        </w:rPr>
        <w:tab/>
      </w:r>
      <w:fldSimple w:instr="PAGEREF h212 \h">
        <w:r>
          <w:t>26</w:t>
        </w:r>
      </w:fldSimple>
    </w:p>
    <w:p>
      <w:pPr>
        <w:tabs>
          <w:tab w:pos="8220" w:val="right" w:leader="dot"/>
        </w:tabs>
        <w:spacing w:line="360" w:lineRule="exact" w:after="40"/>
        <w:ind w:firstLine="0" w:left="240"/>
        <w:jc w:val="left"/>
      </w:pPr>
      <w:r>
        <w:rPr>
          <w:rFonts w:ascii="Times New Roman" w:hAnsi="Times New Roman" w:eastAsia="方正仿宋_GBK"/>
          <w:b w:val="0"/>
          <w:sz w:val="24"/>
        </w:rPr>
        <w:t>2.9 本章小结</w:t>
      </w:r>
      <w:r>
        <w:rPr>
          <w:rFonts w:ascii="Times New Roman" w:hAnsi="Times New Roman" w:eastAsia="方正仿宋_GBK"/>
          <w:b w:val="0"/>
          <w:sz w:val="24"/>
        </w:rPr>
        <w:tab/>
      </w:r>
      <w:fldSimple w:instr="PAGEREF h235 \h">
        <w:r>
          <w:t>28</w:t>
        </w:r>
      </w:fldSimple>
    </w:p>
    <w:p>
      <w:pPr>
        <w:tabs>
          <w:tab w:pos="8220" w:val="right" w:leader="dot"/>
        </w:tabs>
        <w:spacing w:line="360" w:lineRule="exact" w:after="40"/>
        <w:ind w:firstLine="0" w:left="0"/>
        <w:jc w:val="left"/>
      </w:pPr>
      <w:r>
        <w:rPr>
          <w:rFonts w:ascii="Times New Roman" w:hAnsi="Times New Roman" w:eastAsia="方正仿宋_GBK"/>
          <w:b/>
          <w:sz w:val="24"/>
        </w:rPr>
        <w:t>第三章 徐州典型地区运行特征分析</w:t>
      </w:r>
      <w:r>
        <w:rPr>
          <w:rFonts w:ascii="Times New Roman" w:hAnsi="Times New Roman" w:eastAsia="方正仿宋_GBK"/>
          <w:b/>
          <w:sz w:val="24"/>
        </w:rPr>
        <w:tab/>
      </w:r>
      <w:fldSimple w:instr="PAGEREF h237 \h">
        <w:r>
          <w:t>29</w:t>
        </w:r>
      </w:fldSimple>
    </w:p>
    <w:p>
      <w:pPr>
        <w:tabs>
          <w:tab w:pos="8220" w:val="right" w:leader="dot"/>
        </w:tabs>
        <w:spacing w:line="360" w:lineRule="exact" w:after="40"/>
        <w:ind w:firstLine="0" w:left="240"/>
        <w:jc w:val="left"/>
      </w:pPr>
      <w:r>
        <w:rPr>
          <w:rFonts w:ascii="Times New Roman" w:hAnsi="Times New Roman" w:eastAsia="方正仿宋_GBK"/>
          <w:b w:val="0"/>
          <w:sz w:val="24"/>
        </w:rPr>
        <w:t>3.1 研究地区与原始资料</w:t>
      </w:r>
      <w:r>
        <w:rPr>
          <w:rFonts w:ascii="Times New Roman" w:hAnsi="Times New Roman" w:eastAsia="方正仿宋_GBK"/>
          <w:b w:val="0"/>
          <w:sz w:val="24"/>
        </w:rPr>
        <w:tab/>
      </w:r>
      <w:fldSimple w:instr="PAGEREF h238 \h">
        <w:r>
          <w:t>29</w:t>
        </w:r>
      </w:fldSimple>
    </w:p>
    <w:p>
      <w:pPr>
        <w:tabs>
          <w:tab w:pos="8220" w:val="right" w:leader="dot"/>
        </w:tabs>
        <w:spacing w:line="360" w:lineRule="exact" w:after="40"/>
        <w:ind w:firstLine="0" w:left="240"/>
        <w:jc w:val="left"/>
      </w:pPr>
      <w:r>
        <w:rPr>
          <w:rFonts w:ascii="Times New Roman" w:hAnsi="Times New Roman" w:eastAsia="方正仿宋_GBK"/>
          <w:b w:val="0"/>
          <w:sz w:val="24"/>
        </w:rPr>
        <w:t>3.2 年度容量、负荷与增长特征</w:t>
      </w:r>
      <w:r>
        <w:rPr>
          <w:rFonts w:ascii="Times New Roman" w:hAnsi="Times New Roman" w:eastAsia="方正仿宋_GBK"/>
          <w:b w:val="0"/>
          <w:sz w:val="24"/>
        </w:rPr>
        <w:tab/>
      </w:r>
      <w:fldSimple w:instr="PAGEREF h248 \h">
        <w:r>
          <w:t>29</w:t>
        </w:r>
      </w:fldSimple>
    </w:p>
    <w:p>
      <w:pPr>
        <w:tabs>
          <w:tab w:pos="8220" w:val="right" w:leader="dot"/>
        </w:tabs>
        <w:spacing w:line="360" w:lineRule="exact" w:after="40"/>
        <w:ind w:firstLine="0" w:left="240"/>
        <w:jc w:val="left"/>
      </w:pPr>
      <w:r>
        <w:rPr>
          <w:rFonts w:ascii="Times New Roman" w:hAnsi="Times New Roman" w:eastAsia="方正仿宋_GBK"/>
          <w:b w:val="0"/>
          <w:sz w:val="24"/>
        </w:rPr>
        <w:t>3.3 分布式光伏装机与电量</w:t>
      </w:r>
      <w:r>
        <w:rPr>
          <w:rFonts w:ascii="Times New Roman" w:hAnsi="Times New Roman" w:eastAsia="方正仿宋_GBK"/>
          <w:b w:val="0"/>
          <w:sz w:val="24"/>
        </w:rPr>
        <w:tab/>
      </w:r>
      <w:fldSimple w:instr="PAGEREF h266 \h">
        <w:r>
          <w:t>32</w:t>
        </w:r>
      </w:fldSimple>
    </w:p>
    <w:p>
      <w:pPr>
        <w:tabs>
          <w:tab w:pos="8220" w:val="right" w:leader="dot"/>
        </w:tabs>
        <w:spacing w:line="360" w:lineRule="exact" w:after="40"/>
        <w:ind w:firstLine="0" w:left="240"/>
        <w:jc w:val="left"/>
      </w:pPr>
      <w:r>
        <w:rPr>
          <w:rFonts w:ascii="Times New Roman" w:hAnsi="Times New Roman" w:eastAsia="方正仿宋_GBK"/>
          <w:b w:val="0"/>
          <w:sz w:val="24"/>
        </w:rPr>
        <w:t>3.4 主变负载率与双向净负荷</w:t>
      </w:r>
      <w:r>
        <w:rPr>
          <w:rFonts w:ascii="Times New Roman" w:hAnsi="Times New Roman" w:eastAsia="方正仿宋_GBK"/>
          <w:b w:val="0"/>
          <w:sz w:val="24"/>
        </w:rPr>
        <w:tab/>
      </w:r>
      <w:fldSimple w:instr="PAGEREF h288 \h">
        <w:r>
          <w:t>34</w:t>
        </w:r>
      </w:fldSimple>
    </w:p>
    <w:p>
      <w:pPr>
        <w:tabs>
          <w:tab w:pos="8220" w:val="right" w:leader="dot"/>
        </w:tabs>
        <w:spacing w:line="360" w:lineRule="exact" w:after="40"/>
        <w:ind w:firstLine="0" w:left="240"/>
        <w:jc w:val="left"/>
      </w:pPr>
      <w:r>
        <w:rPr>
          <w:rFonts w:ascii="Times New Roman" w:hAnsi="Times New Roman" w:eastAsia="方正仿宋_GBK"/>
          <w:b w:val="0"/>
          <w:sz w:val="24"/>
        </w:rPr>
        <w:t>3.5 源荷与容量指标的关联分析</w:t>
      </w:r>
      <w:r>
        <w:rPr>
          <w:rFonts w:ascii="Times New Roman" w:hAnsi="Times New Roman" w:eastAsia="方正仿宋_GBK"/>
          <w:b w:val="0"/>
          <w:sz w:val="24"/>
        </w:rPr>
        <w:tab/>
      </w:r>
      <w:fldSimple w:instr="PAGEREF h313 \h">
        <w:r>
          <w:t>38</w:t>
        </w:r>
      </w:fldSimple>
    </w:p>
    <w:p>
      <w:pPr>
        <w:tabs>
          <w:tab w:pos="8220" w:val="right" w:leader="dot"/>
        </w:tabs>
        <w:spacing w:line="360" w:lineRule="exact" w:after="40"/>
        <w:ind w:firstLine="0" w:left="240"/>
        <w:jc w:val="left"/>
      </w:pPr>
      <w:r>
        <w:rPr>
          <w:rFonts w:ascii="Times New Roman" w:hAnsi="Times New Roman" w:eastAsia="方正仿宋_GBK"/>
          <w:b w:val="0"/>
          <w:sz w:val="24"/>
        </w:rPr>
        <w:t>3.6 10 kV负荷转接资料与仿真条件</w:t>
      </w:r>
      <w:r>
        <w:rPr>
          <w:rFonts w:ascii="Times New Roman" w:hAnsi="Times New Roman" w:eastAsia="方正仿宋_GBK"/>
          <w:b w:val="0"/>
          <w:sz w:val="24"/>
        </w:rPr>
        <w:tab/>
      </w:r>
      <w:fldSimple w:instr="PAGEREF h347 \h">
        <w:r>
          <w:t>44</w:t>
        </w:r>
      </w:fldSimple>
    </w:p>
    <w:p>
      <w:pPr>
        <w:tabs>
          <w:tab w:pos="8220" w:val="right" w:leader="dot"/>
        </w:tabs>
        <w:spacing w:line="360" w:lineRule="exact" w:after="40"/>
        <w:ind w:firstLine="0" w:left="240"/>
        <w:jc w:val="left"/>
      </w:pPr>
      <w:r>
        <w:rPr>
          <w:rFonts w:ascii="Times New Roman" w:hAnsi="Times New Roman" w:eastAsia="方正仿宋_GBK"/>
          <w:b w:val="0"/>
          <w:sz w:val="24"/>
        </w:rPr>
        <w:t>3.7 站级净负荷分布与配置需求</w:t>
      </w:r>
      <w:r>
        <w:rPr>
          <w:rFonts w:ascii="Times New Roman" w:hAnsi="Times New Roman" w:eastAsia="方正仿宋_GBK"/>
          <w:b w:val="0"/>
          <w:sz w:val="24"/>
        </w:rPr>
        <w:tab/>
      </w:r>
      <w:fldSimple w:instr="PAGEREF h357 \h">
        <w:r>
          <w:t>45</w:t>
        </w:r>
      </w:fldSimple>
    </w:p>
    <w:p>
      <w:pPr>
        <w:tabs>
          <w:tab w:pos="8220" w:val="right" w:leader="dot"/>
        </w:tabs>
        <w:spacing w:line="360" w:lineRule="exact" w:after="40"/>
        <w:ind w:firstLine="0" w:left="240"/>
        <w:jc w:val="left"/>
      </w:pPr>
      <w:r>
        <w:rPr>
          <w:rFonts w:ascii="Times New Roman" w:hAnsi="Times New Roman" w:eastAsia="方正仿宋_GBK"/>
          <w:b w:val="0"/>
          <w:sz w:val="24"/>
        </w:rPr>
        <w:t>3.8 运行特征的综合分析</w:t>
      </w:r>
      <w:r>
        <w:rPr>
          <w:rFonts w:ascii="Times New Roman" w:hAnsi="Times New Roman" w:eastAsia="方正仿宋_GBK"/>
          <w:b w:val="0"/>
          <w:sz w:val="24"/>
        </w:rPr>
        <w:tab/>
      </w:r>
      <w:fldSimple w:instr="PAGEREF h377 \h">
        <w:r>
          <w:t>48</w:t>
        </w:r>
      </w:fldSimple>
    </w:p>
    <w:p>
      <w:pPr>
        <w:tabs>
          <w:tab w:pos="8220" w:val="right" w:leader="dot"/>
        </w:tabs>
        <w:spacing w:line="360" w:lineRule="exact" w:after="40"/>
        <w:ind w:firstLine="0" w:left="0"/>
        <w:jc w:val="left"/>
      </w:pPr>
      <w:r>
        <w:rPr>
          <w:rFonts w:ascii="Times New Roman" w:hAnsi="Times New Roman" w:eastAsia="方正仿宋_GBK"/>
          <w:b/>
          <w:sz w:val="24"/>
        </w:rPr>
        <w:t>第四章 基于实际工程的建设成本模型</w:t>
      </w:r>
      <w:r>
        <w:rPr>
          <w:rFonts w:ascii="Times New Roman" w:hAnsi="Times New Roman" w:eastAsia="方正仿宋_GBK"/>
          <w:b/>
          <w:sz w:val="24"/>
        </w:rPr>
        <w:tab/>
      </w:r>
      <w:fldSimple w:instr="PAGEREF h399 \h">
        <w:r>
          <w:t>52</w:t>
        </w:r>
      </w:fldSimple>
    </w:p>
    <w:p>
      <w:pPr>
        <w:tabs>
          <w:tab w:pos="8220" w:val="right" w:leader="dot"/>
        </w:tabs>
        <w:spacing w:line="360" w:lineRule="exact" w:after="40"/>
        <w:ind w:firstLine="0" w:left="240"/>
        <w:jc w:val="left"/>
      </w:pPr>
      <w:r>
        <w:rPr>
          <w:rFonts w:ascii="Times New Roman" w:hAnsi="Times New Roman" w:eastAsia="方正仿宋_GBK"/>
          <w:b w:val="0"/>
          <w:sz w:val="24"/>
        </w:rPr>
        <w:t>4.1 成本模型的范围与建立原则</w:t>
      </w:r>
      <w:r>
        <w:rPr>
          <w:rFonts w:ascii="Times New Roman" w:hAnsi="Times New Roman" w:eastAsia="方正仿宋_GBK"/>
          <w:b w:val="0"/>
          <w:sz w:val="24"/>
        </w:rPr>
        <w:tab/>
      </w:r>
      <w:fldSimple w:instr="PAGEREF h400 \h">
        <w:r>
          <w:t>52</w:t>
        </w:r>
      </w:fldSimple>
    </w:p>
    <w:p>
      <w:pPr>
        <w:tabs>
          <w:tab w:pos="8220" w:val="right" w:leader="dot"/>
        </w:tabs>
        <w:spacing w:line="360" w:lineRule="exact" w:after="40"/>
        <w:ind w:firstLine="0" w:left="240"/>
        <w:jc w:val="left"/>
      </w:pPr>
      <w:r>
        <w:rPr>
          <w:rFonts w:ascii="Times New Roman" w:hAnsi="Times New Roman" w:eastAsia="方正仿宋_GBK"/>
          <w:b w:val="0"/>
          <w:sz w:val="24"/>
        </w:rPr>
        <w:t>4.2 主变工程成本系数</w:t>
      </w:r>
      <w:r>
        <w:rPr>
          <w:rFonts w:ascii="Times New Roman" w:hAnsi="Times New Roman" w:eastAsia="方正仿宋_GBK"/>
          <w:b w:val="0"/>
          <w:sz w:val="24"/>
        </w:rPr>
        <w:tab/>
      </w:r>
      <w:fldSimple w:instr="PAGEREF h412 \h">
        <w:r>
          <w:t>53</w:t>
        </w:r>
      </w:fldSimple>
    </w:p>
    <w:p>
      <w:pPr>
        <w:tabs>
          <w:tab w:pos="8220" w:val="right" w:leader="dot"/>
        </w:tabs>
        <w:spacing w:line="360" w:lineRule="exact" w:after="40"/>
        <w:ind w:firstLine="0" w:left="240"/>
        <w:jc w:val="left"/>
      </w:pPr>
      <w:r>
        <w:rPr>
          <w:rFonts w:ascii="Times New Roman" w:hAnsi="Times New Roman" w:eastAsia="方正仿宋_GBK"/>
          <w:b w:val="0"/>
          <w:sz w:val="24"/>
        </w:rPr>
        <w:t>4.3 10 kV联络工程费用</w:t>
      </w:r>
      <w:r>
        <w:rPr>
          <w:rFonts w:ascii="Times New Roman" w:hAnsi="Times New Roman" w:eastAsia="方正仿宋_GBK"/>
          <w:b w:val="0"/>
          <w:sz w:val="24"/>
        </w:rPr>
        <w:tab/>
      </w:r>
      <w:fldSimple w:instr="PAGEREF h431 \h">
        <w:r>
          <w:t>54</w:t>
        </w:r>
      </w:fldSimple>
    </w:p>
    <w:p>
      <w:pPr>
        <w:tabs>
          <w:tab w:pos="8220" w:val="right" w:leader="dot"/>
        </w:tabs>
        <w:spacing w:line="360" w:lineRule="exact" w:after="40"/>
        <w:ind w:firstLine="0" w:left="240"/>
        <w:jc w:val="left"/>
      </w:pPr>
      <w:r>
        <w:rPr>
          <w:rFonts w:ascii="Times New Roman" w:hAnsi="Times New Roman" w:eastAsia="方正仿宋_GBK"/>
          <w:b w:val="0"/>
          <w:sz w:val="24"/>
        </w:rPr>
        <w:t>4.4 储能投资模型</w:t>
      </w:r>
      <w:r>
        <w:rPr>
          <w:rFonts w:ascii="Times New Roman" w:hAnsi="Times New Roman" w:eastAsia="方正仿宋_GBK"/>
          <w:b w:val="0"/>
          <w:sz w:val="24"/>
        </w:rPr>
        <w:tab/>
      </w:r>
      <w:fldSimple w:instr="PAGEREF h442 \h">
        <w:r>
          <w:t>55</w:t>
        </w:r>
      </w:fldSimple>
    </w:p>
    <w:p>
      <w:pPr>
        <w:tabs>
          <w:tab w:pos="8220" w:val="right" w:leader="dot"/>
        </w:tabs>
        <w:spacing w:line="360" w:lineRule="exact" w:after="40"/>
        <w:ind w:firstLine="0" w:left="240"/>
        <w:jc w:val="left"/>
      </w:pPr>
      <w:r>
        <w:rPr>
          <w:rFonts w:ascii="Times New Roman" w:hAnsi="Times New Roman" w:eastAsia="方正仿宋_GBK"/>
          <w:b w:val="0"/>
          <w:sz w:val="24"/>
        </w:rPr>
        <w:t>4.5 单位功率投资比及价格影响分析</w:t>
      </w:r>
      <w:r>
        <w:rPr>
          <w:rFonts w:ascii="Times New Roman" w:hAnsi="Times New Roman" w:eastAsia="方正仿宋_GBK"/>
          <w:b w:val="0"/>
          <w:sz w:val="24"/>
        </w:rPr>
        <w:tab/>
      </w:r>
      <w:fldSimple w:instr="PAGEREF h459 \h">
        <w:r>
          <w:t>57</w:t>
        </w:r>
      </w:fldSimple>
    </w:p>
    <w:p>
      <w:pPr>
        <w:tabs>
          <w:tab w:pos="8220" w:val="right" w:leader="dot"/>
        </w:tabs>
        <w:spacing w:line="360" w:lineRule="exact" w:after="40"/>
        <w:ind w:firstLine="0" w:left="240"/>
        <w:jc w:val="left"/>
      </w:pPr>
      <w:r>
        <w:rPr>
          <w:rFonts w:ascii="Times New Roman" w:hAnsi="Times New Roman" w:eastAsia="方正仿宋_GBK"/>
          <w:b w:val="0"/>
          <w:sz w:val="24"/>
        </w:rPr>
        <w:t>4.6 现金流现值计算</w:t>
      </w:r>
      <w:r>
        <w:rPr>
          <w:rFonts w:ascii="Times New Roman" w:hAnsi="Times New Roman" w:eastAsia="方正仿宋_GBK"/>
          <w:b w:val="0"/>
          <w:sz w:val="24"/>
        </w:rPr>
        <w:tab/>
      </w:r>
      <w:fldSimple w:instr="PAGEREF h477 \h">
        <w:r>
          <w:t>59</w:t>
        </w:r>
      </w:fldSimple>
    </w:p>
    <w:p>
      <w:pPr>
        <w:tabs>
          <w:tab w:pos="8220" w:val="right" w:leader="dot"/>
        </w:tabs>
        <w:spacing w:line="360" w:lineRule="exact" w:after="40"/>
        <w:ind w:firstLine="0" w:left="0"/>
        <w:jc w:val="left"/>
      </w:pPr>
      <w:r>
        <w:rPr>
          <w:rFonts w:ascii="Times New Roman" w:hAnsi="Times New Roman" w:eastAsia="方正仿宋_GBK"/>
          <w:b/>
          <w:sz w:val="24"/>
        </w:rPr>
        <w:t>第五章 “一片一策”弹性容载比规划建议</w:t>
      </w:r>
      <w:r>
        <w:rPr>
          <w:rFonts w:ascii="Times New Roman" w:hAnsi="Times New Roman" w:eastAsia="方正仿宋_GBK"/>
          <w:b/>
          <w:sz w:val="24"/>
        </w:rPr>
        <w:tab/>
      </w:r>
      <w:fldSimple w:instr="PAGEREF h514 \h">
        <w:r>
          <w:t>63</w:t>
        </w:r>
      </w:fldSimple>
    </w:p>
    <w:p>
      <w:pPr>
        <w:tabs>
          <w:tab w:pos="8220" w:val="right" w:leader="dot"/>
        </w:tabs>
        <w:spacing w:line="360" w:lineRule="exact" w:after="40"/>
        <w:ind w:firstLine="0" w:left="240"/>
        <w:jc w:val="left"/>
      </w:pPr>
      <w:r>
        <w:rPr>
          <w:rFonts w:ascii="Times New Roman" w:hAnsi="Times New Roman" w:eastAsia="方正仿宋_GBK"/>
          <w:b w:val="0"/>
          <w:sz w:val="24"/>
        </w:rPr>
        <w:t>5.1 寻优问题与共同起点</w:t>
      </w:r>
      <w:r>
        <w:rPr>
          <w:rFonts w:ascii="Times New Roman" w:hAnsi="Times New Roman" w:eastAsia="方正仿宋_GBK"/>
          <w:b w:val="0"/>
          <w:sz w:val="24"/>
        </w:rPr>
        <w:tab/>
      </w:r>
      <w:fldSimple w:instr="PAGEREF h516 \h">
        <w:r>
          <w:t>63</w:t>
        </w:r>
      </w:fldSimple>
    </w:p>
    <w:p>
      <w:pPr>
        <w:tabs>
          <w:tab w:pos="8220" w:val="right" w:leader="dot"/>
        </w:tabs>
        <w:spacing w:line="360" w:lineRule="exact" w:after="40"/>
        <w:ind w:firstLine="0" w:left="240"/>
        <w:jc w:val="left"/>
      </w:pPr>
      <w:r>
        <w:rPr>
          <w:rFonts w:ascii="Times New Roman" w:hAnsi="Times New Roman" w:eastAsia="方正仿宋_GBK"/>
          <w:b w:val="0"/>
          <w:sz w:val="24"/>
        </w:rPr>
        <w:t>5.2 三类措施的选取与寻优方法</w:t>
      </w:r>
      <w:r>
        <w:rPr>
          <w:rFonts w:ascii="Times New Roman" w:hAnsi="Times New Roman" w:eastAsia="方正仿宋_GBK"/>
          <w:b w:val="0"/>
          <w:sz w:val="24"/>
        </w:rPr>
        <w:tab/>
      </w:r>
      <w:fldSimple w:instr="PAGEREF h545 \h">
        <w:r>
          <w:t>67</w:t>
        </w:r>
      </w:fldSimple>
    </w:p>
    <w:p>
      <w:pPr>
        <w:tabs>
          <w:tab w:pos="8220" w:val="right" w:leader="dot"/>
        </w:tabs>
        <w:spacing w:line="360" w:lineRule="exact" w:after="40"/>
        <w:ind w:firstLine="0" w:left="240"/>
        <w:jc w:val="left"/>
      </w:pPr>
      <w:r>
        <w:rPr>
          <w:rFonts w:ascii="Times New Roman" w:hAnsi="Times New Roman" w:eastAsia="方正仿宋_GBK"/>
          <w:b w:val="0"/>
          <w:sz w:val="24"/>
        </w:rPr>
        <w:t>5.3 约束条件与求解流程</w:t>
      </w:r>
      <w:r>
        <w:rPr>
          <w:rFonts w:ascii="Times New Roman" w:hAnsi="Times New Roman" w:eastAsia="方正仿宋_GBK"/>
          <w:b w:val="0"/>
          <w:sz w:val="24"/>
        </w:rPr>
        <w:tab/>
      </w:r>
      <w:fldSimple w:instr="PAGEREF h570 \h">
        <w:r>
          <w:t>70</w:t>
        </w:r>
      </w:fldSimple>
    </w:p>
    <w:p>
      <w:pPr>
        <w:tabs>
          <w:tab w:pos="8220" w:val="right" w:leader="dot"/>
        </w:tabs>
        <w:spacing w:line="360" w:lineRule="exact" w:after="40"/>
        <w:ind w:firstLine="0" w:left="240"/>
        <w:jc w:val="left"/>
      </w:pPr>
      <w:r>
        <w:rPr>
          <w:rFonts w:ascii="Times New Roman" w:hAnsi="Times New Roman" w:eastAsia="方正仿宋_GBK"/>
          <w:b w:val="0"/>
          <w:sz w:val="24"/>
        </w:rPr>
        <w:t>5.4 寻优结果</w:t>
      </w:r>
      <w:r>
        <w:rPr>
          <w:rFonts w:ascii="Times New Roman" w:hAnsi="Times New Roman" w:eastAsia="方正仿宋_GBK"/>
          <w:b w:val="0"/>
          <w:sz w:val="24"/>
        </w:rPr>
        <w:tab/>
      </w:r>
      <w:fldSimple w:instr="PAGEREF h587 \h">
        <w:r>
          <w:t>72</w:t>
        </w:r>
      </w:fldSimple>
    </w:p>
    <w:p>
      <w:pPr>
        <w:tabs>
          <w:tab w:pos="8220" w:val="right" w:leader="dot"/>
        </w:tabs>
        <w:spacing w:line="360" w:lineRule="exact" w:after="40"/>
        <w:ind w:firstLine="0" w:left="240"/>
        <w:jc w:val="left"/>
      </w:pPr>
      <w:r>
        <w:rPr>
          <w:rFonts w:ascii="Times New Roman" w:hAnsi="Times New Roman" w:eastAsia="方正仿宋_GBK"/>
          <w:b w:val="0"/>
          <w:sz w:val="24"/>
        </w:rPr>
        <w:t>5.5 措施作用与工程衔接</w:t>
      </w:r>
      <w:r>
        <w:rPr>
          <w:rFonts w:ascii="Times New Roman" w:hAnsi="Times New Roman" w:eastAsia="方正仿宋_GBK"/>
          <w:b w:val="0"/>
          <w:sz w:val="24"/>
        </w:rPr>
        <w:tab/>
      </w:r>
      <w:fldSimple w:instr="PAGEREF h873 \h">
        <w:r>
          <w:t>103</w:t>
        </w:r>
      </w:fldSimple>
    </w:p>
    <w:p>
      <w:pPr>
        <w:tabs>
          <w:tab w:pos="8220" w:val="right" w:leader="dot"/>
        </w:tabs>
        <w:spacing w:line="360" w:lineRule="exact" w:after="40"/>
        <w:ind w:firstLine="0" w:left="240"/>
        <w:jc w:val="left"/>
      </w:pPr>
      <w:r>
        <w:rPr>
          <w:rFonts w:ascii="Times New Roman" w:hAnsi="Times New Roman" w:eastAsia="方正仿宋_GBK"/>
          <w:b w:val="0"/>
          <w:sz w:val="24"/>
        </w:rPr>
        <w:t>5.6 参数拓展与通用推荐矩阵</w:t>
      </w:r>
      <w:r>
        <w:rPr>
          <w:rFonts w:ascii="Times New Roman" w:hAnsi="Times New Roman" w:eastAsia="方正仿宋_GBK"/>
          <w:b w:val="0"/>
          <w:sz w:val="24"/>
        </w:rPr>
        <w:tab/>
      </w:r>
      <w:fldSimple w:instr="PAGEREF h888 \h">
        <w:r>
          <w:t>105</w:t>
        </w:r>
      </w:fldSimple>
    </w:p>
    <w:p>
      <w:pPr>
        <w:tabs>
          <w:tab w:pos="8220" w:val="right" w:leader="dot"/>
        </w:tabs>
        <w:spacing w:line="360" w:lineRule="exact" w:after="40"/>
        <w:ind w:firstLine="0" w:left="240"/>
        <w:jc w:val="left"/>
      </w:pPr>
      <w:r>
        <w:rPr>
          <w:rFonts w:ascii="Times New Roman" w:hAnsi="Times New Roman" w:eastAsia="方正仿宋_GBK"/>
          <w:b w:val="0"/>
          <w:sz w:val="24"/>
        </w:rPr>
        <w:t>5.7 规划建议</w:t>
      </w:r>
      <w:r>
        <w:rPr>
          <w:rFonts w:ascii="Times New Roman" w:hAnsi="Times New Roman" w:eastAsia="方正仿宋_GBK"/>
          <w:b w:val="0"/>
          <w:sz w:val="24"/>
        </w:rPr>
        <w:tab/>
      </w:r>
      <w:fldSimple w:instr="PAGEREF h1082 \h">
        <w:r>
          <w:t>135</w:t>
        </w:r>
      </w:fldSimple>
    </w:p>
    <w:p>
      <w:pPr>
        <w:tabs>
          <w:tab w:pos="8220" w:val="right" w:leader="dot"/>
        </w:tabs>
        <w:spacing w:line="360" w:lineRule="exact" w:after="40"/>
        <w:ind w:firstLine="0" w:left="0"/>
        <w:jc w:val="left"/>
      </w:pPr>
      <w:r>
        <w:rPr>
          <w:rFonts w:ascii="Times New Roman" w:hAnsi="Times New Roman" w:eastAsia="方正仿宋_GBK"/>
          <w:b/>
          <w:sz w:val="24"/>
        </w:rPr>
        <w:t>第六章 结论与建议</w:t>
      </w:r>
      <w:r>
        <w:rPr>
          <w:rFonts w:ascii="Times New Roman" w:hAnsi="Times New Roman" w:eastAsia="方正仿宋_GBK"/>
          <w:b/>
          <w:sz w:val="24"/>
        </w:rPr>
        <w:tab/>
      </w:r>
      <w:fldSimple w:instr="PAGEREF h1105 \h">
        <w:r>
          <w:t>138</w:t>
        </w:r>
      </w:fldSimple>
    </w:p>
    <w:p>
      <w:pPr>
        <w:tabs>
          <w:tab w:pos="8220" w:val="right" w:leader="dot"/>
        </w:tabs>
        <w:spacing w:line="360" w:lineRule="exact" w:after="40"/>
        <w:ind w:firstLine="0" w:left="240"/>
        <w:jc w:val="left"/>
      </w:pPr>
      <w:r>
        <w:rPr>
          <w:rFonts w:ascii="Times New Roman" w:hAnsi="Times New Roman" w:eastAsia="方正仿宋_GBK"/>
          <w:b w:val="0"/>
          <w:sz w:val="24"/>
        </w:rPr>
        <w:t>6.1 主要研究结论</w:t>
      </w:r>
      <w:r>
        <w:rPr>
          <w:rFonts w:ascii="Times New Roman" w:hAnsi="Times New Roman" w:eastAsia="方正仿宋_GBK"/>
          <w:b w:val="0"/>
          <w:sz w:val="24"/>
        </w:rPr>
        <w:tab/>
      </w:r>
      <w:fldSimple w:instr="PAGEREF h1107 \h">
        <w:r>
          <w:t>138</w:t>
        </w:r>
      </w:fldSimple>
    </w:p>
    <w:p>
      <w:pPr>
        <w:tabs>
          <w:tab w:pos="8220" w:val="right" w:leader="dot"/>
        </w:tabs>
        <w:spacing w:line="360" w:lineRule="exact" w:after="40"/>
        <w:ind w:firstLine="0" w:left="240"/>
        <w:jc w:val="left"/>
      </w:pPr>
      <w:r>
        <w:rPr>
          <w:rFonts w:ascii="Times New Roman" w:hAnsi="Times New Roman" w:eastAsia="方正仿宋_GBK"/>
          <w:b w:val="0"/>
          <w:sz w:val="24"/>
        </w:rPr>
        <w:t>6.2 规划应用建议</w:t>
      </w:r>
      <w:r>
        <w:rPr>
          <w:rFonts w:ascii="Times New Roman" w:hAnsi="Times New Roman" w:eastAsia="方正仿宋_GBK"/>
          <w:b w:val="0"/>
          <w:sz w:val="24"/>
        </w:rPr>
        <w:tab/>
      </w:r>
      <w:fldSimple w:instr="PAGEREF h1120 \h">
        <w:r>
          <w:t>139</w:t>
        </w:r>
      </w:fldSimple>
    </w:p>
    <w:p>
      <w:pPr>
        <w:tabs>
          <w:tab w:pos="8220" w:val="right" w:leader="dot"/>
        </w:tabs>
        <w:spacing w:line="360" w:lineRule="exact" w:after="40"/>
        <w:ind w:firstLine="0" w:left="240"/>
        <w:jc w:val="left"/>
      </w:pPr>
      <w:r>
        <w:rPr>
          <w:rFonts w:ascii="Times New Roman" w:hAnsi="Times New Roman" w:eastAsia="方正仿宋_GBK"/>
          <w:b w:val="0"/>
          <w:sz w:val="24"/>
        </w:rPr>
        <w:t>6.3 后续研究方向</w:t>
      </w:r>
      <w:r>
        <w:rPr>
          <w:rFonts w:ascii="Times New Roman" w:hAnsi="Times New Roman" w:eastAsia="方正仿宋_GBK"/>
          <w:b w:val="0"/>
          <w:sz w:val="24"/>
        </w:rPr>
        <w:tab/>
      </w:r>
      <w:fldSimple w:instr="PAGEREF h1130 \h">
        <w:r>
          <w:t>140</w:t>
        </w:r>
      </w:fldSimple>
    </w:p>
    <w:p>
      <w:pPr>
        <w:tabs>
          <w:tab w:pos="8220" w:val="right" w:leader="dot"/>
        </w:tabs>
        <w:spacing w:line="360" w:lineRule="exact" w:after="40"/>
        <w:ind w:firstLine="0" w:left="0"/>
        <w:jc w:val="left"/>
      </w:pPr>
      <w:r>
        <w:rPr>
          <w:rFonts w:ascii="Times New Roman" w:hAnsi="Times New Roman" w:eastAsia="方正仿宋_GBK"/>
          <w:b/>
          <w:sz w:val="24"/>
        </w:rPr>
        <w:t>参考文献</w:t>
      </w:r>
      <w:r>
        <w:rPr>
          <w:rFonts w:ascii="Times New Roman" w:hAnsi="Times New Roman" w:eastAsia="方正仿宋_GBK"/>
          <w:b/>
          <w:sz w:val="24"/>
        </w:rPr>
        <w:tab/>
      </w:r>
      <w:fldSimple w:instr="PAGEREF h1135 \h">
        <w:r>
          <w:t>141</w:t>
        </w:r>
      </w:fldSimple>
    </w:p>
    <w:p>
      <w:bookmarkStart w:id="1000" w:name="h0"/>
      <w:pPr>
        <w:pStyle w:val="3"/>
        <w:keepNext/>
        <w:pageBreakBefore/>
        <w:numPr>
          <w:numId w:val="0"/>
        </w:numPr>
        <w:spacing w:line="540" w:lineRule="exact" w:before="0" w:after="120"/>
        <w:ind w:firstLine="0"/>
      </w:pPr>
      <w:bookmarkStart w:id="20" w:name="第一章-绪论"/>
      <w:r>
        <w:rPr>
          <w:rFonts w:ascii="Times New Roman" w:hAnsi="Times New Roman" w:eastAsia="方正仿宋_GBK"/>
          <w:b/>
          <w:sz w:val="36"/>
        </w:rPr>
        <w:t xml:space="preserve">第一章 绪论</w:t>
      </w:r>
      <w:bookmarkEnd w:id="20"/>
      <w:bookmarkEnd w:id="1000"/>
    </w:p>
    <w:p>
      <w:bookmarkStart w:id="1001" w:name="h1"/>
      <w:pPr>
        <w:pStyle w:val="4"/>
        <w:keepNext/>
        <w:numPr>
          <w:numId w:val="0"/>
        </w:numPr>
        <w:spacing w:line="480" w:lineRule="exact" w:before="160" w:after="120"/>
        <w:ind w:firstLine="0"/>
      </w:pPr>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设备退出后的供电需求。</w:t>
      </w:r>
    </w:p>
    <w:p>
      <w:pPr>
        <w:pStyle w:val="2"/>
        <w:widowControl/>
        <w:spacing w:line="348" w:lineRule="exact"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徐州地区的邳州市和徐州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避免仅凭一个年度比值安排投资。对于光伏集中发展的县域，正午反送与晚间受电可能分别决定不同设备的运行边界；对于负荷密集的市区，用户连续供电要求和局部重载站的供电安全容量可能更早成为制约。</w:t>
      </w:r>
    </w:p>
    <w:p>
      <w:pPr>
        <w:pStyle w:val="2"/>
        <w:widowControl/>
        <w:spacing w:line="348" w:lineRule="exact"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分布式电源电量渗透率、分布式电源装机渗透率以及主变年最大负载率，分别描述电量、装机规模和设备压力。报告因此将分布式电源装机渗透率与分布式电源电量渗透率作为区域源荷背景，将净负荷最大绝对值及95%峰值持续时间用于设备容量压力分析。</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《配电网规划设计技术导则（修订稿，2025年4月）》引入分布式电源装机渗透率（源荷比）和分布式电源电量渗透率，提出源荷比超过2.00，或分布式电源电量渗透率超过40.00%～50.00%时，以110～35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40.28%和8.69%。按上述电量估计，邳州已达到开展反向容量校核的参考水平。市区样本容量配置更多受正向供电及主变N-1条件影响。两地区适合用于分析新能源渗透指标与传统容载比之间的联系。</w:t>
      </w:r>
    </w:p>
    <w:p>
      <w:pPr>
        <w:pStyle w:val="2"/>
        <w:widowControl/>
        <w:spacing w:line="348" w:lineRule="exact" w:before="0" w:after="0"/>
        <w:ind w:firstLine="480"/>
        <w:jc w:val="both"/>
      </w:pPr>
      <w:r>
        <w:rPr>
          <w:rFonts w:ascii="Times New Roman" w:hAnsi="Times New Roman" w:eastAsia="方正仿宋_GBK"/>
          <w:b w:val="0"/>
          <w:sz w:val="24"/>
        </w:rPr>
        <w:t xml:space="preserve">本课题围绕这些规划问题开展研究。在相同负荷预测、设备初态和技术约束下，比较容载比按2.00上限控制与允许适度提高时的容量配置及评价期费用，分析源荷水平、负荷增长和峰段特征对结果的影响，提出分片区的弹性指标及其适用条件，为110 kV电网规划和工程比选提供依据。</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95%峰值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这并不意味着当年新增了容量。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bookmarkStart w:id="1019" w:name="h19"/>
      <w:pPr>
        <w:pStyle w:val="4"/>
        <w:keepNext/>
        <w:numPr>
          <w:numId w:val="0"/>
        </w:numPr>
        <w:spacing w:line="480" w:lineRule="exact" w:before="160" w:after="120"/>
        <w:ind w:firstLine="0"/>
      </w:pPr>
      <w:bookmarkStart w:id="25" w:name="主要概念与规范依据"/>
      <w:r>
        <w:rPr>
          <w:rFonts w:ascii="Times New Roman" w:hAnsi="Times New Roman" w:eastAsia="方正仿宋_GBK"/>
          <w:b/>
          <w:sz w:val="32"/>
        </w:rPr>
        <w:t xml:space="preserve">1.2 主要概念与规范依据</w:t>
      </w:r>
      <w:bookmarkEnd w:id="25"/>
      <w:bookmarkEnd w:id="1019"/>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导则修订稿第6.2.2.1条进一步提出，建议范围内不能满足供电安全准则时，可结合实际情况适当提高[7]。本课题结合高渗透率地区运行特征，分析适度提高容载比后的容量配置与费用变化。两类方案共用容载比2.00仿真起点，刚性方案后续各年按2.00上限控制，弹性方案在相同站级技术条件下开展高于2.00的容量配置比选，研究上限为2.60。</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两类方案采用相同的负荷预测、候选设备与工程价格，逐年比较主变容量、储能规模、站间负荷转接及评价期费用。推荐值与相应设备配置共同列示，供片区规划采用。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修订稿，2025年4月）》的指标定义[7]，用于描述片区源荷条件。</w:t>
      </w:r>
    </w:p>
    <w:p>
      <w:bookmarkStart w:id="1033" w:name="h33"/>
      <w:pPr>
        <w:pStyle w:val="4"/>
        <w:keepNext/>
        <w:numPr>
          <w:numId w:val="0"/>
        </w:numPr>
        <w:spacing w:line="480" w:lineRule="exact" w:before="160" w:after="120"/>
        <w:ind w:firstLine="0"/>
      </w:pPr>
      <w:bookmarkStart w:id="30" w:name="研究范围与对象"/>
      <w:r>
        <w:rPr>
          <w:rFonts w:ascii="Times New Roman" w:hAnsi="Times New Roman" w:eastAsia="方正仿宋_GBK"/>
          <w:b/>
          <w:sz w:val="32"/>
        </w:rPr>
        <w:t xml:space="preserve">1.3 研究范围与对象</w:t>
      </w:r>
      <w:bookmarkEnd w:id="30"/>
      <w:bookmarkEnd w:id="1033"/>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邳州站级模型含20座110 kV变电站，市区含29座已映射或补充的仿真站。年网供最大负荷采用区县同电压等级年度降压负荷估计，站级空间分布由样本时序标定。区域年度负荷用于容载比计算，各站最大净负荷用于局部容量校核。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5729—2023《配电网规划设计技术导则》表4.1.2核定，以饱和负荷密度为主要依据，并参考行政级别及发展水平[5]。A类对应饱和负荷密度15.00至低于30.00 MW/km²，B类为6.00至低于15.00 MW/km²，C类为1.00至低于6.00 MW/km²；主要分布地区作为参考，实际划分还需结合当地条件。邳州保留样本类别，市区统一按A类进行规划仿真，通用外推设置A类与B/C类站群，采用相应设备规格和转供能力范围。</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规划仿真采用共同的容载比2.00起点，以历史资料形成的年最大净负荷平均增长率构造后续四年负荷。现状统计与仿真规划分别列示，年度建设规模由满足约束的优化结果确定。</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基期主变按离散规格配置，基期年网供最大负荷取公用主变总容量的二分之一。站级负荷沿用实际样本的空间分布，再按年度区域负荷标定。邳州和市区的刚性、弹性方案分别共用本地区的起点、负荷和价格。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技术模型包括正向供电、反向功率压力、主变N-1后的静态供电安全容量以及正常负荷转接约束。储能按95%峰值持续时间折算充放电功率，联络通道按送受两端成对计量。模型采用峰段静态支撑进行规划比选。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两类方案均可选主变替换、扩建主变、配置储能、利用既有仿真通道转接负荷及新建联络线。市区初始站间转供率假定为50%；邳州采用六馈线样本测算的28.29%，在区县内部统一应用。新建10 kV联络线提供新增转供能力。各年容量配置与建设时点通过技术经济比选确定。</w:t>
      </w:r>
    </w:p>
    <w:p>
      <w:bookmarkStart w:id="1046" w:name="h46"/>
      <w:pPr>
        <w:pStyle w:val="4"/>
        <w:keepNext/>
        <w:numPr>
          <w:numId w:val="0"/>
        </w:numPr>
        <w:spacing w:line="480" w:lineRule="exact" w:before="160" w:after="120"/>
        <w:ind w:firstLine="0"/>
      </w:pPr>
      <w:bookmarkStart w:id="34" w:name="研究目标与内容"/>
      <w:r>
        <w:rPr>
          <w:rFonts w:ascii="Times New Roman" w:hAnsi="Times New Roman" w:eastAsia="方正仿宋_GBK"/>
          <w:b/>
          <w:sz w:val="32"/>
        </w:rPr>
        <w:t xml:space="preserve">1.4 研究目标与内容</w:t>
      </w:r>
      <w:bookmarkEnd w:id="34"/>
      <w:bookmarkEnd w:id="1046"/>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避免仅凭单次投资比值决定规划方案。</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主变与线路、主变与储能两个单位功率投资比开展敏感性分析，结合源荷水平、95%峰值持续时间和年最大净负荷平均增长率构造条件矩阵。通用矩阵按参数分档给出按供电区域类别与负荷分散系数细分的容载比推荐区间，具体工程措施在方案结果和配套工作簿中列示。</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主要价格依据，采用采购案例标定储能，采用公开规划造价形成线路参考情景。研究明确案例规模、包含工程内容与价格适用范围，给出成本系数的计算式。成本比例按各措施单位功率投资构造，并分别说明新购主变容量、可转负荷和储能充放电功率的计量依据。</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规划采用混合整数线性优化。主变按20.00、31.50、40.00、50.00、63.00 MVA等允许容量选择，扩建主变及联络线投运状态、储能柜数为整数决策；站间正常转接功率为连续决策。以新增措施评价期费用现值最小为主要目标，在共同技术约束下确定设备配置、建设时点和站间负荷转接量。</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在按A类和B/C类供电区域分别构造的五站仿真模板中拓展分布式电源装机渗透率、年最大净负荷平均增长率、95%峰值持续时间及两个单位功率投资比，求解25200组目标年静态方案，按参数分类形成通用容载比推荐区间。</w:t>
      </w:r>
    </w:p>
    <w:p>
      <w:bookmarkStart w:id="1058" w:name="h58"/>
      <w:pPr>
        <w:pStyle w:val="4"/>
        <w:keepNext/>
        <w:numPr>
          <w:numId w:val="0"/>
        </w:numPr>
        <w:spacing w:line="480" w:lineRule="exact" w:before="160" w:after="120"/>
        <w:ind w:firstLine="0"/>
      </w:pPr>
      <w:bookmarkStart w:id="37" w:name="研究方法与技术路线"/>
      <w:r>
        <w:rPr>
          <w:rFonts w:ascii="Times New Roman" w:hAnsi="Times New Roman" w:eastAsia="方正仿宋_GBK"/>
          <w:b/>
          <w:sz w:val="32"/>
        </w:rPr>
        <w:t xml:space="preserve">1.5 研究方法与技术路线</w:t>
      </w:r>
      <w:bookmarkEnd w:id="37"/>
      <w:bookmarkEnd w:id="1058"/>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候选指标先核对资料完整性、统计范围和时间，再计算对应指标之间及其与容载比的相关系数；将存在共同分母或直接换算关系的指标合并使用，结合容量约束确定核心参数。</w:t>
      </w:r>
    </w:p>
    <w:p>
      <w:pPr>
        <w:pStyle w:val="2"/>
        <w:widowControl/>
        <w:spacing w:line="348" w:lineRule="exact" w:before="0" w:after="0"/>
        <w:ind w:firstLine="480"/>
        <w:jc w:val="both"/>
      </w:pPr>
      <w:r>
        <w:rPr>
          <w:rFonts w:ascii="Times New Roman" w:hAnsi="Times New Roman" w:eastAsia="方正仿宋_GBK"/>
          <w:b w:val="0"/>
          <w:sz w:val="24"/>
        </w:rPr>
        <w:t xml:space="preserve">负荷增长估计采用2022—2025年四个同比增长率，权重依次为1∶2∶3∶4。递增权重使较近年份对规划负荷的影响更大，同时保留前期变化，减少单一年份波动的影响。这是本研究的统计设定，第三章同时列出等权平均和复合年增长率，说明不同估计方法对增长分档的影响。</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依据案例中的参数与配置关系建立五站仿真模板，再进行目标年参数外推。源荷水平和分布式电源电量渗透率用于说明片区能源条件，峰值持续时间和增长率用于组织容量需求，两个单位功率投资比用于改变措施经济关系。每个推荐区间由对应分类条件下的容量配置结果归纳，配套结果列示各计算点的容量、费用与约束校核。</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避免图表分析与规划计算使用不同数据。</w:t>
      </w:r>
    </w:p>
    <w:p>
      <w:pPr>
        <w:pStyle w:val="2"/>
        <w:keepNext/>
        <w:spacing w:line="240" w:lineRule="auto" w:before="120" w:after="0"/>
        <w:ind w:firstLine="0"/>
        <w:jc w:val="center"/>
      </w:pPr>
      <w:r>
        <w:drawing>
          <wp:inline>
            <wp:extent cx="5120640" cy="4138946"/>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4138946"/>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图1-1 逐年规划计算与推荐矩阵形成过程</w:t>
      </w:r>
    </w:p>
    <w:p>
      <w:bookmarkStart w:id="1074" w:name="h74"/>
      <w:pPr>
        <w:pStyle w:val="4"/>
        <w:keepNext/>
        <w:numPr>
          <w:numId w:val="0"/>
        </w:numPr>
        <w:spacing w:line="480" w:lineRule="exact" w:before="160" w:after="120"/>
        <w:ind w:firstLine="0"/>
      </w:pPr>
      <w:bookmarkStart w:id="43" w:name="研究成果及应用"/>
      <w:r>
        <w:rPr>
          <w:rFonts w:ascii="Times New Roman" w:hAnsi="Times New Roman" w:eastAsia="方正仿宋_GBK"/>
          <w:b/>
          <w:sz w:val="32"/>
        </w:rPr>
        <w:t xml:space="preserve">1.6 研究成果及应用</w:t>
      </w:r>
      <w:bookmarkEnd w:id="43"/>
      <w:bookmarkEnd w:id="1074"/>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列出供电区域类别、负荷分散系数、技术经济条件和容载比推荐区间，逐点设备配置和计算记录保存在配套工作簿中。</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规划应用先核定实际在役资产、年网供最大负荷和站间转供能力，依据源荷水平、负荷增长与95%峰值持续时间选择比选范围，再以本地工程价格开展增容、配储和10 kV联络联合寻优。工程设计阶段继续校核实际线路、电压、保护及储能连续运行条件。</w:t>
      </w:r>
    </w:p>
    <w:p>
      <w:bookmarkStart w:id="1077" w:name="h77"/>
      <w:pPr>
        <w:pStyle w:val="3"/>
        <w:keepNext/>
        <w:pageBreakBefore/>
        <w:numPr>
          <w:numId w:val="0"/>
        </w:numPr>
        <w:spacing w:line="540" w:lineRule="exact" w:before="0" w:after="120"/>
        <w:ind w:firstLine="0"/>
      </w:pPr>
      <w:bookmarkStart w:id="44" w:name="第二章-国内外研究现状"/>
      <w:r>
        <w:rPr>
          <w:rFonts w:ascii="Times New Roman" w:hAnsi="Times New Roman" w:eastAsia="方正仿宋_GBK"/>
          <w:b/>
          <w:sz w:val="36"/>
        </w:rPr>
        <w:t xml:space="preserve">第二章 国内外研究现状</w:t>
      </w:r>
      <w:bookmarkEnd w:id="44"/>
      <w:bookmarkEnd w:id="1077"/>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bookmarkStart w:id="1080" w:name="h80"/>
      <w:pPr>
        <w:pStyle w:val="4"/>
        <w:keepNext/>
        <w:numPr>
          <w:numId w:val="0"/>
        </w:numPr>
        <w:spacing w:line="480" w:lineRule="exact" w:before="160" w:after="120"/>
        <w:ind w:firstLine="0"/>
      </w:pPr>
      <w:bookmarkStart w:id="45" w:name="国外研究现状"/>
      <w:r>
        <w:rPr>
          <w:rFonts w:ascii="Times New Roman" w:hAnsi="Times New Roman" w:eastAsia="方正仿宋_GBK"/>
          <w:b/>
          <w:sz w:val="32"/>
        </w:rPr>
        <w:t xml:space="preserve">2.1 国外研究现状</w:t>
      </w:r>
      <w:bookmarkEnd w:id="45"/>
      <w:bookmarkEnd w:id="1080"/>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33.36%，超过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1.50%[23]；Ghorbansarvi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6.70%～55.00%[27]。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 0.16% 时净现值为正，移动式储能仅在不超过 0.25% 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16.70%，且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26.85%～45.21%，但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14.90%、电压不平衡全部降至 2% 以内[36]，SOP+储能联合规划使供电能力提升 31.25%[37]，源—网—储协同随机规划以仅增成本 2.23%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bookmarkStart w:id="1102" w:name="h102"/>
      <w:pPr>
        <w:pStyle w:val="4"/>
        <w:keepNext/>
        <w:numPr>
          <w:numId w:val="0"/>
        </w:numPr>
        <w:spacing w:line="480" w:lineRule="exact" w:before="160" w:after="120"/>
        <w:ind w:firstLine="0"/>
      </w:pPr>
      <w:bookmarkStart w:id="50" w:name="国内研究现状"/>
      <w:r>
        <w:rPr>
          <w:rFonts w:ascii="Times New Roman" w:hAnsi="Times New Roman" w:eastAsia="方正仿宋_GBK"/>
          <w:b/>
          <w:sz w:val="32"/>
        </w:rPr>
        <w:t xml:space="preserve">2.2 国内研究现状</w:t>
      </w:r>
      <w:bookmarkEnd w:id="50"/>
      <w:bookmarkEnd w:id="110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7.60%，并给出按负荷密度（以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渗透率最高（57.10%）[65]；乐健等以 Frank-Copula 刻画源荷时空相关、蒙特卡洛生成并削减典型场景，比较基准与差异化源网储方案的全寿命费用（25 节点方案 4 综合成本较方案 2 降约 44.90%）[66]。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97.87%、RMSE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修订稿，2025年4月）》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bookmarkStart w:id="1140" w:name="h140"/>
      <w:pPr>
        <w:pStyle w:val="4"/>
        <w:keepNext/>
        <w:numPr>
          <w:numId w:val="0"/>
        </w:numPr>
        <w:spacing w:line="480" w:lineRule="exact" w:before="160" w:after="120"/>
        <w:ind w:firstLine="0"/>
      </w:pPr>
      <w:bookmarkStart w:id="61" w:name="国内外研究对比与述评"/>
      <w:r>
        <w:rPr>
          <w:rFonts w:ascii="Times New Roman" w:hAnsi="Times New Roman" w:eastAsia="方正仿宋_GBK"/>
          <w:b/>
          <w:sz w:val="32"/>
        </w:rPr>
        <w:t xml:space="preserve">2.3 国内外研究对比与述评</w:t>
      </w:r>
      <w:bookmarkEnd w:id="61"/>
      <w:bookmarkEnd w:id="1140"/>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分析邳州20站及市区29站的配置差异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退出后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从邳州与市区案例出发，将地区名称和规模转换为五站仿真模板结构，保留分布式电源装机渗透率、负荷增长、持续时间及相对工程费用作为可比较参数。</w:t>
      </w:r>
    </w:p>
    <w:p>
      <w:pPr>
        <w:pStyle w:val="2"/>
        <w:widowControl/>
        <w:spacing w:line="348" w:lineRule="exact" w:before="0" w:after="0"/>
        <w:ind w:firstLine="480"/>
        <w:jc w:val="both"/>
      </w:pPr>
      <w:r>
        <w:rPr>
          <w:rFonts w:ascii="Times New Roman" w:hAnsi="Times New Roman" w:eastAsia="方正仿宋_GBK"/>
          <w:b w:val="0"/>
          <w:sz w:val="24"/>
        </w:rPr>
        <w:t xml:space="preserve">推荐矩阵按供电区域类别与负荷分散系数细分，归纳不同源荷及经济条件下的容载比区间；逐站方案说明容量取值与建设措施的联系。片区源荷条件或费用发生变化时，可以先调整对应参数档，再通过实际设备和网络条件重新确定主变、储能与联络组合。</w:t>
      </w:r>
    </w:p>
    <w:p>
      <w:bookmarkStart w:id="1154" w:name="h154"/>
      <w:pPr>
        <w:pStyle w:val="4"/>
        <w:keepNext/>
        <w:numPr>
          <w:numId w:val="0"/>
        </w:numPr>
        <w:spacing w:line="480" w:lineRule="exact" w:before="160" w:after="120"/>
        <w:ind w:firstLine="0"/>
      </w:pPr>
      <w:bookmarkStart w:id="65" w:name="容载比与供电能力的理论联系"/>
      <w:r>
        <w:rPr>
          <w:rFonts w:ascii="Times New Roman" w:hAnsi="Times New Roman" w:eastAsia="方正仿宋_GBK"/>
          <w:b/>
          <w:sz w:val="32"/>
        </w:rPr>
        <w:t xml:space="preserve">2.4 容载比与供电能力的理论联系</w:t>
      </w:r>
      <w:bookmarkEnd w:id="65"/>
      <w:bookmarkEnd w:id="1154"/>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设备退出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在多主变站中，容量总和不能直接替代主变N-1后的剩余容量。两台容量相同的主变退出其中一台，站内剩余容量为原总容量的一半；三台同规格主变退出一台，剩余比例为三分之二。扩建主变可以同时改变总容量和退出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若直接求解连续容量再按最邻近规格取整，取整后的供电安全或费用最优性可能不成立。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联络容量也不属于主变铭牌容量。本研究在模型中保留两端约束，使联络收益表现为设备配置变化，而非容载比分母的人为下降。</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站间转移比例处于相关故障或检修语境[5]。本报告采用市区50%、邳州28.29%的初始能力参数，用于区县内部负荷配置。负荷经正常转接后，主变N-1容量按调整后的站级任务校核，校核中采用相应剩余主变容量和储能支撑能力。</w:t>
      </w:r>
    </w:p>
    <w:p>
      <w:pPr>
        <w:pStyle w:val="2"/>
        <w:widowControl/>
        <w:spacing w:line="348" w:lineRule="exact"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建设一台主变通常不能按年度自由缩减，负荷则可能在不同年份上升或下降。年度规划路径因此需要处理资产持续在役和负荷波动的共同影响。用一个规划末年容量倒推全部年度，会遗漏提前建设费用与中间年份的容量约束。</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档位[5]。对本项目四个同比增长率采用近年权重较高的平均值，可以减弱单一年度作为判断依据的影响，规划预测结合统计范围、气象条件、新增用户、产业计划及负荷兑现情况确定。本研究将年最大净负荷平均增长率用于容载比2.00起点后的四年需求推演，历史年度数据用于现状分析。</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bookmarkStart w:id="1168" w:name="h168"/>
      <w:pPr>
        <w:pStyle w:val="4"/>
        <w:keepNext/>
        <w:numPr>
          <w:numId w:val="0"/>
        </w:numPr>
        <w:spacing w:line="480" w:lineRule="exact" w:before="160" w:after="120"/>
        <w:ind w:firstLine="0"/>
      </w:pPr>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8"/>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如果把降压负荷直接作为用户最大负荷，可能将电网承担的剩余负荷误作用户全部用电需求，从而高估源荷比，影响地区间比较。</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站级各自最大反送功率相加，一般不等于区域同步反送峰值。各站非同时反向峰值之和仅用于反向容量压力的上界分析；形成区域峰值时，应先在同一时间轴上逐时汇总，再取极值。本项目站级技术约束和区县容载比分母分开设置，避免将各站独立最大值之和写作区域年最大负荷。</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95%峰值持续时间在本项目中指功率达到相应方向峰值95%以上的连续时段长度。95%是相对幅值门槛，不表示全年功率样本的第95百分位，也不表示95%的保障概率。采用最长连续峰段，可以表达单次尖峰对持续支撑能力的要求；全年达到门槛的累计小时则反映出现频度，两者用途不同。</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峰值持续时间对缺测处理较敏感。缺失小时落在尖峰区间内，可能把同一连续事件拆成两段，也可能因插值而人为连接两个事件。年度时序存在较长缺口时，应保留缺测状态，报告统计的是已观测峰段或有明确补值规则的估计峰段。持续时间分析采用同一缺测处理规则。</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分布式电源电量渗透率提高与最大负载率下降因此不存在无条件对应关系[3][4][58]。容量配置、负荷时段和统计边界都会影响两者的相关方向。</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bookmarkStart w:id="1185" w:name="h185"/>
      <w:pPr>
        <w:pStyle w:val="4"/>
        <w:keepNext/>
        <w:numPr>
          <w:numId w:val="0"/>
        </w:numPr>
        <w:spacing w:line="480" w:lineRule="exact" w:before="160" w:after="120"/>
        <w:ind w:firstLine="0"/>
      </w:pPr>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5"/>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MVA、退出20 MVA时，新增容量为30 MVA。如果目标函数按新购容量计价，价格比应与新购主变折算有功功率对应；若说明工程每净增MW的投资，则需另按30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线路热限充足而受端没有容量，通道无法完成所设负荷任务；受端空余充足而负荷不能分段，同样不能按整条线路额定能力计收益。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储能单位充放电功率投资随95%峰值持续时间增加。将10柜组合的投资除以1 MW，只适用于允许额定功率持续输出的时段条件。持续时间为3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时，2.15 MWh能量对应的理想持续功率仅为0.72 MW，储能单位充放电功率投资相应提高。单位功率投资比按各场景持续时间计算[10][86]。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只比较初始造价会遗漏这一差异，并高估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未另设价格通胀。折现率与固定实价的评价方法相匹配，储能更新按相同实价计算。为简化参数分析，价格变化集中于主变／线路和主变／储能两个比例。未来储能价格下降通过储能初始及更新价格共同降低的情景表达，价格情景用于比较措施的相对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供电安全容量不足的方案即使费用较低，也不能与可行方案并列推荐。因而，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价格比、峰段时间和负荷条件一起给出。同一推荐容载比可对应不同设备布局，费用相同也可能出现多组可行配置。推荐区间结合主变与储能配置、建设时序和站间负荷转接结果确定，相应方案在第五章逐站列示。</w:t>
      </w:r>
    </w:p>
    <w:p>
      <w:bookmarkStart w:id="1199" w:name="h199"/>
      <w:pPr>
        <w:pStyle w:val="4"/>
        <w:keepNext/>
        <w:numPr>
          <w:numId w:val="0"/>
        </w:numPr>
        <w:spacing w:line="480" w:lineRule="exact" w:before="160" w:after="120"/>
        <w:ind w:firstLine="0"/>
      </w:pPr>
      <w:bookmarkStart w:id="78" w:name="规划寻优方法与本项目选型"/>
      <w:r>
        <w:rPr>
          <w:rFonts w:ascii="Times New Roman" w:hAnsi="Times New Roman" w:eastAsia="方正仿宋_GBK"/>
          <w:b/>
          <w:sz w:val="32"/>
        </w:rPr>
        <w:t xml:space="preserve">2.7 规划寻优方法与本项目选型</w:t>
      </w:r>
      <w:bookmarkEnd w:id="78"/>
      <w:bookmarkEnd w:id="1199"/>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整数规划将设备规格与工程数量直接作为决策变量，在正常运行和供电安全约束下比较措施费用。年度设备状态连续衔接，避免容量连续求解后取整造成的配置偏差。</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费用相近时可以出现多组可行配置。代表方案的确定兼顾弹性容量储备与负荷转接需求，逐年设备和站级转接记录作为相应规划结果的计算依据。</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两类五站仿真模板在合理参数范围内构造情景。推荐矩阵表达在这些结构和假定下的计算范围。应用于其他片区时，需要核对主变初态、供电区域类别及负荷分散系数等关键条件，再以矩阵作为扫描和比选依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适于压力敏感性，尚不等同于完整年度光伏与负荷共同预测。分布式电源电量渗透率在此类情景中只作为条件标签，不宣称模型已经优化全年消纳电量。</w:t>
      </w:r>
    </w:p>
    <w:p>
      <w:bookmarkStart w:id="1212" w:name="h212"/>
      <w:pPr>
        <w:pStyle w:val="4"/>
        <w:keepNext/>
        <w:numPr>
          <w:numId w:val="0"/>
        </w:numPr>
        <w:spacing w:line="480" w:lineRule="exact" w:before="160" w:after="120"/>
        <w:ind w:firstLine="0"/>
      </w:pPr>
      <w:bookmarkStart w:id="82" w:name="本项目方法选择与工程衔接"/>
      <w:r>
        <w:rPr>
          <w:rFonts w:ascii="Times New Roman" w:hAnsi="Times New Roman" w:eastAsia="方正仿宋_GBK"/>
          <w:b/>
          <w:sz w:val="32"/>
        </w:rPr>
        <w:t xml:space="preserve">2.8 本项目方法选择与工程衔接</w:t>
      </w:r>
      <w:bookmarkEnd w:id="82"/>
      <w:bookmarkEnd w:id="1212"/>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说明负荷增长、离散增容、峰段支撑及转供能力对容载比和费用的影响。通用矩阵依据这些计算关系设置两类五站仿真模板，在合理参数范围内进行25200组目标年静态比选。矩阵按源荷特征及工程单位功率投资比分档汇总推荐区间。</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但不能直接互换。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将反向功率直接取绝对值后计算全年受电量，会把反送电量误计为用电，改变电量平衡关系。</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MW额定功率也对应不同持续时间。研究通过功率与能量共同约束进行比较，避免仅按一种容量指标确定投资。</w:t>
      </w:r>
    </w:p>
    <w:p>
      <w:pPr>
        <w:pStyle w:val="5"/>
        <w:keepNext/>
        <w:numPr>
          <w:numId w:val="0"/>
        </w:numPr>
        <w:spacing w:line="390" w:lineRule="exact" w:before="160" w:after="120"/>
        <w:ind w:firstLine="0"/>
      </w:pPr>
      <w:bookmarkStart w:id="87" w:name="分类推荐与文献方法的衔接"/>
      <w:r>
        <w:rPr>
          <w:rFonts w:ascii="Times New Roman" w:hAnsi="Times New Roman" w:eastAsia="方正仿宋_GBK"/>
          <w:b/>
          <w:sz w:val="26"/>
        </w:rPr>
        <w:t xml:space="preserve">2.8.5 分类推荐与文献方法的衔接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方法共同强调区域条件与容量储备的对应关系。本报告在相应研究基础上，将供电区域类别和负荷分散系数作为分类条件，结合分布式电源装机渗透率、增长水平、持续时间及相对投资形成推荐区间。</w:t>
      </w:r>
    </w:p>
    <w:p>
      <w:pPr>
        <w:pStyle w:val="2"/>
        <w:widowControl/>
        <w:spacing w:line="348" w:lineRule="exact" w:before="0" w:after="0"/>
        <w:ind w:firstLine="480"/>
        <w:jc w:val="both"/>
      </w:pPr>
      <w:r>
        <w:rPr>
          <w:rFonts w:ascii="Times New Roman" w:hAnsi="Times New Roman" w:eastAsia="方正仿宋_GBK"/>
          <w:b w:val="0"/>
          <w:sz w:val="24"/>
        </w:rPr>
        <w:t xml:space="preserve">分类的作用是把具有不同容量配置条件的计算结果分别归纳。例如同一分布式电源装机渗透率范围内，A类与B/C类站群的初始主变规格和转供条件不同；相同区域同时峰值下，负荷分散系数不同又会改变各站独立峰值之和。把这些结果合并为一个区间，会同时包含多种设备结构的端点。按类别分别列示后，使用者能够选择与片区更接近的范围。</w:t>
      </w:r>
    </w:p>
    <w:p>
      <w:pPr>
        <w:pStyle w:val="2"/>
        <w:widowControl/>
        <w:spacing w:line="348" w:lineRule="exact" w:before="0" w:after="0"/>
        <w:ind w:firstLine="480"/>
        <w:jc w:val="both"/>
      </w:pPr>
      <w:r>
        <w:rPr>
          <w:rFonts w:ascii="Times New Roman" w:hAnsi="Times New Roman" w:eastAsia="方正仿宋_GBK"/>
          <w:b w:val="0"/>
          <w:sz w:val="24"/>
        </w:rPr>
        <w:t xml:space="preserve">推荐区间的宽度还与参数分组有关。源荷、增长及价格范围较宽时，同一分类内可能包含多种主变规格和储能规模；细分站群条件后，仍可能保留一定区间宽度。端点来自已计算配置，不能为了缩小范围而删去合理结果。分类表的目的在于解释哪些条件对应哪些容量水平，并为具体设备比选提供有依据的范围。</w:t>
      </w:r>
    </w:p>
    <w:p>
      <w:pPr>
        <w:pStyle w:val="2"/>
        <w:widowControl/>
        <w:spacing w:line="348" w:lineRule="exact" w:before="0" w:after="0"/>
        <w:ind w:firstLine="480"/>
        <w:jc w:val="both"/>
      </w:pPr>
      <w:r>
        <w:rPr>
          <w:rFonts w:ascii="Times New Roman" w:hAnsi="Times New Roman" w:eastAsia="方正仿宋_GBK"/>
          <w:b w:val="0"/>
          <w:sz w:val="24"/>
        </w:rPr>
        <w:t xml:space="preserve">工程比选最终需要落实到设备规格。主变只能按允许容量和台数建设，容载比因此呈离散变化；相邻两组计算点可以跨越某一规格切换位置。推荐区间内并非每一个小数值都对应独立的最优配置。规划采用区间时，可先按年网供最大负荷估算容量规模，再结合主变规格、站间转供和储能条件选出实际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价格比本身不决定技术可替代性，站级容量和转供条件决定各措施能够承担的负荷，费用目标再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对新增线路，价格下降可能只降低既定建设规模的费用；对储能，价格下降则可能使部分容量缺口由储能承担，从而减少主变建设。两种响应均有工程意义。将</w:t>
      </w:r>
      <w:r>
        <w:rPr>
          <w:rFonts w:ascii="Times New Roman" w:hAnsi="Times New Roman" w:eastAsia="方正仿宋_GBK"/>
          <w:b w:val="0"/>
          <w:sz w:val="24"/>
        </w:rPr>
        <w:t xml:space="preserve">“</w:t>
      </w:r>
      <w:r>
        <w:rPr>
          <w:rFonts w:ascii="Times New Roman" w:hAnsi="Times New Roman" w:eastAsia="方正仿宋_GBK"/>
          <w:b w:val="0"/>
          <w:sz w:val="24"/>
        </w:rPr>
        <w:t xml:space="preserve">未改变容载比</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该参数不需要分析</w:t>
      </w:r>
      <w:r>
        <w:rPr>
          <w:rFonts w:ascii="Times New Roman" w:hAnsi="Times New Roman" w:eastAsia="方正仿宋_GBK"/>
          <w:b w:val="0"/>
          <w:sz w:val="24"/>
        </w:rPr>
        <w:t xml:space="preserve">”</w:t>
      </w:r>
      <w:r>
        <w:rPr>
          <w:rFonts w:ascii="Times New Roman" w:hAnsi="Times New Roman" w:eastAsia="方正仿宋_GBK"/>
          <w:b w:val="0"/>
          <w:sz w:val="24"/>
        </w:rPr>
        <w:t xml:space="preserve">会遗漏费用作用；将</w:t>
      </w:r>
      <w:r>
        <w:rPr>
          <w:rFonts w:ascii="Times New Roman" w:hAnsi="Times New Roman" w:eastAsia="方正仿宋_GBK"/>
          <w:b w:val="0"/>
          <w:sz w:val="24"/>
        </w:rPr>
        <w:t xml:space="preserve">“</w:t>
      </w:r>
      <w:r>
        <w:rPr>
          <w:rFonts w:ascii="Times New Roman" w:hAnsi="Times New Roman" w:eastAsia="方正仿宋_GBK"/>
          <w:b w:val="0"/>
          <w:sz w:val="24"/>
        </w:rPr>
        <w:t xml:space="preserve">费用发生变化</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容载比必然变化</w:t>
      </w:r>
      <w:r>
        <w:rPr>
          <w:rFonts w:ascii="Times New Roman" w:hAnsi="Times New Roman" w:eastAsia="方正仿宋_GBK"/>
          <w:b w:val="0"/>
          <w:sz w:val="24"/>
        </w:rPr>
        <w:t xml:space="preserve">”</w:t>
      </w:r>
      <w:r>
        <w:rPr>
          <w:rFonts w:ascii="Times New Roman" w:hAnsi="Times New Roman" w:eastAsia="方正仿宋_GBK"/>
          <w:b w:val="0"/>
          <w:sz w:val="24"/>
        </w:rPr>
        <w:t xml:space="preserve">则会混淆价格与容量两个结果。本报告在第五章分别列示容载比、设备规模和费用变化。</w:t>
      </w:r>
    </w:p>
    <w:p>
      <w:bookmarkStart w:id="1235" w:name="h235"/>
      <w:pPr>
        <w:pStyle w:val="4"/>
        <w:keepNext/>
        <w:numPr>
          <w:numId w:val="0"/>
        </w:numPr>
        <w:spacing w:line="480" w:lineRule="exact" w:before="160" w:after="120"/>
        <w:ind w:firstLine="0"/>
      </w:pPr>
      <w:bookmarkStart w:id="89" w:name="本章小结"/>
      <w:r>
        <w:rPr>
          <w:rFonts w:ascii="Times New Roman" w:hAnsi="Times New Roman" w:eastAsia="方正仿宋_GBK"/>
          <w:b/>
          <w:sz w:val="32"/>
        </w:rPr>
        <w:t xml:space="preserve">2.9 本章小结</w:t>
      </w:r>
      <w:bookmarkEnd w:id="89"/>
      <w:bookmarkEnd w:id="1235"/>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kV联络方案，并通过五站仿真模板的参数外推形成通用推荐矩阵。</w:t>
      </w:r>
    </w:p>
    <w:p>
      <w:bookmarkStart w:id="1237" w:name="h237"/>
      <w:pPr>
        <w:pStyle w:val="3"/>
        <w:keepNext/>
        <w:pageBreakBefore/>
        <w:numPr>
          <w:numId w:val="0"/>
        </w:numPr>
        <w:spacing w:line="540" w:lineRule="exact" w:before="0" w:after="120"/>
        <w:ind w:firstLine="0"/>
      </w:pPr>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7"/>
    </w:p>
    <w:p>
      <w:bookmarkStart w:id="1238" w:name="h238"/>
      <w:pPr>
        <w:pStyle w:val="4"/>
        <w:keepNext/>
        <w:numPr>
          <w:numId w:val="0"/>
        </w:numPr>
        <w:spacing w:line="480" w:lineRule="exact" w:before="160" w:after="120"/>
        <w:ind w:firstLine="0"/>
      </w:pPr>
      <w:bookmarkStart w:id="91" w:name="研究地区与原始资料"/>
      <w:r>
        <w:rPr>
          <w:rFonts w:ascii="Times New Roman" w:hAnsi="Times New Roman" w:eastAsia="方正仿宋_GBK"/>
          <w:b/>
          <w:sz w:val="32"/>
        </w:rPr>
        <w:t xml:space="preserve">3.1 研究地区与原始资料</w:t>
      </w:r>
      <w:bookmarkEnd w:id="91"/>
      <w:bookmarkEnd w:id="1238"/>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站级研究样本包括邳州20座和市区29座110 kV变电站，覆盖主变配置、负荷水平及正反向运行特征。市区年度负荷采用同一行政范围的110 kV降压负荷统计，站级资料用于分析负荷在各站之间的分布。区域容载比按同一区县、同一电压等级统计，各站独立峰值用于局部容量校核[5]。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资料来源与统计范围见配套数据说明。</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容量、功率、电量分别使用MVA、MW、MWh，净功率受入为正、反送为负。年度电量统一在2025年非闰年8760小时轴上估计。邳州缺失1 h以邻近均值补值，市区代表时序421个补值小时按同周类型处理，二者均保留估计性质。</w:t>
      </w:r>
    </w:p>
    <w:p>
      <w:pPr>
        <w:pStyle w:val="2"/>
        <w:widowControl/>
        <w:spacing w:line="348" w:lineRule="exact" w:before="0" w:after="0"/>
        <w:ind w:firstLine="480"/>
        <w:jc w:val="both"/>
      </w:pPr>
      <w:r>
        <w:rPr>
          <w:rFonts w:ascii="Times New Roman" w:hAnsi="Times New Roman" w:eastAsia="方正仿宋_GBK"/>
          <w:b w:val="0"/>
          <w:sz w:val="24"/>
        </w:rPr>
        <w:t xml:space="preserve">峰段分析采用2025年最长连续峰段模板，用于储能静态容量折算；年度电量估计用于源荷背景分析。各站独立峰值用于局部校核，区域同期负荷用于容载比计算。</w:t>
      </w:r>
    </w:p>
    <w:p>
      <w:bookmarkStart w:id="1248" w:name="h248"/>
      <w:pPr>
        <w:pStyle w:val="4"/>
        <w:keepNext/>
        <w:numPr>
          <w:numId w:val="0"/>
        </w:numPr>
        <w:spacing w:line="480" w:lineRule="exact" w:before="160" w:after="120"/>
        <w:ind w:firstLine="0"/>
      </w:pPr>
      <w:bookmarkStart w:id="95" w:name="年度容量负荷与增长特征"/>
      <w:r>
        <w:rPr>
          <w:rFonts w:ascii="Times New Roman" w:hAnsi="Times New Roman" w:eastAsia="方正仿宋_GBK"/>
          <w:b/>
          <w:sz w:val="32"/>
        </w:rPr>
        <w:t xml:space="preserve">3.2 年度容量、负荷与增长特征</w:t>
      </w:r>
      <w:bookmarkEnd w:id="95"/>
      <w:bookmarkEnd w:id="1248"/>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市区29座仿真站保留样本负荷的空间分布，供电区域按A类规划。第五章以统一起点和平均增长情景进行方案比较。</w:t>
      </w:r>
    </w:p>
    <w:p>
      <w:pPr>
        <w:pStyle w:val="2"/>
        <w:keepNext/>
        <w:spacing w:line="240" w:lineRule="auto" w:before="120" w:after="0"/>
        <w:ind w:firstLine="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年度增长率按相邻年度负荷统计计算。对2022—2025年赋予1、2、3、4的权重，得到本研究平滑参数。式（3-1）为项目采用的统计方法；DL/T 5729—2023表6.3.4按负荷增长水平给出容载比范围[5]；本报告的增长指标名称采用导则修订稿表2的</w:t>
      </w:r>
      <w:r>
        <w:rPr>
          <w:rFonts w:ascii="Times New Roman" w:hAnsi="Times New Roman" w:eastAsia="方正仿宋_GBK"/>
          <w:b w:val="0"/>
          <w:sz w:val="24"/>
        </w:rPr>
        <w:t xml:space="preserve">“</w:t>
      </w:r>
      <w:r>
        <w:rPr>
          <w:rFonts w:ascii="Times New Roman" w:hAnsi="Times New Roman" w:eastAsia="方正仿宋_GBK"/>
          <w:b w:val="0"/>
          <w:sz w:val="24"/>
        </w:rPr>
        <w:t xml:space="preserve">年最大净负荷平均增长率</w:t>
      </w:r>
      <w:r>
        <w:rPr>
          <w:rFonts w:ascii="Times New Roman" w:hAnsi="Times New Roman" w:eastAsia="方正仿宋_GBK"/>
          <w:b w:val="0"/>
          <w:sz w:val="24"/>
        </w:rPr>
        <w:t xml:space="preserve">”</w:t>
      </w:r>
      <w:r>
        <w:rPr>
          <w:rFonts w:ascii="Times New Roman" w:hAnsi="Times New Roman" w:eastAsia="方正仿宋_GBK"/>
          <w:b w:val="0"/>
          <w:sz w:val="24"/>
        </w:rPr>
        <w:t xml:space="preserve">，加权方法为本研究统计处理[7]。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g</m:t>
                    </m:r>
                  </m:e>
                  <m:sub>
                    <m:r>
                      <m:t>y</m:t>
                    </m:r>
                  </m:sub>
                </m:sSub>
                <m:r>
                  <m:t>=</m:t>
                </m:r>
                <m:sSub>
                  <m:e>
                    <m:r>
                      <m:t>P</m:t>
                    </m:r>
                  </m:e>
                  <m:sub>
                    <m:r>
                      <m:t>y</m:t>
                    </m:r>
                  </m:sub>
                </m:sSub>
                <m:r>
                  <m:t>/</m:t>
                </m:r>
                <m:sSub>
                  <m:e>
                    <m:r>
                      <m:t>P</m:t>
                    </m:r>
                  </m:e>
                  <m:sub>
                    <m:r>
                      <m:t>y</m:t>
                    </m:r>
                    <m:r>
                      <m:t>−</m:t>
                    </m:r>
                    <m:r>
                      <m:t>1</m:t>
                    </m:r>
                  </m:sub>
                </m:sSub>
                <m:r>
                  <m:t>−</m:t>
                </m:r>
                <m:r>
                  <m:t>1</m:t>
                </m:r>
                <m:r>
                  <m:t>,</m:t>
                </m:r>
                <m:r>
                  <m:t>  </m:t>
                </m:r>
                <m:acc>
                  <m:accPr>
                    <m:chr m:val="‾"/>
                  </m:accPr>
                  <m:e>
                    <m:r>
                      <m:t>g</m:t>
                    </m:r>
                  </m:e>
                </m:acc>
                <m:r>
                  <m:t>=</m:t>
                </m:r>
                <m:f>
                  <m:fPr>
                    <m:type m:val="bar"/>
                  </m:fPr>
                  <m:num>
                    <m:sSub>
                      <m:e>
                        <m:r>
                          <m:t>g</m:t>
                        </m:r>
                      </m:e>
                      <m:sub>
                        <m:r>
                          <m:t>2022</m:t>
                        </m:r>
                      </m:sub>
                    </m:sSub>
                    <m:r>
                      <m:t>+</m:t>
                    </m:r>
                    <m:r>
                      <m:t>2</m:t>
                    </m:r>
                    <m:sSub>
                      <m:e>
                        <m:r>
                          <m:t>g</m:t>
                        </m:r>
                      </m:e>
                      <m:sub>
                        <m:r>
                          <m:t>2023</m:t>
                        </m:r>
                      </m:sub>
                    </m:sSub>
                    <m:r>
                      <m:t>+</m:t>
                    </m:r>
                    <m:r>
                      <m:t>3</m:t>
                    </m:r>
                    <m:sSub>
                      <m:e>
                        <m:r>
                          <m:t>g</m:t>
                        </m:r>
                      </m:e>
                      <m:sub>
                        <m:r>
                          <m:t>2024</m:t>
                        </m:r>
                      </m:sub>
                    </m:sSub>
                    <m:r>
                      <m:t>+</m:t>
                    </m:r>
                    <m:r>
                      <m:t>4</m:t>
                    </m:r>
                    <m:sSub>
                      <m:e>
                        <m:r>
                          <m:t>g</m:t>
                        </m:r>
                      </m:e>
                      <m:sub>
                        <m:r>
                          <m:t>2025</m:t>
                        </m:r>
                      </m:sub>
                    </m:sSub>
                  </m:num>
                  <m:den>
                    <m:r>
                      <m:t>10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（3-1）</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年网供最大负荷，单位MW，采用降压负荷估计；</w:t>
      </w:r>
      <m:oMath>
        <m:sSub>
          <m:e>
            <m:r>
              <m:t>g</m:t>
            </m:r>
          </m:e>
          <m:sub>
            <m:r>
              <m:t>y</m:t>
            </m:r>
          </m:sub>
        </m:sSub>
      </m:oMath>
      <w:r>
        <w:rPr>
          <w:rFonts w:ascii="Times New Roman" w:hAnsi="Times New Roman" w:eastAsia="方正仿宋_GBK"/>
          <w:b w:val="0"/>
          <w:sz w:val="24"/>
        </w:rPr>
        <w:t xml:space="preserve">为该年同比增长率，</w:t>
      </w:r>
      <m:oMath>
        <m:acc>
          <m:accPr>
            <m:chr m:val="‾"/>
          </m:accPr>
          <m:e>
            <m:r>
              <m:t>g</m:t>
            </m:r>
          </m:e>
        </m:acc>
      </m:oMath>
      <w:r>
        <w:rPr>
          <w:rFonts w:ascii="Times New Roman" w:hAnsi="Times New Roman" w:eastAsia="方正仿宋_GBK"/>
          <w:b w:val="0"/>
          <w:sz w:val="24"/>
        </w:rPr>
        <w:t xml:space="preserve">为年最大净负荷平均增长率，均为无量纲量。本研究采用递增权重估计该参数。邳州加权平均为8.07%，市区为1.80%。按加权增长率对应导则建议分档，邳州为1.80～2.00，市区为1.50～1.70。邳州复合增长率为6.92%，与加权值8.07%跨越7.00%分档节点，因此工程应用时可补充比较两种增长情景；本次正式方案仍采用加权增长率。市区三种方法均处于较低增长档。该分档用于解释一般规划参考值，本研究刚性统一上限2.00仍为项目方案设定。</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年最大净负荷平均增长率计算（式3-1）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年最大净负荷同比增长率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权重</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bl>
    <w:p>
      <w:pPr>
        <w:pStyle w:val="2"/>
        <w:widowControl/>
        <w:spacing w:line="348" w:lineRule="exact" w:before="0" w:after="0"/>
        <w:ind w:firstLine="480"/>
        <w:jc w:val="both"/>
      </w:pPr>
      <w:r>
        <w:rPr>
          <w:rFonts w:ascii="Times New Roman" w:hAnsi="Times New Roman" w:eastAsia="方正仿宋_GBK"/>
          <w:b w:val="0"/>
          <w:sz w:val="24"/>
        </w:rPr>
        <w:t xml:space="preserve">本次规划将上述加权增长率作为未来四年的统一增长假定。滚动规划时，使用最近五年的同范围负荷，重新计算四个同比增长率，并沿用1∶2∶3∶4权重。若区县或电压等级统计范围发生变化，应先调整为同一范围。</w:t>
      </w:r>
    </w:p>
    <w:p>
      <w:pPr>
        <w:pStyle w:val="2"/>
        <w:keepNext/>
        <w:spacing w:line="280" w:lineRule="exact" w:before="120" w:after="80"/>
        <w:ind w:firstLine="0"/>
        <w:jc w:val="center"/>
      </w:pPr>
      <w:r>
        <w:rPr>
          <w:rFonts w:ascii="Times New Roman" w:hAnsi="Times New Roman" w:eastAsia="宋体"/>
          <w:b w:val="0"/>
          <w:sz w:val="21"/>
        </w:rPr>
        <w:t xml:space="preserve">表3-3 三种年增长率估计方法</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递增加权平均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四年等权平均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四年复合增长率</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7.30%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6.92%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1.34%</w:t>
            </w:r>
          </w:p>
        </w:tc>
      </w:tr>
    </w:tbl>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和负荷用于描述年度变化、估计年最大净负荷平均增长率。规划仿真保留两地区各自的离散设备结构，将基期年网供最大负荷标定为公用主变总容量的二分之一，再按平均增长率推演后续四年需求。站级正向、反向净负荷采用2025年空间分布同步缩放，95%峰值持续时间采用2025年模板。第五章列出仿真起点及年度负荷，便于将历史分析与规划结果对应。</w:t>
      </w:r>
    </w:p>
    <w:p>
      <w:bookmarkStart w:id="1266" w:name="h266"/>
      <w:pPr>
        <w:pStyle w:val="4"/>
        <w:keepNext/>
        <w:numPr>
          <w:numId w:val="0"/>
        </w:numPr>
        <w:spacing w:line="480" w:lineRule="exact" w:before="160" w:after="120"/>
        <w:ind w:firstLine="0"/>
      </w:pPr>
      <w:bookmarkStart w:id="101" w:name="分布式光伏装机与电量"/>
      <w:r>
        <w:rPr>
          <w:rFonts w:ascii="Times New Roman" w:hAnsi="Times New Roman" w:eastAsia="方正仿宋_GBK"/>
          <w:b/>
          <w:sz w:val="32"/>
        </w:rPr>
        <w:t xml:space="preserve">3.3 分布式光伏装机与电量</w:t>
      </w:r>
      <w:bookmarkEnd w:id="101"/>
      <w:bookmarkEnd w:id="1266"/>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（3-2）</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表3-4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（3-3）</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MWh。不同地区的年内投运速度和月末装机差异均进入计算，未把年末规模直接应用于全年。</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分布式电源装机渗透率采用《配电网规划设计技术导则（修订稿，2025年4月）》的指标定义，作为描述源荷条件的研究参数[7]。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（3-4）</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（3-5）</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MWh，分布式电源电量渗透率为40.28%；市区为6791485.10 MWh和8.69%。上述估计值用于源荷背景分析，费用目标采用第四章规定的新增措施支出。</w:t>
      </w:r>
    </w:p>
    <w:p>
      <w:bookmarkStart w:id="1288" w:name="h288"/>
      <w:pPr>
        <w:pStyle w:val="4"/>
        <w:keepNext/>
        <w:numPr>
          <w:numId w:val="0"/>
        </w:numPr>
        <w:spacing w:line="480" w:lineRule="exact" w:before="160" w:after="120"/>
        <w:ind w:firstLine="0"/>
      </w:pPr>
      <w:bookmarkStart w:id="107" w:name="主变负载率与双向净负荷"/>
      <w:r>
        <w:rPr>
          <w:rFonts w:ascii="Times New Roman" w:hAnsi="Times New Roman" w:eastAsia="方正仿宋_GBK"/>
          <w:b/>
          <w:sz w:val="32"/>
        </w:rPr>
        <w:t xml:space="preserve">3.4 主变负载率与双向净负荷</w:t>
      </w:r>
      <w:bookmarkEnd w:id="107"/>
      <w:bookmarkEnd w:id="1288"/>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表3-5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54.82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邳州逐台主变年最大负载率中位数为52.55%，市区为54.62%。均值与中位数的差异说明设备分布需要单独观察。区域比值较高仍可能同时存在个别设备较高负载，建设措施应落实到站级。</w:t>
      </w:r>
    </w:p>
    <w:p>
      <w:pPr>
        <w:pStyle w:val="2"/>
        <w:keepNext/>
        <w:spacing w:line="240" w:lineRule="auto" w:before="120" w:after="0"/>
        <w:ind w:firstLine="0"/>
        <w:jc w:val="center"/>
      </w:pPr>
      <w:r>
        <w:drawing>
          <wp:inline>
            <wp:extent cx="5120640" cy="3022398"/>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3022398"/>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p>
                  <m:e>
                    <m:r>
                      <m:t>P</m:t>
                    </m:r>
                  </m:e>
                  <m:sup>
                    <m:r>
                      <m:t>+</m:t>
                    </m:r>
                  </m:sup>
                </m:sSup>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r>
                  <m:t> </m:t>
                </m:r>
                <m:sSup>
                  <m:e>
                    <m:r>
                      <m:t>P</m:t>
                    </m:r>
                  </m:e>
                  <m:sup>
                    <m:r>
                      <m:rPr>
                        <m:sty m:val="p"/>
                      </m:rPr>
                      <m:t>a</m:t>
                    </m:r>
                    <m:r>
                      <m:rPr>
                        <m:sty m:val="p"/>
                      </m:rPr>
                      <m:t>b</m:t>
                    </m:r>
                    <m:r>
                      <m:rPr>
                        <m:sty m:val="p"/>
                      </m:rPr>
                      <m:t>s</m:t>
                    </m:r>
                  </m:sup>
                </m:sSup>
                <m:r>
                  <m:t>=</m:t>
                </m:r>
                <m:r>
                  <m:rPr>
                    <m:nor/>
                    <m:sty m:val="p"/>
                  </m:rPr>
                  <m:t>max</m:t>
                </m:r>
                <m:r>
                  <m:t>(</m:t>
                </m:r>
                <m:sSup>
                  <m:e>
                    <m:r>
                      <m:t>P</m:t>
                    </m:r>
                  </m:e>
                  <m:sup>
                    <m:r>
                      <m:t>+</m:t>
                    </m:r>
                  </m:sup>
                </m:sSup>
                <m:r>
                  <m:t>,</m:t>
                </m:r>
                <m:sSup>
                  <m:e>
                    <m:r>
                      <m:t>P</m:t>
                    </m:r>
                  </m:e>
                  <m:sup>
                    <m:r>
                      <m:t>−</m:t>
                    </m:r>
                  </m:sup>
                </m:sSup>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（3-6）</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净负荷最大绝对值反映有功压力量级。与主变MVA比较时按功率因数折算，若要得到实际设备负载率，应使用同一时刻无功或电流资料。在相同功率因数下，同幅值正反向有功功率对应相同的视在容量占用；两种方向的网络接入、电压和保护条件仍分别校核[4][5]。</w:t>
      </w:r>
    </w:p>
    <w:p>
      <w:pPr>
        <w:pStyle w:val="2"/>
        <w:keepNext/>
        <w:spacing w:line="280" w:lineRule="exact" w:before="120" w:after="80"/>
        <w:ind w:firstLine="0"/>
        <w:jc w:val="center"/>
      </w:pPr>
      <w:r>
        <w:rPr>
          <w:rFonts w:ascii="Times New Roman" w:hAnsi="Times New Roman" w:eastAsia="宋体"/>
          <w:b w:val="0"/>
          <w:sz w:val="21"/>
        </w:rPr>
        <w:t xml:space="preserve">表3-6 2025年站级正反向净负荷与持续时间（含估计及补充仿真站）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变电站编号</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净负荷最大绝对值/MW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正向95%峰值持续时间/h</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反向95%峰值持续时间/h</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SIM-CITY-KL</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SIM-CITY-XSZ</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SIM-CITY-YQ</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keepNext/>
        <w:spacing w:line="280" w:lineRule="exact" w:before="120" w:after="80"/>
        <w:ind w:firstLine="0"/>
        <w:jc w:val="center"/>
      </w:pPr>
      <w:r>
        <w:rPr>
          <w:rFonts w:ascii="Times New Roman" w:hAnsi="Times New Roman" w:eastAsia="宋体"/>
          <w:b w:val="0"/>
          <w:sz w:val="21"/>
        </w:rPr>
        <w:t xml:space="preserve">表3-7 仿真各年站级正反向净负荷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各站最大正向净负荷合计/MW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各站最大反向净负荷合计/MW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反向站数</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净负荷最大绝对值/MW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变电站数量</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835.57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421.35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85.63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903.04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455.37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92.54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975.95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492.14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100.01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1054.76</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531.88</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108.09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1394.82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78.93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105.14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1419.92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80.35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107.03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1445.48</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81.80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108.96</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1471.50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bl>
    <w:p>
      <w:pPr>
        <w:pStyle w:val="2"/>
        <w:keepNext/>
        <w:spacing w:line="240" w:lineRule="auto" w:before="120" w:after="0"/>
        <w:ind w:firstLine="0"/>
        <w:jc w:val="center"/>
      </w:pPr>
      <w:r>
        <w:drawing>
          <wp:inline>
            <wp:extent cx="5120640" cy="2508169"/>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08169"/>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图3-4 两地区仿真年度站级正反向净负荷</w:t>
      </w:r>
    </w:p>
    <w:p>
      <w:pPr>
        <w:pStyle w:val="5"/>
        <w:keepNext/>
        <w:numPr>
          <w:numId w:val="0"/>
        </w:numPr>
        <w:spacing w:line="390" w:lineRule="exact" w:before="160" w:after="120"/>
        <w:ind w:firstLine="0"/>
      </w:pPr>
      <w:bookmarkStart w:id="112" w:name="同步区域峰与独立站峰"/>
      <w:r>
        <w:rPr>
          <w:rFonts w:ascii="Times New Roman" w:hAnsi="Times New Roman" w:eastAsia="方正仿宋_GBK"/>
          <w:b/>
          <w:sz w:val="26"/>
        </w:rPr>
        <w:t xml:space="preserve">3.4.3 同步区域峰与独立站峰</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形成区域峰值时，应先在同一时间轴汇总各站功率，再取年度最大值。各站最大负荷可能发生在不同时间，直接相加通常高于区域同时最大负荷。本项目年网供最大负荷采用年度降压负荷估计，站级容量校核使用站级独立峰值，两类量按各自统计范围使用。</w:t>
      </w:r>
    </w:p>
    <w:p>
      <w:pPr>
        <w:pStyle w:val="2"/>
        <w:widowControl/>
        <w:spacing w:line="348" w:lineRule="exact" w:before="0" w:after="0"/>
        <w:ind w:firstLine="480"/>
        <w:jc w:val="both"/>
      </w:pPr>
      <w:r>
        <w:rPr>
          <w:rFonts w:ascii="Times New Roman" w:hAnsi="Times New Roman" w:eastAsia="方正仿宋_GBK"/>
          <w:b w:val="0"/>
          <w:sz w:val="24"/>
        </w:rPr>
        <w:t xml:space="preserve">各站最大负荷分别用于本站容量校核，区县年网供最大负荷用于容载比计算。模型以各站最大负荷为规划负荷：一个站转出多少负荷，其他站合计就承接多少，转接前后区县规划负荷总量保持不变。该处理用于比较站间负荷配置，区县容载比分母仍采用同范围年网供最大负荷。</w:t>
      </w:r>
    </w:p>
    <w:p>
      <w:pPr>
        <w:pStyle w:val="5"/>
        <w:keepNext/>
        <w:numPr>
          <w:numId w:val="0"/>
        </w:numPr>
        <w:spacing w:line="390" w:lineRule="exact" w:before="160" w:after="120"/>
        <w:ind w:firstLine="0"/>
      </w:pPr>
      <w:bookmarkStart w:id="113" w:name="峰值持续时间"/>
      <w:r>
        <w:rPr>
          <w:rFonts w:ascii="Times New Roman" w:hAnsi="Times New Roman" w:eastAsia="方正仿宋_GBK"/>
          <w:b/>
          <w:sz w:val="26"/>
        </w:rPr>
        <w:t xml:space="preserve">3.4.4 95%峰值持续时间</w:t>
      </w:r>
      <w:bookmarkEnd w:id="113"/>
    </w:p>
    <w:p>
      <w:pPr>
        <w:pStyle w:val="FirstParagraph"/>
        <w:widowControl/>
        <w:spacing w:line="348" w:lineRule="exact" w:before="0" w:after="0"/>
        <w:ind w:firstLine="480"/>
        <w:jc w:val="both"/>
      </w:pPr>
      <w:r>
        <w:rPr>
          <w:rFonts w:ascii="Times New Roman" w:hAnsi="Times New Roman" w:eastAsia="方正仿宋_GBK"/>
          <w:b w:val="0"/>
          <w:sz w:val="24"/>
        </w:rPr>
        <w:t xml:space="preserve">对每个方向，以对应峰值的95%构造幅值门槛，统计连续达到门槛的最长时段和全年累计时数。用于储能静态定容的是最长连续段，单位h；全年累计时数用于描述发生频度。</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H</m:t>
                          </m:r>
                        </m:e>
                        <m:sub>
                          <m:r>
                            <m:t>95</m:t>
                          </m:r>
                        </m:sub>
                        <m:sup>
                          <m:r>
                            <m:t>+</m:t>
                          </m:r>
                        </m:sup>
                      </m:sSubSup>
                    </m:e>
                    <m:e>
                      <m:r>
                        <m:t>=</m:t>
                      </m:r>
                      <m:r>
                        <m:rPr>
                          <m:nor/>
                          <m:sty m:val="p"/>
                        </m:rPr>
                        <m:t>max</m:t>
                      </m:r>
                      <m:r>
                        <m:t>{</m:t>
                      </m:r>
                      <m:r>
                        <m:rPr>
                          <m:nor/>
                          <m:sty m:val="p"/>
                        </m:rPr>
                        <m:t>连续时段长度</m:t>
                      </m:r>
                      <m:r>
                        <m:t>:</m:t>
                      </m:r>
                      <m:sSub>
                        <m:e>
                          <m:r>
                            <m:t>P</m:t>
                          </m:r>
                        </m:e>
                        <m:sub>
                          <m:r>
                            <m:t>t</m:t>
                          </m:r>
                        </m:sub>
                      </m:sSub>
                      <m:r>
                        <m:t>≥</m:t>
                      </m:r>
                      <m:r>
                        <m:t>0.95</m:t>
                      </m:r>
                      <m:sSup>
                        <m:e>
                          <m:r>
                            <m:t>P</m:t>
                          </m:r>
                        </m:e>
                        <m:sup>
                          <m:r>
                            <m:t>+</m:t>
                          </m:r>
                        </m:sup>
                      </m:sSup>
                      <m:r>
                        <m:t>}</m:t>
                      </m:r>
                      <m:r>
                        <m:t>,</m:t>
                      </m:r>
                    </m:e>
                  </m:mr>
                  <m:mr>
                    <m:e>
                      <m:sSubSup>
                        <m:e>
                          <m:r>
                            <m:t>H</m:t>
                          </m:r>
                        </m:e>
                        <m:sub>
                          <m:r>
                            <m:t>95</m:t>
                          </m:r>
                        </m:sub>
                        <m:sup>
                          <m:r>
                            <m:t>−</m:t>
                          </m:r>
                        </m:sup>
                      </m:sSubSup>
                    </m:e>
                    <m:e>
                      <m:r>
                        <m:t>=</m:t>
                      </m:r>
                      <m:r>
                        <m:rPr>
                          <m:nor/>
                          <m:sty m:val="p"/>
                        </m:rPr>
                        <m:t>max</m:t>
                      </m:r>
                      <m:r>
                        <m:t>{</m:t>
                      </m:r>
                      <m:r>
                        <m:rPr>
                          <m:nor/>
                          <m:sty m:val="p"/>
                        </m:rPr>
                        <m:t>连续时段长度</m:t>
                      </m:r>
                      <m:r>
                        <m:t>:</m:t>
                      </m:r>
                      <m:r>
                        <m:t>−</m:t>
                      </m:r>
                      <m:sSub>
                        <m:e>
                          <m:r>
                            <m:t>P</m:t>
                          </m:r>
                        </m:e>
                        <m:sub>
                          <m:r>
                            <m:t>t</m:t>
                          </m:r>
                        </m:sub>
                      </m:sSub>
                      <m:r>
                        <m:t>≥</m:t>
                      </m:r>
                      <m:r>
                        <m:t>0.95</m:t>
                      </m:r>
                      <m:sSup>
                        <m:e>
                          <m:r>
                            <m:t>P</m:t>
                          </m:r>
                        </m:e>
                        <m:sup>
                          <m:r>
                            <m:t>−</m:t>
                          </m:r>
                        </m:sup>
                      </m:s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（3-7）</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Sup>
          <m:e>
            <m:r>
              <m:t>H</m:t>
            </m:r>
          </m:e>
          <m:sub>
            <m:r>
              <m:t>95</m:t>
            </m:r>
          </m:sub>
          <m:sup>
            <m:r>
              <m:t>+</m:t>
            </m:r>
          </m:sup>
        </m:sSubSup>
      </m:oMath>
      <w:r>
        <w:rPr>
          <w:rFonts w:ascii="Times New Roman" w:hAnsi="Times New Roman" w:eastAsia="方正仿宋_GBK"/>
          <w:b w:val="0"/>
          <w:sz w:val="24"/>
        </w:rPr>
        <w:t xml:space="preserve">和</w:t>
      </w:r>
      <m:oMath>
        <m:sSubSup>
          <m:e>
            <m:r>
              <m:t>H</m:t>
            </m:r>
          </m:e>
          <m:sub>
            <m:r>
              <m:t>95</m:t>
            </m:r>
          </m:sub>
          <m:sup>
            <m:r>
              <m:t>−</m:t>
            </m:r>
          </m:sup>
        </m:sSubSup>
      </m:oMath>
      <w:r>
        <w:rPr>
          <w:rFonts w:ascii="Times New Roman" w:hAnsi="Times New Roman" w:eastAsia="方正仿宋_GBK"/>
          <w:b w:val="0"/>
          <w:sz w:val="24"/>
        </w:rPr>
        <w:t xml:space="preserve">分别为正向、反向95%峰值持续时间，</w:t>
      </w:r>
      <m:oMath>
        <m:r>
          <m:t>t</m:t>
        </m:r>
      </m:oMath>
      <w:r>
        <w:rPr>
          <w:rFonts w:ascii="Times New Roman" w:hAnsi="Times New Roman" w:eastAsia="方正仿宋_GBK"/>
          <w:b w:val="0"/>
          <w:sz w:val="24"/>
        </w:rPr>
        <w:t xml:space="preserve">为小时序号，</w:t>
      </w:r>
      <m:oMath>
        <m:sSub>
          <m:e>
            <m:r>
              <m:t>P</m:t>
            </m:r>
          </m:e>
          <m:sub>
            <m:r>
              <m:t>t</m:t>
            </m:r>
          </m:sub>
        </m:sSub>
      </m:oMath>
      <w:r>
        <w:rPr>
          <w:rFonts w:ascii="Times New Roman" w:hAnsi="Times New Roman" w:eastAsia="方正仿宋_GBK"/>
          <w:b w:val="0"/>
          <w:sz w:val="24"/>
        </w:rPr>
        <w:t xml:space="preserve">为对应净负荷；持续时间单位为h。仅对本方向峰值大于零的序列提取连续事件；峰值为零时，该方向持续时间记为0。参数情景采用至少1 h的数值下限，储能最终折算分母不小于2.15 h。缺失小时打断连续事件，补值序列的事件须保留估计状态。后续四个仿真年均使用2025年模板持续时间。</w:t>
      </w:r>
    </w:p>
    <w:p>
      <w:pPr>
        <w:pStyle w:val="2"/>
        <w:keepNext/>
        <w:spacing w:line="240" w:lineRule="auto" w:before="120" w:after="0"/>
        <w:ind w:firstLine="0"/>
        <w:jc w:val="center"/>
      </w:pPr>
      <w:r>
        <w:drawing>
          <wp:inline>
            <wp:extent cx="5120640" cy="2947516"/>
            <wp:effectExtent b="0" l="0" r="0" t="0"/>
            <wp:docPr descr="" title="" id="1" name="Picture"/>
            <a:graphic>
              <a:graphicData uri="http://schemas.openxmlformats.org/drawingml/2006/picture">
                <pic:pic>
                  <pic:nvPicPr>
                    <pic:cNvPr descr="研究报告/02图表/当前版/duration_distribution.png" id="0" name="Picture"/>
                    <pic:cNvPicPr>
                      <a:picLocks noChangeArrowheads="1" noChangeAspect="1"/>
                    </pic:cNvPicPr>
                  </pic:nvPicPr>
                  <pic:blipFill>
                    <a:blip r:embed="rId114"/>
                    <a:stretch>
                      <a:fillRect/>
                    </a:stretch>
                  </pic:blipFill>
                  <pic:spPr bwMode="auto">
                    <a:xfrm>
                      <a:off x="0" y="0"/>
                      <a:ext cx="5120640" cy="2947516"/>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图3-5 两地区站级正反向95%峰值持续时间</w:t>
      </w:r>
    </w:p>
    <w:p>
      <w:pPr>
        <w:pStyle w:val="5"/>
        <w:keepNext/>
        <w:numPr>
          <w:numId w:val="0"/>
        </w:numPr>
        <w:spacing w:line="390" w:lineRule="exact" w:before="160" w:after="120"/>
        <w:ind w:firstLine="0"/>
      </w:pPr>
      <w:bookmarkStart w:id="115" w:name="峰段与储能容量的联系"/>
      <w:r>
        <w:rPr>
          <w:rFonts w:ascii="Times New Roman" w:hAnsi="Times New Roman" w:eastAsia="方正仿宋_GBK"/>
          <w:b/>
          <w:sz w:val="26"/>
        </w:rPr>
        <w:t xml:space="preserve">3.4.5 峰段与储能容量的联系</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充足而可用能量不足时，不能覆盖整个连续尖峰；额定能量充足而变流器功率不足时，也不能提供所需瞬时支撑。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段的最长连续时间描述已观测尖峰，不能直接替代主变故障持续时间或全部容量缺口的持续时间。退出后缺口可能从负荷尚未达到峰值95%时就开始，实际能量需求应按退出期间负荷超过剩余供电能力的功率差积分确定。本模型以峰值和近峰时长作静态比选，工程阶段还应核对故障恢复时间、连续多日运行、充电条件、充放电效率及荷电状态，核定储能保证可用能力[28][10]。</w:t>
      </w:r>
    </w:p>
    <w:p>
      <w:bookmarkStart w:id="1313" w:name="h313"/>
      <w:pPr>
        <w:pStyle w:val="4"/>
        <w:keepNext/>
        <w:numPr>
          <w:numId w:val="0"/>
        </w:numPr>
        <w:spacing w:line="480" w:lineRule="exact" w:before="160" w:after="120"/>
        <w:ind w:firstLine="0"/>
      </w:pPr>
      <w:bookmarkStart w:id="116" w:name="源荷与容量指标的关联分析"/>
      <w:r>
        <w:rPr>
          <w:rFonts w:ascii="Times New Roman" w:hAnsi="Times New Roman" w:eastAsia="方正仿宋_GBK"/>
          <w:b/>
          <w:sz w:val="32"/>
        </w:rPr>
        <w:t xml:space="preserve">3.5 源荷与容量指标的关联分析</w:t>
      </w:r>
      <w:bookmarkEnd w:id="116"/>
      <w:bookmarkEnd w:id="1313"/>
    </w:p>
    <w:p>
      <w:pPr>
        <w:pStyle w:val="5"/>
        <w:keepNext/>
        <w:numPr>
          <w:numId w:val="0"/>
        </w:numPr>
        <w:spacing w:line="390" w:lineRule="exact" w:before="160" w:after="120"/>
        <w:ind w:firstLine="0"/>
      </w:pPr>
      <w:bookmarkStart w:id="117" w:name="邳州和市区的横向对照"/>
      <w:r>
        <w:rPr>
          <w:rFonts w:ascii="Times New Roman" w:hAnsi="Times New Roman" w:eastAsia="方正仿宋_GBK"/>
          <w:b/>
          <w:sz w:val="26"/>
        </w:rPr>
        <w:t xml:space="preserve">3.5.1 邳州和市区的横向对照</w:t>
      </w:r>
      <w:bookmarkEnd w:id="117"/>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邳州分布式电源装机渗透率估计为1.63，分布式电源电量渗透率为40.28%；市区分别为0.32和8.69%。两地区2025年公用主变总容量分别为2139.50和3701.00 MVA，年网供最大负荷分别为956.45和1528.82 MW，对应容载比约2.24和2.42。</w:t>
      </w:r>
    </w:p>
    <w:p>
      <w:pPr>
        <w:pStyle w:val="2"/>
        <w:widowControl/>
        <w:spacing w:line="348" w:lineRule="exact" w:before="0" w:after="0"/>
        <w:ind w:firstLine="480"/>
        <w:jc w:val="both"/>
      </w:pPr>
      <w:r>
        <w:rPr>
          <w:rFonts w:ascii="Times New Roman" w:hAnsi="Times New Roman" w:eastAsia="方正仿宋_GBK"/>
          <w:b w:val="0"/>
          <w:sz w:val="24"/>
        </w:rPr>
        <w:t xml:space="preserve">邳州光伏规模相对较大，设备容量分析需要同时关注正向供电和日间反向净负荷；市区侧重负荷分布及供电安全条件。上述对照为后续选择源荷情景提供依据。这里的历史容载比由现状容量和负荷形成；第五章采用两地区容载比均为2.00的共同仿真起点，用于比较相同起点下的容量配置与费用。</w:t>
      </w:r>
    </w:p>
    <w:p>
      <w:pPr>
        <w:pStyle w:val="2"/>
        <w:keepNext/>
        <w:spacing w:line="280" w:lineRule="exact"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分布式电源装机渗透率估计值</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分布式电源电量渗透率估计值</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主变年最大负载率中位数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40.28%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典型场景及样本外推</w:t>
            </w:r>
          </w:p>
        </w:tc>
      </w:tr>
    </w:tbl>
    <w:p>
      <w:pPr>
        <w:pStyle w:val="5"/>
        <w:keepNext/>
        <w:numPr>
          <w:numId w:val="0"/>
        </w:numPr>
        <w:spacing w:line="390" w:lineRule="exact" w:before="160" w:after="120"/>
        <w:ind w:firstLine="0"/>
      </w:pPr>
      <w:bookmarkStart w:id="118" w:name="邳州月度同样本关联"/>
      <w:r>
        <w:rPr>
          <w:rFonts w:ascii="Times New Roman" w:hAnsi="Times New Roman" w:eastAsia="方正仿宋_GBK"/>
          <w:b/>
          <w:sz w:val="26"/>
        </w:rPr>
        <w:t xml:space="preserve">3.5.2 邳州月度同样本关联</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利用邳州2025年110 kV样本时序和月度光伏装机，可以构造12个月的同样本净电量、光伏电量及月度峰值。容载比统一采用主变容量与相应负荷之比的表达。其中，年度容载比按导则采用年网供最大负荷；季节分析固定采用2025年末主变容量，以各月最大正向净负荷为分母，记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容载比（月度分析值）</w:t>
      </w:r>
      <w:r>
        <w:rPr>
          <w:rFonts w:ascii="Times New Roman" w:hAnsi="Times New Roman" w:eastAsia="方正仿宋_GBK"/>
          <w:b w:val="0"/>
          <w:sz w:val="24"/>
        </w:rPr>
        <w:t xml:space="preserve">”</w:t>
      </w:r>
      <w:r>
        <w:rPr>
          <w:rFonts w:ascii="Times New Roman" w:hAnsi="Times New Roman" w:eastAsia="方正仿宋_GBK"/>
          <w:b w:val="0"/>
          <w:sz w:val="24"/>
        </w:rPr>
        <w:t xml:space="preserve">，用于比较同一容量条件下的月度变化。</w:t>
      </w:r>
    </w:p>
    <w:p>
      <w:pPr>
        <w:pStyle w:val="2"/>
        <w:widowControl/>
        <w:spacing w:line="348" w:lineRule="exact" w:before="0" w:after="0"/>
        <w:ind w:firstLine="480"/>
        <w:jc w:val="both"/>
      </w:pPr>
      <w:r>
        <w:rPr>
          <w:rFonts w:ascii="Times New Roman" w:hAnsi="Times New Roman" w:eastAsia="方正仿宋_GBK"/>
          <w:b w:val="0"/>
          <w:sz w:val="24"/>
        </w:rPr>
        <w:t xml:space="preserve">月度分布式电源电量渗透率由该月估计光伏发电量除以重建用户电量得到；容载比（月度分析值）和站群估计负载率由同期净负荷序列得到。站群估计负载率按净负荷最大绝对值除以0.95倍同范围主变容量估计，0.95为功率因数假定。相关系数采用12个月的样本计算，原式及用途见式（3-8）。季节共同变化及指标共享分母可能形成相关，系数不作因果解释。</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X</m:t>
                    </m:r>
                    <m:r>
                      <m:t>Y</m:t>
                    </m:r>
                  </m:sub>
                </m:sSub>
                <m:r>
                  <m:t>=</m:t>
                </m:r>
                <m:f>
                  <m:fPr>
                    <m:type m:val="bar"/>
                  </m:fPr>
                  <m:num>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r>
                      <m:t>)</m:t>
                    </m:r>
                    <m:r>
                      <m:t>(</m:t>
                    </m:r>
                    <m:sSub>
                      <m:e>
                        <m:r>
                          <m:t>Y</m:t>
                        </m:r>
                      </m:e>
                      <m:sub>
                        <m:r>
                          <m:t>m</m:t>
                        </m:r>
                      </m:sub>
                    </m:sSub>
                    <m:r>
                      <m:t>−</m:t>
                    </m:r>
                    <m:acc>
                      <m:accPr>
                        <m:chr m:val="‾"/>
                      </m:accPr>
                      <m:e>
                        <m:r>
                          <m:t>Y</m:t>
                        </m:r>
                      </m:e>
                    </m:acc>
                    <m:r>
                      <m:t>)</m:t>
                    </m:r>
                  </m:num>
                  <m:den>
                    <m:rad>
                      <m:radPr>
                        <m:degHide m:val="1"/>
                      </m:radPr>
                      <m:deg/>
                      <m:e>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sSup>
                          <m:e>
                            <m:r>
                              <m:t>)</m:t>
                            </m:r>
                          </m:e>
                          <m:sup>
                            <m:r>
                              <m:t>2</m:t>
                            </m:r>
                          </m:sup>
                        </m:sSup>
                        <m:nary>
                          <m:naryPr>
                            <m:chr m:val="∑"/>
                            <m:limLoc m:val="undOvr"/>
                            <m:subHide m:val="0"/>
                            <m:supHide m:val="0"/>
                          </m:naryPr>
                          <m:sub>
                            <m:r>
                              <m:t>m</m:t>
                            </m:r>
                            <m:r>
                              <m:t>=</m:t>
                            </m:r>
                            <m:r>
                              <m:t>1</m:t>
                            </m:r>
                          </m:sub>
                          <m:sup>
                            <m:r>
                              <m:t>12</m:t>
                            </m:r>
                          </m:sup>
                          <m:e>
                            <m:r>
                              <m:t>(</m:t>
                            </m:r>
                          </m:e>
                        </m:nary>
                        <m:sSub>
                          <m:e>
                            <m:r>
                              <m:t>Y</m:t>
                            </m:r>
                          </m:e>
                          <m:sub>
                            <m:r>
                              <m:t>m</m:t>
                            </m:r>
                          </m:sub>
                        </m:sSub>
                        <m:r>
                          <m:t>−</m:t>
                        </m:r>
                        <m:acc>
                          <m:accPr>
                            <m:chr m:val="‾"/>
                          </m:accPr>
                          <m:e>
                            <m:r>
                              <m:t>Y</m:t>
                            </m:r>
                          </m:e>
                        </m:acc>
                        <m:sSup>
                          <m:e>
                            <m:r>
                              <m:t>)</m:t>
                            </m:r>
                          </m:e>
                          <m:sup>
                            <m:r>
                              <m:t>2</m:t>
                            </m:r>
                          </m:sup>
                        </m:sSup>
                      </m:e>
                    </m:rad>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（3-8）</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X</m:t>
            </m:r>
          </m:e>
          <m:sub>
            <m:r>
              <m:t>m</m:t>
            </m:r>
          </m:sub>
        </m:sSub>
      </m:oMath>
      <w:r>
        <w:rPr>
          <w:rFonts w:ascii="Times New Roman" w:hAnsi="Times New Roman" w:eastAsia="方正仿宋_GBK"/>
          <w:b w:val="0"/>
          <w:sz w:val="24"/>
        </w:rPr>
        <w:t xml:space="preserve">和</w:t>
      </w:r>
      <m:oMath>
        <m:sSub>
          <m:e>
            <m:r>
              <m:t>Y</m:t>
            </m:r>
          </m:e>
          <m:sub>
            <m:r>
              <m:t>m</m:t>
            </m:r>
          </m:sub>
        </m:sSub>
      </m:oMath>
      <w:r>
        <w:rPr>
          <w:rFonts w:ascii="Times New Roman" w:hAnsi="Times New Roman" w:eastAsia="方正仿宋_GBK"/>
          <w:b w:val="0"/>
          <w:sz w:val="24"/>
        </w:rPr>
        <w:t xml:space="preserve">为第</w:t>
      </w:r>
      <m:oMath>
        <m:r>
          <m:t>m</m:t>
        </m:r>
      </m:oMath>
      <w:r>
        <w:rPr>
          <w:rFonts w:ascii="Times New Roman" w:hAnsi="Times New Roman" w:eastAsia="方正仿宋_GBK"/>
          <w:b w:val="0"/>
          <w:sz w:val="24"/>
        </w:rPr>
        <w:t xml:space="preserve">月的两个分析指标，</w:t>
      </w:r>
      <m:oMath>
        <m:acc>
          <m:accPr>
            <m:chr m:val="‾"/>
          </m:accPr>
          <m:e>
            <m:r>
              <m:t>X</m:t>
            </m:r>
          </m:e>
        </m:acc>
      </m:oMath>
      <w:r>
        <w:rPr>
          <w:rFonts w:ascii="Times New Roman" w:hAnsi="Times New Roman" w:eastAsia="方正仿宋_GBK"/>
          <w:b w:val="0"/>
          <w:sz w:val="24"/>
        </w:rPr>
        <w:t xml:space="preserve">和</w:t>
      </w:r>
      <m:oMath>
        <m:acc>
          <m:accPr>
            <m:chr m:val="‾"/>
          </m:accPr>
          <m:e>
            <m:r>
              <m:t>Y</m:t>
            </m:r>
          </m:e>
        </m:acc>
      </m:oMath>
      <w:r>
        <w:rPr>
          <w:rFonts w:ascii="Times New Roman" w:hAnsi="Times New Roman" w:eastAsia="方正仿宋_GBK"/>
          <w:b w:val="0"/>
          <w:sz w:val="24"/>
        </w:rPr>
        <w:t xml:space="preserve">分别为12个月指标的算术平均值，</w:t>
      </w:r>
      <m:oMath>
        <m:sSub>
          <m:e>
            <m:r>
              <m:t>r</m:t>
            </m:r>
          </m:e>
          <m:sub>
            <m:r>
              <m:t>X</m:t>
            </m:r>
            <m:r>
              <m:t>Y</m:t>
            </m:r>
          </m:sub>
        </m:sSub>
      </m:oMath>
      <w:r>
        <w:rPr>
          <w:rFonts w:ascii="Times New Roman" w:hAnsi="Times New Roman" w:eastAsia="方正仿宋_GBK"/>
          <w:b w:val="0"/>
          <w:sz w:val="24"/>
        </w:rPr>
        <w:t xml:space="preserve">为Pearson相关系数；</w:t>
      </w:r>
      <m:oMath>
        <m:r>
          <m:t>m</m:t>
        </m:r>
      </m:oMath>
      <w:r>
        <w:rPr>
          <w:rFonts w:ascii="Times New Roman" w:hAnsi="Times New Roman" w:eastAsia="方正仿宋_GBK"/>
          <w:b w:val="0"/>
          <w:sz w:val="24"/>
        </w:rPr>
        <w:t xml:space="preserve">为月份序号。</w:t>
      </w:r>
    </w:p>
    <w:p>
      <w:pPr>
        <w:pStyle w:val="2"/>
        <w:keepNext/>
        <w:spacing w:line="280" w:lineRule="exact" w:before="120" w:after="80"/>
        <w:ind w:firstLine="0"/>
        <w:jc w:val="center"/>
      </w:pPr>
      <w:r>
        <w:rPr>
          <w:rFonts w:ascii="Times New Roman" w:hAnsi="Times New Roman" w:eastAsia="宋体"/>
          <w:b w:val="0"/>
          <w:sz w:val="21"/>
        </w:rPr>
        <w:t xml:space="preserve">表3-9 邳州12个月的描述性相关系数（式3-8）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关联对象</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Pearson相关系数</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样本量</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解释范围</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分布式电源电量渗透率—容载比（月度分析值）</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固定容量、月度估计、样本内</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分布式电源电量渗透率—站群估计负载率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功率因数假定、非逐台实测</w:t>
            </w:r>
          </w:p>
        </w:tc>
      </w:tr>
    </w:tbl>
    <w:p>
      <w:pPr>
        <w:pStyle w:val="2"/>
        <w:keepNext/>
        <w:spacing w:line="280" w:lineRule="exact" w:before="120" w:after="80"/>
        <w:ind w:firstLine="0"/>
        <w:jc w:val="center"/>
      </w:pPr>
      <w:r>
        <w:rPr>
          <w:rFonts w:ascii="Times New Roman" w:hAnsi="Times New Roman" w:eastAsia="宋体"/>
          <w:b w:val="0"/>
          <w:sz w:val="21"/>
        </w:rPr>
        <w:t xml:space="preserve">表3-10 邳州月度指标计算明细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月份</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分布式电源电量渗透率/%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容载比（月度分析值）</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站群估计负载率/%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月度光伏发电量/MWh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月度用户用电量/MWh</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104963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375895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37.19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96779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314368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119612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285414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57.57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226436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163852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271920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50.13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191575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382125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37.85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212845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562355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109046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440252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113324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308070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43.36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131956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304320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22.34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162290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334722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28.99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161660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410515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邳州12个月的分布式电源电量渗透率与容载比（月度分析值）呈正相关，与站群估计负载率呈负相关。该方向与两个区县年度对照并不相同，月度关系包含季节性与固定容量条件，用于同片区季节分析。</w:t>
      </w:r>
    </w:p>
    <w:p>
      <w:pPr>
        <w:pStyle w:val="2"/>
        <w:keepNext/>
        <w:spacing w:line="240" w:lineRule="auto" w:before="120" w:after="0"/>
        <w:ind w:firstLine="0"/>
        <w:jc w:val="center"/>
      </w:pPr>
      <w:r>
        <w:drawing>
          <wp:inline>
            <wp:extent cx="5120640" cy="2362798"/>
            <wp:effectExtent b="0" l="0" r="0" t="0"/>
            <wp:docPr descr="" title="" id="1" name="Picture"/>
            <a:graphic>
              <a:graphicData uri="http://schemas.openxmlformats.org/drawingml/2006/picture">
                <pic:pic>
                  <pic:nvPicPr>
                    <pic:cNvPr descr="研究报告/02图表/当前版/monthly_correlation.png" id="0" name="Picture"/>
                    <pic:cNvPicPr>
                      <a:picLocks noChangeArrowheads="1" noChangeAspect="1"/>
                    </pic:cNvPicPr>
                  </pic:nvPicPr>
                  <pic:blipFill>
                    <a:blip r:embed="rId119"/>
                    <a:stretch>
                      <a:fillRect/>
                    </a:stretch>
                  </pic:blipFill>
                  <pic:spPr bwMode="auto">
                    <a:xfrm>
                      <a:off x="0" y="0"/>
                      <a:ext cx="5120640" cy="2362798"/>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图3-6 邳州月度分布式电源电量渗透率与容量压力关联</w:t>
      </w:r>
    </w:p>
    <w:p>
      <w:pPr>
        <w:pStyle w:val="5"/>
        <w:keepNext/>
        <w:numPr>
          <w:numId w:val="0"/>
        </w:numPr>
        <w:spacing w:line="390" w:lineRule="exact" w:before="160" w:after="120"/>
        <w:ind w:firstLine="0"/>
      </w:pPr>
      <w:bookmarkStart w:id="120" w:name="相关性结果的使用"/>
      <w:r>
        <w:rPr>
          <w:rFonts w:ascii="Times New Roman" w:hAnsi="Times New Roman" w:eastAsia="方正仿宋_GBK"/>
          <w:b/>
          <w:sz w:val="26"/>
        </w:rPr>
        <w:t xml:space="preserve">3.5.3 相关性结果的使用</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月度统计用于识别光伏高发月份与容量压力的共同变化，为峰段情景选择提供参考。月度结果解释邳州同样本的季节变化，跨地区推荐采用五站仿真模板的多参数计算。</w:t>
      </w:r>
    </w:p>
    <w:p>
      <w:pPr>
        <w:pStyle w:val="2"/>
        <w:widowControl/>
        <w:spacing w:line="348" w:lineRule="exact" w:before="0" w:after="0"/>
        <w:ind w:firstLine="480"/>
        <w:jc w:val="both"/>
      </w:pPr>
      <w:r>
        <w:rPr>
          <w:rFonts w:ascii="Times New Roman" w:hAnsi="Times New Roman" w:eastAsia="方正仿宋_GBK"/>
          <w:b w:val="0"/>
          <w:sz w:val="24"/>
        </w:rPr>
        <w:t xml:space="preserve">通用矩阵以分布式电源装机渗透率划分源荷条件，分布式电源电量渗透率按统一利用小时和用户年负荷率换算。当前静态技术模型约束的是峰值和持续时间，未求解全年发电消纳目标。电量指标通过源荷条件与容量需求衔接，设备选择由相应峰值和持续时间约束确定。</w:t>
      </w:r>
    </w:p>
    <w:p>
      <w:pPr>
        <w:pStyle w:val="5"/>
        <w:keepNext/>
        <w:numPr>
          <w:numId w:val="0"/>
        </w:numPr>
        <w:spacing w:line="390" w:lineRule="exact" w:before="160" w:after="120"/>
        <w:ind w:firstLine="0"/>
      </w:pPr>
      <w:bookmarkStart w:id="121" w:name="指标关联与外推参数选取"/>
      <w:r>
        <w:rPr>
          <w:rFonts w:ascii="Times New Roman" w:hAnsi="Times New Roman" w:eastAsia="方正仿宋_GBK"/>
          <w:b/>
          <w:sz w:val="26"/>
        </w:rPr>
        <w:t xml:space="preserve">3.5.4 指标关联与外推参数选取</w:t>
      </w:r>
      <w:bookmarkEnd w:id="121"/>
    </w:p>
    <w:p>
      <w:pPr>
        <w:pStyle w:val="FirstParagraph"/>
        <w:widowControl/>
        <w:spacing w:line="348" w:lineRule="exact" w:before="0" w:after="0"/>
        <w:ind w:firstLine="480"/>
        <w:jc w:val="both"/>
      </w:pPr>
      <w:r>
        <w:rPr>
          <w:rFonts w:ascii="Times New Roman" w:hAnsi="Times New Roman" w:eastAsia="方正仿宋_GBK"/>
          <w:b w:val="0"/>
          <w:sz w:val="24"/>
        </w:rPr>
        <w:t xml:space="preserve">外推参数围绕三个问题选取：片区需要多大的变电容量，这一需求将如何随负荷发展变化，以及主变、储能和联络线路如何共同满足需求。DL/T 5729—2023将负荷增长、负荷分散和负荷转供等列为容载比的影响因素；规划导则修订稿进一步以分布式电源装机渗透率、分布式电源电量渗透率提示反向容量校核需求[5][7]。据此，先梳理各指标对应的物理环节及现有数据，再判断其能否提供其他指标尚未包含的信息。</w:t>
      </w:r>
    </w:p>
    <w:p>
      <w:pPr>
        <w:pStyle w:val="2"/>
        <w:keepNext/>
        <w:spacing w:line="280" w:lineRule="exact" w:before="120" w:after="80"/>
        <w:ind w:firstLine="0"/>
        <w:jc w:val="center"/>
      </w:pPr>
      <w:r>
        <w:rPr>
          <w:rFonts w:ascii="Times New Roman" w:hAnsi="Times New Roman" w:eastAsia="宋体"/>
          <w:b w:val="0"/>
          <w:sz w:val="21"/>
        </w:rPr>
        <w:t xml:space="preserve">表3-11 指标的容量规划含义与资料基础</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候选指标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计算或作用方式</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资料条件</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处理结果</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饱和负荷密度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饱和最大负荷/供电面积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缺同范围面积记录</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用于供电区域类别核定</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供电区域类别</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导则分类及设备台账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案例类别；市区按A类假定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结构条件，按类别校核</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同范围装机/用户最大负荷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案例典型场景估计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核心源荷参数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发电量/用户电量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月度装机与样本电量估计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与装机指标换算，辅助校核</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主变年最大负载率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设备极值/额定容量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2025年负载率；缺多年同台记录</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设备运行现状分析</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最大正向、反向净负荷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逐时功率方向极值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样本时序及典型场景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直接进入容量约束</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年度同比率加权</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五年同范围年度负荷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核心需求参数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连续近峰段最长时长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2025年方向峰段模板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储能持续时间参数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各站最大负荷之和/站群同时最大负荷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导则影响因素；案例样本及研究情景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结构条件，保留差异</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初始站间转供率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可转负荷/源端负荷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邳州样本；市区假定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技术能力条件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主变台数、规格及扩建条件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设备台账及预留位置</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案例设备；模板规格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设备候选及实施约束</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线路类型、长度与敷设比例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架空/电缆及工程长度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案例参考；两类敷设假定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分类成本条件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主变与线路单位功率投资比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主变单位功率投资/线路单位可转负荷投资</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工程造价及三档线路价格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线路费用条件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主变与储能单位功率投资比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主变单位功率投资/储能单位充放电功率投资</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成套采购价及三档储能价格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储能配置与费用条件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储能可用能量与效率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保证出力及荷电状态</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本次采用铭牌静态折算</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工程阶段连续时序校核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（1）历史数据中的关联及其含义</w:t>
      </w:r>
    </w:p>
    <w:p>
      <w:pPr>
        <w:pStyle w:val="2"/>
        <w:widowControl/>
        <w:spacing w:line="348" w:lineRule="exact" w:before="0" w:after="0"/>
        <w:ind w:firstLine="480"/>
        <w:jc w:val="both"/>
      </w:pPr>
      <w:r>
        <w:rPr>
          <w:rFonts w:ascii="Times New Roman" w:hAnsi="Times New Roman" w:eastAsia="方正仿宋_GBK"/>
          <w:b w:val="0"/>
          <w:sz w:val="24"/>
        </w:rPr>
        <w:t xml:space="preserve">Pearson相关系数描述两个指标的线性关系，Spearman秩相关系数描述其排序关系[87][88]。本节仅比较成对指标，因此相关性表统一列为</w:t>
      </w:r>
      <w:r>
        <w:rPr>
          <w:rFonts w:ascii="Times New Roman" w:hAnsi="Times New Roman" w:eastAsia="方正仿宋_GBK"/>
          <w:b w:val="0"/>
          <w:sz w:val="24"/>
        </w:rPr>
        <w:t xml:space="preserve">“</w:t>
      </w:r>
      <w:r>
        <w:rPr>
          <w:rFonts w:ascii="Times New Roman" w:hAnsi="Times New Roman" w:eastAsia="方正仿宋_GBK"/>
          <w:b w:val="0"/>
          <w:sz w:val="24"/>
        </w:rPr>
        <w:t xml:space="preserve">指标一</w:t>
      </w:r>
      <w:r>
        <w:rPr>
          <w:rFonts w:ascii="Times New Roman" w:hAnsi="Times New Roman" w:eastAsia="方正仿宋_GBK"/>
          <w:b w:val="0"/>
          <w:sz w:val="24"/>
        </w:rPr>
        <w:t xml:space="preserve">”</w:t>
      </w:r>
      <w:r>
        <w:rPr>
          <w:rFonts w:ascii="Times New Roman" w:hAnsi="Times New Roman" w:eastAsia="方正仿宋_GBK"/>
          <w:b w:val="0"/>
          <w:sz w:val="24"/>
        </w:rPr>
        <w:t xml:space="preserve">和</w:t>
      </w:r>
      <w:r>
        <w:rPr>
          <w:rFonts w:ascii="Times New Roman" w:hAnsi="Times New Roman" w:eastAsia="方正仿宋_GBK"/>
          <w:b w:val="0"/>
          <w:sz w:val="24"/>
        </w:rPr>
        <w:t xml:space="preserve">“</w:t>
      </w:r>
      <w:r>
        <w:rPr>
          <w:rFonts w:ascii="Times New Roman" w:hAnsi="Times New Roman" w:eastAsia="方正仿宋_GBK"/>
          <w:b w:val="0"/>
          <w:sz w:val="24"/>
        </w:rPr>
        <w:t xml:space="preserve">指标二</w:t>
      </w:r>
      <w:r>
        <w:rPr>
          <w:rFonts w:ascii="Times New Roman" w:hAnsi="Times New Roman" w:eastAsia="方正仿宋_GBK"/>
          <w:b w:val="0"/>
          <w:sz w:val="24"/>
        </w:rPr>
        <w:t xml:space="preserve">”</w:t>
      </w:r>
      <w:r>
        <w:rPr>
          <w:rFonts w:ascii="Times New Roman" w:hAnsi="Times New Roman" w:eastAsia="方正仿宋_GBK"/>
          <w:b w:val="0"/>
          <w:sz w:val="24"/>
        </w:rPr>
        <w:t xml:space="preserve">。月度结果采用邳州2025年12个月数据，年度结果采用两地区2021—2025年数据；不同时间范围分别统计。</w:t>
      </w:r>
    </w:p>
    <w:p>
      <w:pPr>
        <w:pStyle w:val="2"/>
        <w:keepNext/>
        <w:spacing w:line="280" w:lineRule="exact" w:before="120" w:after="80"/>
        <w:ind w:firstLine="0"/>
        <w:jc w:val="center"/>
      </w:pPr>
      <w:r>
        <w:rPr>
          <w:rFonts w:ascii="Times New Roman" w:hAnsi="Times New Roman" w:eastAsia="宋体"/>
          <w:b w:val="0"/>
          <w:sz w:val="21"/>
        </w:rPr>
        <w:t xml:space="preserve">表3-12 容量、负荷及源荷指标的样本相关性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样本范围</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指标一</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指标二</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样本量</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Pearson相关系数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Spearman秩相关系数</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容载比（月度分析值）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容载比（月度分析值）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站群估计负载率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容载比（月度分析值）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月度光伏发电量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容载比（月度分析值）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月度用户用电量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容载比（月度分析值）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月最大正向净负荷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年网供最大负荷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公用主变总容量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年最大净负荷同比增长率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年网供最大负荷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公用主变总容量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年最大净负荷同比增长率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月度分布式电源电量渗透率与容载比（月度分析值）的Pearson相关系数为0.66，说明发电占比较高的月份在样本中往往具有较大的容量与负荷比值。年度结果则存在地区差异：年网供最大负荷与容载比的相关系数，邳州为－0.96、市区为0.09。容载比同时取决于容量和负荷，主变投运与负荷增长不同步，会改变其年度变化方向。因此，参数选择需结合容量需求与建设措施的关系，不能只按相关系数大小排序。年度样本为5个、同比增长样本为4个，相关系数在本节用于描述现有数据。</w:t>
      </w:r>
    </w:p>
    <w:p>
      <w:pPr>
        <w:pStyle w:val="2"/>
        <w:widowControl/>
        <w:spacing w:line="348" w:lineRule="exact" w:before="0" w:after="0"/>
        <w:ind w:firstLine="480"/>
        <w:jc w:val="both"/>
      </w:pPr>
      <w:r>
        <w:rPr>
          <w:rFonts w:ascii="Times New Roman" w:hAnsi="Times New Roman" w:eastAsia="方正仿宋_GBK"/>
          <w:b w:val="0"/>
          <w:sz w:val="24"/>
        </w:rPr>
        <w:t xml:space="preserve">（2）指标间的换算关系与重复信息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与分布式电源电量渗透率分别从功率和电量描述同一片区的分布式电源发展水平。按照前文定义，将发电量表示为装机容量乘以年利用小时，将用户年用电量表示为用户最大负荷乘以用户年负荷率及全年小时数，可得</w:t>
      </w:r>
      <w:r>
        <w:rPr>
          <w:rFonts w:ascii="Times New Roman" w:hAnsi="Times New Roman" w:eastAsia="方正仿宋_GBK"/>
          <w:b w:val="0"/>
          <w:sz w:val="24"/>
        </w:rPr>
        <w:t xml:space="preserve">“</w:t>
      </w:r>
      <w:r>
        <w:rPr>
          <w:rFonts w:ascii="Times New Roman" w:hAnsi="Times New Roman" w:eastAsia="方正仿宋_GBK"/>
          <w:b w:val="0"/>
          <w:sz w:val="24"/>
        </w:rPr>
        <w:t xml:space="preserve">分布式电源电量渗透率＝分布式电源装机渗透率×光伏年利用小时÷（8760×用户年负荷率）</w:t>
      </w:r>
      <w:r>
        <w:rPr>
          <w:rFonts w:ascii="Times New Roman" w:hAnsi="Times New Roman" w:eastAsia="方正仿宋_GBK"/>
          <w:b w:val="0"/>
          <w:sz w:val="24"/>
        </w:rPr>
        <w:t xml:space="preserve">”</w:t>
      </w:r>
      <w:r>
        <w:rPr>
          <w:rFonts w:ascii="Times New Roman" w:hAnsi="Times New Roman" w:eastAsia="方正仿宋_GBK"/>
          <w:b w:val="0"/>
          <w:sz w:val="24"/>
        </w:rPr>
        <w:t xml:space="preserve">。该关系采用同一年度、同一供电范围的数据，反映两项指标的共同来源。</w:t>
      </w:r>
    </w:p>
    <w:p>
      <w:pPr>
        <w:pStyle w:val="2"/>
        <w:widowControl/>
        <w:spacing w:line="348" w:lineRule="exact" w:before="0" w:after="0"/>
        <w:ind w:firstLine="480"/>
        <w:jc w:val="both"/>
      </w:pPr>
      <w:r>
        <w:rPr>
          <w:rFonts w:ascii="Times New Roman" w:hAnsi="Times New Roman" w:eastAsia="方正仿宋_GBK"/>
          <w:b w:val="0"/>
          <w:sz w:val="24"/>
        </w:rPr>
        <w:t xml:space="preserve">第五章外推采用相同光伏年利用小时和用户年负荷率，因此分布式电源电量渗透率随分布式电源装机渗透率按固定比例变化，两者相关系数为1.00。分布式电源装机渗透率又直接对应给定出力条件下的光伏功率及反向净负荷，故选择它作为源荷参数；分布式电源电量渗透率用于说明发电占比和反向容量校核条件，不再单独增加一组外推情景。实际片区的利用小时、负荷特性和年内投产时间存在差异，两项指标仍分别统计。</w:t>
      </w:r>
    </w:p>
    <w:p>
      <w:pPr>
        <w:pStyle w:val="2"/>
        <w:keepNext/>
        <w:spacing w:line="280" w:lineRule="exact" w:before="120" w:after="80"/>
        <w:ind w:firstLine="0"/>
        <w:jc w:val="center"/>
      </w:pPr>
      <w:r>
        <w:rPr>
          <w:rFonts w:ascii="Times New Roman" w:hAnsi="Times New Roman" w:eastAsia="宋体"/>
          <w:b w:val="0"/>
          <w:sz w:val="21"/>
        </w:rPr>
        <w:t xml:space="preserve">表3-13 指标间的关联及重复信息</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指标一</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指标二</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Pearson相关系数</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数据范围及使用</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站群估计负载率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同一地区12个月的季节关联</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月度光伏发电量</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0.48</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同一地区12个月的季节关联</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月度用户用电量</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-0.51</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同一地区12个月的季节关联</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月最大正向净负荷</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同一地区12个月的季节关联</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站群估计负载率</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月最大正向净负荷</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直接换算，合并使用</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外推中利用小时和用户年负荷率固定，仅保留装机指标作为独立参数</w:t>
            </w:r>
          </w:p>
        </w:tc>
      </w:tr>
    </w:tbl>
    <w:p>
      <w:pPr>
        <w:pStyle w:val="2"/>
        <w:widowControl/>
        <w:spacing w:line="348" w:lineRule="exact" w:before="0" w:after="0"/>
        <w:ind w:firstLine="480"/>
        <w:jc w:val="both"/>
      </w:pPr>
      <w:r>
        <w:rPr>
          <w:rFonts w:ascii="Times New Roman" w:hAnsi="Times New Roman" w:eastAsia="方正仿宋_GBK"/>
          <w:b w:val="0"/>
          <w:sz w:val="24"/>
        </w:rPr>
        <w:t xml:space="preserve">其余月度关系也体现了共同计算量的影响。分布式电源电量渗透率与光伏发电量、用户用电量的相关系数分别为0.48和－0.51，表明发电与用电共同决定该指标。站群估计负载率与月最大正向净负荷在本样本中直接换算，相关系数为1.00；二者分别用于设备运行分析和容量校核，不作为两个独立的情景参数重复设置。</w:t>
      </w:r>
    </w:p>
    <w:p>
      <w:pPr>
        <w:pStyle w:val="2"/>
        <w:widowControl/>
        <w:spacing w:line="348" w:lineRule="exact" w:before="0" w:after="0"/>
        <w:ind w:firstLine="480"/>
        <w:jc w:val="both"/>
      </w:pPr>
      <w:r>
        <w:rPr>
          <w:rFonts w:ascii="Times New Roman" w:hAnsi="Times New Roman" w:eastAsia="方正仿宋_GBK"/>
          <w:b w:val="0"/>
          <w:sz w:val="24"/>
        </w:rPr>
        <w:t xml:space="preserve">（3）入选参数及其在第五章中的作用</w:t>
      </w:r>
    </w:p>
    <w:p>
      <w:pPr>
        <w:pStyle w:val="2"/>
        <w:widowControl/>
        <w:spacing w:line="348" w:lineRule="exact" w:before="0" w:after="0"/>
        <w:ind w:firstLine="480"/>
        <w:jc w:val="both"/>
      </w:pPr>
      <w:r>
        <w:rPr>
          <w:rFonts w:ascii="Times New Roman" w:hAnsi="Times New Roman" w:eastAsia="方正仿宋_GBK"/>
          <w:b w:val="0"/>
          <w:sz w:val="24"/>
        </w:rPr>
        <w:t xml:space="preserve">入选参数分别对应源荷规模、需求增长、持续时间和措施经济性。分布式电源装机渗透率影响日间反向净负荷，年最大净负荷平均增长率决定目标年需求，95%峰值持续时间将峰值功率与储能能量需求联系起来。主变与储能单位功率投资比、主变与线路单位功率投资比则分别反映两类替代措施的相对投资，二者均纳入第五章的工程经济比较。</w:t>
      </w:r>
    </w:p>
    <w:p>
      <w:pPr>
        <w:pStyle w:val="2"/>
        <w:keepNext/>
        <w:spacing w:line="280" w:lineRule="exact" w:before="120" w:after="80"/>
        <w:ind w:firstLine="0"/>
        <w:jc w:val="center"/>
      </w:pPr>
      <w:r>
        <w:rPr>
          <w:rFonts w:ascii="Times New Roman" w:hAnsi="Times New Roman" w:eastAsia="宋体"/>
          <w:b w:val="0"/>
          <w:sz w:val="21"/>
        </w:rPr>
        <w:t xml:space="preserve">表3-14 入选参数的依据、关联及用途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参数或条件</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选取依据</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与其他参数的关系及第五章用途</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修订稿反向校核依据；直接反映装机相对用户最大负荷的规模[7]</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与分布式电源电量渗透率按利用小时和用户年负荷率换算；单独改变装机水平</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修订稿电量指标；反映发电量占用户用电量的比例[7]</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保留源荷背景和校核用途；外推按分布式电源装机渗透率换算，不重复设定</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导则容载比随负荷增长分档；历史负荷提供增长估计[5][7]</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改变目标年负荷，影响容载比分母及新增容量需求</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逐时净负荷统计；储能功率与能量关系</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结合装机和负荷条件，分别折算正反向充放电功率</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主变工程造价与储能采购价格；同等充放电功率下比较投资</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与持续时间共同影响主变和储能组合；按储能价格情景比较</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主变造价与联络工程投资；按可转负荷折算</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按线路类型和价格情景比较费用，并校核容量配置是否变化</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供电区域类别、初始站间转供率及负荷分散系数</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导则分类、转供要求及容载比影响因素[5][46]</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用于站群分类；保留不同类别、负荷分散及转供条件</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主变年最大负载率、饱和负荷密度</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设备运行统计和导则区域分类依据[5]</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分别用于现状分析和类别判断，不重复作为独立外推参数</w:t>
            </w:r>
          </w:p>
        </w:tc>
      </w:tr>
    </w:tbl>
    <w:p>
      <w:pPr>
        <w:pStyle w:val="2"/>
        <w:widowControl/>
        <w:spacing w:line="348" w:lineRule="exact" w:before="0" w:after="0"/>
        <w:ind w:firstLine="480"/>
        <w:jc w:val="both"/>
      </w:pPr>
      <w:r>
        <w:rPr>
          <w:rFonts w:ascii="Times New Roman" w:hAnsi="Times New Roman" w:eastAsia="方正仿宋_GBK"/>
          <w:b w:val="0"/>
          <w:sz w:val="24"/>
        </w:rPr>
        <w:t xml:space="preserve">这些参数通过容量需求相互联系。装机规模和负荷增长影响正反向功率，持续时间影响储能能够承担的充放电功率，投资比决定满足相同技术要求时各措施的经济性。供电区域类别、初始站间转供率和负荷分散系数进一步限定容量需求在各站之间的分布及转供条件，因此推荐区间按供电区域类别、负荷分散系数和线路类型分别列示。饱和负荷密度用于区域类别判断，主变年最大负载率用于设备现状分析。</w:t>
      </w:r>
    </w:p>
    <w:p>
      <w:pPr>
        <w:pStyle w:val="2"/>
        <w:widowControl/>
        <w:spacing w:line="348" w:lineRule="exact" w:before="0" w:after="0"/>
        <w:ind w:firstLine="480"/>
        <w:jc w:val="both"/>
      </w:pPr>
      <w:r>
        <w:rPr>
          <w:rFonts w:ascii="Times New Roman" w:hAnsi="Times New Roman" w:eastAsia="方正仿宋_GBK"/>
          <w:b w:val="0"/>
          <w:sz w:val="24"/>
        </w:rPr>
        <w:t xml:space="preserve">第五章的单参数配对结果用于检查上述选择的作用方向。其中，持续时间和储能价格变化分别使19.17%和17.93%的端点配对出现容载比变化；线路价格变化未改变这些计算方案的容载比，但改变了评价期费用现值。由此，入选并不等同于容载比对每个参数均表现敏感：容量配置和建设费用共同构成参数选取与方案比较的依据。</w:t>
      </w:r>
    </w:p>
    <w:p>
      <w:bookmarkStart w:id="1347" w:name="h347"/>
      <w:pPr>
        <w:pStyle w:val="4"/>
        <w:keepNext/>
        <w:numPr>
          <w:numId w:val="0"/>
        </w:numPr>
        <w:spacing w:line="480" w:lineRule="exact" w:before="160" w:after="120"/>
        <w:ind w:firstLine="0"/>
      </w:pPr>
      <w:bookmarkStart w:id="122" w:name="kv负荷转接资料与仿真条件"/>
      <w:r>
        <w:rPr>
          <w:rFonts w:ascii="Times New Roman" w:hAnsi="Times New Roman" w:eastAsia="方正仿宋_GBK"/>
          <w:b/>
          <w:sz w:val="32"/>
        </w:rPr>
        <w:t xml:space="preserve">3.6 10 kV负荷转接资料与仿真条件</w:t>
      </w:r>
      <w:bookmarkEnd w:id="122"/>
      <w:bookmarkEnd w:id="1347"/>
    </w:p>
    <w:p>
      <w:pPr>
        <w:pStyle w:val="5"/>
        <w:keepNext/>
        <w:numPr>
          <w:numId w:val="0"/>
        </w:numPr>
        <w:spacing w:line="390" w:lineRule="exact" w:before="160" w:after="120"/>
        <w:ind w:firstLine="0"/>
      </w:pPr>
      <w:bookmarkStart w:id="123" w:name="现有馈线资料"/>
      <w:r>
        <w:rPr>
          <w:rFonts w:ascii="Times New Roman" w:hAnsi="Times New Roman" w:eastAsia="方正仿宋_GBK"/>
          <w:b/>
          <w:sz w:val="26"/>
        </w:rPr>
        <w:t xml:space="preserve">3.6.1 现有馈线资料</w:t>
      </w:r>
      <w:bookmarkEnd w:id="123"/>
    </w:p>
    <w:p>
      <w:pPr>
        <w:pStyle w:val="FirstParagraph"/>
        <w:widowControl/>
        <w:spacing w:line="348" w:lineRule="exact" w:before="0" w:after="0"/>
        <w:ind w:firstLine="480"/>
        <w:jc w:val="both"/>
      </w:pPr>
      <w:r>
        <w:rPr>
          <w:rFonts w:ascii="Times New Roman" w:hAnsi="Times New Roman" w:eastAsia="方正仿宋_GBK"/>
          <w:b w:val="0"/>
          <w:sz w:val="24"/>
        </w:rPr>
        <w:t xml:space="preserve">邳州局部样本包含六条馈线及跨站联络关系。根据源端负荷、分段位置和接收余量，原样本静态可转移上界为9.98 MW，六馈线源端负荷为35.29 MW，比值28.29%。本研究将该局部样本比例作为邳州各仿真站的初始转供率。</w:t>
      </w:r>
    </w:p>
    <w:p>
      <w:pPr>
        <w:pStyle w:val="2"/>
        <w:widowControl/>
        <w:spacing w:line="348" w:lineRule="exact" w:before="0" w:after="0"/>
        <w:ind w:firstLine="480"/>
        <w:jc w:val="both"/>
      </w:pPr>
      <w:r>
        <w:rPr>
          <w:rFonts w:ascii="Times New Roman" w:hAnsi="Times New Roman" w:eastAsia="方正仿宋_GBK"/>
          <w:b w:val="0"/>
          <w:sz w:val="24"/>
        </w:rPr>
        <w:t xml:space="preserve">具体新线候选区段的原重建负荷为7.49 MW，规划筛查取7.49 MW；按允许电流折算的线路有功容量为9.05 MW。候选有效转供负荷取区段负荷与线路允许容量较小值。线路参考长度为3 km，架空与电缆比例为90%与10%。</w:t>
      </w:r>
    </w:p>
    <w:p>
      <w:pPr>
        <w:pStyle w:val="5"/>
        <w:keepNext/>
        <w:numPr>
          <w:numId w:val="0"/>
        </w:numPr>
        <w:spacing w:line="390" w:lineRule="exact" w:before="160" w:after="120"/>
        <w:ind w:firstLine="0"/>
      </w:pPr>
      <w:bookmarkStart w:id="124" w:name="区县站间转供率的设定"/>
      <w:r>
        <w:rPr>
          <w:rFonts w:ascii="Times New Roman" w:hAnsi="Times New Roman" w:eastAsia="方正仿宋_GBK"/>
          <w:b/>
          <w:sz w:val="26"/>
        </w:rPr>
        <w:t xml:space="preserve">3.6.2 区县站间转供率的设定</w:t>
      </w:r>
      <w:bookmarkEnd w:id="124"/>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提出，A+、A类供电区域变电站通过中压配电网转移负荷的比例宜为50.00%～70.00%，B、C类宜为30.00%～50.00%[5]。市区按A类供电区域设定初始站间转供率为50.00%。邳州依据六条馈线负荷和跨站联络资料计算得到28.29%，将该样本比例作为县域各站统一的初始转供率。</w:t>
      </w:r>
    </w:p>
    <w:p>
      <w:pPr>
        <w:pStyle w:val="2"/>
        <w:widowControl/>
        <w:spacing w:line="348" w:lineRule="exact" w:before="0" w:after="0"/>
        <w:ind w:firstLine="480"/>
        <w:jc w:val="both"/>
      </w:pPr>
      <w:r>
        <w:rPr>
          <w:rFonts w:ascii="Times New Roman" w:hAnsi="Times New Roman" w:eastAsia="方正仿宋_GBK"/>
          <w:b w:val="0"/>
          <w:sz w:val="24"/>
        </w:rPr>
        <w:t xml:space="preserve">邳州以30%、市区以50%作为转供能力规划目标，分别以50%和70%作为研究上限。利用既有能力进行负荷转接的新增建设投资为零；能力不足时，通过新建10 kV联络线补充。两区县均允许内部任意两个不同站之间设置新增等效联络项目。第五章列明能力预算、项目计费和送受端校核方法[5]。</w:t>
      </w:r>
    </w:p>
    <w:p>
      <w:pPr>
        <w:pStyle w:val="5"/>
        <w:keepNext/>
        <w:numPr>
          <w:numId w:val="0"/>
        </w:numPr>
        <w:spacing w:line="390" w:lineRule="exact" w:before="160" w:after="120"/>
        <w:ind w:firstLine="0"/>
      </w:pPr>
      <w:bookmarkStart w:id="125" w:name="电源归属及反送处理"/>
      <w:r>
        <w:rPr>
          <w:rFonts w:ascii="Times New Roman" w:hAnsi="Times New Roman" w:eastAsia="方正仿宋_GBK"/>
          <w:b/>
          <w:sz w:val="26"/>
        </w:rPr>
        <w:t xml:space="preserve">3.6.3 电源归属及反送处理</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正常转接的是用电负荷，电源仍保留在原站。转出负荷后，本地消纳减少，原站反送压力可能增加。缺少转接块逐时曲线时，模型以原反送峰值加转出峰值作为保守上界，不抵扣受端增加消纳的收益。该规则使正向减压与潜在反向增压同步进入筛查。</w:t>
      </w:r>
    </w:p>
    <w:p>
      <w:pPr>
        <w:pStyle w:val="2"/>
        <w:widowControl/>
        <w:spacing w:line="348" w:lineRule="exact" w:before="0" w:after="0"/>
        <w:ind w:firstLine="480"/>
        <w:jc w:val="both"/>
      </w:pPr>
      <w:r>
        <w:rPr>
          <w:rFonts w:ascii="Times New Roman" w:hAnsi="Times New Roman" w:eastAsia="方正仿宋_GBK"/>
          <w:b w:val="0"/>
          <w:sz w:val="24"/>
        </w:rPr>
        <w:t xml:space="preserve">该上界按峰值包络处理反向容量需求。取得转接负荷块的同步负荷与光伏时序后，可按同一时刻重新计算两端净负荷，并同步修正正向与反向约束。</w:t>
      </w:r>
    </w:p>
    <w:p>
      <w:bookmarkStart w:id="1357" w:name="h357"/>
      <w:pPr>
        <w:pStyle w:val="4"/>
        <w:keepNext/>
        <w:numPr>
          <w:numId w:val="0"/>
        </w:numPr>
        <w:spacing w:line="480" w:lineRule="exact" w:before="160" w:after="120"/>
        <w:ind w:firstLine="0"/>
      </w:pPr>
      <w:bookmarkStart w:id="126" w:name="站级净负荷分布与配置需求"/>
      <w:r>
        <w:rPr>
          <w:rFonts w:ascii="Times New Roman" w:hAnsi="Times New Roman" w:eastAsia="方正仿宋_GBK"/>
          <w:b/>
          <w:sz w:val="32"/>
        </w:rPr>
        <w:t xml:space="preserve">3.7 站级净负荷分布与配置需求</w:t>
      </w:r>
      <w:bookmarkEnd w:id="126"/>
      <w:bookmarkEnd w:id="1357"/>
    </w:p>
    <w:p>
      <w:pPr>
        <w:pStyle w:val="5"/>
        <w:keepNext/>
        <w:numPr>
          <w:numId w:val="0"/>
        </w:numPr>
        <w:spacing w:line="390" w:lineRule="exact" w:before="160" w:after="120"/>
        <w:ind w:firstLine="0"/>
      </w:pPr>
      <w:bookmarkStart w:id="127" w:name="邳州仿真净负荷"/>
      <w:r>
        <w:rPr>
          <w:rFonts w:ascii="Times New Roman" w:hAnsi="Times New Roman" w:eastAsia="方正仿宋_GBK"/>
          <w:b/>
          <w:sz w:val="26"/>
        </w:rPr>
        <w:t xml:space="preserve">3.7.1 邳州仿真净负荷</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邳州将2025年站级正向、反向净负荷分布标定到容载比2.00的基期，后续按年最大净负荷平均增长率推演。各站采用相同年度规模系数，保留站级源荷结构和95%峰值持续时间。</w:t>
      </w:r>
    </w:p>
    <w:p>
      <w:pPr>
        <w:pStyle w:val="2"/>
        <w:keepNext/>
        <w:spacing w:line="240" w:lineRule="auto" w:before="120" w:after="0"/>
        <w:ind w:firstLine="0"/>
        <w:jc w:val="center"/>
      </w:pPr>
      <w:r>
        <w:drawing>
          <wp:inline>
            <wp:extent cx="5120640" cy="4631147"/>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28"/>
                    <a:stretch>
                      <a:fillRect/>
                    </a:stretch>
                  </pic:blipFill>
                  <pic:spPr bwMode="auto">
                    <a:xfrm>
                      <a:off x="0" y="0"/>
                      <a:ext cx="5120640" cy="4631147"/>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图3-7 邳州逐站仿真年度净负荷最大绝对值</w:t>
      </w:r>
    </w:p>
    <w:p>
      <w:pPr>
        <w:pStyle w:val="2"/>
        <w:widowControl/>
        <w:spacing w:line="348" w:lineRule="exact" w:before="0" w:after="0"/>
        <w:ind w:firstLine="480"/>
        <w:jc w:val="both"/>
      </w:pPr>
      <w:r>
        <w:rPr>
          <w:rFonts w:ascii="Times New Roman" w:hAnsi="Times New Roman" w:eastAsia="方正仿宋_GBK"/>
          <w:b w:val="0"/>
          <w:sz w:val="24"/>
        </w:rPr>
        <w:t xml:space="preserve">图中每行对应一座变电站，每列对应一个仿真年，单元格颜色按该站正向与反向净负荷峰值中的较大值映射，颜色越深表示容量压力越大。该图用于定位需要重点校核的站点，并观察负荷增长对站级需求的影响；同一站四年的变化来自相同空间分布下的年度增长假定。峰值方向及持续时间在表中分别列示。</w:t>
      </w:r>
    </w:p>
    <w:p>
      <w:pPr>
        <w:pStyle w:val="5"/>
        <w:keepNext/>
        <w:numPr>
          <w:numId w:val="0"/>
        </w:numPr>
        <w:spacing w:line="390" w:lineRule="exact" w:before="160" w:after="120"/>
        <w:ind w:firstLine="0"/>
      </w:pPr>
      <w:bookmarkStart w:id="129" w:name="市区仿真净负荷"/>
      <w:r>
        <w:rPr>
          <w:rFonts w:ascii="Times New Roman" w:hAnsi="Times New Roman" w:eastAsia="方正仿宋_GBK"/>
          <w:b/>
          <w:sz w:val="26"/>
        </w:rPr>
        <w:t xml:space="preserve">3.7.2 市区仿真净负荷</w:t>
      </w:r>
      <w:bookmarkEnd w:id="129"/>
    </w:p>
    <w:p>
      <w:pPr>
        <w:pStyle w:val="FirstParagraph"/>
        <w:widowControl/>
        <w:spacing w:line="348" w:lineRule="exact" w:before="0" w:after="0"/>
        <w:ind w:firstLine="480"/>
        <w:jc w:val="both"/>
      </w:pPr>
      <w:r>
        <w:rPr>
          <w:rFonts w:ascii="Times New Roman" w:hAnsi="Times New Roman" w:eastAsia="方正仿宋_GBK"/>
          <w:b w:val="0"/>
          <w:sz w:val="24"/>
        </w:rPr>
        <w:t xml:space="preserve">市区29站同样按2025年空间分布与仿真年度规模标定。初始转供率50%用于内部负荷调整，A类供电区域的设备选择与转供能力范围进入规划条件。</w:t>
      </w:r>
    </w:p>
    <w:p>
      <w:pPr>
        <w:pStyle w:val="2"/>
        <w:keepNext/>
        <w:spacing w:line="240" w:lineRule="auto" w:before="120" w:after="0"/>
        <w:ind w:firstLine="0"/>
        <w:jc w:val="center"/>
      </w:pPr>
      <w:r>
        <w:drawing>
          <wp:inline>
            <wp:extent cx="5120640" cy="6032350"/>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0"/>
                    <a:stretch>
                      <a:fillRect/>
                    </a:stretch>
                  </pic:blipFill>
                  <pic:spPr bwMode="auto">
                    <a:xfrm>
                      <a:off x="0" y="0"/>
                      <a:ext cx="5120640" cy="603235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图3-8 市区逐站仿真年度净负荷最大绝对值</w:t>
      </w:r>
    </w:p>
    <w:p>
      <w:pPr>
        <w:pStyle w:val="2"/>
        <w:widowControl/>
        <w:spacing w:line="348" w:lineRule="exact" w:before="0" w:after="0"/>
        <w:ind w:firstLine="480"/>
        <w:jc w:val="both"/>
      </w:pPr>
      <w:r>
        <w:rPr>
          <w:rFonts w:ascii="Times New Roman" w:hAnsi="Times New Roman" w:eastAsia="方正仿宋_GBK"/>
          <w:b w:val="0"/>
          <w:sz w:val="24"/>
        </w:rPr>
        <w:t xml:space="preserve">市区最大反向净负荷相对较小，主要容量需求来自正向负荷及主变N-1后的供电缺口。局部负荷分布、设备台数和承接站余量共同影响增容、配储和联络选择。</w:t>
      </w:r>
    </w:p>
    <w:p>
      <w:pPr>
        <w:pStyle w:val="5"/>
        <w:keepNext/>
        <w:numPr>
          <w:numId w:val="0"/>
        </w:numPr>
        <w:spacing w:line="390" w:lineRule="exact" w:before="160" w:after="120"/>
        <w:ind w:firstLine="0"/>
      </w:pPr>
      <w:bookmarkStart w:id="131" w:name="较高净负荷站的方向与时间"/>
      <w:r>
        <w:rPr>
          <w:rFonts w:ascii="Times New Roman" w:hAnsi="Times New Roman" w:eastAsia="方正仿宋_GBK"/>
          <w:b/>
          <w:sz w:val="26"/>
        </w:rPr>
        <w:t xml:space="preserve">3.7.3 较高净负荷站的方向与时间</w:t>
      </w:r>
      <w:bookmarkEnd w:id="131"/>
    </w:p>
    <w:p>
      <w:pPr>
        <w:pStyle w:val="FirstParagraph"/>
        <w:keepNext/>
        <w:spacing w:line="280" w:lineRule="exact" w:before="120" w:after="80"/>
        <w:ind w:firstLine="0"/>
        <w:jc w:val="center"/>
      </w:pPr>
      <w:r>
        <w:rPr>
          <w:rFonts w:ascii="Times New Roman" w:hAnsi="Times New Roman" w:eastAsia="宋体"/>
          <w:b w:val="0"/>
          <w:sz w:val="21"/>
        </w:rPr>
        <w:t xml:space="preserve">表3-15 第4年净负荷较大站的运行特征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41"/>
        <w:gridCol w:w="1609"/>
        <w:gridCol w:w="1341"/>
        <w:gridCol w:w="1341"/>
        <w:gridCol w:w="1341"/>
        <w:gridCol w:w="1341"/>
      </w:tblGrid>
      <w:tr>
        <w:trPr>
          <w:cantSplit/>
          <w:tblHeader/>
        </w:trPr>
        <w:tc>
          <w:tcPr>
            <w:tcW w:type="dxa" w:w="134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60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站号</w:t>
            </w:r>
          </w:p>
        </w:tc>
        <w:tc>
          <w:tcPr>
            <w:tcW w:type="dxa" w:w="134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最大正向净负荷/MW</w:t>
            </w:r>
          </w:p>
        </w:tc>
        <w:tc>
          <w:tcPr>
            <w:tcW w:type="dxa" w:w="134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最大反向净负荷/MW</w:t>
            </w:r>
          </w:p>
        </w:tc>
        <w:tc>
          <w:tcPr>
            <w:tcW w:type="dxa" w:w="134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正向95%峰值持续时间/h</w:t>
            </w:r>
          </w:p>
        </w:tc>
        <w:tc>
          <w:tcPr>
            <w:tcW w:type="dxa" w:w="134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反向95%峰值持续时间/h</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59.41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76.30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82.69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widowControl/>
        <w:spacing w:line="348" w:lineRule="exact" w:before="0" w:after="0"/>
        <w:ind w:firstLine="480"/>
        <w:jc w:val="both"/>
      </w:pPr>
      <w:r>
        <w:rPr>
          <w:rFonts w:ascii="Times New Roman" w:hAnsi="Times New Roman" w:eastAsia="方正仿宋_GBK"/>
          <w:b w:val="0"/>
          <w:sz w:val="24"/>
        </w:rPr>
        <w:t xml:space="preserve">表中分别选取两地区仿真第4年净负荷最大绝对值较大的5座站。方向峰值与持续时间成对使用，用于识别主变有功容量和储能能量需求。</w:t>
      </w:r>
    </w:p>
    <w:p>
      <w:pPr>
        <w:pStyle w:val="5"/>
        <w:keepNext/>
        <w:numPr>
          <w:numId w:val="0"/>
        </w:numPr>
        <w:spacing w:line="390" w:lineRule="exact" w:before="160" w:after="120"/>
        <w:ind w:firstLine="0"/>
      </w:pPr>
      <w:bookmarkStart w:id="132" w:name="运行分析与寻优输入的衔接"/>
      <w:r>
        <w:rPr>
          <w:rFonts w:ascii="Times New Roman" w:hAnsi="Times New Roman" w:eastAsia="方正仿宋_GBK"/>
          <w:b/>
          <w:sz w:val="26"/>
        </w:rPr>
        <w:t xml:space="preserve">3.7.4 运行分析与寻优输入的衔接</w:t>
      </w:r>
      <w:bookmarkEnd w:id="13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两地区采用相同三类措施，负荷和设备结构不同，各约束的作用也不同。站级正向负荷转出后，原站电源保持归属，反向校核上界相应增加；承接站按转接后的正向负荷校核正常运行与主变N-1容量。</w:t>
      </w:r>
    </w:p>
    <w:p>
      <w:pPr>
        <w:pStyle w:val="2"/>
        <w:widowControl/>
        <w:spacing w:line="348" w:lineRule="exact" w:before="0" w:after="0"/>
        <w:ind w:firstLine="480"/>
        <w:jc w:val="both"/>
      </w:pPr>
      <w:r>
        <w:rPr>
          <w:rFonts w:ascii="Times New Roman" w:hAnsi="Times New Roman" w:eastAsia="方正仿宋_GBK"/>
          <w:b w:val="0"/>
          <w:sz w:val="24"/>
        </w:rPr>
        <w:t xml:space="preserve">区域年网供最大负荷按仿真增长条件确定，区县内部转接保持站级负荷总量。第五章按逐站约束求得设备容量，再计算年度容载比。</w:t>
      </w:r>
    </w:p>
    <w:p>
      <w:pPr>
        <w:pStyle w:val="5"/>
        <w:keepNext/>
        <w:numPr>
          <w:numId w:val="0"/>
        </w:numPr>
        <w:spacing w:line="390" w:lineRule="exact" w:before="160" w:after="120"/>
        <w:ind w:firstLine="0"/>
      </w:pPr>
      <w:bookmarkStart w:id="133" w:name="站级净负荷的主导方向"/>
      <w:r>
        <w:rPr>
          <w:rFonts w:ascii="Times New Roman" w:hAnsi="Times New Roman" w:eastAsia="方正仿宋_GBK"/>
          <w:b/>
          <w:sz w:val="26"/>
        </w:rPr>
        <w:t xml:space="preserve">3.7.5 站级净负荷的主导方向</w:t>
      </w:r>
      <w:bookmarkEnd w:id="133"/>
    </w:p>
    <w:p>
      <w:pPr>
        <w:pStyle w:val="FirstParagraph"/>
        <w:keepNext/>
        <w:spacing w:line="280" w:lineRule="exact" w:before="120" w:after="80"/>
        <w:ind w:firstLine="0"/>
        <w:jc w:val="center"/>
      </w:pPr>
      <w:r>
        <w:rPr>
          <w:rFonts w:ascii="Times New Roman" w:hAnsi="Times New Roman" w:eastAsia="宋体"/>
          <w:b w:val="0"/>
          <w:sz w:val="21"/>
        </w:rPr>
        <w:t xml:space="preserve">表3-16 第4年站级净负荷方向统计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变电站数量</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反向较大站数</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存在反向净负荷站数</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r>
    </w:tbl>
    <w:p>
      <w:pPr>
        <w:pStyle w:val="2"/>
        <w:widowControl/>
        <w:spacing w:line="348" w:lineRule="exact" w:before="0" w:after="0"/>
        <w:ind w:firstLine="480"/>
        <w:jc w:val="both"/>
      </w:pPr>
      <w:r>
        <w:rPr>
          <w:rFonts w:ascii="Times New Roman" w:hAnsi="Times New Roman" w:eastAsia="方正仿宋_GBK"/>
          <w:b w:val="0"/>
          <w:sz w:val="24"/>
        </w:rPr>
        <w:t xml:space="preserve">方向统计以转接前最大正向、反向净负荷比较得到。存在反向净负荷的站点中，部分站仍以正向峰值为主；最大绝对值所在站与反向较大的站也可能不同。规划中分别保留两个方向，正向供电和反向输送分别使用对应容量约束。</w:t>
      </w:r>
    </w:p>
    <w:p>
      <w:bookmarkStart w:id="1377" w:name="h377"/>
      <w:pPr>
        <w:pStyle w:val="4"/>
        <w:keepNext/>
        <w:numPr>
          <w:numId w:val="0"/>
        </w:numPr>
        <w:spacing w:line="480" w:lineRule="exact" w:before="160" w:after="120"/>
        <w:ind w:firstLine="0"/>
      </w:pPr>
      <w:bookmarkStart w:id="134" w:name="运行特征的综合分析"/>
      <w:r>
        <w:rPr>
          <w:rFonts w:ascii="Times New Roman" w:hAnsi="Times New Roman" w:eastAsia="方正仿宋_GBK"/>
          <w:b/>
          <w:sz w:val="32"/>
        </w:rPr>
        <w:t xml:space="preserve">3.8 运行特征的综合分析</w:t>
      </w:r>
      <w:bookmarkEnd w:id="134"/>
      <w:bookmarkEnd w:id="1377"/>
    </w:p>
    <w:p>
      <w:pPr>
        <w:pStyle w:val="5"/>
        <w:keepNext/>
        <w:numPr>
          <w:numId w:val="0"/>
        </w:numPr>
        <w:spacing w:line="390" w:lineRule="exact" w:before="160" w:after="120"/>
        <w:ind w:firstLine="0"/>
      </w:pPr>
      <w:bookmarkStart w:id="135" w:name="容量建设与负荷变化的不同作用"/>
      <w:r>
        <w:rPr>
          <w:rFonts w:ascii="Times New Roman" w:hAnsi="Times New Roman" w:eastAsia="方正仿宋_GBK"/>
          <w:b/>
          <w:sz w:val="26"/>
        </w:rPr>
        <w:t xml:space="preserve">3.8.1 容量建设与负荷变化的不同作用</w:t>
      </w:r>
      <w:bookmarkEnd w:id="135"/>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可按容量和负荷两部分分解。先保持上年负荷并观察容量变化，再考虑分母变化，可以解释容载比增减的来源。下表采用与第五章相同的代数分解关系，将新增容量除以本年负荷作为容量变化贡献，将上年容量乘以两年负荷倒数之差作为负荷变化贡献，两项之和等于相邻年度容载比差值。</w:t>
      </w:r>
    </w:p>
    <w:p>
      <w:pPr>
        <w:pStyle w:val="2"/>
        <w:keepNext/>
        <w:spacing w:line="280" w:lineRule="exact" w:before="120" w:after="80"/>
        <w:ind w:firstLine="0"/>
        <w:jc w:val="center"/>
      </w:pPr>
      <w:r>
        <w:rPr>
          <w:rFonts w:ascii="Times New Roman" w:hAnsi="Times New Roman" w:eastAsia="宋体"/>
          <w:b w:val="0"/>
          <w:sz w:val="21"/>
        </w:rPr>
        <w:t xml:space="preserve">表3-17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由此，年度容载比偏高需要结合投产进度和当年负荷判断，不能直接等同于设备新增过多；容载比下降也需要联系存量调整和负荷兑现情况分析。</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避免用单一年份的高低值替代对完整发展过程的判断。第五章采用逐年方案，正是为了将这些变化落实到建设规模和投运时点。</w:t>
      </w:r>
    </w:p>
    <w:p>
      <w:pPr>
        <w:pStyle w:val="5"/>
        <w:keepNext/>
        <w:numPr>
          <w:numId w:val="0"/>
        </w:numPr>
        <w:spacing w:line="390" w:lineRule="exact" w:before="160" w:after="120"/>
        <w:ind w:firstLine="0"/>
      </w:pPr>
      <w:bookmarkStart w:id="136" w:name="光伏发电与用电高峰的季节关系"/>
      <w:r>
        <w:rPr>
          <w:rFonts w:ascii="Times New Roman" w:hAnsi="Times New Roman" w:eastAsia="方正仿宋_GBK"/>
          <w:b/>
          <w:sz w:val="26"/>
        </w:rPr>
        <w:t xml:space="preserve">3.8.2 光伏发电与用电高峰的季节关系</w:t>
      </w:r>
      <w:bookmarkEnd w:id="136"/>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光伏发电量与用户用电量共同决定分布式电源电量渗透率。邳州2025年月度估计中，5月分布式电源电量渗透率约60.26%，高于7月的37.85%；但7月光伏发电量约212845.47 MWh，高于5月的163851.67 MWh。其原因是7月用户用电量同步升高到562354.97 MWh，而5月为271920.09 MWh。分布式电源电量渗透率下降并不表示当月光伏发电量减少。</w:t>
      </w:r>
    </w:p>
    <w:p>
      <w:pPr>
        <w:pStyle w:val="2"/>
        <w:keepNext/>
        <w:spacing w:line="280" w:lineRule="exact" w:before="120" w:after="80"/>
        <w:ind w:firstLine="0"/>
        <w:jc w:val="center"/>
      </w:pPr>
      <w:r>
        <w:rPr>
          <w:rFonts w:ascii="Times New Roman" w:hAnsi="Times New Roman" w:eastAsia="宋体"/>
          <w:b w:val="0"/>
          <w:sz w:val="21"/>
        </w:rPr>
        <w:t xml:space="preserve">表3-18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32.94%</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55.17%</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33.21%</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43.44%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直接对月度分布式电源电量渗透率作算术平均，会给用电量不同的月份相同权重，所得结果与季度电量之比不一定相同。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从储能配置看，较高分布式电源电量渗透率能够说明本地电源对年度用电的贡献，却不能直接确定储能额定功率和能量。储能定容还要识别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7" w:name="区域容量储备与重载设备并存"/>
      <w:r>
        <w:rPr>
          <w:rFonts w:ascii="Times New Roman" w:hAnsi="Times New Roman" w:eastAsia="方正仿宋_GBK"/>
          <w:b/>
          <w:sz w:val="26"/>
        </w:rPr>
        <w:t xml:space="preserve">3.8.3 区域容量储备与重载设备并存</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80.00%及以上的有7台，占17.50%；市区61台样本中有7台，占11.48%。两地区最大值分别为92.40%和97.44%，高于各自约50.00%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分子是公用主变总容量，不能反映容量具体分布在哪一座站。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一台退出后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该指标不能替代站级负载率，也不能单独说明负荷在地理空间上是否集中。本报告据此按负荷分散系数分组，并结合各组站级负荷分配讨论容量配置。</w:t>
      </w:r>
    </w:p>
    <w:p>
      <w:pPr>
        <w:pStyle w:val="5"/>
        <w:keepNext/>
        <w:numPr>
          <w:numId w:val="0"/>
        </w:numPr>
        <w:spacing w:line="390" w:lineRule="exact" w:before="160" w:after="120"/>
        <w:ind w:firstLine="0"/>
      </w:pPr>
      <w:bookmarkStart w:id="138" w:name="两地区的容量规划重点"/>
      <w:r>
        <w:rPr>
          <w:rFonts w:ascii="Times New Roman" w:hAnsi="Times New Roman" w:eastAsia="方正仿宋_GBK"/>
          <w:b/>
          <w:sz w:val="26"/>
        </w:rPr>
        <w:t xml:space="preserve">3.8.4 两地区的容量规划重点</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MW。光伏规模和供电负荷同时发展，意味着规划不能只按照单向用电增长推算主变需求。日间反送较大的站点应结合本地负荷和电源位置安排容量，晚间正向高峰及主变N-1条件则继续决定供电储备。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不能脱离设备组合单独确定。</w:t>
      </w:r>
    </w:p>
    <w:p>
      <w:bookmarkStart w:id="1399" w:name="h399"/>
      <w:pPr>
        <w:pStyle w:val="3"/>
        <w:keepNext/>
        <w:pageBreakBefore/>
        <w:numPr>
          <w:numId w:val="0"/>
        </w:numPr>
        <w:spacing w:line="540" w:lineRule="exact" w:before="0" w:after="120"/>
        <w:ind w:firstLine="0"/>
      </w:pPr>
      <w:bookmarkStart w:id="139" w:name="第四章-基于实际工程的建设成本模型"/>
      <w:r>
        <w:rPr>
          <w:rFonts w:ascii="Times New Roman" w:hAnsi="Times New Roman" w:eastAsia="方正仿宋_GBK"/>
          <w:b/>
          <w:sz w:val="36"/>
        </w:rPr>
        <w:t xml:space="preserve">第四章 基于实际工程的建设成本模型</w:t>
      </w:r>
      <w:bookmarkEnd w:id="139"/>
      <w:bookmarkEnd w:id="1399"/>
    </w:p>
    <w:p>
      <w:bookmarkStart w:id="1400" w:name="h400"/>
      <w:pPr>
        <w:pStyle w:val="4"/>
        <w:keepNext/>
        <w:numPr>
          <w:numId w:val="0"/>
        </w:numPr>
        <w:spacing w:line="480" w:lineRule="exact" w:before="160" w:after="120"/>
        <w:ind w:firstLine="0"/>
      </w:pPr>
      <w:bookmarkStart w:id="140" w:name="成本模型的范围与建立原则"/>
      <w:r>
        <w:rPr>
          <w:rFonts w:ascii="Times New Roman" w:hAnsi="Times New Roman" w:eastAsia="方正仿宋_GBK"/>
          <w:b/>
          <w:sz w:val="32"/>
        </w:rPr>
        <w:t xml:space="preserve">4.1 成本模型的范围与建立原则</w:t>
      </w:r>
      <w:bookmarkEnd w:id="140"/>
      <w:bookmarkEnd w:id="1400"/>
    </w:p>
    <w:p>
      <w:pPr>
        <w:pStyle w:val="5"/>
        <w:keepNext/>
        <w:numPr>
          <w:numId w:val="0"/>
        </w:numPr>
        <w:spacing w:line="390" w:lineRule="exact" w:before="160" w:after="120"/>
        <w:ind w:firstLine="0"/>
      </w:pPr>
      <w:bookmarkStart w:id="141" w:name="建设改造措施与投资估算依据"/>
      <w:r>
        <w:rPr>
          <w:rFonts w:ascii="Times New Roman" w:hAnsi="Times New Roman" w:eastAsia="方正仿宋_GBK"/>
          <w:b/>
          <w:sz w:val="26"/>
        </w:rPr>
        <w:t xml:space="preserve">4.1.1 建设改造措施与投资估算依据</w:t>
      </w:r>
      <w:bookmarkEnd w:id="141"/>
    </w:p>
    <w:p>
      <w:pPr>
        <w:pStyle w:val="FirstParagraph"/>
        <w:widowControl/>
        <w:spacing w:line="348" w:lineRule="exact" w:before="0" w:after="0"/>
        <w:ind w:firstLine="480"/>
        <w:jc w:val="both"/>
      </w:pPr>
      <w:r>
        <w:rPr>
          <w:rFonts w:ascii="Times New Roman" w:hAnsi="Times New Roman" w:eastAsia="方正仿宋_GBK"/>
          <w:b w:val="0"/>
          <w:sz w:val="24"/>
        </w:rPr>
        <w:t xml:space="preserve">本研究比较新增主变、储能与10 kV联络措施的增量费用。根据分年度建设改造规模，按对应工程造价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的投资估算包括主变购置及配套出线等建设内容；储能成交公告包括设备采购及安装等范围；线路参考价来自公开规划造价。参考价格按各案例工程范围折算，通过主变与线路、主变与储能两个单位功率投资比检查价格变化对措施选择的影响[85][89][86]。</w:t>
      </w:r>
    </w:p>
    <w:p>
      <w:pPr>
        <w:pStyle w:val="5"/>
        <w:keepNext/>
        <w:numPr>
          <w:numId w:val="0"/>
        </w:numPr>
        <w:spacing w:line="390" w:lineRule="exact" w:before="160" w:after="120"/>
        <w:ind w:firstLine="0"/>
      </w:pPr>
      <w:bookmarkStart w:id="142" w:name="投资运维与更新"/>
      <w:r>
        <w:rPr>
          <w:rFonts w:ascii="Times New Roman" w:hAnsi="Times New Roman" w:eastAsia="方正仿宋_GBK"/>
          <w:b/>
          <w:sz w:val="26"/>
        </w:rPr>
        <w:t xml:space="preserve">4.1.2 投资、运维与更新</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工程固定运维率为初始投资的4.20%/年，线路为2.20%/年。储能固定运维率取3.00%/年，折现率取6.00%。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初始投资4.20%/年</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初始投资2.20%/年</w:t>
            </w:r>
          </w:p>
        </w:tc>
        <w:tc>
          <w:tcPr>
            <w:tcW w:type="dxa" w:w="382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初始投资3.00%/年</w:t>
            </w:r>
          </w:p>
        </w:tc>
        <w:tc>
          <w:tcPr>
            <w:tcW w:type="dxa" w:w="382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3" w:name="增量比较的适用范围"/>
      <w:r>
        <w:rPr>
          <w:rFonts w:ascii="Times New Roman" w:hAnsi="Times New Roman" w:eastAsia="方正仿宋_GBK"/>
          <w:b/>
          <w:sz w:val="26"/>
        </w:rPr>
        <w:t xml:space="preserve">4.1.3 增量比较的适用范围</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bookmarkStart w:id="1412" w:name="h412"/>
      <w:pPr>
        <w:pStyle w:val="4"/>
        <w:keepNext/>
        <w:numPr>
          <w:numId w:val="0"/>
        </w:numPr>
        <w:spacing w:line="480" w:lineRule="exact" w:before="160" w:after="120"/>
        <w:ind w:firstLine="0"/>
      </w:pPr>
      <w:bookmarkStart w:id="144" w:name="主变工程成本系数"/>
      <w:r>
        <w:rPr>
          <w:rFonts w:ascii="Times New Roman" w:hAnsi="Times New Roman" w:eastAsia="方正仿宋_GBK"/>
          <w:b/>
          <w:sz w:val="32"/>
        </w:rPr>
        <w:t xml:space="preserve">4.2 主变工程成本系数</w:t>
      </w:r>
      <w:bookmarkEnd w:id="144"/>
      <w:bookmarkEnd w:id="1412"/>
    </w:p>
    <w:p>
      <w:pPr>
        <w:pStyle w:val="5"/>
        <w:keepNext/>
        <w:numPr>
          <w:numId w:val="0"/>
        </w:numPr>
        <w:spacing w:line="390" w:lineRule="exact" w:before="160" w:after="120"/>
        <w:ind w:firstLine="0"/>
      </w:pPr>
      <w:bookmarkStart w:id="145" w:name="替换工程案例"/>
      <w:r>
        <w:rPr>
          <w:rFonts w:ascii="Times New Roman" w:hAnsi="Times New Roman" w:eastAsia="方正仿宋_GBK"/>
          <w:b/>
          <w:sz w:val="26"/>
        </w:rPr>
        <w:t xml:space="preserve">4.2.1 替换工程案例</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主变退出容量/MVA</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6" w:name="采购容量加权系数"/>
      <w:r>
        <w:rPr>
          <w:rFonts w:ascii="Times New Roman" w:hAnsi="Times New Roman" w:eastAsia="方正仿宋_GBK"/>
          <w:b/>
          <w:sz w:val="26"/>
        </w:rPr>
        <w:t xml:space="preserve">4.2.2 采购容量加权系数</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7" w:name="净增容量与工程费用"/>
      <w:r>
        <w:rPr>
          <w:rFonts w:ascii="Times New Roman" w:hAnsi="Times New Roman" w:eastAsia="方正仿宋_GBK"/>
          <w:b/>
          <w:sz w:val="26"/>
        </w:rPr>
        <w:t xml:space="preserve">4.2.3 净增容量与工程费用</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（4-2）</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分别为更换后、更换前容量，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48" w:name="主变扩建"/>
      <w:r>
        <w:rPr>
          <w:rFonts w:ascii="Times New Roman" w:hAnsi="Times New Roman" w:eastAsia="方正仿宋_GBK"/>
          <w:b/>
          <w:sz w:val="26"/>
        </w:rPr>
        <w:t xml:space="preserve">4.2.4 主变扩建</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（4-3）</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bookmarkStart w:id="1431" w:name="h431"/>
      <w:pPr>
        <w:pStyle w:val="4"/>
        <w:keepNext/>
        <w:numPr>
          <w:numId w:val="0"/>
        </w:numPr>
        <w:spacing w:line="480" w:lineRule="exact" w:before="160" w:after="120"/>
        <w:ind w:firstLine="0"/>
      </w:pPr>
      <w:bookmarkStart w:id="149" w:name="kv联络工程费用"/>
      <w:r>
        <w:rPr>
          <w:rFonts w:ascii="Times New Roman" w:hAnsi="Times New Roman" w:eastAsia="方正仿宋_GBK"/>
          <w:b/>
          <w:sz w:val="32"/>
        </w:rPr>
        <w:t xml:space="preserve">4.3 10 kV联络工程费用</w:t>
      </w:r>
      <w:bookmarkEnd w:id="149"/>
      <w:bookmarkEnd w:id="1431"/>
    </w:p>
    <w:p>
      <w:pPr>
        <w:pStyle w:val="5"/>
        <w:keepNext/>
        <w:numPr>
          <w:numId w:val="0"/>
        </w:numPr>
        <w:spacing w:line="390" w:lineRule="exact" w:before="160" w:after="120"/>
        <w:ind w:firstLine="0"/>
      </w:pPr>
      <w:bookmarkStart w:id="150" w:name="参考工程及单位造价"/>
      <w:r>
        <w:rPr>
          <w:rFonts w:ascii="Times New Roman" w:hAnsi="Times New Roman" w:eastAsia="方正仿宋_GBK"/>
          <w:b/>
          <w:sz w:val="26"/>
        </w:rPr>
        <w:t xml:space="preserve">4.3.1 参考工程及单位造价</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[89]。电缆采用含电气和土建的综合参考价180万元/km，其中土建按差额60万元/km计入研究费用。电缆工程投资范围包含电气安装及配套土建，徐州10 kV线路迁改工程公开建设内容亦包括相应电缆及通道工程[90]。</w:t>
      </w:r>
    </w:p>
    <w:p>
      <w:pPr>
        <w:pStyle w:val="5"/>
        <w:keepNext/>
        <w:numPr>
          <w:numId w:val="0"/>
        </w:numPr>
        <w:spacing w:line="390" w:lineRule="exact" w:before="160" w:after="120"/>
        <w:ind w:firstLine="0"/>
      </w:pPr>
      <w:bookmarkStart w:id="151" w:name="长度与敷设比例"/>
      <w:r>
        <w:rPr>
          <w:rFonts w:ascii="Times New Roman" w:hAnsi="Times New Roman" w:eastAsia="方正仿宋_GBK"/>
          <w:b/>
          <w:sz w:val="26"/>
        </w:rPr>
        <w:t xml:space="preserve">4.3.2 长度与敷设比例</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本研究等效候选新线长3 km。架空为主情景按90.00%架空和10.00%电缆，电缆为主情景按10.00%架空和90.00%电缆；各配置两台等效联络开关。两类工程的联络开关均按相同参考单价计取。邳州案例采用架空为主情景，市区采用电缆为主情景；通用外推将线路类型与供电区域类别交叉计算。架空为主的初始投资按式（4-4）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L</m:t>
                    </m:r>
                  </m:sub>
                </m:sSub>
                <m:r>
                  <m:t>=</m:t>
                </m:r>
                <m:r>
                  <m:t>3</m:t>
                </m:r>
                <m:d>
                  <m:dPr>
                    <m:begChr m:val="("/>
                    <m:endChr m:val=")"/>
                    <m:grow/>
                  </m:dPr>
                  <m:e>
                    <m:r>
                      <m:t>0.90</m:t>
                    </m:r>
                    <m:r>
                      <m:t>×</m:t>
                    </m:r>
                    <m:r>
                      <m:t>24</m:t>
                    </m:r>
                    <m:r>
                      <m:t>+</m:t>
                    </m:r>
                    <m:r>
                      <m:t>0.10</m:t>
                    </m:r>
                    <m:r>
                      <m:t>×</m:t>
                    </m:r>
                    <m:r>
                      <m:t>180</m:t>
                    </m:r>
                  </m:e>
                </m:d>
                <m:r>
                  <m:t>+</m:t>
                </m:r>
                <m:r>
                  <m:t>2</m:t>
                </m:r>
                <m:r>
                  <m:t>×</m:t>
                </m:r>
                <m:r>
                  <m:t>3</m:t>
                </m:r>
                <m:r>
                  <m:t>=</m:t>
                </m:r>
                <m:r>
                  <m:t>124.80</m:t>
                </m:r>
                <m:r>
                  <m:t> </m:t>
                </m:r>
                <m:r>
                  <m:rPr>
                    <m:nor/>
                    <m:sty m:val="p"/>
                  </m:rPr>
                  <m:t>万元/项</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（4-4）</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为单项目初始投资，单位万元；3为线路长度，单位km；0.90和0.10分别为架空与电缆长度占比；24和180为相应单位造价，单位万元/km；末项按2台开关、3万元/台计算。</w:t>
      </w:r>
    </w:p>
    <w:p>
      <w:pPr>
        <w:pStyle w:val="2"/>
        <w:widowControl/>
        <w:spacing w:line="348" w:lineRule="exact" w:before="0" w:after="0"/>
        <w:ind w:firstLine="480"/>
        <w:jc w:val="both"/>
      </w:pPr>
      <w:r>
        <w:rPr>
          <w:rFonts w:ascii="Times New Roman" w:hAnsi="Times New Roman" w:eastAsia="方正仿宋_GBK"/>
          <w:b w:val="0"/>
          <w:sz w:val="24"/>
        </w:rPr>
        <w:t xml:space="preserve">架空为主项目投资124.80万元，电缆为主为499.20万元；电缆综合单价已包括土建。矩阵改变线路价格倍数时，统一作用于该工程投资和后续固定运维。新增联络按连接站点及所需转移负荷配置。</w:t>
      </w:r>
    </w:p>
    <w:p>
      <w:pPr>
        <w:pStyle w:val="2"/>
        <w:keepNext/>
        <w:spacing w:line="280" w:lineRule="exact" w:before="120" w:after="80"/>
        <w:ind w:firstLine="0"/>
        <w:jc w:val="center"/>
      </w:pPr>
      <w:r>
        <w:rPr>
          <w:rFonts w:ascii="Times New Roman" w:hAnsi="Times New Roman" w:eastAsia="宋体"/>
          <w:b w:val="0"/>
          <w:sz w:val="21"/>
        </w:rPr>
        <w:t xml:space="preserve">表4-3 两类等效联络线投资构成</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架空为主工程量</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费用/万元</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电缆为主工程量</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费用/万元</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64.80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7.20</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电缆电气</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36.00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324.00</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电缆土建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18.00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162.00</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等效开关</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2台</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2台</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合计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124.80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499.20</w:t>
            </w:r>
          </w:p>
        </w:tc>
      </w:tr>
    </w:tbl>
    <w:p>
      <w:pPr>
        <w:pStyle w:val="5"/>
        <w:keepNext/>
        <w:numPr>
          <w:numId w:val="0"/>
        </w:numPr>
        <w:spacing w:line="390" w:lineRule="exact" w:before="160" w:after="120"/>
        <w:ind w:firstLine="0"/>
      </w:pPr>
      <w:bookmarkStart w:id="152" w:name="有效转接任务及价格比"/>
      <w:r>
        <w:rPr>
          <w:rFonts w:ascii="Times New Roman" w:hAnsi="Times New Roman" w:eastAsia="方正仿宋_GBK"/>
          <w:b/>
          <w:sz w:val="26"/>
        </w:rPr>
        <w:t xml:space="preserve">4.3.3 有效转接任务及价格比</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候选线2025年区段负荷筛查取7.49 MW，低于按允许电流折算的线路有功容量9.05 MW，因此架空为主、电缆为主的单位可转负荷投资分别为16.66、66.64万元/MW。实际线路的有效可转负荷依据区段负荷、热限及受端余量核定。</w:t>
      </w:r>
    </w:p>
    <w:p>
      <w:pPr>
        <w:pStyle w:val="2"/>
        <w:widowControl/>
        <w:spacing w:line="348" w:lineRule="exact" w:before="0" w:after="0"/>
        <w:ind w:firstLine="480"/>
        <w:jc w:val="both"/>
      </w:pPr>
      <w:r>
        <w:rPr>
          <w:rFonts w:ascii="Times New Roman" w:hAnsi="Times New Roman" w:eastAsia="方正仿宋_GBK"/>
          <w:b w:val="0"/>
          <w:sz w:val="24"/>
        </w:rPr>
        <w:t xml:space="preserve">新增等效联络项目按邳州局部可切换负荷区段提供7.49 MW的能力增量，作用于站级转供能力预算。既有能力利用与新建工程分别进入寻优，项目投资按一次建设计取。</w:t>
      </w:r>
    </w:p>
    <w:p>
      <w:bookmarkStart w:id="1442" w:name="h442"/>
      <w:pPr>
        <w:pStyle w:val="4"/>
        <w:keepNext/>
        <w:numPr>
          <w:numId w:val="0"/>
        </w:numPr>
        <w:spacing w:line="480" w:lineRule="exact" w:before="160" w:after="120"/>
        <w:ind w:firstLine="0"/>
      </w:pPr>
      <w:bookmarkStart w:id="153" w:name="储能投资模型"/>
      <w:r>
        <w:rPr>
          <w:rFonts w:ascii="Times New Roman" w:hAnsi="Times New Roman" w:eastAsia="方正仿宋_GBK"/>
          <w:b/>
          <w:sz w:val="32"/>
        </w:rPr>
        <w:t xml:space="preserve">4.4 储能投资模型</w:t>
      </w:r>
      <w:bookmarkEnd w:id="153"/>
      <w:bookmarkEnd w:id="1442"/>
    </w:p>
    <w:p>
      <w:pPr>
        <w:pStyle w:val="5"/>
        <w:keepNext/>
        <w:numPr>
          <w:numId w:val="0"/>
        </w:numPr>
        <w:spacing w:line="390" w:lineRule="exact" w:before="160" w:after="120"/>
        <w:ind w:firstLine="0"/>
      </w:pPr>
      <w:bookmarkStart w:id="154" w:name="储能规格与采购价格依据"/>
      <w:r>
        <w:rPr>
          <w:rFonts w:ascii="Times New Roman" w:hAnsi="Times New Roman" w:eastAsia="方正仿宋_GBK"/>
          <w:b/>
          <w:sz w:val="26"/>
        </w:rPr>
        <w:t xml:space="preserve">4.4.1 储能规格与采购价格依据</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kWh柜规格。苏州采购公告的储能柜子项最高限价为27.20万元，作为单柜价格参考[91]。模型投资采用浏阳用户侧储能项目的成套中标价210.46万元，保证交付规模为1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储能采购价格依据[91][86]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5" w:name="成套柜单位价格"/>
      <w:r>
        <w:rPr>
          <w:rFonts w:ascii="Times New Roman" w:hAnsi="Times New Roman" w:eastAsia="方正仿宋_GBK"/>
          <w:b/>
          <w:sz w:val="26"/>
        </w:rPr>
        <w:t xml:space="preserve">4.4.2 成套柜单位价格</w:t>
      </w:r>
      <w:bookmarkEnd w:id="155"/>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（4-5）</w:t>
            </w:r>
          </w:p>
        </w:tc>
      </w:tr>
    </w:tbl>
    <w:p>
      <w:pPr>
        <w:pStyle w:val="FirstParagraph"/>
        <w:widowControl/>
        <w:spacing w:line="348" w:lineRule="atLeast" w:before="0" w:after="0"/>
        <w:ind w:firstLine="48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6" w:name="储能充放电功率与持续时间"/>
      <w:r>
        <w:rPr>
          <w:rFonts w:ascii="Times New Roman" w:hAnsi="Times New Roman" w:eastAsia="方正仿宋_GBK"/>
          <w:b/>
          <w:sz w:val="26"/>
        </w:rPr>
        <w:t xml:space="preserve">4.4.3 储能充放电功率与持续时间</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对持续</w:t>
      </w:r>
      <m:oMath>
        <m:r>
          <m:t>d</m:t>
        </m:r>
      </m:oMath>
      <w:r>
        <w:rPr>
          <w:rFonts w:ascii="Times New Roman" w:hAnsi="Times New Roman" w:eastAsia="方正仿宋_GBK"/>
          <w:b w:val="0"/>
          <w:sz w:val="24"/>
        </w:rPr>
        <w:t xml:space="preserve">小时的峰段，</w:t>
      </w:r>
      <m:oMath>
        <m:r>
          <m:t>n</m:t>
        </m:r>
      </m:oMath>
      <w:r>
        <w:rPr>
          <w:rFonts w:ascii="Times New Roman" w:hAnsi="Times New Roman" w:eastAsia="方正仿宋_GBK"/>
          <w:b w:val="0"/>
          <w:sz w:val="24"/>
        </w:rPr>
        <w:t xml:space="preserve">柜储能的充放电功率取铭牌功率与能量持续功率较小者。式（4-6）将额定功率限制与峰段能量限制合并表示。</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t>B</m:t>
                </m:r>
                <m:r>
                  <m:t>(</m:t>
                </m:r>
                <m:r>
                  <m:t>n</m:t>
                </m:r>
                <m:r>
                  <m:t>,</m:t>
                </m:r>
                <m:r>
                  <m:t>d</m:t>
                </m:r>
                <m:r>
                  <m:t>)</m:t>
                </m:r>
                <m:r>
                  <m:t>=</m:t>
                </m:r>
                <m:f>
                  <m:fPr>
                    <m:type m:val="bar"/>
                  </m:fPr>
                  <m:num>
                    <m:r>
                      <m:t>215</m:t>
                    </m:r>
                    <m:r>
                      <m:t>n</m:t>
                    </m:r>
                  </m:num>
                  <m:den>
                    <m:r>
                      <m:t>1000</m:t>
                    </m:r>
                    <m:r>
                      <m:rPr>
                        <m:nor/>
                        <m:sty m:val="p"/>
                      </m:rPr>
                      <m:t>max</m:t>
                    </m:r>
                    <m:r>
                      <m:t>(</m:t>
                    </m:r>
                    <m:r>
                      <m:t>2.15</m:t>
                    </m:r>
                    <m:r>
                      <m:t>,</m:t>
                    </m:r>
                    <m:r>
                      <m:t>d</m:t>
                    </m:r>
                    <m:r>
                      <m:t>)</m:t>
                    </m:r>
                  </m:den>
                </m:f>
                <m:r>
                  <m:t>,</m:t>
                </m:r>
                <m:r>
                  <m:t>  </m:t>
                </m:r>
                <m:r>
                  <m:t>d</m:t>
                </m:r>
                <m:r>
                  <m:t>≥</m:t>
                </m:r>
                <m:r>
                  <m:t>0</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（4-6）</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B</m:t>
        </m:r>
        <m:r>
          <m:t>(</m:t>
        </m:r>
        <m:r>
          <m:t>n</m:t>
        </m:r>
        <m:r>
          <m:t>,</m:t>
        </m:r>
        <m:r>
          <m:t>d</m:t>
        </m:r>
        <m:r>
          <m:t>)</m:t>
        </m:r>
      </m:oMath>
      <w:r>
        <w:rPr>
          <w:rFonts w:ascii="Times New Roman" w:hAnsi="Times New Roman" w:eastAsia="方正仿宋_GBK"/>
          <w:b w:val="0"/>
          <w:sz w:val="24"/>
        </w:rPr>
        <w:t xml:space="preserve">为</w:t>
      </w:r>
      <m:oMath>
        <m:r>
          <m:t>n</m:t>
        </m:r>
      </m:oMath>
      <w:r>
        <w:rPr>
          <w:rFonts w:ascii="Times New Roman" w:hAnsi="Times New Roman" w:eastAsia="方正仿宋_GBK"/>
          <w:b w:val="0"/>
          <w:sz w:val="24"/>
        </w:rPr>
        <w:t xml:space="preserve">柜储能在持续</w:t>
      </w:r>
      <m:oMath>
        <m:r>
          <m:t>d</m:t>
        </m:r>
      </m:oMath>
      <w:r>
        <w:rPr>
          <w:rFonts w:ascii="Times New Roman" w:hAnsi="Times New Roman" w:eastAsia="方正仿宋_GBK"/>
          <w:b w:val="0"/>
          <w:sz w:val="24"/>
        </w:rPr>
        <w:t xml:space="preserve">小时峰段中的充放电功率，单位MW；</w:t>
      </w:r>
      <m:oMath>
        <m:r>
          <m:t>n</m:t>
        </m:r>
      </m:oMath>
      <w:r>
        <w:rPr>
          <w:rFonts w:ascii="Times New Roman" w:hAnsi="Times New Roman" w:eastAsia="方正仿宋_GBK"/>
          <w:b w:val="0"/>
          <w:sz w:val="24"/>
        </w:rPr>
        <w:t xml:space="preserve">为非负整数柜数，</w:t>
      </w:r>
      <m:oMath>
        <m:r>
          <m:t>d</m:t>
        </m:r>
      </m:oMath>
      <w:r>
        <w:rPr>
          <w:rFonts w:ascii="Times New Roman" w:hAnsi="Times New Roman" w:eastAsia="方正仿宋_GBK"/>
          <w:b w:val="0"/>
          <w:sz w:val="24"/>
        </w:rPr>
        <w:t xml:space="preserve">为峰值持续时间，单位h；215为单柜能量，单位kWh，2.15 h为额定能量与功率之比。</w:t>
      </w:r>
    </w:p>
    <w:p>
      <w:pPr>
        <w:pStyle w:val="2"/>
        <w:widowControl/>
        <w:spacing w:line="348" w:lineRule="exact" w:before="0" w:after="0"/>
        <w:ind w:firstLine="480"/>
        <w:jc w:val="both"/>
      </w:pPr>
      <w:r>
        <w:rPr>
          <w:rFonts w:ascii="Times New Roman" w:hAnsi="Times New Roman" w:eastAsia="方正仿宋_GBK"/>
          <w:b w:val="0"/>
          <w:sz w:val="24"/>
        </w:rPr>
        <w:t xml:space="preserve">10柜组合在1 h和2 h场景可以提供1 MW，3 h时为0.72 MW，4 h时为0.54 MW。储能单位充放电功率投资按对应持续时间分别计算。</w:t>
      </w:r>
    </w:p>
    <w:p>
      <w:pPr>
        <w:pStyle w:val="2"/>
        <w:keepNext/>
        <w:spacing w:line="280" w:lineRule="exact" w:before="120" w:after="80"/>
        <w:ind w:firstLine="0"/>
        <w:jc w:val="center"/>
      </w:pPr>
      <w:r>
        <w:rPr>
          <w:rFonts w:ascii="Times New Roman" w:hAnsi="Times New Roman" w:eastAsia="宋体"/>
          <w:b w:val="0"/>
          <w:sz w:val="21"/>
        </w:rPr>
        <w:t xml:space="preserve">表4-5 10柜组合理想持续支撑与初始费用（式4-6）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储能充放电功率/MW</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储能单位充放电功率投资/（万元/MW）</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2.15</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0.72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293.66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0.54</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391.55</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0.04</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0.36</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587.32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0.03</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0.27</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783.09</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1174.64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0.01</w:t>
            </w:r>
          </w:p>
        </w:tc>
      </w:tr>
    </w:tbl>
    <w:p>
      <w:pPr>
        <w:pStyle w:val="2"/>
        <w:keepNext/>
        <w:spacing w:line="240" w:lineRule="auto" w:before="120" w:after="0"/>
        <w:ind w:firstLine="0"/>
        <w:jc w:val="center"/>
      </w:pPr>
      <w:r>
        <w:drawing>
          <wp:inline>
            <wp:extent cx="5120640" cy="270494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7"/>
                    <a:stretch>
                      <a:fillRect/>
                    </a:stretch>
                  </pic:blipFill>
                  <pic:spPr bwMode="auto">
                    <a:xfrm>
                      <a:off x="0" y="0"/>
                      <a:ext cx="5120640" cy="270494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图4-1 储能单位充放电功率投资与持续时间</w:t>
      </w:r>
    </w:p>
    <w:p>
      <w:pPr>
        <w:pStyle w:val="5"/>
        <w:keepNext/>
        <w:numPr>
          <w:numId w:val="0"/>
        </w:numPr>
        <w:spacing w:line="390" w:lineRule="exact" w:before="160" w:after="120"/>
        <w:ind w:firstLine="0"/>
      </w:pPr>
      <w:bookmarkStart w:id="158" w:name="可用能力与工程适用性"/>
      <w:r>
        <w:rPr>
          <w:rFonts w:ascii="Times New Roman" w:hAnsi="Times New Roman" w:eastAsia="方正仿宋_GBK"/>
          <w:b/>
          <w:sz w:val="26"/>
        </w:rPr>
        <w:t xml:space="preserve">4.4.4 可用能力与工程适用性</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按铭牌功率与能量进行峰段静态折算。正向支撑对应储能放电，反向支撑对应储能充电吸收功率；两者分别需要可放电能量和可充电空间。当前模型未追踪荷电状态，不能保证同一储能配置在各次正反向事件中始终具备所计能力。工程设计采用保证可用功率、能量和充放电效率，并通过连续时序核对充放电状态及充电条件，核定实际可持续支撑能力。</w:t>
      </w:r>
    </w:p>
    <w:p>
      <w:bookmarkStart w:id="1459" w:name="h459"/>
      <w:pPr>
        <w:pStyle w:val="4"/>
        <w:keepNext/>
        <w:numPr>
          <w:numId w:val="0"/>
        </w:numPr>
        <w:spacing w:line="480" w:lineRule="exact" w:before="160" w:after="120"/>
        <w:ind w:firstLine="0"/>
      </w:pPr>
      <w:bookmarkStart w:id="159" w:name="单位功率投资比及价格影响分析"/>
      <w:r>
        <w:rPr>
          <w:rFonts w:ascii="Times New Roman" w:hAnsi="Times New Roman" w:eastAsia="方正仿宋_GBK"/>
          <w:b/>
          <w:sz w:val="32"/>
        </w:rPr>
        <w:t xml:space="preserve">4.5 单位功率投资比及价格影响分析</w:t>
      </w:r>
      <w:bookmarkEnd w:id="159"/>
      <w:bookmarkEnd w:id="1459"/>
    </w:p>
    <w:p>
      <w:pPr>
        <w:pStyle w:val="5"/>
        <w:keepNext/>
        <w:numPr>
          <w:numId w:val="0"/>
        </w:numPr>
        <w:spacing w:line="390" w:lineRule="exact" w:before="160" w:after="120"/>
        <w:ind w:firstLine="0"/>
      </w:pPr>
      <w:bookmarkStart w:id="160" w:name="主变与线路单位功率投资比"/>
      <w:r>
        <w:rPr>
          <w:rFonts w:ascii="Times New Roman" w:hAnsi="Times New Roman" w:eastAsia="方正仿宋_GBK"/>
          <w:b/>
          <w:sz w:val="26"/>
        </w:rPr>
        <w:t xml:space="preserve">4.5.1 主变与线路单位功率投资比</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采用相同单位的初始投资尺度，主变单位新购有功功率投资与线路单位可转负荷投资之比记为</w:t>
      </w:r>
      <m:oMath>
        <m:sSub>
          <m:e>
            <m:r>
              <m:t>k</m:t>
            </m:r>
          </m:e>
          <m:sub>
            <m:r>
              <m:t>T</m:t>
            </m:r>
            <m:r>
              <m:t>L</m:t>
            </m:r>
          </m:sub>
        </m:sSub>
      </m:oMath>
      <w:r>
        <w:rPr>
          <w:rFonts w:ascii="Times New Roman" w:hAnsi="Times New Roman" w:eastAsia="方正仿宋_GBK"/>
          <w:b w:val="0"/>
          <w:sz w:val="24"/>
        </w:rPr>
        <w:t xml:space="preserve">。式（4-7）对应本研究参考规模，主变系数来自实际替换工程，线路价格及有效任务取前述情景[85][89]。</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L</m:t>
                    </m:r>
                  </m:sub>
                </m:sSub>
                <m:r>
                  <m:t>=</m:t>
                </m:r>
                <m:f>
                  <m:fPr>
                    <m:type m:val="bar"/>
                  </m:fPr>
                  <m:num>
                    <m:sSub>
                      <m:e>
                        <m:r>
                          <m:t>c</m:t>
                        </m:r>
                      </m:e>
                      <m:sub>
                        <m:r>
                          <m:t>T</m:t>
                        </m:r>
                      </m:sub>
                    </m:sSub>
                    <m:r>
                      <m:t>/</m:t>
                    </m:r>
                    <m:r>
                      <m:t>0.95</m:t>
                    </m:r>
                  </m:num>
                  <m:den>
                    <m:sSub>
                      <m:e>
                        <m:r>
                          <m:t>I</m:t>
                        </m:r>
                      </m:e>
                      <m:sub>
                        <m:r>
                          <m:t>L</m:t>
                        </m:r>
                      </m:sub>
                    </m:sSub>
                    <m:r>
                      <m:t>/</m:t>
                    </m:r>
                    <m:sSub>
                      <m:e>
                        <m:r>
                          <m:t>F</m:t>
                        </m:r>
                      </m:e>
                      <m:sub>
                        <m:r>
                          <m:t>L</m:t>
                        </m:r>
                      </m:sub>
                    </m:sSub>
                  </m:den>
                </m:f>
                <m:r>
                  <m:t>=</m:t>
                </m:r>
                <m:f>
                  <m:fPr>
                    <m:type m:val="bar"/>
                  </m:fPr>
                  <m:num>
                    <m:r>
                      <m:t>16.57</m:t>
                    </m:r>
                    <m:r>
                      <m:t>/</m:t>
                    </m:r>
                    <m:r>
                      <m:t>0.95</m:t>
                    </m:r>
                  </m:num>
                  <m:den>
                    <m:r>
                      <m:t>124.80</m:t>
                    </m:r>
                    <m:r>
                      <m:t>/</m:t>
                    </m:r>
                    <m:r>
                      <m:t>7.49</m:t>
                    </m:r>
                  </m:den>
                </m:f>
                <m:r>
                  <m:t>≈</m:t>
                </m:r>
                <m:r>
                  <m:t>1.05</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（4-7）</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k</m:t>
            </m:r>
          </m:e>
          <m:sub>
            <m:r>
              <m:t>T</m:t>
            </m:r>
            <m:r>
              <m:t>L</m:t>
            </m:r>
          </m:sub>
        </m:sSub>
      </m:oMath>
      <w:r>
        <w:rPr>
          <w:rFonts w:ascii="Times New Roman" w:hAnsi="Times New Roman" w:eastAsia="方正仿宋_GBK"/>
          <w:b w:val="0"/>
          <w:sz w:val="24"/>
        </w:rPr>
        <w:t xml:space="preserve">为主变与线路单位功率投资比，无量纲；</w:t>
      </w:r>
      <m:oMath>
        <m:sSub>
          <m:e>
            <m:r>
              <m:t>F</m:t>
            </m:r>
          </m:e>
          <m:sub>
            <m:r>
              <m:t>L</m:t>
            </m:r>
          </m:sub>
        </m:sSub>
      </m:oMath>
      <w:r>
        <w:rPr>
          <w:rFonts w:ascii="Times New Roman" w:hAnsi="Times New Roman" w:eastAsia="方正仿宋_GBK"/>
          <w:b w:val="0"/>
          <w:sz w:val="24"/>
        </w:rPr>
        <w:t xml:space="preserve">为单项目可转负荷，取7.49 MW；</w:t>
      </w:r>
      <m:oMath>
        <m:sSub>
          <m:e>
            <m:r>
              <m:t>I</m:t>
            </m:r>
          </m:e>
          <m:sub>
            <m:r>
              <m:t>L</m:t>
            </m:r>
          </m:sub>
        </m:sSub>
      </m:oMath>
      <w:r>
        <w:rPr>
          <w:rFonts w:ascii="Times New Roman" w:hAnsi="Times New Roman" w:eastAsia="方正仿宋_GBK"/>
          <w:b w:val="0"/>
          <w:sz w:val="24"/>
        </w:rPr>
        <w:t xml:space="preserve">为单项目投资，单位万元；</w:t>
      </w:r>
      <m:oMath>
        <m:sSub>
          <m:e>
            <m:r>
              <m:t>c</m:t>
            </m:r>
          </m:e>
          <m:sub>
            <m:r>
              <m:t>T</m:t>
            </m:r>
          </m:sub>
        </m:sSub>
      </m:oMath>
      <w:r>
        <w:rPr>
          <w:rFonts w:ascii="Times New Roman" w:hAnsi="Times New Roman" w:eastAsia="方正仿宋_GBK"/>
          <w:b w:val="0"/>
          <w:sz w:val="24"/>
        </w:rPr>
        <w:t xml:space="preserve">为主变新购容量投资系数，0.95为功率因数。</w:t>
      </w:r>
    </w:p>
    <w:p>
      <w:pPr>
        <w:pStyle w:val="2"/>
        <w:widowControl/>
        <w:spacing w:line="348" w:lineRule="exact" w:before="0" w:after="0"/>
        <w:ind w:firstLine="480"/>
        <w:jc w:val="both"/>
      </w:pPr>
      <w:r>
        <w:rPr>
          <w:rFonts w:ascii="Times New Roman" w:hAnsi="Times New Roman" w:eastAsia="方正仿宋_GBK"/>
          <w:b w:val="0"/>
          <w:sz w:val="24"/>
        </w:rPr>
        <w:t xml:space="preserve">主变增容增加本站容量，联络建设利用相邻站容量承接负荷。两者的经济替代取决于送受端容量和线路可转负荷，单位功率投资比用于比较相对投资水平。</w:t>
      </w:r>
    </w:p>
    <w:p>
      <w:pPr>
        <w:pStyle w:val="2"/>
        <w:widowControl/>
        <w:spacing w:line="348" w:lineRule="exact" w:before="0" w:after="0"/>
        <w:ind w:firstLine="480"/>
        <w:jc w:val="both"/>
      </w:pPr>
      <w:r>
        <w:rPr>
          <w:rFonts w:ascii="Times New Roman" w:hAnsi="Times New Roman" w:eastAsia="方正仿宋_GBK"/>
          <w:b w:val="0"/>
          <w:sz w:val="24"/>
        </w:rPr>
        <w:t xml:space="preserve">电缆为主情景的初始投资比约为0.26。主变参考价不变时，线路越贵，该投资比越小；较小的比值表示增加主变容量相对于新建联络更便宜。线路类型通过敷设比例改变费用，价格倍数用于检查同类工程的价格波动。</w:t>
      </w:r>
    </w:p>
    <w:p>
      <w:pPr>
        <w:pStyle w:val="2"/>
        <w:widowControl/>
        <w:spacing w:line="348" w:lineRule="exact" w:before="0" w:after="0"/>
        <w:ind w:firstLine="480"/>
        <w:jc w:val="both"/>
      </w:pPr>
      <w:r>
        <w:rPr>
          <w:rFonts w:ascii="Times New Roman" w:hAnsi="Times New Roman" w:eastAsia="方正仿宋_GBK"/>
          <w:b w:val="0"/>
          <w:sz w:val="24"/>
        </w:rPr>
        <w:t xml:space="preserve">线路价格乘以0.75或1.25时，主变价格保持，比例相对于基准分别变为1/0.75与1/1.25。联络容量、负荷和候选集合不因改变价格而变化。这样可以将价格影响与技术能力影响分开观察。</w:t>
      </w:r>
    </w:p>
    <w:p>
      <w:pPr>
        <w:pStyle w:val="5"/>
        <w:keepNext/>
        <w:numPr>
          <w:numId w:val="0"/>
        </w:numPr>
        <w:spacing w:line="390" w:lineRule="exact" w:before="160" w:after="120"/>
        <w:ind w:firstLine="0"/>
      </w:pPr>
      <w:bookmarkStart w:id="161" w:name="主变与储能单位功率投资比"/>
      <w:r>
        <w:rPr>
          <w:rFonts w:ascii="Times New Roman" w:hAnsi="Times New Roman" w:eastAsia="方正仿宋_GBK"/>
          <w:b/>
          <w:sz w:val="26"/>
        </w:rPr>
        <w:t xml:space="preserve">4.5.2 主变与储能单位功率投资比</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主变单位新购有功功率投资与</w:t>
      </w:r>
      <m:oMath>
        <m:r>
          <m:t>d</m:t>
        </m:r>
      </m:oMath>
      <w:r>
        <w:rPr>
          <w:rFonts w:ascii="Times New Roman" w:hAnsi="Times New Roman" w:eastAsia="方正仿宋_GBK"/>
          <w:b w:val="0"/>
          <w:sz w:val="24"/>
        </w:rPr>
        <w:t xml:space="preserve">小时储能单位充放电功率投资之比记为</w:t>
      </w:r>
      <m:oMath>
        <m:sSub>
          <m:e>
            <m:r>
              <m:t>k</m:t>
            </m:r>
          </m:e>
          <m:sub>
            <m:r>
              <m:t>T</m:t>
            </m:r>
            <m:r>
              <m:t>B</m:t>
            </m:r>
          </m:sub>
        </m:sSub>
        <m:r>
          <m:t>(</m:t>
        </m:r>
        <m:r>
          <m:t>d</m:t>
        </m:r>
        <m:r>
          <m:t>)</m:t>
        </m:r>
      </m:oMath>
      <w:r>
        <w:rPr>
          <w:rFonts w:ascii="Times New Roman" w:hAnsi="Times New Roman" w:eastAsia="方正仿宋_GBK"/>
          <w:b w:val="0"/>
          <w:sz w:val="24"/>
        </w:rPr>
        <w:t xml:space="preserve">。式（4-8）以10柜组合为尺度，使持续时间明确进入比例。</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B</m:t>
                    </m:r>
                  </m:sub>
                </m:sSub>
                <m:r>
                  <m:t>(</m:t>
                </m:r>
                <m:r>
                  <m:t>d</m:t>
                </m:r>
                <m:r>
                  <m:t>)</m:t>
                </m:r>
                <m:r>
                  <m:t>=</m:t>
                </m:r>
                <m:f>
                  <m:fPr>
                    <m:type m:val="bar"/>
                  </m:fPr>
                  <m:num>
                    <m:sSub>
                      <m:e>
                        <m:r>
                          <m:t>c</m:t>
                        </m:r>
                      </m:e>
                      <m:sub>
                        <m:r>
                          <m:t>T</m:t>
                        </m:r>
                      </m:sub>
                    </m:sSub>
                    <m:r>
                      <m:t>/</m:t>
                    </m:r>
                    <m:r>
                      <m:t>0.95</m:t>
                    </m:r>
                  </m:num>
                  <m:den>
                    <m:r>
                      <m:t>210.46</m:t>
                    </m:r>
                    <m:r>
                      <m:t>/</m:t>
                    </m:r>
                    <m:r>
                      <m:t>B</m:t>
                    </m:r>
                    <m:r>
                      <m:t>(</m:t>
                    </m:r>
                    <m:r>
                      <m:t>10</m:t>
                    </m:r>
                    <m:r>
                      <m:t>,</m:t>
                    </m:r>
                    <m:r>
                      <m:t>d</m:t>
                    </m:r>
                    <m:r>
                      <m:t>)</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（4-8）</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k</m:t>
            </m:r>
          </m:e>
          <m:sub>
            <m:r>
              <m:t>T</m:t>
            </m:r>
            <m:r>
              <m:t>B</m:t>
            </m:r>
          </m:sub>
        </m:sSub>
        <m:r>
          <m:t>(</m:t>
        </m:r>
        <m:r>
          <m:t>d</m:t>
        </m:r>
        <m:r>
          <m:t>)</m:t>
        </m:r>
      </m:oMath>
      <w:r>
        <w:rPr>
          <w:rFonts w:ascii="Times New Roman" w:hAnsi="Times New Roman" w:eastAsia="方正仿宋_GBK"/>
          <w:b w:val="0"/>
          <w:sz w:val="24"/>
        </w:rPr>
        <w:t xml:space="preserve">为持续</w:t>
      </w:r>
      <m:oMath>
        <m:r>
          <m:t>d</m:t>
        </m:r>
      </m:oMath>
      <w:r>
        <w:rPr>
          <w:rFonts w:ascii="Times New Roman" w:hAnsi="Times New Roman" w:eastAsia="方正仿宋_GBK"/>
          <w:b w:val="0"/>
          <w:sz w:val="24"/>
        </w:rPr>
        <w:t xml:space="preserve">小时的主变与储能单位功率投资比，无量纲；</w:t>
      </w:r>
      <m:oMath>
        <m:r>
          <m:t>B</m:t>
        </m:r>
        <m:r>
          <m:t>(</m:t>
        </m:r>
        <m:r>
          <m:t>10</m:t>
        </m:r>
        <m:r>
          <m:t>,</m:t>
        </m:r>
        <m:r>
          <m:t>d</m:t>
        </m:r>
        <m:r>
          <m:t>)</m:t>
        </m:r>
      </m:oMath>
      <w:r>
        <w:rPr>
          <w:rFonts w:ascii="Times New Roman" w:hAnsi="Times New Roman" w:eastAsia="方正仿宋_GBK"/>
          <w:b w:val="0"/>
          <w:sz w:val="24"/>
        </w:rPr>
        <w:t xml:space="preserve">为10柜组合充放电功率，单位MW；210.46为该包参考投资，单位万元。</w:t>
      </w:r>
    </w:p>
    <w:p>
      <w:pPr>
        <w:pStyle w:val="2"/>
        <w:widowControl/>
        <w:spacing w:line="348" w:lineRule="exact" w:before="0" w:after="0"/>
        <w:ind w:firstLine="480"/>
        <w:jc w:val="both"/>
      </w:pPr>
      <w:r>
        <w:rPr>
          <w:rFonts w:ascii="Times New Roman" w:hAnsi="Times New Roman" w:eastAsia="方正仿宋_GBK"/>
          <w:b w:val="0"/>
          <w:sz w:val="24"/>
        </w:rPr>
        <w:t xml:space="preserve">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时，主变与储能单位功率投资比</w:t>
      </w:r>
      <m:oMath>
        <m:sSub>
          <m:e>
            <m:r>
              <m:t>k</m:t>
            </m:r>
          </m:e>
          <m:sub>
            <m:r>
              <m:t>T</m:t>
            </m:r>
            <m:r>
              <m:t>B</m:t>
            </m:r>
          </m:sub>
        </m:sSub>
      </m:oMath>
      <w:r>
        <w:rPr>
          <w:rFonts w:ascii="Times New Roman" w:hAnsi="Times New Roman" w:eastAsia="方正仿宋_GBK"/>
          <w:b w:val="0"/>
          <w:sz w:val="24"/>
        </w:rPr>
        <w:t xml:space="preserve">约0.06；2 h及以内约0.08，4</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时约0.04。报告用3 h参考比例展示价格条件，实际寻优仍对每站正反向持续时间分别计算支撑系数。各站能量约束按本方向持续时间计算。</w:t>
      </w:r>
    </w:p>
    <w:p>
      <w:pPr>
        <w:pStyle w:val="2"/>
        <w:widowControl/>
        <w:spacing w:line="348" w:lineRule="exact" w:before="0" w:after="0"/>
        <w:ind w:firstLine="480"/>
        <w:jc w:val="both"/>
      </w:pPr>
      <w:r>
        <w:rPr>
          <w:rFonts w:ascii="Times New Roman" w:hAnsi="Times New Roman" w:eastAsia="方正仿宋_GBK"/>
          <w:b w:val="0"/>
          <w:sz w:val="24"/>
        </w:rPr>
        <w:t xml:space="preserve">储能价格降低25%或50%时，主变与储能单位功率投资比</w:t>
      </w:r>
      <m:oMath>
        <m:sSub>
          <m:e>
            <m:r>
              <m:t>k</m:t>
            </m:r>
          </m:e>
          <m:sub>
            <m:r>
              <m:t>T</m:t>
            </m:r>
            <m:r>
              <m:t>B</m:t>
            </m:r>
          </m:sub>
        </m:sSub>
      </m:oMath>
      <w:r>
        <w:rPr>
          <w:rFonts w:ascii="Times New Roman" w:hAnsi="Times New Roman" w:eastAsia="方正仿宋_GBK"/>
          <w:b w:val="0"/>
          <w:sz w:val="24"/>
        </w:rPr>
        <w:t xml:space="preserve">相对于同持续时间基准分别增加到1.33倍或2倍；提高25%时降为0.80倍。初始投资与未来更新投资共同采用相同价格倍数；本评价期内更新支出为零。</w:t>
      </w:r>
    </w:p>
    <w:p>
      <w:pPr>
        <w:pStyle w:val="5"/>
        <w:keepNext/>
        <w:numPr>
          <w:numId w:val="0"/>
        </w:numPr>
        <w:spacing w:line="390" w:lineRule="exact" w:before="160" w:after="120"/>
        <w:ind w:firstLine="0"/>
      </w:pPr>
      <w:bookmarkStart w:id="162" w:name="初始投资比与评价期费用比"/>
      <w:r>
        <w:rPr>
          <w:rFonts w:ascii="Times New Roman" w:hAnsi="Times New Roman" w:eastAsia="方正仿宋_GBK"/>
          <w:b/>
          <w:sz w:val="26"/>
        </w:rPr>
        <w:t xml:space="preserve">4.5.3 初始投资比与评价期费用比</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初始投资比适于说明工程规模和价格出处，评价期费用比还受投运年份、运维及更新影响。对同一年投入的措施，可将各初始费用分别乘以相应现值因子，形成评价期单位功率费用比。本研究评价期内无需寿命更新，评价期比例与初始比例的差异来自固定运维费率及投运年份。</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k</m:t>
                          </m:r>
                        </m:e>
                        <m:sub>
                          <m:r>
                            <m:t>T</m:t>
                          </m:r>
                          <m:r>
                            <m:t>B</m:t>
                          </m:r>
                        </m:sub>
                        <m:sup>
                          <m:r>
                            <m:rPr>
                              <m:sty m:val="p"/>
                            </m:rPr>
                            <m:t>l</m:t>
                          </m:r>
                          <m:r>
                            <m:rPr>
                              <m:sty m:val="p"/>
                            </m:rPr>
                            <m:t>i</m:t>
                          </m:r>
                          <m:r>
                            <m:rPr>
                              <m:sty m:val="p"/>
                            </m:rPr>
                            <m:t>f</m:t>
                          </m:r>
                          <m:r>
                            <m:rPr>
                              <m:sty m:val="p"/>
                            </m:rPr>
                            <m:t>e</m:t>
                          </m:r>
                        </m:sup>
                      </m:sSubSup>
                      <m:r>
                        <m:t>(</m:t>
                      </m:r>
                      <m:r>
                        <m:t>y</m:t>
                      </m:r>
                      <m:r>
                        <m:t>,</m:t>
                      </m:r>
                      <m:r>
                        <m:t>d</m:t>
                      </m:r>
                      <m:r>
                        <m:t>)</m:t>
                      </m:r>
                    </m:e>
                    <m:e>
                      <m:r>
                        <m:t>=</m:t>
                      </m:r>
                      <m:sSub>
                        <m:e>
                          <m:r>
                            <m:t>k</m:t>
                          </m:r>
                        </m:e>
                        <m:sub>
                          <m:r>
                            <m:t>T</m:t>
                          </m:r>
                          <m:r>
                            <m:t>B</m:t>
                          </m:r>
                        </m:sub>
                      </m:sSub>
                      <m:r>
                        <m:t>(</m:t>
                      </m:r>
                      <m:r>
                        <m:t>d</m:t>
                      </m:r>
                      <m:r>
                        <m:t>)</m:t>
                      </m:r>
                      <m:f>
                        <m:fPr>
                          <m:type m:val="bar"/>
                        </m:fPr>
                        <m:num>
                          <m:sSub>
                            <m:e>
                              <m:r>
                                <m:t>A</m:t>
                              </m:r>
                            </m:e>
                            <m:sub>
                              <m:r>
                                <m:t>T</m:t>
                              </m:r>
                            </m:sub>
                          </m:sSub>
                          <m:r>
                            <m:t>(</m:t>
                          </m:r>
                          <m:r>
                            <m:t>y</m:t>
                          </m:r>
                          <m:r>
                            <m:t>)</m:t>
                          </m:r>
                        </m:num>
                        <m:den>
                          <m:sSub>
                            <m:e>
                              <m:r>
                                <m:t>A</m:t>
                              </m:r>
                            </m:e>
                            <m:sub>
                              <m:r>
                                <m:t>B</m:t>
                              </m:r>
                            </m:sub>
                          </m:sSub>
                          <m:r>
                            <m:t>(</m:t>
                          </m:r>
                          <m:r>
                            <m:t>y</m:t>
                          </m:r>
                          <m:r>
                            <m:t>)</m:t>
                          </m:r>
                        </m:den>
                      </m:f>
                    </m:e>
                  </m:mr>
                  <m:mr>
                    <m:e>
                      <m:sSubSup>
                        <m:e>
                          <m:r>
                            <m:t>k</m:t>
                          </m:r>
                        </m:e>
                        <m:sub>
                          <m:r>
                            <m:t>T</m:t>
                          </m:r>
                          <m:r>
                            <m:t>L</m:t>
                          </m:r>
                        </m:sub>
                        <m:sup>
                          <m:r>
                            <m:rPr>
                              <m:sty m:val="p"/>
                            </m:rPr>
                            <m:t>l</m:t>
                          </m:r>
                          <m:r>
                            <m:rPr>
                              <m:sty m:val="p"/>
                            </m:rPr>
                            <m:t>i</m:t>
                          </m:r>
                          <m:r>
                            <m:rPr>
                              <m:sty m:val="p"/>
                            </m:rPr>
                            <m:t>f</m:t>
                          </m:r>
                          <m:r>
                            <m:rPr>
                              <m:sty m:val="p"/>
                            </m:rPr>
                            <m:t>e</m:t>
                          </m:r>
                        </m:sup>
                      </m:sSubSup>
                      <m:r>
                        <m:t>(</m:t>
                      </m:r>
                      <m:r>
                        <m:t>y</m:t>
                      </m:r>
                      <m:r>
                        <m:t>)</m:t>
                      </m:r>
                    </m:e>
                    <m:e>
                      <m:r>
                        <m:t>=</m:t>
                      </m:r>
                      <m:sSub>
                        <m:e>
                          <m:r>
                            <m:t>k</m:t>
                          </m:r>
                        </m:e>
                        <m:sub>
                          <m:r>
                            <m:t>T</m:t>
                          </m:r>
                          <m:r>
                            <m:t>L</m:t>
                          </m:r>
                        </m:sub>
                      </m:sSub>
                      <m:f>
                        <m:fPr>
                          <m:type m:val="bar"/>
                        </m:fPr>
                        <m:num>
                          <m:sSub>
                            <m:e>
                              <m:r>
                                <m:t>A</m:t>
                              </m:r>
                            </m:e>
                            <m:sub>
                              <m:r>
                                <m:t>T</m:t>
                              </m:r>
                            </m:sub>
                          </m:sSub>
                          <m:r>
                            <m:t>(</m:t>
                          </m:r>
                          <m:r>
                            <m:t>y</m:t>
                          </m:r>
                          <m:r>
                            <m:t>)</m:t>
                          </m:r>
                        </m:num>
                        <m:den>
                          <m:sSub>
                            <m:e>
                              <m:r>
                                <m:t>A</m:t>
                              </m:r>
                            </m:e>
                            <m:sub>
                              <m:r>
                                <m:t>L</m:t>
                              </m:r>
                            </m:sub>
                          </m:sSub>
                          <m:r>
                            <m:t>(</m:t>
                          </m:r>
                          <m:r>
                            <m:t>y</m:t>
                          </m:r>
                          <m:r>
                            <m:t>)</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（4-9）</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Sup>
          <m:e>
            <m:r>
              <m:t>k</m:t>
            </m:r>
          </m:e>
          <m:sub>
            <m:r>
              <m:t>T</m:t>
            </m:r>
            <m:r>
              <m:t>B</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w:t>
      </w:r>
      <m:oMath>
        <m:sSubSup>
          <m:e>
            <m:r>
              <m:t>k</m:t>
            </m:r>
          </m:e>
          <m:sub>
            <m:r>
              <m:t>T</m:t>
            </m:r>
            <m:r>
              <m:t>L</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分别为评价期主变与储能、主变与线路单位功率费用比，无量纲；</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分别为主变、储能和线路的现金流现值因子，按下一节计算。矩阵以两个价格倍数作为敏感性输入，费用目标由评价期现金流决定；初始比例用于列示参数。</w:t>
      </w:r>
    </w:p>
    <w:p>
      <w:pPr>
        <w:pStyle w:val="5"/>
        <w:keepNext/>
        <w:numPr>
          <w:numId w:val="0"/>
        </w:numPr>
        <w:spacing w:line="390" w:lineRule="exact" w:before="160" w:after="120"/>
        <w:ind w:firstLine="0"/>
      </w:pPr>
      <w:bookmarkStart w:id="163" w:name="参数范围与控制方式"/>
      <w:r>
        <w:rPr>
          <w:rFonts w:ascii="Times New Roman" w:hAnsi="Times New Roman" w:eastAsia="方正仿宋_GBK"/>
          <w:b/>
          <w:sz w:val="26"/>
        </w:rPr>
        <w:t xml:space="preserve">4.5.4 参数范围与控制方式</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成本敏感性改变主变与线路、主变与储能两个比例。主变价格保持基准，线路采用0.75～1.25倍，储能采用0.50～1.25倍。通用外推取三档线路与三档储能价格的九组交叉组合，与分布式电源装机渗透率、年最大净负荷平均增长率和95%峰值持续时间共同形成计算组合。</w:t>
      </w:r>
    </w:p>
    <w:p>
      <w:pPr>
        <w:pStyle w:val="2"/>
        <w:widowControl/>
        <w:spacing w:line="348" w:lineRule="exact" w:before="0" w:after="0"/>
        <w:ind w:firstLine="480"/>
        <w:jc w:val="both"/>
      </w:pPr>
      <w:r>
        <w:rPr>
          <w:rFonts w:ascii="Times New Roman" w:hAnsi="Times New Roman" w:eastAsia="方正仿宋_GBK"/>
          <w:b w:val="0"/>
          <w:sz w:val="24"/>
        </w:rPr>
        <w:t xml:space="preserve">价格范围用于检验相对费用变化对配置的影响。新增线路提高站级转供能力，线路价格变化据此参与主变、储能和联络的费用比较。</w:t>
      </w:r>
    </w:p>
    <w:p>
      <w:bookmarkStart w:id="1477" w:name="h477"/>
      <w:pPr>
        <w:pStyle w:val="4"/>
        <w:keepNext/>
        <w:numPr>
          <w:numId w:val="0"/>
        </w:numPr>
        <w:spacing w:line="480" w:lineRule="exact" w:before="160" w:after="120"/>
        <w:ind w:firstLine="0"/>
      </w:pPr>
      <w:bookmarkStart w:id="164" w:name="现金流现值计算"/>
      <w:r>
        <w:rPr>
          <w:rFonts w:ascii="Times New Roman" w:hAnsi="Times New Roman" w:eastAsia="方正仿宋_GBK"/>
          <w:b/>
          <w:sz w:val="32"/>
        </w:rPr>
        <w:t xml:space="preserve">4.6 现金流现值计算</w:t>
      </w:r>
      <w:bookmarkEnd w:id="164"/>
      <w:bookmarkEnd w:id="1477"/>
    </w:p>
    <w:p>
      <w:pPr>
        <w:pStyle w:val="5"/>
        <w:keepNext/>
        <w:numPr>
          <w:numId w:val="0"/>
        </w:numPr>
        <w:spacing w:line="390" w:lineRule="exact" w:before="160" w:after="120"/>
        <w:ind w:firstLine="0"/>
      </w:pPr>
      <w:bookmarkStart w:id="165" w:name="单项工程现值因子"/>
      <w:r>
        <w:rPr>
          <w:rFonts w:ascii="Times New Roman" w:hAnsi="Times New Roman" w:eastAsia="方正仿宋_GBK"/>
          <w:b/>
          <w:sz w:val="26"/>
        </w:rPr>
        <w:t xml:space="preserve">4.6.1 单项工程现值因子</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（4-10）</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严格小于2041时，截止年达到寿命不另购一套设备。固定运维一直计至2041年。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。主变按40年、4.20%/年，线路按40年、2.20%/年，储能按25年、3.00%/年计算。2022—2025年投运的三类设备均未在2041年评价截止前达到设定寿命，因此本评价期内的更新支出为零。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6" w:name="年度投运对现值的影响"/>
      <w:r>
        <w:rPr>
          <w:rFonts w:ascii="Times New Roman" w:hAnsi="Times New Roman" w:eastAsia="方正仿宋_GBK"/>
          <w:b/>
          <w:sz w:val="26"/>
        </w:rPr>
        <w:t xml:space="preserve">4.6.2 年度投运对现值的影响</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对于2022年已投运储能，后续新增柜按各自投运批次计算，不对全部2025年在役柜再次计首次投资。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7" w:name="费用构成与结果复算"/>
      <w:r>
        <w:rPr>
          <w:rFonts w:ascii="Times New Roman" w:hAnsi="Times New Roman" w:eastAsia="方正仿宋_GBK"/>
          <w:b/>
          <w:sz w:val="26"/>
        </w:rPr>
        <w:t xml:space="preserve">4.6.3 费用构成与结果复算</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（4-11）</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为建设改造项目</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68" w:name="评价期边界与费用解释"/>
      <w:r>
        <w:rPr>
          <w:rFonts w:ascii="Times New Roman" w:hAnsi="Times New Roman" w:eastAsia="方正仿宋_GBK"/>
          <w:b/>
          <w:sz w:val="26"/>
        </w:rPr>
        <w:t xml:space="preserve">4.6.4 评价期边界与费用解释</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6.00%，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不能据此比较设备完整使用寿命的总支出。</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69" w:name="主变更换与扩建的投资差异"/>
      <w:r>
        <w:rPr>
          <w:rFonts w:ascii="Times New Roman" w:hAnsi="Times New Roman" w:eastAsia="方正仿宋_GBK"/>
          <w:b/>
          <w:sz w:val="26"/>
        </w:rPr>
        <w:t xml:space="preserve">4.6.5 主变更换与扩建的投资差异</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主变更换与扩建均能增加变电容量，但工程内容和新增供电能力不同。更换工程需要购置整台新主变，同时退出原设备；扩建工程增加主变台数，并建设相应间隔、出线及配套设施。因此，同为50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MVA、退出63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投资较低或扩建投资较高，均不能直接决定方案优先次序。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0" w:name="线路建设的规模价格与费用作用"/>
      <w:r>
        <w:rPr>
          <w:rFonts w:ascii="Times New Roman" w:hAnsi="Times New Roman" w:eastAsia="方正仿宋_GBK"/>
          <w:b/>
          <w:sz w:val="26"/>
        </w:rPr>
        <w:t xml:space="preserve">4.6.6 线路建设的规模、价格与费用作用</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架空为主和电缆为主的联络项目均按3 km线路和两台开关计算，可转负荷均为7.49 MW，区别在于敷设比例。基准投资分别为124.80万元和499.20万元，后者为前者的4倍。该差异来自线路建设方式，联络在两种情景下提供的负荷转移能力保持一致。因而，本节比较可以说明相同转供任务下不同敷设方式的费用影响。</w:t>
      </w:r>
    </w:p>
    <w:p>
      <w:pPr>
        <w:pStyle w:val="2"/>
        <w:widowControl/>
        <w:spacing w:line="348" w:lineRule="exact" w:before="0" w:after="0"/>
        <w:ind w:firstLine="480"/>
        <w:jc w:val="both"/>
      </w:pPr>
      <w:r>
        <w:rPr>
          <w:rFonts w:ascii="Times New Roman" w:hAnsi="Times New Roman" w:eastAsia="方正仿宋_GBK"/>
          <w:b w:val="0"/>
          <w:sz w:val="24"/>
        </w:rPr>
        <w:t xml:space="preserve">架空为主工程在0.75、1.00和1.25倍价格情景下，单项初始投资分别为93.60、124.80和156.00万元；电缆为主分别为374.40、499.20和624.00万元。线路价格提高后，单位可转负荷投资相应增加，主变与线路单位功率投资比随之减小。费用比较还计入线路投运后的固定运维支出，因此价格变化同时作用于建设和运维两部分。</w:t>
      </w:r>
    </w:p>
    <w:p>
      <w:pPr>
        <w:pStyle w:val="2"/>
        <w:widowControl/>
        <w:spacing w:line="348" w:lineRule="exact" w:before="0" w:after="0"/>
        <w:ind w:firstLine="480"/>
        <w:jc w:val="both"/>
      </w:pPr>
      <w:r>
        <w:rPr>
          <w:rFonts w:ascii="Times New Roman" w:hAnsi="Times New Roman" w:eastAsia="方正仿宋_GBK"/>
          <w:b w:val="0"/>
          <w:sz w:val="24"/>
        </w:rPr>
        <w:t xml:space="preserve">新建联络能够发挥作用，需要送端具有可转负荷、线路具备承载余量且受端能够接纳。若这些条件已由既有网络满足，线路价格变化不会带来新增支出；若新增联络是满足转供能力要求所需的工程，其价格变化首先体现为相同数量项目的费用变化。只有当主变、储能与联络之间存在可替代的配置时，价格变化才可能改变所选工程规模。</w:t>
      </w:r>
    </w:p>
    <w:p>
      <w:pPr>
        <w:pStyle w:val="2"/>
        <w:widowControl/>
        <w:spacing w:line="348" w:lineRule="exact" w:before="0" w:after="0"/>
        <w:ind w:firstLine="480"/>
        <w:jc w:val="both"/>
      </w:pPr>
      <w:r>
        <w:rPr>
          <w:rFonts w:ascii="Times New Roman" w:hAnsi="Times New Roman" w:eastAsia="方正仿宋_GBK"/>
          <w:b w:val="0"/>
          <w:sz w:val="24"/>
        </w:rPr>
        <w:t xml:space="preserve">通用分析中A类站群在所列条件下未新建联络，B/C类站群均新建3项。因此，第五章将主变与线路单位功率投资比单独列为费用影响分析，并在分类推荐表中注明对应范围。该处理使线路价格得到完整考虑，也保留了计算结果显示的容量稳定性。对具有不同既有网络或可转负荷的片区，仍需结合相应工程能力重新比较。</w:t>
      </w:r>
    </w:p>
    <w:p>
      <w:pPr>
        <w:pStyle w:val="5"/>
        <w:keepNext/>
        <w:numPr>
          <w:numId w:val="0"/>
        </w:numPr>
        <w:spacing w:line="390" w:lineRule="exact" w:before="160" w:after="120"/>
        <w:ind w:firstLine="0"/>
      </w:pPr>
      <w:bookmarkStart w:id="171" w:name="储能额定功率与持续充放电费用"/>
      <w:r>
        <w:rPr>
          <w:rFonts w:ascii="Times New Roman" w:hAnsi="Times New Roman" w:eastAsia="方正仿宋_GBK"/>
          <w:b/>
          <w:sz w:val="26"/>
        </w:rPr>
        <w:t xml:space="preserve">4.6.7 储能额定功率与持续充放电费用</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储能成套采购同时给出功率和能量。浏阳项目保证交付1 MW/2.15 MWh，对应10柜设备和210.46万元参考投资[86]。在1 h和2 h连续运行条件下，额定功率是主要限制；持续到3 h时，按能量折算的充放电功率约为0.72 MW；持续到6 h时约为0.36 MW。相同设备投资对应的持续功率随时长变化，单位功率投资也随之改变。</w:t>
      </w:r>
    </w:p>
    <w:p>
      <w:pPr>
        <w:pStyle w:val="2"/>
        <w:widowControl/>
        <w:spacing w:line="348" w:lineRule="exact" w:before="0" w:after="0"/>
        <w:ind w:firstLine="480"/>
        <w:jc w:val="both"/>
      </w:pPr>
      <w:r>
        <w:rPr>
          <w:rFonts w:ascii="Times New Roman" w:hAnsi="Times New Roman" w:eastAsia="方正仿宋_GBK"/>
          <w:b w:val="0"/>
          <w:sz w:val="24"/>
        </w:rPr>
        <w:t xml:space="preserve">这一关系解释了储能在不同负荷特征下的经济性差异。较短尖峰需要的能量较少，储能可充分利用额定功率；较长的供电缺口则需要更多柜数提供能量。主变扩建增加持续供电容量，储能配置增加受能量约束的充放电能力，两者的比较必须对应同一功率任务和持续时间。单独引用元/Wh或万元/MW价格，均不足以确定最终配置。</w:t>
      </w:r>
    </w:p>
    <w:p>
      <w:pPr>
        <w:pStyle w:val="2"/>
        <w:widowControl/>
        <w:spacing w:line="348" w:lineRule="exact" w:before="0" w:after="0"/>
        <w:ind w:firstLine="480"/>
        <w:jc w:val="both"/>
      </w:pPr>
      <w:r>
        <w:rPr>
          <w:rFonts w:ascii="Times New Roman" w:hAnsi="Times New Roman" w:eastAsia="方正仿宋_GBK"/>
          <w:b w:val="0"/>
          <w:sz w:val="24"/>
        </w:rPr>
        <w:t xml:space="preserve">本报告以3 h为主变与储能单位功率投资比的共同展示条件，分类表同时列出95%峰值持续时间。相同3 h参考投资比对应不同实际时长时，设备约束使用相应时长重新折算。由此，价格和时间作为两个不同因素参与分析，既能比较采购价格变化，也能说明负荷持续特征改变后的储能需求。</w:t>
      </w:r>
    </w:p>
    <w:p>
      <w:pPr>
        <w:pStyle w:val="2"/>
        <w:widowControl/>
        <w:spacing w:line="348" w:lineRule="exact" w:before="0" w:after="0"/>
        <w:ind w:firstLine="480"/>
        <w:jc w:val="both"/>
      </w:pPr>
      <w:r>
        <w:rPr>
          <w:rFonts w:ascii="Times New Roman" w:hAnsi="Times New Roman" w:eastAsia="方正仿宋_GBK"/>
          <w:b w:val="0"/>
          <w:sz w:val="24"/>
        </w:rPr>
        <w:t xml:space="preserve">储能承担正向缺口时放电，承担反向功率时充电。两个方向分别需要可释放能量和可吸收空间，工程运行时还需与荷电状态及充放电安排相衔接。本报告容量比选采用功率和能量限制进行估算，所列费用反映相应设备规模。技术定义保持功率、能量和持续时间的关系，避免将额定功率直接当作任意时长下均可持续的出力。</w:t>
      </w:r>
    </w:p>
    <w:p>
      <w:pPr>
        <w:pStyle w:val="5"/>
        <w:keepNext/>
        <w:numPr>
          <w:numId w:val="0"/>
        </w:numPr>
        <w:spacing w:line="390" w:lineRule="exact" w:before="160" w:after="120"/>
        <w:ind w:firstLine="0"/>
      </w:pPr>
      <w:bookmarkStart w:id="172" w:name="建设时序与共同评价期比较"/>
      <w:r>
        <w:rPr>
          <w:rFonts w:ascii="Times New Roman" w:hAnsi="Times New Roman" w:eastAsia="方正仿宋_GBK"/>
          <w:b/>
          <w:sz w:val="26"/>
        </w:rPr>
        <w:t xml:space="preserve">4.6.8 建设时序与共同评价期比较</w:t>
      </w:r>
      <w:bookmarkEnd w:id="172"/>
    </w:p>
    <w:p>
      <w:pPr>
        <w:pStyle w:val="FirstParagraph"/>
        <w:widowControl/>
        <w:spacing w:line="348" w:lineRule="exact" w:before="0" w:after="0"/>
        <w:ind w:firstLine="480"/>
        <w:jc w:val="both"/>
      </w:pPr>
      <w:r>
        <w:rPr>
          <w:rFonts w:ascii="Times New Roman" w:hAnsi="Times New Roman" w:eastAsia="方正仿宋_GBK"/>
          <w:b w:val="0"/>
          <w:sz w:val="24"/>
        </w:rPr>
        <w:t xml:space="preserve">主变、线路和储能的费用都由建设投资和投运后的运维支出形成。采用相同评价基准，可以比较工程提前或延后投运对资金占用的影响。较早建设计入较长时间的运维，较晚建设的初始投资折现后较低；但建设时间首先需要满足当年容量需求，不能单纯为减少现值而推迟必要项目。</w:t>
      </w:r>
    </w:p>
    <w:p>
      <w:pPr>
        <w:pStyle w:val="2"/>
        <w:widowControl/>
        <w:spacing w:line="348" w:lineRule="exact" w:before="0" w:after="0"/>
        <w:ind w:firstLine="480"/>
        <w:jc w:val="both"/>
      </w:pPr>
      <w:r>
        <w:rPr>
          <w:rFonts w:ascii="Times New Roman" w:hAnsi="Times New Roman" w:eastAsia="方正仿宋_GBK"/>
          <w:b w:val="0"/>
          <w:sz w:val="24"/>
        </w:rPr>
        <w:t xml:space="preserve">逐年方案中，储能新增柜数按当年采购量计费，在役柜数用于当年技术约束；主变更换按当年新购容量计费，后续年份保留其在役状态。这样可以区分资产规模与新增支出，避免将目标年全部在役设备重复作为当年投资。费用构成表和年度措施表分别给出两类信息，便于解释设备增加与费用变化的对应关系。</w:t>
      </w:r>
    </w:p>
    <w:p>
      <w:pPr>
        <w:pStyle w:val="2"/>
        <w:widowControl/>
        <w:spacing w:line="348" w:lineRule="exact" w:before="0" w:after="0"/>
        <w:ind w:firstLine="480"/>
        <w:jc w:val="both"/>
      </w:pPr>
      <w:r>
        <w:rPr>
          <w:rFonts w:ascii="Times New Roman" w:hAnsi="Times New Roman" w:eastAsia="方正仿宋_GBK"/>
          <w:b w:val="0"/>
          <w:sz w:val="24"/>
        </w:rPr>
        <w:t xml:space="preserve">两地区刚性、弹性方案采用相同基期设备、需求预测和工程价格，费用差主要来自主变与储能规模以及建设时点的差异。弹性方案提高主变容量后，部分N-1条件下的供电缺口由主变承担，储能需求下降。主变费用增加与储能费用减少共同决定总费用结果，因此比较应以完整方案为单位，不能只看某一类设备单价。</w:t>
      </w:r>
    </w:p>
    <w:p>
      <w:pPr>
        <w:pStyle w:val="2"/>
        <w:widowControl/>
        <w:spacing w:line="348" w:lineRule="exact" w:before="0" w:after="0"/>
        <w:ind w:firstLine="480"/>
        <w:jc w:val="both"/>
      </w:pPr>
      <w:r>
        <w:rPr>
          <w:rFonts w:ascii="Times New Roman" w:hAnsi="Times New Roman" w:eastAsia="方正仿宋_GBK"/>
          <w:b w:val="0"/>
          <w:sz w:val="24"/>
        </w:rPr>
        <w:t xml:space="preserve">共同评价期统一至2041年，便于在相同时间范围内比较新增措施。固定运维按初始投资比例计算，价格情景同步改变建设支出与相应运维支出。所列设备使用年限均长于投运后剩余评价年数，本评价期内没有设备更新费用。使用年限决定更新是否发生，折现率则影响不同年份现金流的现值，两项参数的作用应分别解释。</w:t>
      </w:r>
    </w:p>
    <w:p>
      <w:bookmarkStart w:id="1514" w:name="h514"/>
      <w:pPr>
        <w:pStyle w:val="3"/>
        <w:keepNext/>
        <w:pageBreakBefore/>
        <w:numPr>
          <w:numId w:val="0"/>
        </w:numPr>
        <w:spacing w:line="540" w:lineRule="exact" w:before="0" w:after="120"/>
        <w:ind w:firstLine="0"/>
      </w:pPr>
      <w:bookmarkStart w:id="173"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3"/>
      <w:bookmarkEnd w:id="1514"/>
    </w:p>
    <w:p>
      <w:pPr>
        <w:pStyle w:val="FirstParagraph"/>
        <w:widowControl/>
        <w:spacing w:line="348" w:lineRule="exact" w:before="0" w:after="0"/>
        <w:ind w:firstLine="480"/>
        <w:jc w:val="both"/>
      </w:pPr>
      <w:r>
        <w:rPr>
          <w:rFonts w:ascii="Times New Roman" w:hAnsi="Times New Roman" w:eastAsia="方正仿宋_GBK"/>
          <w:b w:val="0"/>
          <w:sz w:val="24"/>
        </w:rPr>
        <w:t xml:space="preserve">邳州光伏接入规模较大，市区负荷较为集中，两地区的容量配置需求各有侧重。本章结合第三章运行统计与第四章工程费用，比较刚性、弹性方案的主变容量、储能配置及站间负荷转接，分析费用差异的形成原因，并归纳不同源荷和经济条件下的容载比取值特征。</w:t>
      </w:r>
    </w:p>
    <w:p>
      <w:bookmarkStart w:id="1516" w:name="h516"/>
      <w:pPr>
        <w:pStyle w:val="4"/>
        <w:keepNext/>
        <w:numPr>
          <w:numId w:val="0"/>
        </w:numPr>
        <w:spacing w:line="480" w:lineRule="exact" w:before="160" w:after="120"/>
        <w:ind w:firstLine="0"/>
      </w:pPr>
      <w:bookmarkStart w:id="174" w:name="寻优问题与共同起点"/>
      <w:r>
        <w:rPr>
          <w:rFonts w:ascii="Times New Roman" w:hAnsi="Times New Roman" w:eastAsia="方正仿宋_GBK"/>
          <w:b/>
          <w:sz w:val="32"/>
        </w:rPr>
        <w:t xml:space="preserve">5.1 寻优问题与共同起点</w:t>
      </w:r>
      <w:bookmarkEnd w:id="174"/>
      <w:bookmarkEnd w:id="1516"/>
    </w:p>
    <w:p>
      <w:pPr>
        <w:pStyle w:val="5"/>
        <w:keepNext/>
        <w:numPr>
          <w:numId w:val="0"/>
        </w:numPr>
        <w:spacing w:line="390" w:lineRule="exact" w:before="160" w:after="120"/>
        <w:ind w:firstLine="0"/>
      </w:pPr>
      <w:bookmarkStart w:id="175" w:name="容载比2.0的仿真起点"/>
      <w:r>
        <w:rPr>
          <w:rFonts w:ascii="Times New Roman" w:hAnsi="Times New Roman" w:eastAsia="方正仿宋_GBK"/>
          <w:b/>
          <w:sz w:val="26"/>
        </w:rPr>
        <w:t xml:space="preserve">5.1.1 容载比2.0的仿真起点</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刚性、弹性方案在同一区县共用初始设备、负荷和工程价格。为比较后续措施的作用，将基期容载比统一设为2.00，基期年网供最大负荷取离散公用主变总容量的二分之一。该起点用于规划仿真，现状容量与历史负荷仍按第三章列示。</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P</m:t>
                    </m:r>
                  </m:e>
                  <m:sub>
                    <m:r>
                      <m:t>c</m:t>
                    </m:r>
                    <m:r>
                      <m:t>,</m:t>
                    </m:r>
                    <m:r>
                      <m:t>0</m:t>
                    </m:r>
                  </m:sub>
                </m:sSub>
                <m:r>
                  <m:t>=</m:t>
                </m:r>
                <m:f>
                  <m:fPr>
                    <m:type m:val="bar"/>
                  </m:fPr>
                  <m:num>
                    <m:sSub>
                      <m:e>
                        <m:r>
                          <m:t>S</m:t>
                        </m:r>
                      </m:e>
                      <m:sub>
                        <m:r>
                          <m:t>c</m:t>
                        </m:r>
                        <m:r>
                          <m:t>,</m:t>
                        </m:r>
                        <m:r>
                          <m:t>0</m:t>
                        </m:r>
                      </m:sub>
                    </m:sSub>
                  </m:num>
                  <m:den>
                    <m:r>
                      <m:t>2</m:t>
                    </m:r>
                  </m:den>
                </m:f>
                <m:r>
                  <m:t>,</m:t>
                </m:r>
                <m:r>
                  <m:t>  </m:t>
                </m:r>
                <m:sSub>
                  <m:e>
                    <m:r>
                      <m:t>P</m:t>
                    </m:r>
                  </m:e>
                  <m:sub>
                    <m:r>
                      <m:t>c</m:t>
                    </m:r>
                    <m:r>
                      <m:t>,</m:t>
                    </m:r>
                    <m:r>
                      <m:t>y</m:t>
                    </m:r>
                  </m:sub>
                </m:sSub>
                <m:r>
                  <m:t>=</m:t>
                </m:r>
                <m:sSub>
                  <m:e>
                    <m:r>
                      <m:t>P</m:t>
                    </m:r>
                  </m:e>
                  <m:sub>
                    <m:r>
                      <m:t>c</m:t>
                    </m:r>
                    <m:r>
                      <m:t>,</m:t>
                    </m:r>
                    <m:r>
                      <m:t>0</m:t>
                    </m:r>
                  </m:sub>
                </m:sSub>
                <m:r>
                  <m:t>(</m:t>
                </m:r>
                <m:r>
                  <m:t>1</m:t>
                </m:r>
                <m:r>
                  <m:t>+</m:t>
                </m:r>
                <m:sSub>
                  <m:e>
                    <m:acc>
                      <m:accPr>
                        <m:chr m:val="‾"/>
                      </m:accPr>
                      <m:e>
                        <m:r>
                          <m:t>g</m:t>
                        </m:r>
                      </m:e>
                    </m:acc>
                  </m:e>
                  <m:sub>
                    <m:r>
                      <m:t>c</m:t>
                    </m:r>
                  </m:sub>
                </m:sSub>
                <m:sSup>
                  <m:e>
                    <m:r>
                      <m:t>)</m:t>
                    </m:r>
                  </m:e>
                  <m:sup>
                    <m:r>
                      <m:t>y</m:t>
                    </m:r>
                  </m:sup>
                </m:sSup>
                <m:r>
                  <m:t>,</m:t>
                </m:r>
                <m:r>
                  <m:t> </m:t>
                </m:r>
                <m:r>
                  <m:t>y</m:t>
                </m:r>
                <m:r>
                  <m:t>=</m:t>
                </m:r>
                <m:r>
                  <m:t>1</m:t>
                </m:r>
                <m:r>
                  <m:t>,</m:t>
                </m:r>
                <m:r>
                  <m:t>2</m:t>
                </m:r>
                <m:r>
                  <m:t>,</m:t>
                </m:r>
                <m:r>
                  <m:t>3</m:t>
                </m:r>
                <m:r>
                  <m:t>,</m:t>
                </m:r>
                <m:r>
                  <m:t>4</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为区县标识，</w:t>
      </w:r>
      <m:oMath>
        <m:sSub>
          <m:e>
            <m:r>
              <m:t>S</m:t>
            </m:r>
          </m:e>
          <m:sub>
            <m:r>
              <m:t>c</m:t>
            </m:r>
            <m:r>
              <m:t>,</m:t>
            </m:r>
            <m:r>
              <m:t>0</m:t>
            </m:r>
          </m:sub>
        </m:sSub>
      </m:oMath>
      <w:r>
        <w:rPr>
          <w:rFonts w:ascii="Times New Roman" w:hAnsi="Times New Roman" w:eastAsia="方正仿宋_GBK"/>
          <w:b w:val="0"/>
          <w:sz w:val="24"/>
        </w:rPr>
        <w:t xml:space="preserve">为基期公用主变总容量，单位MVA；</w:t>
      </w:r>
      <m:oMath>
        <m:sSub>
          <m:e>
            <m:r>
              <m:t>P</m:t>
            </m:r>
          </m:e>
          <m:sub>
            <m:r>
              <m:t>c</m:t>
            </m:r>
            <m:r>
              <m:t>,</m:t>
            </m:r>
            <m:r>
              <m:t>0</m:t>
            </m:r>
          </m:sub>
        </m:sSub>
      </m:oMath>
      <w:r>
        <w:rPr>
          <w:rFonts w:ascii="Times New Roman" w:hAnsi="Times New Roman" w:eastAsia="方正仿宋_GBK"/>
          <w:b w:val="0"/>
          <w:sz w:val="24"/>
        </w:rPr>
        <w:t xml:space="preserve">和</w:t>
      </w:r>
      <m:oMath>
        <m:sSub>
          <m:e>
            <m:r>
              <m:t>P</m:t>
            </m:r>
          </m:e>
          <m:sub>
            <m:r>
              <m:t>c</m:t>
            </m:r>
            <m:r>
              <m:t>,</m:t>
            </m:r>
            <m:r>
              <m:t>y</m:t>
            </m:r>
          </m:sub>
        </m:sSub>
      </m:oMath>
      <w:r>
        <w:rPr>
          <w:rFonts w:ascii="Times New Roman" w:hAnsi="Times New Roman" w:eastAsia="方正仿宋_GBK"/>
          <w:b w:val="0"/>
          <w:sz w:val="24"/>
        </w:rPr>
        <w:t xml:space="preserve">分别为基期及第</w:t>
      </w:r>
      <m:oMath>
        <m:r>
          <m:t>y</m:t>
        </m:r>
      </m:oMath>
      <w:r>
        <w:rPr>
          <w:rFonts w:ascii="Times New Roman" w:hAnsi="Times New Roman" w:eastAsia="方正仿宋_GBK"/>
          <w:b w:val="0"/>
          <w:sz w:val="24"/>
        </w:rPr>
        <w:t xml:space="preserve">年网供最大负荷，单位MW；</w:t>
      </w:r>
      <m:oMath>
        <m:sSub>
          <m:e>
            <m:acc>
              <m:accPr>
                <m:chr m:val="‾"/>
              </m:accPr>
              <m:e>
                <m:r>
                  <m:t>g</m:t>
                </m:r>
              </m:e>
            </m:acc>
          </m:e>
          <m:sub>
            <m:r>
              <m:t>c</m:t>
            </m:r>
          </m:sub>
        </m:sSub>
      </m:oMath>
      <w:r>
        <w:rPr>
          <w:rFonts w:ascii="Times New Roman" w:hAnsi="Times New Roman" w:eastAsia="方正仿宋_GBK"/>
          <w:b w:val="0"/>
          <w:sz w:val="24"/>
        </w:rPr>
        <w:t xml:space="preserve">为该区县年最大净负荷平均增长率，按第三章所列递增权重方法估计。</w:t>
      </w:r>
      <m:oMath>
        <m:r>
          <m:t>y</m:t>
        </m:r>
      </m:oMath>
      <w:r>
        <w:rPr>
          <w:rFonts w:ascii="Times New Roman" w:hAnsi="Times New Roman" w:eastAsia="方正仿宋_GBK"/>
          <w:b w:val="0"/>
          <w:sz w:val="24"/>
        </w:rPr>
        <w:t xml:space="preserve">为仿真年序号。计算文件采用2022—2025年作为第1—4年的折现时点。</w:t>
      </w:r>
    </w:p>
    <w:p>
      <w:pPr>
        <w:pStyle w:val="2"/>
        <w:widowControl/>
        <w:spacing w:line="348" w:lineRule="exact" w:before="0" w:after="0"/>
        <w:ind w:firstLine="480"/>
        <w:jc w:val="both"/>
      </w:pPr>
      <w:r>
        <w:rPr>
          <w:rFonts w:ascii="Times New Roman" w:hAnsi="Times New Roman" w:eastAsia="方正仿宋_GBK"/>
          <w:b w:val="0"/>
          <w:sz w:val="24"/>
        </w:rPr>
        <w:t xml:space="preserve">站级最大正向、反向净负荷按2025年样本的空间分布标定到仿真年度规模。邳州保留样本供电区域类别，市区按A类规划。样本设备规格、供电区域类别和主变扩建预留位置进入候选集合，后续投运的主变、储能和联络项目持续在役。</w:t>
      </w:r>
    </w:p>
    <w:p>
      <w:pPr>
        <w:pStyle w:val="2"/>
        <w:keepNext/>
        <w:spacing w:line="280" w:lineRule="exact" w:before="120" w:after="80"/>
        <w:ind w:firstLine="0"/>
        <w:jc w:val="center"/>
      </w:pPr>
      <w:r>
        <w:rPr>
          <w:rFonts w:ascii="Times New Roman" w:hAnsi="Times New Roman" w:eastAsia="宋体"/>
          <w:b w:val="0"/>
          <w:sz w:val="21"/>
        </w:rPr>
        <w:t xml:space="preserve">表5-1 统一容载比2.00的仿真起点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基期主变容量/MVA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基期年网供最大负荷/MW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初始站间转供率</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1463.50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731.75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2462.00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r>
    </w:tbl>
    <w:p>
      <w:pPr>
        <w:pStyle w:val="5"/>
        <w:keepNext/>
        <w:numPr>
          <w:numId w:val="0"/>
        </w:numPr>
        <w:spacing w:line="390" w:lineRule="exact" w:before="160" w:after="120"/>
        <w:ind w:firstLine="0"/>
      </w:pPr>
      <w:bookmarkStart w:id="176" w:name="刚性与弹性规划条件"/>
      <w:r>
        <w:rPr>
          <w:rFonts w:ascii="Times New Roman" w:hAnsi="Times New Roman" w:eastAsia="方正仿宋_GBK"/>
          <w:b/>
          <w:sz w:val="26"/>
        </w:rPr>
        <w:t xml:space="preserve">5.1.2 刚性与弹性规划条件</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刚性方案按容载比2.00上限控制，弹性方案比较2.00～2.60范围的容量配置，容载比计算式及两类方案的上限如下。两类方案采用相同负荷预测、设备规格和工程价格，分别校核正常供电、反向输送及主变N-1条件。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f>
                        <m:fPr>
                          <m:type m:val="bar"/>
                        </m:fPr>
                        <m:num>
                          <m:sSub>
                            <m:e>
                              <m:r>
                                <m:t>S</m:t>
                              </m:r>
                            </m:e>
                            <m:sub>
                              <m:r>
                                <m:t>c</m:t>
                              </m:r>
                              <m:r>
                                <m:t>,</m:t>
                              </m:r>
                              <m:r>
                                <m:t>s</m:t>
                              </m:r>
                              <m:r>
                                <m:t>,</m:t>
                              </m:r>
                              <m:r>
                                <m:t>y</m:t>
                              </m:r>
                            </m:sub>
                          </m:sSub>
                        </m:num>
                        <m:den>
                          <m:sSub>
                            <m:e>
                              <m:r>
                                <m:t>P</m:t>
                              </m:r>
                            </m:e>
                            <m:sub>
                              <m:r>
                                <m:t>c</m:t>
                              </m:r>
                              <m:r>
                                <m:t>,</m:t>
                              </m:r>
                              <m:r>
                                <m:t>y</m:t>
                              </m:r>
                            </m:sub>
                          </m:sSub>
                        </m:den>
                      </m:f>
                    </m:e>
                  </m:mr>
                  <m:mr>
                    <m:e/>
                    <m:e>
                      <m:sSub>
                        <m:e>
                          <m:r>
                            <m:t>R</m:t>
                          </m:r>
                        </m:e>
                        <m:sub>
                          <m:r>
                            <m:t>c</m:t>
                          </m:r>
                          <m:r>
                            <m:t>,</m:t>
                          </m:r>
                          <m:r>
                            <m:rPr>
                              <m:sty m:val="p"/>
                            </m:rPr>
                            <m:t>r</m:t>
                          </m:r>
                          <m:r>
                            <m:rPr>
                              <m:sty m:val="p"/>
                            </m:rPr>
                            <m:t>i</m:t>
                          </m:r>
                          <m:r>
                            <m:rPr>
                              <m:sty m:val="p"/>
                            </m:rPr>
                            <m:t>g</m:t>
                          </m:r>
                          <m:r>
                            <m:rPr>
                              <m:sty m:val="p"/>
                            </m:rPr>
                            <m:t>i</m:t>
                          </m:r>
                          <m:r>
                            <m:rPr>
                              <m:sty m:val="p"/>
                            </m:rPr>
                            <m:t>d</m:t>
                          </m:r>
                          <m:r>
                            <m:t>,</m:t>
                          </m:r>
                          <m:r>
                            <m:t>y</m:t>
                          </m:r>
                        </m:sub>
                      </m:sSub>
                      <m:r>
                        <m:t>≤</m:t>
                      </m:r>
                      <m:r>
                        <m:t>2.00</m:t>
                      </m:r>
                    </m:e>
                  </m:mr>
                  <m:mr>
                    <m:e/>
                    <m:e>
                      <m:sSub>
                        <m:e>
                          <m:r>
                            <m:t>R</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r>
                        <m:t>≤</m:t>
                      </m:r>
                      <m:r>
                        <m:t>2.60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（5-2）</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R</m:t>
            </m:r>
          </m:e>
          <m:sub>
            <m:r>
              <m:t>c</m:t>
            </m:r>
            <m:r>
              <m:t>,</m:t>
            </m:r>
            <m:r>
              <m:t>s</m:t>
            </m:r>
            <m:r>
              <m:t>,</m:t>
            </m:r>
            <m:r>
              <m:t>y</m:t>
            </m:r>
          </m:sub>
        </m:sSub>
      </m:oMath>
      <w:r>
        <w:rPr>
          <w:rFonts w:ascii="Times New Roman" w:hAnsi="Times New Roman" w:eastAsia="方正仿宋_GBK"/>
          <w:b w:val="0"/>
          <w:sz w:val="24"/>
        </w:rPr>
        <w:t xml:space="preserve">为容载比，</w:t>
      </w:r>
      <m:oMath>
        <m:r>
          <m:t>s</m:t>
        </m:r>
      </m:oMath>
      <w:r>
        <w:rPr>
          <w:rFonts w:ascii="Times New Roman" w:hAnsi="Times New Roman" w:eastAsia="方正仿宋_GBK"/>
          <w:b w:val="0"/>
          <w:sz w:val="24"/>
        </w:rPr>
        <w:t xml:space="preserve">为刚性或弹性方案标识，</w:t>
      </w:r>
      <m:oMath>
        <m:sSub>
          <m:e>
            <m:r>
              <m:t>S</m:t>
            </m:r>
          </m:e>
          <m:sub>
            <m:r>
              <m:t>c</m:t>
            </m:r>
            <m:r>
              <m:t>,</m:t>
            </m:r>
            <m:r>
              <m:t>s</m:t>
            </m:r>
            <m:r>
              <m:t>,</m:t>
            </m:r>
            <m:r>
              <m:t>y</m:t>
            </m:r>
          </m:sub>
        </m:sSub>
      </m:oMath>
      <w:r>
        <w:rPr>
          <w:rFonts w:ascii="Times New Roman" w:hAnsi="Times New Roman" w:eastAsia="方正仿宋_GBK"/>
          <w:b w:val="0"/>
          <w:sz w:val="24"/>
        </w:rPr>
        <w:t xml:space="preserve">为该年公用主变总容量。主变容量计入分子，储能和联络能力用于局部容量校核。</w:t>
      </w:r>
      <m:oMath>
        <m:sSub>
          <m:e>
            <m:r>
              <m:t>P</m:t>
            </m:r>
          </m:e>
          <m:sub>
            <m:r>
              <m:t>c</m:t>
            </m:r>
            <m:r>
              <m:t>,</m:t>
            </m:r>
            <m:r>
              <m:t>y</m:t>
            </m:r>
          </m:sub>
        </m:sSub>
      </m:oMath>
      <w:r>
        <w:rPr>
          <w:rFonts w:ascii="Times New Roman" w:hAnsi="Times New Roman" w:eastAsia="方正仿宋_GBK"/>
          <w:b w:val="0"/>
          <w:sz w:val="24"/>
        </w:rPr>
        <w:t xml:space="preserve">在同一区县、同一年两种方案中保持一致。弹性方案的容量取值结合现状容载比、屋顶光伏资源及源荷发展趋势确定。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t>P</m:t>
            </m:r>
          </m:e>
          <m:sub>
            <m:r>
              <m:rPr>
                <m:sty m:val="p"/>
              </m:rPr>
              <m:t>r</m:t>
            </m:r>
            <m:r>
              <m:rPr>
                <m:sty m:val="p"/>
              </m:rPr>
              <m:t>o</m:t>
            </m:r>
            <m:r>
              <m:rPr>
                <m:sty m:val="p"/>
              </m:rPr>
              <m:t>o</m:t>
            </m:r>
            <m:r>
              <m:rPr>
                <m:sty m:val="p"/>
              </m:rPr>
              <m:t>f</m:t>
            </m:r>
          </m:sub>
        </m:sSub>
        <m:r>
          <m:t>=</m:t>
        </m:r>
        <m:r>
          <m:t>A</m:t>
        </m:r>
        <m:r>
          <m:t>f</m:t>
        </m:r>
        <m:r>
          <m:t>d</m:t>
        </m:r>
        <m:r>
          <m:t>/</m:t>
        </m:r>
        <m:r>
          <m:t>1000</m:t>
        </m:r>
      </m:oMath>
      <w:r>
        <w:rPr>
          <w:rFonts w:ascii="Times New Roman" w:hAnsi="Times New Roman" w:eastAsia="方正仿宋_GBK"/>
          <w:b w:val="0"/>
          <w:sz w:val="24"/>
        </w:rPr>
        <w:t xml:space="preserve">估算。其中，</w:t>
      </w:r>
      <m:oMath>
        <m:r>
          <m:t>A</m:t>
        </m:r>
      </m:oMath>
      <w:r>
        <w:rPr>
          <w:rFonts w:ascii="Times New Roman" w:hAnsi="Times New Roman" w:eastAsia="方正仿宋_GBK"/>
          <w:b w:val="0"/>
          <w:sz w:val="24"/>
        </w:rPr>
        <w:t xml:space="preserve">为调查屋顶面积，单位m²；</w:t>
      </w:r>
      <m:oMath>
        <m:r>
          <m:t>f</m:t>
        </m:r>
      </m:oMath>
      <w:r>
        <w:rPr>
          <w:rFonts w:ascii="Times New Roman" w:hAnsi="Times New Roman" w:eastAsia="方正仿宋_GBK"/>
          <w:b w:val="0"/>
          <w:sz w:val="24"/>
        </w:rPr>
        <w:t xml:space="preserve">为屋顶可利用比例；</w:t>
      </w:r>
      <m:oMath>
        <m:r>
          <m:t>d</m:t>
        </m:r>
      </m:oMath>
      <w:r>
        <w:rPr>
          <w:rFonts w:ascii="Times New Roman" w:hAnsi="Times New Roman" w:eastAsia="方正仿宋_GBK"/>
          <w:b w:val="0"/>
          <w:sz w:val="24"/>
        </w:rPr>
        <w:t xml:space="preserve">为单位可用面积装机密度，单位kWp/m²；</w:t>
      </w:r>
      <m:oMath>
        <m:sSub>
          <m:e>
            <m:r>
              <m:t>P</m:t>
            </m:r>
          </m:e>
          <m:sub>
            <m:r>
              <m:rPr>
                <m:sty m:val="p"/>
              </m:rPr>
              <m:t>r</m:t>
            </m:r>
            <m:r>
              <m:rPr>
                <m:sty m:val="p"/>
              </m:rPr>
              <m:t>o</m:t>
            </m:r>
            <m:r>
              <m:rPr>
                <m:sty m:val="p"/>
              </m:rPr>
              <m:t>o</m:t>
            </m:r>
            <m:r>
              <m:rPr>
                <m:sty m:val="p"/>
              </m:rPr>
              <m:t>f</m:t>
            </m:r>
          </m:sub>
        </m:sSub>
      </m:oMath>
      <w:r>
        <w:rPr>
          <w:rFonts w:ascii="Times New Roman" w:hAnsi="Times New Roman" w:eastAsia="方正仿宋_GBK"/>
          <w:b w:val="0"/>
          <w:sz w:val="24"/>
        </w:rPr>
        <w:t xml:space="preserve">为估算装机容量，单位MWp。江苏省2009年光伏发电推进意见采用20.00%的屋顶可利用比例估算全省资源规模[92]，本研究以此为历史参照，并列出40.00%、60.00%两种开发程度下的估算值。徐州地铁分布式光伏项目公开资料列出可用建筑面积94900 m²、规划装机9.49 MWp，据此取装机密度0.10 kWp/m²[93]。</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可利用比例20.00%/MWp</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可利用比例40.00%/MWp</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可利用比例60.00%/MWp</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《江苏省分布式光伏发展实施方案（2026—2030年）》提出，2030年全省分布式光伏累计装机较2025年翻一番，达到1.20亿千瓦[94]。以装机翻倍作为地区发展情景，邳州和市区装机规模分别约为3119.28 MW和982.36 MW。邳州屋顶可利用比例20.00%～40.00%的估算规模为1787.84～3575.67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pPr>
        <w:pStyle w:val="2"/>
        <w:widowControl/>
        <w:spacing w:line="348" w:lineRule="exact" w:before="0" w:after="0"/>
        <w:ind w:firstLine="480"/>
        <w:jc w:val="both"/>
      </w:pPr>
      <w:r>
        <w:rPr>
          <w:rFonts w:ascii="Times New Roman" w:hAnsi="Times New Roman" w:eastAsia="方正仿宋_GBK"/>
          <w:b w:val="0"/>
          <w:sz w:val="24"/>
        </w:rPr>
        <w:t xml:space="preserve">综合两地区2.24～2.42的现状容量水平和上述源荷发展情景，本研究取2.60作为弹性容量配置的参考上限。按相同年网供最大负荷折算，2.60较现状较高值2.42增加约7.44%的主变容量空间，用于比较光伏发展及供电安全需求下的增容、储能和联络组合。两地区四年弹性方案容载比约为2.20～2.41，均处于该范围内。2.60是结合本地资料确定的工程比选取值，具体推荐值由逐站容量校核和评价期费用比较确定。</w:t>
      </w:r>
    </w:p>
    <w:p>
      <w:pPr>
        <w:pStyle w:val="2"/>
        <w:widowControl/>
        <w:spacing w:line="348" w:lineRule="exact" w:before="0" w:after="0"/>
        <w:ind w:firstLine="480"/>
        <w:jc w:val="both"/>
      </w:pPr>
      <w:r>
        <w:rPr>
          <w:rFonts w:ascii="Times New Roman" w:hAnsi="Times New Roman" w:eastAsia="方正仿宋_GBK"/>
          <w:b w:val="0"/>
          <w:sz w:val="24"/>
        </w:rPr>
        <w:t xml:space="preserve">区县内转接保持负荷总量。储能参与站级峰段支撑时，区域容载比仍按预先确定的年网供最大负荷计算，两方案均采用相同的年网供最大负荷进行比较。</w:t>
      </w:r>
    </w:p>
    <w:p>
      <w:pPr>
        <w:pStyle w:val="5"/>
        <w:keepNext/>
        <w:numPr>
          <w:numId w:val="0"/>
        </w:numPr>
        <w:spacing w:line="390" w:lineRule="exact" w:before="160" w:after="120"/>
        <w:ind w:firstLine="0"/>
      </w:pPr>
      <w:bookmarkStart w:id="177" w:name="指标参数的选取依据"/>
      <w:r>
        <w:rPr>
          <w:rFonts w:ascii="Times New Roman" w:hAnsi="Times New Roman" w:eastAsia="方正仿宋_GBK"/>
          <w:b/>
          <w:sz w:val="26"/>
        </w:rPr>
        <w:t xml:space="preserve">5.1.3 指标参数的选取依据</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规划需要同时描述片区负荷发展、分布式电源规模、峰段支撑需求和工程经济条件。容载比作为规划输出，以公用主变总容量和年网供最大负荷计算；源荷指标确定需要校核的运行场景，持续时间确定储能的功率与能量配置，单位功率投资比反映措施之间的相对投资水平。第三章第3.5.4节列出了候选指标、样本相关性和相关指标的合并处理。本节据此说明各入选参数与容量约束或工程费用的对应关系。</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即源荷比，以同一供电范围内分布式电源装机容量除以用户最大负荷，采用《配电网规划设计技术导则（修订稿，2025年4月）》第3.1.18条和第6.5.4条的定义[7]。该指标反映电源与负荷的规模关系；第7.4.2.2条提出源荷比超过2.00时，应以反向净负荷极值校核主变容量[7]。邳州、市区分别约为1.63、0.32，外推据此取0.00～3.00，在1.00和2.00附近设置计算点，覆盖负荷主导、源荷规模接近及电源规模较大的情景。各情景再结合日间出力和用户负荷形成反向净负荷。</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以同范围分布式电源年发电量除以用户年用电量，采用上述导则修订稿第3.1.19条的定义。第7.4.2.2条将分布式电源电量渗透率超过40.00%～50.00%列为开展反向容量校核的条件[7]；Holweger等也按光伏年发电量占年用电量的比例分析灵活性服务与网架建设费用[29]。选取该指标，可将年度源荷电量关系与装机规模对应。外推在光伏利用小时1200 h、用户年负荷率0.50的统一假定下换算，范围为0.00%～82.19%；案例按月度装机及典型出力估计。容量配置由正反向峰值及其持续时间共同确定。</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年最大净负荷平均增长率在本研究中按年最大正向净负荷的增长计算，用于表征规划期净负荷年增长及容量储备需求。DL/T 5729—2023《配电网规划设计技术导则》表6.3.4按负荷增长水平给出容载比范围[5]，上述导则修订稿表2进一步采用年最大净负荷平均增长率分档[7]。刘炜彬等将负荷发展储备纳入容载比精细化配置，Martínez等分析了持续负荷增长对储能延缓扩网经济性的影响[46][28]。外推取0.00%～10.00%，包含2.00%、4.00%、7.00%的导则分档节点，并以8.00%、10.00%覆盖较快增长情景。案例按第三章的历史同比率递增权重方法取8.07%、1.80%，在设定源荷结构下同步缩放站级正反向净负荷。</w:t>
      </w:r>
    </w:p>
    <w:p>
      <w:pPr>
        <w:pStyle w:val="2"/>
        <w:widowControl/>
        <w:spacing w:line="348" w:lineRule="exact" w:before="0" w:after="0"/>
        <w:ind w:firstLine="480"/>
        <w:jc w:val="both"/>
      </w:pPr>
      <w:r>
        <w:rPr>
          <w:rFonts w:ascii="Times New Roman" w:hAnsi="Times New Roman" w:eastAsia="方正仿宋_GBK"/>
          <w:b w:val="0"/>
          <w:sz w:val="24"/>
        </w:rPr>
        <w:t xml:space="preserve">净负荷峰值取绝对值，用于比较正向供电与反向输送的容量压力。导则修订稿第3.1.13条按输送方向规定净负荷正负号，第7.4.1条和第7.4.2条要求分别分析正向、反向净负荷并校核容量[7]。本研究据此分别提取两方向峰值，再取较大幅值作为净负荷最大绝对值，同时保留方向进行容量校核。容载比按公用主变总容量与区域年最大正向净负荷计算；站级绝对峰值用于局部设备校核，两者分别承担区域规划和站级定容的作用。</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用于将近峰运行特征转化为储能能量需求。Xu等的全寿命储能规划及Martínez等的峰段削减研究均将功率、能量和负荷时段纳入配置分析[10][28]。同一功率缺口持续越久，所需储能能量越大。本研究以方向峰值的95%作为近峰幅值门槛，识别相邻高负荷时段，并以最长连续段确定一次峰段的支撑时长。95%为依据小时曲线设置的研究参数。外推取1、2、3、4、6 h，覆盖短时尖峰与较长连续峰段；其中2～3 h跨越单柜额定能量与功率之比2.15 h，可反映储能由功率约束转为能量约束的配置差异。</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主变与线路单位功率投资比用于比较增加变电容量和新建10 kV联络的经济条件。肖峻等量化了中压网络联络能力与上级变电容量的关系，金勇等研究了高压配电网负荷转供的分层优化[8][76]。两类措施均可改善站级容量约束，本研究分别将主变投资按新购容量折算的有功功率、联络投资按可转负荷归一化，再计算两种单位功率投资的比值。主变价格依据徐州110 kV输变电建设改造工程投资估算资料，线路价格依据华容县规划造价并按本研究联络工程规模折算[85][89]。围绕线路基价设置0.75、1.00、1.25倍的敏感性情景；含土建费用后，架空为主情景对应投资比约0.84～1.40，电缆为主约0.21～0.35。两类范围由第4.5.1节投资比除以相应线路价格倍数得到，价格倍数是研究情景，范围不作为容载比变化的经验阈值。线路越贵，主变与线路单位功率投资比越小；其能否改变容量配置取决于联络与增容的可替代条件。三档线路价格均进入方案比选，分类表将容量相同的价格条件合并列示，并另表比较其费用影响。</w:t>
      </w:r>
    </w:p>
    <w:p>
      <w:pPr>
        <w:pStyle w:val="2"/>
        <w:widowControl/>
        <w:spacing w:line="348" w:lineRule="exact" w:before="0" w:after="0"/>
        <w:ind w:firstLine="480"/>
        <w:jc w:val="both"/>
      </w:pPr>
      <w:r>
        <w:rPr>
          <w:rFonts w:ascii="Times New Roman" w:hAnsi="Times New Roman" w:eastAsia="方正仿宋_GBK"/>
          <w:b w:val="0"/>
          <w:sz w:val="24"/>
        </w:rPr>
        <w:t xml:space="preserve">主变与储能单位功率投资比用于比较变电容量建设和峰段储能支撑的经济条件。Matthiss等比较储能配置与网架加强投资，Martínez等进一步分析投资、寿命和负荷条件对储能替代扩网的影响[30][28]。本研究以主变单位有功功率投资除以储能单位充放电功率投资，储能基价采用浏阳项目成交资料并按215 kWh柜折算[86]。选取3 h参考峰段，使投资比同时体现功率和能量配置条件，并与1～6 h持续时间情景衔接。储能基价设置0.50、1.00、1.25倍的敏感性情景，考察价格下降及费用提高的影响；对应投资比约0.04～0.12，归纳为0.04～0.05、大于0.05至0.08、大于0.08至0.12三档。实际寻优按各场景持续时间及评价期费用比较。</w:t>
      </w:r>
    </w:p>
    <w:p>
      <w:pPr>
        <w:pStyle w:val="2"/>
        <w:keepNext/>
        <w:spacing w:line="280" w:lineRule="exact" w:before="120" w:after="80"/>
        <w:ind w:firstLine="0"/>
        <w:jc w:val="center"/>
      </w:pPr>
      <w:r>
        <w:rPr>
          <w:rFonts w:ascii="Times New Roman" w:hAnsi="Times New Roman" w:eastAsia="宋体"/>
          <w:b w:val="0"/>
          <w:sz w:val="21"/>
        </w:rPr>
        <w:t xml:space="preserve">表5-3 参数定义及寻优作用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统计范围与计算方法</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模型作用</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容载比</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公用主变总容量/年网供最大负荷[5]</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规划结果</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装机容量/用户最大负荷[7]</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构造源荷情景</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分布式电源电量渗透率</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发电量/用户用电量[7]</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源荷背景</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最大正向、反向净负荷</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站级方向极值</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正常运行与主变N-1容量校核</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最长连续达到本方向峰值95%的时段</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储能能量折算</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历史同比率递增权重平均值</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后续负荷推演</w:t>
            </w:r>
          </w:p>
        </w:tc>
      </w:tr>
      <w:tr>
        <w:trPr>
          <w:cantSplit/>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主变与线路单位功率投资比</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单位新购有功功率投资/单位可转负荷投资</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联络费用敏感性</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主变与储能单位功率投资比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单位新购有功功率投资/3 h储能单位充放电功率投资</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储能费用敏感性</w:t>
            </w:r>
          </w:p>
        </w:tc>
      </w:tr>
    </w:tbl>
    <w:p>
      <w:pPr>
        <w:pStyle w:val="2"/>
        <w:widowControl/>
        <w:spacing w:line="348" w:lineRule="exact" w:before="0" w:after="0"/>
        <w:ind w:firstLine="480"/>
        <w:jc w:val="both"/>
      </w:pPr>
      <w:r>
        <w:rPr>
          <w:rFonts w:ascii="Times New Roman" w:hAnsi="Times New Roman" w:eastAsia="方正仿宋_GBK"/>
          <w:b w:val="0"/>
          <w:sz w:val="24"/>
        </w:rPr>
        <w:t xml:space="preserve">站间转供率、供电区域类别及主变规格作为规划条件保留。市区50.00%的初始转供率对应A类研究情景，邳州28.29%由馈线样本计算后应用于县域站群。主变增容、储能配置与联络建设均在这些条件下寻优，推荐容载比由最终在役容量形成。</w:t>
      </w:r>
    </w:p>
    <w:p>
      <w:bookmarkStart w:id="1545" w:name="h545"/>
      <w:pPr>
        <w:pStyle w:val="4"/>
        <w:keepNext/>
        <w:numPr>
          <w:numId w:val="0"/>
        </w:numPr>
        <w:spacing w:line="480" w:lineRule="exact" w:before="160" w:after="120"/>
        <w:ind w:firstLine="0"/>
      </w:pPr>
      <w:bookmarkStart w:id="178" w:name="三类措施的选取与寻优方法"/>
      <w:r>
        <w:rPr>
          <w:rFonts w:ascii="Times New Roman" w:hAnsi="Times New Roman" w:eastAsia="方正仿宋_GBK"/>
          <w:b/>
          <w:sz w:val="32"/>
        </w:rPr>
        <w:t xml:space="preserve">5.2 三类措施的选取与寻优方法</w:t>
      </w:r>
      <w:bookmarkEnd w:id="178"/>
      <w:bookmarkEnd w:id="1545"/>
    </w:p>
    <w:p>
      <w:pPr>
        <w:pStyle w:val="5"/>
        <w:keepNext/>
        <w:numPr>
          <w:numId w:val="0"/>
        </w:numPr>
        <w:spacing w:line="390" w:lineRule="exact" w:before="160" w:after="120"/>
        <w:ind w:firstLine="0"/>
      </w:pPr>
      <w:bookmarkStart w:id="179" w:name="主变增容及扩建方案"/>
      <w:r>
        <w:rPr>
          <w:rFonts w:ascii="Times New Roman" w:hAnsi="Times New Roman" w:eastAsia="方正仿宋_GBK"/>
          <w:b/>
          <w:sz w:val="26"/>
        </w:rPr>
        <w:t xml:space="preserve">5.2.1 主变增容及扩建方案</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主变建设包括既有主变增容和增加主变台数的扩建。每台既有主变在每年选择一种允许容量规格，容量逐年非减。既有规格可以继续使用，新购规格按供电区域类别和候选目录确定；主变扩建须具备可用预留位置。</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a</m:t>
                          </m:r>
                          <m:r>
                            <m:t>∈</m:t>
                          </m:r>
                          <m:sSub>
                            <m:e>
                              <m:r>
                                <m:rPr>
                                  <m:sty m:val="p"/>
                                  <m:scr m:val="script"/>
                                </m:rPr>
                                <m:t>A</m:t>
                              </m:r>
                            </m:e>
                            <m:sub>
                              <m:r>
                                <m:t>i</m:t>
                              </m:r>
                              <m:r>
                                <m:t>k</m:t>
                              </m:r>
                            </m:sub>
                          </m:sSub>
                        </m:sub>
                        <m:sup>
                          <m:r>
                            <m:t>​</m:t>
                          </m:r>
                        </m:sup>
                        <m:e>
                          <m:sSub>
                            <m:e>
                              <m:r>
                                <m:t>x</m:t>
                              </m:r>
                            </m:e>
                            <m:sub>
                              <m:r>
                                <m:t>i</m:t>
                              </m:r>
                              <m:r>
                                <m:t>,</m:t>
                              </m:r>
                              <m:r>
                                <m:t>k</m:t>
                              </m:r>
                              <m:r>
                                <m:t>,</m:t>
                              </m:r>
                              <m:r>
                                <m:t>y</m:t>
                              </m:r>
                              <m:r>
                                <m:t>,</m:t>
                              </m:r>
                              <m:r>
                                <m:t>a</m:t>
                              </m:r>
                            </m:sub>
                          </m:sSub>
                        </m:e>
                      </m:nary>
                    </m:e>
                    <m:e>
                      <m:r>
                        <m:t>=</m:t>
                      </m:r>
                      <m:r>
                        <m:t>1</m:t>
                      </m:r>
                    </m:e>
                  </m:mr>
                  <m:mr>
                    <m:e>
                      <m:sSub>
                        <m:e>
                          <m:r>
                            <m:t>S</m:t>
                          </m:r>
                        </m:e>
                        <m:sub>
                          <m:r>
                            <m:t>i</m:t>
                          </m:r>
                          <m:r>
                            <m:t>,</m:t>
                          </m:r>
                          <m:r>
                            <m:t>k</m:t>
                          </m:r>
                          <m:r>
                            <m:t>,</m:t>
                          </m:r>
                          <m:r>
                            <m:t>y</m:t>
                          </m:r>
                        </m:sub>
                      </m:sSub>
                    </m:e>
                    <m:e>
                      <m:r>
                        <m:t>=</m:t>
                      </m:r>
                      <m:nary>
                        <m:naryPr>
                          <m:chr m:val="∑"/>
                          <m:limLoc m:val="undOvr"/>
                          <m:subHide m:val="0"/>
                          <m:supHide m:val="1"/>
                        </m:naryPr>
                        <m:sub>
                          <m:r>
                            <m:t>a</m:t>
                          </m:r>
                          <m:r>
                            <m:t>∈</m:t>
                          </m:r>
                          <m:sSub>
                            <m:e>
                              <m:r>
                                <m:rPr>
                                  <m:sty m:val="p"/>
                                  <m:scr m:val="script"/>
                                </m:rPr>
                                <m:t>A</m:t>
                              </m:r>
                            </m:e>
                            <m:sub>
                              <m:r>
                                <m:t>i</m:t>
                              </m:r>
                              <m:r>
                                <m:t>k</m:t>
                              </m:r>
                            </m:sub>
                          </m:sSub>
                        </m:sub>
                        <m:sup>
                          <m:r>
                            <m:t>​</m:t>
                          </m:r>
                        </m:sup>
                        <m:e>
                          <m:r>
                            <m:t>a</m:t>
                          </m:r>
                        </m:e>
                      </m:nary>
                      <m:r>
                        <m:t> </m:t>
                      </m:r>
                      <m:sSub>
                        <m:e>
                          <m:r>
                            <m:t>x</m:t>
                          </m:r>
                        </m:e>
                        <m:sub>
                          <m:r>
                            <m:t>i</m:t>
                          </m:r>
                          <m:r>
                            <m:t>,</m:t>
                          </m:r>
                          <m:r>
                            <m:t>k</m:t>
                          </m:r>
                          <m:r>
                            <m:t>,</m:t>
                          </m:r>
                          <m:r>
                            <m:t>y</m:t>
                          </m:r>
                          <m:r>
                            <m:t>,</m:t>
                          </m:r>
                          <m:r>
                            <m:t>a</m:t>
                          </m:r>
                        </m:sub>
                      </m:sSub>
                    </m:e>
                  </m:mr>
                  <m:mr>
                    <m:e>
                      <m:sSub>
                        <m:e>
                          <m:r>
                            <m:t>S</m:t>
                          </m:r>
                        </m:e>
                        <m:sub>
                          <m:r>
                            <m:t>i</m:t>
                          </m:r>
                          <m:r>
                            <m:t>,</m:t>
                          </m:r>
                          <m:r>
                            <m:t>y</m:t>
                          </m:r>
                        </m:sub>
                      </m:sSub>
                    </m:e>
                    <m:e>
                      <m:r>
                        <m:t>=</m:t>
                      </m:r>
                      <m:sSub>
                        <m:e>
                          <m:r>
                            <m:t>S</m:t>
                          </m:r>
                        </m:e>
                        <m:sub>
                          <m:r>
                            <m:t>i</m:t>
                          </m:r>
                          <m:r>
                            <m:t>,</m:t>
                          </m:r>
                          <m:r>
                            <m:t>1</m:t>
                          </m:r>
                          <m:r>
                            <m:t>,</m:t>
                          </m:r>
                          <m:r>
                            <m:t>y</m:t>
                          </m:r>
                        </m:sub>
                      </m:sSub>
                      <m:r>
                        <m:t>+</m:t>
                      </m:r>
                      <m:sSub>
                        <m:e>
                          <m:r>
                            <m:t>S</m:t>
                          </m:r>
                        </m:e>
                        <m:sub>
                          <m:r>
                            <m:t>i</m:t>
                          </m:r>
                          <m:r>
                            <m:t>,</m:t>
                          </m:r>
                          <m:r>
                            <m:t>2</m:t>
                          </m:r>
                          <m:r>
                            <m:t>,</m:t>
                          </m:r>
                          <m:r>
                            <m:t>y</m:t>
                          </m:r>
                        </m:sub>
                      </m:sSub>
                      <m:r>
                        <m:t>+</m:t>
                      </m:r>
                      <m:r>
                        <m:t>50</m:t>
                      </m:r>
                      <m:sSub>
                        <m:e>
                          <m:r>
                            <m:t>u</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（5-3）</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为变电站，</w:t>
      </w:r>
      <m:oMath>
        <m:r>
          <m:t>k</m:t>
        </m:r>
      </m:oMath>
      <w:r>
        <w:rPr>
          <w:rFonts w:ascii="Times New Roman" w:hAnsi="Times New Roman" w:eastAsia="方正仿宋_GBK"/>
          <w:b w:val="0"/>
          <w:sz w:val="24"/>
        </w:rPr>
        <w:t xml:space="preserve">为既有主变安装位置，</w:t>
      </w:r>
      <m:oMath>
        <m:sSub>
          <m:e>
            <m:r>
              <m:rPr>
                <m:sty m:val="p"/>
                <m:scr m:val="script"/>
              </m:rPr>
              <m:t>A</m:t>
            </m:r>
          </m:e>
          <m:sub>
            <m:r>
              <m:t>i</m:t>
            </m:r>
            <m:r>
              <m:t>k</m:t>
            </m:r>
          </m:sub>
        </m:sSub>
      </m:oMath>
      <w:r>
        <w:rPr>
          <w:rFonts w:ascii="Times New Roman" w:hAnsi="Times New Roman" w:eastAsia="方正仿宋_GBK"/>
          <w:b w:val="0"/>
          <w:sz w:val="24"/>
        </w:rPr>
        <w:t xml:space="preserve">为允许容量规格集合，</w:t>
      </w:r>
      <m:oMath>
        <m:r>
          <m:t>a</m:t>
        </m:r>
      </m:oMath>
      <w:r>
        <w:rPr>
          <w:rFonts w:ascii="Times New Roman" w:hAnsi="Times New Roman" w:eastAsia="方正仿宋_GBK"/>
          <w:b w:val="0"/>
          <w:sz w:val="24"/>
        </w:rPr>
        <w:t xml:space="preserve">为其中一种规格，单位MVA；</w:t>
      </w:r>
      <m:oMath>
        <m:sSub>
          <m:e>
            <m:r>
              <m:t>x</m:t>
            </m:r>
          </m:e>
          <m:sub>
            <m:r>
              <m:t>i</m:t>
            </m:r>
            <m:r>
              <m:t>,</m:t>
            </m:r>
            <m:r>
              <m:t>k</m:t>
            </m:r>
            <m:r>
              <m:t>,</m:t>
            </m:r>
            <m:r>
              <m:t>y</m:t>
            </m:r>
            <m:r>
              <m:t>,</m:t>
            </m:r>
            <m:r>
              <m:t>a</m:t>
            </m:r>
          </m:sub>
        </m:sSub>
      </m:oMath>
      <w:r>
        <w:rPr>
          <w:rFonts w:ascii="Times New Roman" w:hAnsi="Times New Roman" w:eastAsia="方正仿宋_GBK"/>
          <w:b w:val="0"/>
          <w:sz w:val="24"/>
        </w:rPr>
        <w:t xml:space="preserve">为0或1的规格选择变量，</w:t>
      </w:r>
      <m:oMath>
        <m:sSub>
          <m:e>
            <m:r>
              <m:t>S</m:t>
            </m:r>
          </m:e>
          <m:sub>
            <m:r>
              <m:t>i</m:t>
            </m:r>
            <m:r>
              <m:t>,</m:t>
            </m:r>
            <m:r>
              <m:t>k</m:t>
            </m:r>
            <m:r>
              <m:t>,</m:t>
            </m:r>
            <m:r>
              <m:t>y</m:t>
            </m:r>
          </m:sub>
        </m:sSub>
      </m:oMath>
      <w:r>
        <w:rPr>
          <w:rFonts w:ascii="Times New Roman" w:hAnsi="Times New Roman" w:eastAsia="方正仿宋_GBK"/>
          <w:b w:val="0"/>
          <w:sz w:val="24"/>
        </w:rPr>
        <w:t xml:space="preserve">为该位置主变在役容量，</w:t>
      </w:r>
      <m:oMath>
        <m:sSub>
          <m:e>
            <m:r>
              <m:t>S</m:t>
            </m:r>
          </m:e>
          <m:sub>
            <m:r>
              <m:t>i</m:t>
            </m:r>
            <m:r>
              <m:t>,</m:t>
            </m:r>
            <m:r>
              <m:t>y</m:t>
            </m:r>
          </m:sub>
        </m:sSub>
      </m:oMath>
      <w:r>
        <w:rPr>
          <w:rFonts w:ascii="Times New Roman" w:hAnsi="Times New Roman" w:eastAsia="方正仿宋_GBK"/>
          <w:b w:val="0"/>
          <w:sz w:val="24"/>
        </w:rPr>
        <w:t xml:space="preserve">为站内公用主变总容量；</w:t>
      </w:r>
      <m:oMath>
        <m:sSub>
          <m:e>
            <m:r>
              <m:t>u</m:t>
            </m:r>
          </m:e>
          <m:sub>
            <m:r>
              <m:t>i</m:t>
            </m:r>
            <m:r>
              <m:t>,</m:t>
            </m:r>
            <m:r>
              <m:t>y</m:t>
            </m:r>
          </m:sub>
        </m:sSub>
      </m:oMath>
      <w:r>
        <w:rPr>
          <w:rFonts w:ascii="Times New Roman" w:hAnsi="Times New Roman" w:eastAsia="方正仿宋_GBK"/>
          <w:b w:val="0"/>
          <w:sz w:val="24"/>
        </w:rPr>
        <w:t xml:space="preserve">为扩建50 MVA主变的在役状态。该式省略区县和方案下标，各区县、各方案分别应用。</w:t>
      </w:r>
    </w:p>
    <w:p>
      <w:pPr>
        <w:pStyle w:val="2"/>
        <w:widowControl/>
        <w:spacing w:line="348" w:lineRule="exact" w:before="0" w:after="0"/>
        <w:ind w:firstLine="480"/>
        <w:jc w:val="both"/>
      </w:pPr>
      <w:r>
        <w:rPr>
          <w:rFonts w:ascii="Times New Roman" w:hAnsi="Times New Roman" w:eastAsia="方正仿宋_GBK"/>
          <w:b w:val="0"/>
          <w:sz w:val="24"/>
        </w:rPr>
        <w:t xml:space="preserve">模型先计算候选增容对正常供电、反向输送及主变N-1后剩余容量的改善，再按新购整台容量计算替换费用。主变扩建采用1223万元/项的扩建费用。新增容量和采购容量同时列示，用于分别解释容载比变化与工程投资[85]。</w:t>
      </w:r>
    </w:p>
    <w:p>
      <w:pPr>
        <w:pStyle w:val="5"/>
        <w:keepNext/>
        <w:numPr>
          <w:numId w:val="0"/>
        </w:numPr>
        <w:spacing w:line="390" w:lineRule="exact" w:before="160" w:after="120"/>
        <w:ind w:firstLine="0"/>
      </w:pPr>
      <w:bookmarkStart w:id="180" w:name="利用既有10-kv联络能力"/>
      <w:r>
        <w:rPr>
          <w:rFonts w:ascii="Times New Roman" w:hAnsi="Times New Roman" w:eastAsia="方正仿宋_GBK"/>
          <w:b/>
          <w:sz w:val="26"/>
        </w:rPr>
        <w:t xml:space="preserve">5.2.2 利用既有10 kV联络能力</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kV联络在区县内部调整用电负荷的供电归属。首先确定初始转供率，再将其乘以转接前站级负荷，得到可使用的既有转供能力。市区按A类研究情景设定初始转供率50%；邳州依据六馈线与跨站联络数据具体测算[5]。</w:t>
      </w:r>
    </w:p>
    <w:p>
      <w:pPr>
        <w:pStyle w:val="2"/>
        <w:widowControl/>
        <w:spacing w:line="348" w:lineRule="exact" w:before="0" w:after="0"/>
        <w:ind w:firstLine="480"/>
        <w:jc w:val="both"/>
      </w:pPr>
      <w:r>
        <w:rPr>
          <w:rFonts w:ascii="Times New Roman" w:hAnsi="Times New Roman" w:eastAsia="方正仿宋_GBK"/>
          <w:b w:val="0"/>
          <w:sz w:val="24"/>
        </w:rPr>
        <w:t xml:space="preserve">邳州样本将最大电流折算为有功负荷，并以允许电流与已用电流之差估计受端余量。</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（5-4）</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48" w:lineRule="exact" w:before="0" w:after="0"/>
        <w:ind w:firstLine="480"/>
        <w:jc w:val="both"/>
      </w:pPr>
      <w:r>
        <w:rPr>
          <w:rFonts w:ascii="Times New Roman" w:hAnsi="Times New Roman" w:eastAsia="方正仿宋_GBK"/>
          <w:b w:val="0"/>
          <w:sz w:val="24"/>
        </w:rPr>
        <w:t xml:space="preserve">对跨站联络分别枚举不使用、正向及反向转接，求各方向组合的最大可转负荷。每条馈线转出量不超过其负荷，转入量不超过受端余量。共享同一馈线的联络共同使用该端能力预算。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Q</m:t>
                          </m:r>
                        </m:e>
                        <m:sub>
                          <m:r>
                            <m:rPr>
                              <m:sty m:val="p"/>
                            </m:rPr>
                            <m:t>s</m:t>
                          </m:r>
                          <m:r>
                            <m:rPr>
                              <m:sty m:val="p"/>
                            </m:rPr>
                            <m:t>a</m:t>
                          </m:r>
                          <m:r>
                            <m:rPr>
                              <m:sty m:val="p"/>
                            </m:rPr>
                            <m:t>m</m:t>
                          </m:r>
                          <m:r>
                            <m:rPr>
                              <m:sty m:val="p"/>
                            </m:rPr>
                            <m:t>p</m:t>
                          </m:r>
                          <m:r>
                            <m:rPr>
                              <m:sty m:val="p"/>
                            </m:rPr>
                            <m:t>l</m:t>
                          </m:r>
                          <m:r>
                            <m:rPr>
                              <m:sty m:val="p"/>
                            </m:rPr>
                            <m:t>e</m:t>
                          </m:r>
                        </m:sub>
                      </m:sSub>
                    </m:e>
                    <m:e>
                      <m:r>
                        <m:t>=</m:t>
                      </m:r>
                      <m:r>
                        <m:rPr>
                          <m:nor/>
                          <m:sty m:val="p"/>
                        </m:rPr>
                        <m:t>max</m:t>
                      </m:r>
                      <m:nary>
                        <m:naryPr>
                          <m:chr m:val="∑"/>
                          <m:limLoc m:val="undOvr"/>
                          <m:subHide m:val="0"/>
                          <m:supHide m:val="1"/>
                        </m:naryPr>
                        <m:sub>
                          <m:r>
                            <m:t>(</m:t>
                          </m:r>
                          <m:r>
                            <m:t>f</m:t>
                          </m:r>
                          <m:r>
                            <m:t>,</m:t>
                          </m:r>
                          <m:r>
                            <m:t>h</m:t>
                          </m:r>
                          <m:r>
                            <m:t>)</m:t>
                          </m:r>
                          <m:r>
                            <m:t>∈</m:t>
                          </m:r>
                          <m:r>
                            <m:rPr>
                              <m:sty m:val="p"/>
                              <m:scr m:val="script"/>
                            </m:rPr>
                            <m:t>E</m:t>
                          </m:r>
                        </m:sub>
                        <m:sup>
                          <m:r>
                            <m:t>​</m:t>
                          </m:r>
                        </m:sup>
                        <m:e>
                          <m:sSub>
                            <m:e>
                              <m:r>
                                <m:t>q</m:t>
                              </m:r>
                            </m:e>
                            <m:sub>
                              <m:r>
                                <m:t>f</m:t>
                              </m:r>
                              <m:r>
                                <m:t>h</m:t>
                              </m:r>
                            </m:sub>
                          </m:sSub>
                        </m:e>
                      </m:nary>
                    </m:e>
                  </m:mr>
                  <m:mr>
                    <m:e/>
                    <m:e>
                      <m:nary>
                        <m:naryPr>
                          <m:chr m:val="∑"/>
                          <m:limLoc m:val="undOvr"/>
                          <m:subHide m:val="0"/>
                          <m:supHide m:val="1"/>
                        </m:naryPr>
                        <m:sub>
                          <m:r>
                            <m:t>h</m:t>
                          </m:r>
                        </m:sub>
                        <m:sup>
                          <m:r>
                            <m:t>​</m:t>
                          </m:r>
                        </m:sup>
                        <m:e>
                          <m:sSub>
                            <m:e>
                              <m:r>
                                <m:t>q</m:t>
                              </m:r>
                            </m:e>
                            <m:sub>
                              <m:r>
                                <m:t>f</m:t>
                              </m:r>
                              <m:r>
                                <m:t>h</m:t>
                              </m:r>
                            </m:sub>
                          </m:sSub>
                        </m:e>
                      </m:nary>
                      <m:r>
                        <m:t>≤</m:t>
                      </m:r>
                      <m:sSub>
                        <m:e>
                          <m:r>
                            <m:t>P</m:t>
                          </m:r>
                        </m:e>
                        <m:sub>
                          <m:r>
                            <m:t>f</m:t>
                          </m:r>
                        </m:sub>
                      </m:sSub>
                    </m:e>
                  </m:mr>
                  <m:mr>
                    <m:e/>
                    <m:e>
                      <m:nary>
                        <m:naryPr>
                          <m:chr m:val="∑"/>
                          <m:limLoc m:val="undOvr"/>
                          <m:subHide m:val="0"/>
                          <m:supHide m:val="1"/>
                        </m:naryPr>
                        <m:sub>
                          <m:r>
                            <m:t>f</m:t>
                          </m:r>
                        </m:sub>
                        <m:sup>
                          <m:r>
                            <m:t>​</m:t>
                          </m:r>
                        </m:sup>
                        <m:e>
                          <m:sSub>
                            <m:e>
                              <m:r>
                                <m:t>q</m:t>
                              </m:r>
                            </m:e>
                            <m:sub>
                              <m:r>
                                <m:t>f</m:t>
                              </m:r>
                              <m:r>
                                <m:t>h</m:t>
                              </m:r>
                            </m:sub>
                          </m:sSub>
                        </m:e>
                      </m:nary>
                      <m:r>
                        <m:t>≤</m:t>
                      </m:r>
                      <m:sSub>
                        <m:e>
                          <m:r>
                            <m:t>H</m:t>
                          </m:r>
                        </m:e>
                        <m:sub>
                          <m:r>
                            <m:t>h</m:t>
                          </m:r>
                        </m:sub>
                      </m:sSub>
                    </m:e>
                  </m:mr>
                  <m:mr>
                    <m:e/>
                    <m:e>
                      <m:sSub>
                        <m:e>
                          <m:r>
                            <m:t>q</m:t>
                          </m:r>
                        </m:e>
                        <m:sub>
                          <m:r>
                            <m:t>f</m:t>
                          </m:r>
                          <m:r>
                            <m:t>h</m:t>
                          </m:r>
                        </m:sub>
                      </m:sSub>
                      <m:r>
                        <m:t>≥</m:t>
                      </m:r>
                      <m:r>
                        <m:t>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（5-5）</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rPr>
            <m:sty m:val="p"/>
            <m:scr m:val="script"/>
          </m:rPr>
          <m:t>E</m:t>
        </m:r>
      </m:oMath>
      <w:r>
        <w:rPr>
          <w:rFonts w:ascii="Times New Roman" w:hAnsi="Times New Roman" w:eastAsia="方正仿宋_GBK"/>
          <w:b w:val="0"/>
          <w:sz w:val="24"/>
        </w:rPr>
        <w:t xml:space="preserve">为当前方向组合下的跨站联络集合，</w:t>
      </w:r>
      <m:oMath>
        <m:sSub>
          <m:e>
            <m:r>
              <m:t>q</m:t>
            </m:r>
          </m:e>
          <m:sub>
            <m:r>
              <m:t>f</m:t>
            </m:r>
            <m:r>
              <m:t>h</m:t>
            </m:r>
          </m:sub>
        </m:sSub>
      </m:oMath>
      <w:r>
        <w:rPr>
          <w:rFonts w:ascii="Times New Roman" w:hAnsi="Times New Roman" w:eastAsia="方正仿宋_GBK"/>
          <w:b w:val="0"/>
          <w:sz w:val="24"/>
        </w:rPr>
        <w:t xml:space="preserve">为由馈线</w:t>
      </w:r>
      <m:oMath>
        <m:r>
          <m:t>f</m:t>
        </m:r>
      </m:oMath>
      <w:r>
        <w:rPr>
          <w:rFonts w:ascii="Times New Roman" w:hAnsi="Times New Roman" w:eastAsia="方正仿宋_GBK"/>
          <w:b w:val="0"/>
          <w:sz w:val="24"/>
        </w:rPr>
        <w:t xml:space="preserve">向馈线</w:t>
      </w:r>
      <m:oMath>
        <m:r>
          <m:t>h</m:t>
        </m:r>
      </m:oMath>
      <w:r>
        <w:rPr>
          <w:rFonts w:ascii="Times New Roman" w:hAnsi="Times New Roman" w:eastAsia="方正仿宋_GBK"/>
          <w:b w:val="0"/>
          <w:sz w:val="24"/>
        </w:rPr>
        <w:t xml:space="preserve">转接的负荷，单位MW；</w:t>
      </w:r>
      <m:oMath>
        <m:sSub>
          <m:e>
            <m:r>
              <m:t>Q</m:t>
            </m:r>
          </m:e>
          <m:sub>
            <m:r>
              <m:rPr>
                <m:sty m:val="p"/>
              </m:rPr>
              <m:t>s</m:t>
            </m:r>
            <m:r>
              <m:rPr>
                <m:sty m:val="p"/>
              </m:rPr>
              <m:t>a</m:t>
            </m:r>
            <m:r>
              <m:rPr>
                <m:sty m:val="p"/>
              </m:rPr>
              <m:t>m</m:t>
            </m:r>
            <m:r>
              <m:rPr>
                <m:sty m:val="p"/>
              </m:rPr>
              <m:t>p</m:t>
            </m:r>
            <m:r>
              <m:rPr>
                <m:sty m:val="p"/>
              </m:rPr>
              <m:t>l</m:t>
            </m:r>
            <m:r>
              <m:rPr>
                <m:sty m:val="p"/>
              </m:rPr>
              <m:t>e</m:t>
            </m:r>
          </m:sub>
        </m:sSub>
      </m:oMath>
      <w:r>
        <w:rPr>
          <w:rFonts w:ascii="Times New Roman" w:hAnsi="Times New Roman" w:eastAsia="方正仿宋_GBK"/>
          <w:b w:val="0"/>
          <w:sz w:val="24"/>
        </w:rPr>
        <w:t xml:space="preserve">为在共享预算内的样本最大可转负荷。该筛查得到9.98 MW，六馈线负荷合计35.29 MW。</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ρ</m:t>
                    </m:r>
                  </m:e>
                  <m:sub>
                    <m:r>
                      <m:rPr>
                        <m:sty m:val="p"/>
                      </m:rPr>
                      <m:t>P</m:t>
                    </m:r>
                    <m:r>
                      <m:rPr>
                        <m:sty m:val="p"/>
                      </m:rPr>
                      <m:t>i</m:t>
                    </m:r>
                    <m:r>
                      <m:rPr>
                        <m:sty m:val="p"/>
                      </m:rPr>
                      <m:t>z</m:t>
                    </m:r>
                    <m:r>
                      <m:rPr>
                        <m:sty m:val="p"/>
                      </m:rPr>
                      <m:t>h</m:t>
                    </m:r>
                    <m:r>
                      <m:rPr>
                        <m:sty m:val="p"/>
                      </m:rPr>
                      <m:t>o</m:t>
                    </m:r>
                    <m:r>
                      <m:rPr>
                        <m:sty m:val="p"/>
                      </m:rPr>
                      <m:t>u</m:t>
                    </m:r>
                    <m:r>
                      <m:t>,</m:t>
                    </m:r>
                    <m:r>
                      <m:t>0</m:t>
                    </m:r>
                  </m:sub>
                </m:sSub>
                <m:r>
                  <m:t>=</m:t>
                </m:r>
                <m:f>
                  <m:fPr>
                    <m:type m:val="bar"/>
                  </m:fPr>
                  <m:num>
                    <m:sSub>
                      <m:e>
                        <m:r>
                          <m:t>Q</m:t>
                        </m:r>
                      </m:e>
                      <m:sub>
                        <m:r>
                          <m:rPr>
                            <m:sty m:val="p"/>
                          </m:rPr>
                          <m:t>s</m:t>
                        </m:r>
                        <m:r>
                          <m:rPr>
                            <m:sty m:val="p"/>
                          </m:rPr>
                          <m:t>a</m:t>
                        </m:r>
                        <m:r>
                          <m:rPr>
                            <m:sty m:val="p"/>
                          </m:rPr>
                          <m:t>m</m:t>
                        </m:r>
                        <m:r>
                          <m:rPr>
                            <m:sty m:val="p"/>
                          </m:rPr>
                          <m:t>p</m:t>
                        </m:r>
                        <m:r>
                          <m:rPr>
                            <m:sty m:val="p"/>
                          </m:rPr>
                          <m:t>l</m:t>
                        </m:r>
                        <m:r>
                          <m:rPr>
                            <m:sty m:val="p"/>
                          </m:rPr>
                          <m:t>e</m:t>
                        </m:r>
                      </m:sub>
                    </m:sSub>
                  </m:num>
                  <m:den>
                    <m:nary>
                      <m:naryPr>
                        <m:chr m:val="∑"/>
                        <m:limLoc m:val="undOvr"/>
                        <m:subHide m:val="0"/>
                        <m:supHide m:val="1"/>
                      </m:naryPr>
                      <m:sub>
                        <m:r>
                          <m:t>f</m:t>
                        </m:r>
                      </m:sub>
                      <m:sup>
                        <m:r>
                          <m:t>​</m:t>
                        </m:r>
                      </m:sup>
                      <m:e>
                        <m:sSub>
                          <m:e>
                            <m:r>
                              <m:t>P</m:t>
                            </m:r>
                          </m:e>
                          <m:sub>
                            <m:r>
                              <m:t>f</m:t>
                            </m:r>
                          </m:sub>
                        </m:sSub>
                      </m:e>
                    </m:nary>
                  </m:den>
                </m:f>
                <m:r>
                  <m:t>≈</m:t>
                </m:r>
                <m:r>
                  <m:t>28.29</m:t>
                </m:r>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（5-6）</w:t>
            </w:r>
          </w:p>
        </w:tc>
      </w:tr>
    </w:tbl>
    <w:p>
      <w:pPr>
        <w:pStyle w:val="FirstParagraph"/>
        <w:widowControl/>
        <w:spacing w:line="348" w:lineRule="exact" w:before="0" w:after="0"/>
        <w:ind w:firstLine="480"/>
        <w:jc w:val="both"/>
      </w:pPr>
      <m:oMath>
        <m:sSub>
          <m:e>
            <m:r>
              <m:t>ρ</m:t>
            </m:r>
          </m:e>
          <m:sub>
            <m:r>
              <m:rPr>
                <m:sty m:val="p"/>
              </m:rPr>
              <m:t>P</m:t>
            </m:r>
            <m:r>
              <m:rPr>
                <m:sty m:val="p"/>
              </m:rPr>
              <m:t>i</m:t>
            </m:r>
            <m:r>
              <m:rPr>
                <m:sty m:val="p"/>
              </m:rPr>
              <m:t>z</m:t>
            </m:r>
            <m:r>
              <m:rPr>
                <m:sty m:val="p"/>
              </m:rPr>
              <m:t>h</m:t>
            </m:r>
            <m:r>
              <m:rPr>
                <m:sty m:val="p"/>
              </m:rPr>
              <m:t>o</m:t>
            </m:r>
            <m:r>
              <m:rPr>
                <m:sty m:val="p"/>
              </m:rPr>
              <m:t>u</m:t>
            </m:r>
            <m:r>
              <m:t>,</m:t>
            </m:r>
            <m:r>
              <m:t>0</m:t>
            </m:r>
          </m:sub>
        </m:sSub>
      </m:oMath>
      <w:r>
        <w:rPr>
          <w:rFonts w:ascii="Times New Roman" w:hAnsi="Times New Roman" w:eastAsia="方正仿宋_GBK"/>
          <w:b w:val="0"/>
          <w:sz w:val="24"/>
        </w:rPr>
        <w:t xml:space="preserve">为邳州初始站间转供率。本研究将局部测算比例统一外推到邳州各仿真站，形成县域内部能力配置参数。市区50%为研究假定。既有能力利用的新增建设投资计为零，送端可转负荷及受端主变、储能能力共同决定实际使用量。</w:t>
      </w:r>
    </w:p>
    <w:p>
      <w:pPr>
        <w:pStyle w:val="5"/>
        <w:keepNext/>
        <w:numPr>
          <w:numId w:val="0"/>
        </w:numPr>
        <w:spacing w:line="390" w:lineRule="exact" w:before="160" w:after="120"/>
        <w:ind w:firstLine="0"/>
      </w:pPr>
      <w:bookmarkStart w:id="181" w:name="新建10-kv联络提升转供率"/>
      <w:r>
        <w:rPr>
          <w:rFonts w:ascii="Times New Roman" w:hAnsi="Times New Roman" w:eastAsia="方正仿宋_GBK"/>
          <w:b/>
          <w:sz w:val="26"/>
        </w:rPr>
        <w:t xml:space="preserve">5.2.3 新建10 kV联络提升转供率</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既有能力不足时，新增独立联络项目提高可转负荷预算。每个项目采用邳州局部可切换负荷区段标定的7.49 MW能力增量，参考投资按线路类型分别为124.80万元和499.20万元。区县内任意两个不同站均可作为新增等效项目端点，项目在两端关联、建设投资计一次[89]。</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Q</m:t>
                    </m:r>
                  </m:e>
                  <m:sub>
                    <m:r>
                      <m:t>i</m:t>
                    </m:r>
                    <m:r>
                      <m:t>,</m:t>
                    </m:r>
                    <m:r>
                      <m:t>y</m:t>
                    </m:r>
                  </m:sub>
                  <m:sup>
                    <m:r>
                      <m:rPr>
                        <m:sty m:val="p"/>
                      </m:rPr>
                      <m:t>c</m:t>
                    </m:r>
                    <m:r>
                      <m:rPr>
                        <m:sty m:val="p"/>
                      </m:rPr>
                      <m:t>a</m:t>
                    </m:r>
                    <m:r>
                      <m:rPr>
                        <m:sty m:val="p"/>
                      </m:rPr>
                      <m:t>p</m:t>
                    </m:r>
                  </m:sup>
                </m:sSubSup>
                <m:r>
                  <m:t>=</m:t>
                </m:r>
                <m:r>
                  <m:rPr>
                    <m:nor/>
                    <m:sty m:val="p"/>
                  </m:rPr>
                  <m:t>min</m:t>
                </m:r>
                <m:d>
                  <m:dPr>
                    <m:begChr m:val="("/>
                    <m:endChr m:val=")"/>
                    <m:grow/>
                  </m:dPr>
                  <m:e>
                    <m:sSubSup>
                      <m:e>
                        <m:r>
                          <m:t>ρ</m:t>
                        </m:r>
                      </m:e>
                      <m:sub>
                        <m:r>
                          <m:t>c</m:t>
                        </m:r>
                      </m:sub>
                      <m:sup>
                        <m:r>
                          <m:rPr>
                            <m:nor/>
                            <m:sty m:val="p"/>
                          </m:rPr>
                          <m:t>max</m:t>
                        </m:r>
                      </m:sup>
                    </m:sSubSup>
                    <m:sSubSup>
                      <m:e>
                        <m:r>
                          <m:t>L</m:t>
                        </m:r>
                      </m:e>
                      <m:sub>
                        <m:r>
                          <m:t>i</m:t>
                        </m:r>
                        <m:r>
                          <m:t>,</m:t>
                        </m:r>
                        <m:r>
                          <m:t>y</m:t>
                        </m:r>
                      </m:sub>
                      <m:sup>
                        <m:r>
                          <m:t>+</m:t>
                        </m:r>
                      </m:sup>
                    </m:sSubSup>
                    <m:r>
                      <m:t>,</m:t>
                    </m:r>
                    <m:sSub>
                      <m:e>
                        <m:r>
                          <m:t>ρ</m:t>
                        </m:r>
                      </m:e>
                      <m:sub>
                        <m:r>
                          <m:t>c</m:t>
                        </m:r>
                        <m:r>
                          <m:t>,</m:t>
                        </m:r>
                        <m:r>
                          <m:t>0</m:t>
                        </m:r>
                      </m:sub>
                    </m:sSub>
                    <m:sSubSup>
                      <m:e>
                        <m:r>
                          <m:t>L</m:t>
                        </m:r>
                      </m:e>
                      <m:sub>
                        <m:r>
                          <m:t>i</m:t>
                        </m:r>
                        <m:r>
                          <m:t>,</m:t>
                        </m:r>
                        <m:r>
                          <m:t>y</m:t>
                        </m:r>
                      </m:sub>
                      <m:sup>
                        <m:r>
                          <m:t>+</m:t>
                        </m:r>
                      </m:sup>
                    </m:sSubSup>
                    <m:r>
                      <m:t>+</m:t>
                    </m:r>
                    <m:sSub>
                      <m:e>
                        <m:r>
                          <m:t>m</m:t>
                        </m:r>
                      </m:e>
                      <m:sub>
                        <m:r>
                          <m:t>i</m:t>
                        </m:r>
                        <m:r>
                          <m:t>,</m:t>
                        </m:r>
                        <m:r>
                          <m:t>y</m:t>
                        </m:r>
                      </m:sub>
                    </m:sSub>
                    <m:r>
                      <m:t>Δ</m:t>
                    </m:r>
                    <m:r>
                      <m:t>Q</m:t>
                    </m:r>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（5-7）</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Sup>
          <m:e>
            <m:r>
              <m:t>Q</m:t>
            </m:r>
          </m:e>
          <m:sub>
            <m:r>
              <m:t>i</m:t>
            </m:r>
            <m:r>
              <m:t>,</m:t>
            </m:r>
            <m:r>
              <m:t>y</m:t>
            </m:r>
          </m:sub>
          <m:sup>
            <m:r>
              <m:rPr>
                <m:sty m:val="p"/>
              </m:rPr>
              <m:t>c</m:t>
            </m:r>
            <m:r>
              <m:rPr>
                <m:sty m:val="p"/>
              </m:rPr>
              <m:t>a</m:t>
            </m:r>
            <m:r>
              <m:rPr>
                <m:sty m:val="p"/>
              </m:rPr>
              <m:t>p</m:t>
            </m:r>
          </m:sup>
        </m:sSubSup>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可用转供能力，单位MW；</w:t>
      </w:r>
      <m:oMath>
        <m:sSub>
          <m:e>
            <m:r>
              <m:t>ρ</m:t>
            </m:r>
          </m:e>
          <m:sub>
            <m:r>
              <m:t>c</m:t>
            </m:r>
            <m:r>
              <m:t>,</m:t>
            </m:r>
            <m:r>
              <m:t>0</m:t>
            </m:r>
          </m:sub>
        </m:sSub>
      </m:oMath>
      <w:r>
        <w:rPr>
          <w:rFonts w:ascii="Times New Roman" w:hAnsi="Times New Roman" w:eastAsia="方正仿宋_GBK"/>
          <w:b w:val="0"/>
          <w:sz w:val="24"/>
        </w:rPr>
        <w:t xml:space="preserve">为区县初始转供率，</w:t>
      </w:r>
      <m:oMath>
        <m:sSubSup>
          <m:e>
            <m:r>
              <m:t>ρ</m:t>
            </m:r>
          </m:e>
          <m:sub>
            <m:r>
              <m:t>c</m:t>
            </m:r>
          </m:sub>
          <m:sup>
            <m:r>
              <m:rPr>
                <m:nor/>
                <m:sty m:val="p"/>
              </m:rPr>
              <m:t>max</m:t>
            </m:r>
          </m:sup>
        </m:sSubSup>
      </m:oMath>
      <w:r>
        <w:rPr>
          <w:rFonts w:ascii="Times New Roman" w:hAnsi="Times New Roman" w:eastAsia="方正仿宋_GBK"/>
          <w:b w:val="0"/>
          <w:sz w:val="24"/>
        </w:rPr>
        <w:t xml:space="preserve">为研究上限；</w:t>
      </w:r>
      <m:oMath>
        <m:sSubSup>
          <m:e>
            <m:r>
              <m:t>L</m:t>
            </m:r>
          </m:e>
          <m:sub>
            <m:r>
              <m:t>i</m:t>
            </m:r>
            <m:r>
              <m:t>,</m:t>
            </m:r>
            <m:r>
              <m:t>y</m:t>
            </m:r>
          </m:sub>
          <m:sup>
            <m:r>
              <m:t>+</m:t>
            </m:r>
          </m:sup>
        </m:sSubSup>
      </m:oMath>
      <w:r>
        <w:rPr>
          <w:rFonts w:ascii="Times New Roman" w:hAnsi="Times New Roman" w:eastAsia="方正仿宋_GBK"/>
          <w:b w:val="0"/>
          <w:sz w:val="24"/>
        </w:rPr>
        <w:t xml:space="preserve">为转接前最大正向净负荷；</w:t>
      </w:r>
      <m:oMath>
        <m:sSub>
          <m:e>
            <m:r>
              <m:t>m</m:t>
            </m:r>
          </m:e>
          <m:sub>
            <m:r>
              <m:t>i</m:t>
            </m:r>
            <m:r>
              <m:t>,</m:t>
            </m:r>
            <m:r>
              <m:t>y</m:t>
            </m:r>
          </m:sub>
        </m:sSub>
      </m:oMath>
      <w:r>
        <w:rPr>
          <w:rFonts w:ascii="Times New Roman" w:hAnsi="Times New Roman" w:eastAsia="方正仿宋_GBK"/>
          <w:b w:val="0"/>
          <w:sz w:val="24"/>
        </w:rPr>
        <w:t xml:space="preserve">为该站关联的在役新增项目数，非负整数；</w:t>
      </w:r>
      <m:oMath>
        <m:r>
          <m:t>Δ</m:t>
        </m:r>
        <m:r>
          <m:t>Q</m:t>
        </m:r>
      </m:oMath>
      <w:r>
        <w:rPr>
          <w:rFonts w:ascii="Times New Roman" w:hAnsi="Times New Roman" w:eastAsia="方正仿宋_GBK"/>
          <w:b w:val="0"/>
          <w:sz w:val="24"/>
        </w:rPr>
        <w:t xml:space="preserve">为单项目固定能力增量，取7.49 MW。邳州转供率规划目标与上限分别为30%和50%，市区分别为50%和70%。</w:t>
      </w:r>
    </w:p>
    <w:p>
      <w:pPr>
        <w:pStyle w:val="2"/>
        <w:widowControl/>
        <w:spacing w:line="348" w:lineRule="exact" w:before="0" w:after="0"/>
        <w:ind w:firstLine="480"/>
        <w:jc w:val="both"/>
      </w:pPr>
      <w:r>
        <w:rPr>
          <w:rFonts w:ascii="Times New Roman" w:hAnsi="Times New Roman" w:eastAsia="方正仿宋_GBK"/>
          <w:b w:val="0"/>
          <w:sz w:val="24"/>
        </w:rPr>
        <w:t xml:space="preserve">新增项目数量同时满足双端计数和区县新增能力的共享预算。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i</m:t>
                          </m:r>
                        </m:sub>
                        <m:sup>
                          <m:r>
                            <m:t>​</m:t>
                          </m:r>
                        </m:sup>
                        <m:e>
                          <m:sSub>
                            <m:e>
                              <m:r>
                                <m:t>m</m:t>
                              </m:r>
                            </m:e>
                            <m:sub>
                              <m:r>
                                <m:t>i</m:t>
                              </m:r>
                              <m:r>
                                <m:t>,</m:t>
                              </m:r>
                              <m:r>
                                <m:t>y</m:t>
                              </m:r>
                            </m:sub>
                          </m:sSub>
                        </m:e>
                      </m:nary>
                    </m:e>
                    <m:e>
                      <m:r>
                        <m:t>=</m:t>
                      </m:r>
                      <m:r>
                        <m:t>2</m:t>
                      </m:r>
                      <m:sSub>
                        <m:e>
                          <m:r>
                            <m:t>M</m:t>
                          </m:r>
                        </m:e>
                        <m:sub>
                          <m:r>
                            <m:t>c</m:t>
                          </m:r>
                          <m:r>
                            <m:t>,</m:t>
                          </m:r>
                          <m:r>
                            <m:t>y</m:t>
                          </m:r>
                        </m:sub>
                      </m:sSub>
                    </m:e>
                  </m:mr>
                  <m:mr>
                    <m:e/>
                    <m:e>
                      <m:r>
                        <m:t>0</m:t>
                      </m:r>
                      <m:r>
                        <m:t>≤</m:t>
                      </m:r>
                      <m:sSub>
                        <m:e>
                          <m:r>
                            <m:t>m</m:t>
                          </m:r>
                        </m:e>
                        <m:sub>
                          <m:r>
                            <m:t>i</m:t>
                          </m:r>
                          <m:r>
                            <m:t>,</m:t>
                          </m:r>
                          <m:r>
                            <m:t>y</m:t>
                          </m:r>
                        </m:sub>
                      </m:sSub>
                      <m:r>
                        <m:t>≤</m:t>
                      </m:r>
                      <m:sSub>
                        <m:e>
                          <m:r>
                            <m:t>M</m:t>
                          </m:r>
                        </m:e>
                        <m:sub>
                          <m:r>
                            <m:t>c</m:t>
                          </m:r>
                          <m:r>
                            <m:t>,</m:t>
                          </m:r>
                          <m:r>
                            <m:t>y</m:t>
                          </m:r>
                        </m:sub>
                      </m:sSub>
                    </m:e>
                  </m:mr>
                  <m:mr>
                    <m:e/>
                    <m:e>
                      <m:nary>
                        <m:naryPr>
                          <m:chr m:val="∑"/>
                          <m:limLoc m:val="undOvr"/>
                          <m:subHide m:val="0"/>
                          <m:supHide m:val="1"/>
                        </m:naryPr>
                        <m:sub>
                          <m:r>
                            <m:t>i</m:t>
                          </m:r>
                        </m:sub>
                        <m:sup>
                          <m:r>
                            <m:t>​</m:t>
                          </m:r>
                        </m:sup>
                        <m:e>
                          <m:sSub>
                            <m:e>
                              <m:r>
                                <m:t>e</m:t>
                              </m:r>
                            </m:e>
                            <m:sub>
                              <m:r>
                                <m:t>i</m:t>
                              </m:r>
                              <m:r>
                                <m:t>,</m:t>
                              </m:r>
                              <m:r>
                                <m:t>y</m:t>
                              </m:r>
                            </m:sub>
                          </m:sSub>
                        </m:e>
                      </m:nary>
                      <m:r>
                        <m:t>≤</m:t>
                      </m:r>
                      <m:sSub>
                        <m:e>
                          <m:r>
                            <m:t>M</m:t>
                          </m:r>
                        </m:e>
                        <m:sub>
                          <m:r>
                            <m:t>c</m:t>
                          </m:r>
                          <m:r>
                            <m:t>,</m:t>
                          </m:r>
                          <m:r>
                            <m:t>y</m:t>
                          </m:r>
                        </m:sub>
                      </m:sSub>
                      <m:r>
                        <m:t>Δ</m:t>
                      </m:r>
                      <m:r>
                        <m:t>Q</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（5-8）</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M</m:t>
            </m:r>
          </m:e>
          <m:sub>
            <m:r>
              <m:t>c</m:t>
            </m:r>
            <m:r>
              <m:t>,</m:t>
            </m:r>
            <m:r>
              <m:t>y</m:t>
            </m:r>
          </m:sub>
        </m:sSub>
      </m:oMath>
      <w:r>
        <w:rPr>
          <w:rFonts w:ascii="Times New Roman" w:hAnsi="Times New Roman" w:eastAsia="方正仿宋_GBK"/>
          <w:b w:val="0"/>
          <w:sz w:val="24"/>
        </w:rPr>
        <w:t xml:space="preserve">为区县在役新增项目数，</w:t>
      </w:r>
      <m:oMath>
        <m:sSub>
          <m:e>
            <m:r>
              <m:t>e</m:t>
            </m:r>
          </m:e>
          <m:sub>
            <m:r>
              <m:t>i</m:t>
            </m:r>
            <m:r>
              <m:t>,</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实际使用的新增转供能力，单位MW。单项目关联两个不同站；全区县实际使用的新增能力按每个项目一份计取。既有能力与新增能力共同满足转出需求：</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e>
                      <m:sSubSup>
                        <m:e>
                          <m:r>
                            <m:t>Q</m:t>
                          </m:r>
                        </m:e>
                        <m:sub>
                          <m:r>
                            <m:t>i</m:t>
                          </m:r>
                          <m:r>
                            <m:t>,</m:t>
                          </m:r>
                          <m:r>
                            <m:t>y</m:t>
                          </m:r>
                        </m:sub>
                        <m:sup>
                          <m:r>
                            <m:rPr>
                              <m:sty m:val="p"/>
                            </m:rPr>
                            <m:t>o</m:t>
                          </m:r>
                          <m:r>
                            <m:rPr>
                              <m:sty m:val="p"/>
                            </m:rPr>
                            <m:t>u</m:t>
                          </m:r>
                          <m:r>
                            <m:rPr>
                              <m:sty m:val="p"/>
                            </m:rPr>
                            <m:t>t</m:t>
                          </m:r>
                        </m:sup>
                      </m:sSubSup>
                      <m:r>
                        <m:t>≤</m:t>
                      </m:r>
                      <m:sSub>
                        <m:e>
                          <m:r>
                            <m:t>ρ</m:t>
                          </m:r>
                        </m:e>
                        <m:sub>
                          <m:r>
                            <m:t>c</m:t>
                          </m:r>
                          <m:r>
                            <m:t>,</m:t>
                          </m:r>
                          <m:r>
                            <m:t>0</m:t>
                          </m:r>
                        </m:sub>
                      </m:sSub>
                      <m:sSubSup>
                        <m:e>
                          <m:r>
                            <m:t>L</m:t>
                          </m:r>
                        </m:e>
                        <m:sub>
                          <m:r>
                            <m:t>i</m:t>
                          </m:r>
                          <m:r>
                            <m:t>,</m:t>
                          </m:r>
                          <m:r>
                            <m:t>y</m:t>
                          </m:r>
                        </m:sub>
                        <m:sup>
                          <m:r>
                            <m:t>+</m:t>
                          </m:r>
                        </m:sup>
                      </m:sSubSup>
                      <m:r>
                        <m:t>+</m:t>
                      </m:r>
                      <m:sSub>
                        <m:e>
                          <m:r>
                            <m:t>e</m:t>
                          </m:r>
                        </m:e>
                        <m:sub>
                          <m:r>
                            <m:t>i</m:t>
                          </m:r>
                          <m:r>
                            <m:t>,</m:t>
                          </m:r>
                          <m:r>
                            <m:t>y</m:t>
                          </m:r>
                        </m:sub>
                      </m:sSub>
                    </m:e>
                  </m:mr>
                  <m:mr>
                    <m:e/>
                    <m:e>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c</m:t>
                          </m:r>
                          <m:r>
                            <m:rPr>
                              <m:sty m:val="p"/>
                            </m:rPr>
                            <m:t>a</m:t>
                          </m:r>
                          <m:r>
                            <m:rPr>
                              <m:sty m:val="p"/>
                            </m:rPr>
                            <m:t>p</m:t>
                          </m:r>
                        </m:sup>
                      </m:sSubSup>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（5-9）</w:t>
            </w:r>
          </w:p>
        </w:tc>
      </w:tr>
    </w:tbl>
    <w:p>
      <w:pPr>
        <w:pStyle w:val="FirstParagraph"/>
        <w:widowControl/>
        <w:spacing w:line="348" w:lineRule="exact" w:before="0" w:after="0"/>
        <w:ind w:firstLine="480"/>
        <w:jc w:val="both"/>
      </w:pPr>
      <m:oMath>
        <m:sSubSup>
          <m:e>
            <m:r>
              <m:t>Q</m:t>
            </m:r>
          </m:e>
          <m:sub>
            <m:r>
              <m:t>i</m:t>
            </m:r>
            <m:r>
              <m:t>,</m:t>
            </m:r>
            <m:r>
              <m:t>y</m:t>
            </m:r>
          </m:sub>
          <m:sup>
            <m:r>
              <m:rPr>
                <m:sty m:val="p"/>
              </m:rPr>
              <m:t>o</m:t>
            </m:r>
            <m:r>
              <m:rPr>
                <m:sty m:val="p"/>
              </m:rPr>
              <m:t>u</m:t>
            </m:r>
            <m:r>
              <m:rPr>
                <m:sty m:val="p"/>
              </m:rPr>
              <m:t>t</m:t>
            </m:r>
          </m:sup>
        </m:sSubSup>
      </m:oMath>
      <w:r>
        <w:rPr>
          <w:rFonts w:ascii="Times New Roman" w:hAnsi="Times New Roman" w:eastAsia="方正仿宋_GBK"/>
          <w:b w:val="0"/>
          <w:sz w:val="24"/>
        </w:rPr>
        <w:t xml:space="preserve">为站级转出负荷，单位MW。能力目标用于保证规划转供能力达到相应比例，实际转出量由负荷分布和费用优化确定。新增项目每区县最多30项，为本研究候选规模设定。</w:t>
      </w:r>
    </w:p>
    <w:p>
      <w:pPr>
        <w:pStyle w:val="2"/>
        <w:widowControl/>
        <w:spacing w:line="348" w:lineRule="exact" w:before="0" w:after="0"/>
        <w:ind w:firstLine="480"/>
        <w:jc w:val="both"/>
      </w:pPr>
      <w:r>
        <w:rPr>
          <w:rFonts w:ascii="Times New Roman" w:hAnsi="Times New Roman" w:eastAsia="方正仿宋_GBK"/>
          <w:b w:val="0"/>
          <w:sz w:val="24"/>
        </w:rPr>
        <w:t xml:space="preserve">等效项目先参与县域容量与负荷优化，再按站级端点数量生成项目配对。双端计数与共享预算约束项目总量，尚未将各站实际转接量绑定到逐条联络路径，因而只能得到区域等效能力方案。实际建设须依据转供需求落实可实现的站对、线路走向、分段位置及可切换负荷区段，按实际通道重算送受端能力和费用。</w:t>
      </w:r>
    </w:p>
    <w:p>
      <w:pPr>
        <w:pStyle w:val="5"/>
        <w:keepNext/>
        <w:numPr>
          <w:numId w:val="0"/>
        </w:numPr>
        <w:spacing w:line="390" w:lineRule="exact" w:before="160" w:after="120"/>
        <w:ind w:firstLine="0"/>
      </w:pPr>
      <w:bookmarkStart w:id="182" w:name="负荷转接与容量衔接"/>
      <w:r>
        <w:rPr>
          <w:rFonts w:ascii="Times New Roman" w:hAnsi="Times New Roman" w:eastAsia="方正仿宋_GBK"/>
          <w:b/>
          <w:sz w:val="26"/>
        </w:rPr>
        <w:t xml:space="preserve">5.2.4 负荷转接与容量衔接</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转接后正向负荷由原站负荷减转出、加承接得到，区县内部转出与承接总量相等。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L</m:t>
                      </m:r>
                      <m:sSub>
                        <m:e>
                          <m:r>
                            <m:t>′</m:t>
                          </m:r>
                        </m:e>
                        <m:sub>
                          <m:r>
                            <m:t>i</m:t>
                          </m:r>
                          <m:r>
                            <m:t>,</m:t>
                          </m:r>
                          <m:r>
                            <m:t>y</m:t>
                          </m:r>
                        </m:sub>
                      </m:sSub>
                    </m:e>
                    <m:e>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i</m:t>
                          </m:r>
                          <m:r>
                            <m:rPr>
                              <m:sty m:val="p"/>
                            </m:rPr>
                            <m:t>n</m:t>
                          </m:r>
                        </m:sup>
                      </m:sSubSup>
                    </m:e>
                  </m:mr>
                  <m:mr>
                    <m:e>
                      <m:nary>
                        <m:naryPr>
                          <m:chr m:val="∑"/>
                          <m:limLoc m:val="undOvr"/>
                          <m:subHide m:val="0"/>
                          <m:supHide m:val="1"/>
                        </m:naryPr>
                        <m:sub>
                          <m:r>
                            <m:t>i</m:t>
                          </m:r>
                        </m:sub>
                        <m:sup>
                          <m:r>
                            <m:t>​</m:t>
                          </m:r>
                        </m:sup>
                        <m:e>
                          <m:sSubSup>
                            <m:e>
                              <m:r>
                                <m:t>Q</m:t>
                              </m:r>
                            </m:e>
                            <m:sub>
                              <m:r>
                                <m:t>i</m:t>
                              </m:r>
                              <m:r>
                                <m:t>,</m:t>
                              </m:r>
                              <m:r>
                                <m:t>y</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y</m:t>
                              </m:r>
                            </m:sub>
                            <m:sup>
                              <m:r>
                                <m:rPr>
                                  <m:sty m:val="p"/>
                                </m:rPr>
                                <m:t>i</m:t>
                              </m:r>
                              <m:r>
                                <m:rPr>
                                  <m:sty m:val="p"/>
                                </m:rPr>
                                <m:t>n</m:t>
                              </m:r>
                            </m:sup>
                          </m:sSubSup>
                        </m:e>
                      </m:nary>
                    </m:e>
                  </m:mr>
                  <m:mr>
                    <m:e>
                      <m:nary>
                        <m:naryPr>
                          <m:chr m:val="∑"/>
                          <m:limLoc m:val="undOvr"/>
                          <m:subHide m:val="0"/>
                          <m:supHide m:val="1"/>
                        </m:naryPr>
                        <m:sub>
                          <m:r>
                            <m:t>i</m:t>
                          </m:r>
                        </m:sub>
                        <m:sup>
                          <m:r>
                            <m:t>​</m:t>
                          </m:r>
                        </m:sup>
                        <m:e>
                          <m:r>
                            <m:t>L</m:t>
                          </m:r>
                        </m:e>
                      </m:nary>
                      <m:sSub>
                        <m:e>
                          <m:r>
                            <m:t>′</m:t>
                          </m:r>
                        </m:e>
                        <m:sub>
                          <m:r>
                            <m:t>i</m:t>
                          </m:r>
                          <m:r>
                            <m:t>,</m:t>
                          </m:r>
                          <m:r>
                            <m:t>y</m:t>
                          </m:r>
                        </m:sub>
                      </m:sSub>
                    </m:e>
                    <m:e>
                      <m:r>
                        <m:t>=</m:t>
                      </m:r>
                      <m:nary>
                        <m:naryPr>
                          <m:chr m:val="∑"/>
                          <m:limLoc m:val="undOvr"/>
                          <m:subHide m:val="0"/>
                          <m:supHide m:val="1"/>
                        </m:naryPr>
                        <m:sub>
                          <m:r>
                            <m:t>i</m:t>
                          </m:r>
                        </m:sub>
                        <m:sup>
                          <m:r>
                            <m:t>​</m:t>
                          </m:r>
                        </m:sup>
                        <m:e>
                          <m:sSubSup>
                            <m:e>
                              <m:r>
                                <m:t>L</m:t>
                              </m:r>
                            </m:e>
                            <m:sub>
                              <m:r>
                                <m:t>i</m:t>
                              </m:r>
                              <m:r>
                                <m:t>,</m:t>
                              </m:r>
                              <m:r>
                                <m:t>y</m:t>
                              </m:r>
                            </m:sub>
                            <m:sup>
                              <m:r>
                                <m:t>+</m:t>
                              </m:r>
                            </m:sup>
                          </m:sSubSup>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（5-10）</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L</m:t>
        </m:r>
        <m:sSub>
          <m:e>
            <m:r>
              <m:t>′</m:t>
            </m:r>
          </m:e>
          <m:sub>
            <m:r>
              <m:t>i</m:t>
            </m:r>
            <m:r>
              <m:t>,</m:t>
            </m:r>
            <m:r>
              <m:t>y</m:t>
            </m:r>
          </m:sub>
        </m:sSub>
      </m:oMath>
      <w:r>
        <w:rPr>
          <w:rFonts w:ascii="Times New Roman" w:hAnsi="Times New Roman" w:eastAsia="方正仿宋_GBK"/>
          <w:b w:val="0"/>
          <w:sz w:val="24"/>
        </w:rPr>
        <w:t xml:space="preserve">为转接后的站级正向负荷，</w:t>
      </w:r>
      <m:oMath>
        <m:sSubSup>
          <m:e>
            <m:r>
              <m:t>Q</m:t>
            </m:r>
          </m:e>
          <m:sub>
            <m:r>
              <m:t>i</m:t>
            </m:r>
            <m:r>
              <m:t>,</m:t>
            </m:r>
            <m:r>
              <m:t>y</m:t>
            </m:r>
          </m:sub>
          <m:sup>
            <m:r>
              <m:rPr>
                <m:sty m:val="p"/>
              </m:rPr>
              <m:t>i</m:t>
            </m:r>
            <m:r>
              <m:rPr>
                <m:sty m:val="p"/>
              </m:rPr>
              <m:t>n</m:t>
            </m:r>
          </m:sup>
        </m:sSubSup>
      </m:oMath>
      <w:r>
        <w:rPr>
          <w:rFonts w:ascii="Times New Roman" w:hAnsi="Times New Roman" w:eastAsia="方正仿宋_GBK"/>
          <w:b w:val="0"/>
          <w:sz w:val="24"/>
        </w:rPr>
        <w:t xml:space="preserve">为该站承接负荷，单位MW。模型先求站级转出与承接量，再生成守恒的站间分配表。联络由此改善容量与负荷的空间匹配。</w:t>
      </w:r>
    </w:p>
    <w:p>
      <w:pPr>
        <w:pStyle w:val="2"/>
        <w:widowControl/>
        <w:spacing w:line="348" w:lineRule="exact" w:before="0" w:after="0"/>
        <w:ind w:firstLine="480"/>
        <w:jc w:val="both"/>
      </w:pPr>
      <w:r>
        <w:rPr>
          <w:rFonts w:ascii="Times New Roman" w:hAnsi="Times New Roman" w:eastAsia="方正仿宋_GBK"/>
          <w:b w:val="0"/>
          <w:sz w:val="24"/>
        </w:rPr>
        <w:t xml:space="preserve">本地电源保留在原站。用电负荷转出后，原站潜在反送压力增加，反向净负荷上界取原站最大反向净负荷加转出量。各站采用同一规则：</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（5-11）</w:t>
            </w:r>
          </w:p>
        </w:tc>
      </w:tr>
    </w:tbl>
    <w:p>
      <w:pPr>
        <w:pStyle w:val="FirstParagraph"/>
        <w:widowControl/>
        <w:spacing w:line="348" w:lineRule="exact" w:before="0" w:after="0"/>
        <w:ind w:firstLine="480"/>
        <w:jc w:val="both"/>
      </w:pPr>
      <m:oMath>
        <m:sSubSup>
          <m:e>
            <m:r>
              <m:t>L</m:t>
            </m:r>
          </m:e>
          <m:sub>
            <m:r>
              <m:t>i</m:t>
            </m:r>
            <m:r>
              <m:t>,</m:t>
            </m:r>
            <m:r>
              <m:t>y</m:t>
            </m:r>
          </m:sub>
          <m:sup>
            <m:r>
              <m:t>−</m:t>
            </m:r>
          </m:sup>
        </m:sSubSup>
      </m:oMath>
      <w:r>
        <w:rPr>
          <w:rFonts w:ascii="Times New Roman" w:hAnsi="Times New Roman" w:eastAsia="方正仿宋_GBK"/>
          <w:b w:val="0"/>
          <w:sz w:val="24"/>
        </w:rPr>
        <w:t xml:space="preserve">为原站最大反向净负荷，</w:t>
      </w: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oMath>
      <w:r>
        <w:rPr>
          <w:rFonts w:ascii="Times New Roman" w:hAnsi="Times New Roman" w:eastAsia="方正仿宋_GBK"/>
          <w:b w:val="0"/>
          <w:sz w:val="24"/>
        </w:rPr>
        <w:t xml:space="preserve">为用于校核的反向净负荷上界，单位MW。该式在缺少转接负荷同步曲线的情况下按峰值上界处理，受端增加用电仍按其正向容量约束校核。</w:t>
      </w:r>
    </w:p>
    <w:p>
      <w:pPr>
        <w:pStyle w:val="2"/>
        <w:widowControl/>
        <w:spacing w:line="348" w:lineRule="exact" w:before="0" w:after="0"/>
        <w:ind w:firstLine="480"/>
        <w:jc w:val="both"/>
      </w:pPr>
      <w:r>
        <w:rPr>
          <w:rFonts w:ascii="Times New Roman" w:hAnsi="Times New Roman" w:eastAsia="方正仿宋_GBK"/>
          <w:b w:val="0"/>
          <w:sz w:val="24"/>
        </w:rPr>
        <w:t xml:space="preserve">以两站负荷转接说明计算关系。送端原正向负荷80 MW，初始转供率28.29%，既有能力为22.63 MW；新建一个项目后，能力增至30.12 MW。若转出25 MW，新增能力实际使用2.37 MW，原站正向负荷降至55 MW；原反向净负荷10 MW时，校核上界增至35 MW。受端原负荷40 MW，承接后为65 MW，按65 MW校核正常和主变N-1容量。两站负荷合计仍为120 MW，架空为主情景的新建项目投资124.80万元，计取一次。</w:t>
      </w:r>
    </w:p>
    <w:p>
      <w:bookmarkStart w:id="1570" w:name="h570"/>
      <w:pPr>
        <w:pStyle w:val="4"/>
        <w:keepNext/>
        <w:numPr>
          <w:numId w:val="0"/>
        </w:numPr>
        <w:spacing w:line="480" w:lineRule="exact" w:before="160" w:after="120"/>
        <w:ind w:firstLine="0"/>
      </w:pPr>
      <w:bookmarkStart w:id="183" w:name="约束条件与求解流程"/>
      <w:r>
        <w:rPr>
          <w:rFonts w:ascii="Times New Roman" w:hAnsi="Times New Roman" w:eastAsia="方正仿宋_GBK"/>
          <w:b/>
          <w:sz w:val="32"/>
        </w:rPr>
        <w:t xml:space="preserve">5.3 约束条件与求解流程</w:t>
      </w:r>
      <w:bookmarkEnd w:id="183"/>
      <w:bookmarkEnd w:id="1570"/>
    </w:p>
    <w:p>
      <w:pPr>
        <w:pStyle w:val="5"/>
        <w:keepNext/>
        <w:numPr>
          <w:numId w:val="0"/>
        </w:numPr>
        <w:spacing w:line="390" w:lineRule="exact" w:before="160" w:after="120"/>
        <w:ind w:firstLine="0"/>
      </w:pPr>
      <w:bookmarkStart w:id="184" w:name="正常运行和主变n-1"/>
      <w:r>
        <w:rPr>
          <w:rFonts w:ascii="Times New Roman" w:hAnsi="Times New Roman" w:eastAsia="方正仿宋_GBK"/>
          <w:b/>
          <w:sz w:val="26"/>
        </w:rPr>
        <w:t xml:space="preserve">5.3.1 正常运行和主变N-1</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主变容量按0.95功率因数折算为有功供电能力。正常运行分别校核正向和反向需求；主变N-1时，以剩余主变和储能支撑满足全部转接后负荷。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0.95</m:t>
                      </m:r>
                      <m:sSub>
                        <m:e>
                          <m:r>
                            <m:t>S</m:t>
                          </m:r>
                        </m:e>
                        <m:sub>
                          <m:r>
                            <m:t>i</m:t>
                          </m:r>
                          <m:r>
                            <m:t>,</m:t>
                          </m:r>
                          <m:r>
                            <m:t>y</m:t>
                          </m:r>
                        </m:sub>
                      </m:sSub>
                      <m:r>
                        <m:t>+</m:t>
                      </m:r>
                      <m:sSubSup>
                        <m:e>
                          <m:r>
                            <m:t>P</m:t>
                          </m:r>
                        </m:e>
                        <m:sub>
                          <m:r>
                            <m:t>B</m:t>
                          </m:r>
                          <m:r>
                            <m:t>,</m:t>
                          </m:r>
                          <m:r>
                            <m:t>i</m:t>
                          </m:r>
                          <m:r>
                            <m:t>,</m:t>
                          </m:r>
                          <m:r>
                            <m:t>y</m:t>
                          </m:r>
                        </m:sub>
                        <m:sup>
                          <m:r>
                            <m:t>+</m:t>
                          </m:r>
                        </m:sup>
                      </m:sSubSup>
                    </m:e>
                    <m:e>
                      <m:r>
                        <m:t>≥</m:t>
                      </m:r>
                      <m:r>
                        <m:t>L</m:t>
                      </m:r>
                      <m:sSub>
                        <m:e>
                          <m:r>
                            <m:t>′</m:t>
                          </m:r>
                        </m:e>
                        <m:sub>
                          <m:r>
                            <m:t>i</m:t>
                          </m:r>
                          <m:r>
                            <m:t>,</m:t>
                          </m:r>
                          <m:r>
                            <m:t>y</m:t>
                          </m:r>
                        </m:sub>
                      </m:sSub>
                      <m:r>
                        <m:t>,</m:t>
                      </m:r>
                    </m:e>
                  </m:mr>
                  <m:mr>
                    <m:e>
                      <m:r>
                        <m:t>0.95</m:t>
                      </m:r>
                      <m:sSub>
                        <m:e>
                          <m:r>
                            <m:t>S</m:t>
                          </m:r>
                        </m:e>
                        <m:sub>
                          <m:r>
                            <m:t>i</m:t>
                          </m:r>
                          <m:r>
                            <m:t>,</m:t>
                          </m:r>
                          <m:r>
                            <m:t>y</m:t>
                          </m:r>
                        </m:sub>
                      </m:sSub>
                      <m:r>
                        <m:t>+</m:t>
                      </m:r>
                      <m:sSubSup>
                        <m:e>
                          <m:r>
                            <m:t>P</m:t>
                          </m:r>
                        </m:e>
                        <m:sub>
                          <m:r>
                            <m:t>B</m:t>
                          </m:r>
                          <m:r>
                            <m:t>,</m:t>
                          </m:r>
                          <m:r>
                            <m:t>i</m:t>
                          </m:r>
                          <m:r>
                            <m:t>,</m:t>
                          </m:r>
                          <m:r>
                            <m:t>y</m:t>
                          </m:r>
                        </m:sub>
                        <m:sup>
                          <m:r>
                            <m:t>−</m:t>
                          </m:r>
                        </m:sup>
                      </m:sSubSup>
                    </m:e>
                    <m:e>
                      <m:r>
                        <m:t>≥</m:t>
                      </m:r>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e>
                  </m:mr>
                  <m:mr>
                    <m:e>
                      <m:r>
                        <m:t>0.95</m:t>
                      </m:r>
                      <m:r>
                        <m:t>(</m:t>
                      </m:r>
                      <m:sSub>
                        <m:e>
                          <m:r>
                            <m:t>S</m:t>
                          </m:r>
                        </m:e>
                        <m:sub>
                          <m:r>
                            <m:t>i</m:t>
                          </m:r>
                          <m:r>
                            <m:t>,</m:t>
                          </m:r>
                          <m:r>
                            <m:t>y</m:t>
                          </m:r>
                        </m:sub>
                      </m:sSub>
                      <m:r>
                        <m:t>−</m:t>
                      </m:r>
                      <m:sSub>
                        <m:e>
                          <m:r>
                            <m:t>S</m:t>
                          </m:r>
                        </m:e>
                        <m:sub>
                          <m:r>
                            <m:t>i</m:t>
                          </m:r>
                          <m:r>
                            <m:t>,</m:t>
                          </m:r>
                          <m:r>
                            <m:t>k</m:t>
                          </m:r>
                          <m:r>
                            <m:t>,</m:t>
                          </m:r>
                          <m:r>
                            <m:t>y</m:t>
                          </m:r>
                        </m:sub>
                      </m:sSub>
                      <m:r>
                        <m:t>)</m:t>
                      </m:r>
                      <m:r>
                        <m:t>+</m:t>
                      </m:r>
                      <m:sSubSup>
                        <m:e>
                          <m:r>
                            <m:t>P</m:t>
                          </m:r>
                        </m:e>
                        <m:sub>
                          <m:r>
                            <m:t>B</m:t>
                          </m:r>
                          <m:r>
                            <m:t>,</m:t>
                          </m:r>
                          <m:r>
                            <m:t>i</m:t>
                          </m:r>
                          <m:r>
                            <m:t>,</m:t>
                          </m:r>
                          <m:r>
                            <m:t>y</m:t>
                          </m:r>
                        </m:sub>
                        <m:sup>
                          <m:r>
                            <m:t>+</m:t>
                          </m:r>
                        </m:sup>
                      </m:sSubSup>
                    </m:e>
                    <m:e>
                      <m:r>
                        <m:t>≥</m:t>
                      </m:r>
                      <m:r>
                        <m:t>L</m:t>
                      </m:r>
                      <m:sSub>
                        <m:e>
                          <m:r>
                            <m:t>′</m:t>
                          </m:r>
                        </m:e>
                        <m:sub>
                          <m:r>
                            <m:t>i</m:t>
                          </m:r>
                          <m:r>
                            <m:t>,</m:t>
                          </m:r>
                          <m:r>
                            <m:t>y</m:t>
                          </m:r>
                        </m:sub>
                      </m:sSub>
                      <m:r>
                        <m:t>,</m:t>
                      </m:r>
                      <m:r>
                        <m:t> </m:t>
                      </m:r>
                      <m:r>
                        <m:t>k</m:t>
                      </m:r>
                      <m:r>
                        <m:t>∈</m:t>
                      </m:r>
                      <m:sSub>
                        <m:e>
                          <m:r>
                            <m:rPr>
                              <m:sty m:val="p"/>
                              <m:scr m:val="script"/>
                            </m:rPr>
                            <m:t>K</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（5-12）</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rPr>
                <m:sty m:val="p"/>
                <m:scr m:val="script"/>
              </m:rPr>
              <m:t>K</m:t>
            </m:r>
          </m:e>
          <m:sub>
            <m:r>
              <m:t>i</m:t>
            </m:r>
            <m:r>
              <m:t>,</m:t>
            </m:r>
            <m:r>
              <m:t>y</m:t>
            </m:r>
          </m:sub>
        </m:sSub>
      </m:oMath>
      <w:r>
        <w:rPr>
          <w:rFonts w:ascii="Times New Roman" w:hAnsi="Times New Roman" w:eastAsia="方正仿宋_GBK"/>
          <w:b w:val="0"/>
          <w:sz w:val="24"/>
        </w:rPr>
        <w:t xml:space="preserve">为该年在役主变集合，</w:t>
      </w:r>
      <m:oMath>
        <m:sSub>
          <m:e>
            <m:r>
              <m:t>S</m:t>
            </m:r>
          </m:e>
          <m:sub>
            <m:r>
              <m:t>i</m:t>
            </m:r>
            <m:r>
              <m:t>,</m:t>
            </m:r>
            <m:r>
              <m:t>k</m:t>
            </m:r>
            <m:r>
              <m:t>,</m:t>
            </m:r>
            <m:r>
              <m:t>y</m:t>
            </m:r>
          </m:sub>
        </m:sSub>
      </m:oMath>
      <w:r>
        <w:rPr>
          <w:rFonts w:ascii="Times New Roman" w:hAnsi="Times New Roman" w:eastAsia="方正仿宋_GBK"/>
          <w:b w:val="0"/>
          <w:sz w:val="24"/>
        </w:rPr>
        <w:t xml:space="preserve">为退出主变的铭牌容量。扩建主变投运后，也进入退出校核。邳州各类别采用同一全负荷静态研究条件，市区按A类供电区域规划。导则的分类供电安全要求与本项目统一的研究校核条件分别说明[5]。正向、反向储能充放电功率分别按对应峰段计算，取在役储能额定功率与储能能量在该方向95%峰值持续时间内可提供功率的较小值。</w:t>
      </w:r>
    </w:p>
    <w:p>
      <w:pPr>
        <w:pStyle w:val="2"/>
        <w:widowControl/>
        <w:spacing w:line="348" w:lineRule="exact" w:before="0" w:after="0"/>
        <w:ind w:firstLine="480"/>
        <w:jc w:val="both"/>
      </w:pPr>
      <w:r>
        <w:rPr>
          <w:rFonts w:ascii="Times New Roman" w:hAnsi="Times New Roman" w:eastAsia="方正仿宋_GBK"/>
          <w:b w:val="0"/>
          <w:sz w:val="24"/>
        </w:rPr>
        <w:t xml:space="preserve">从基期向后，各台主变容量、扩建主变在役状态、储能柜数和新增联络项目数逐年非减。每年的转接功率可以随负荷与设备状态调整。所有容量选择同时满足该年容载比控制范围、转供能力预算和技术约束。</w:t>
      </w:r>
    </w:p>
    <w:p>
      <w:pPr>
        <w:pStyle w:val="5"/>
        <w:keepNext/>
        <w:numPr>
          <w:numId w:val="0"/>
        </w:numPr>
        <w:spacing w:line="390" w:lineRule="exact" w:before="160" w:after="120"/>
        <w:ind w:firstLine="0"/>
      </w:pPr>
      <w:bookmarkStart w:id="185" w:name="评价期费用目标"/>
      <w:r>
        <w:rPr>
          <w:rFonts w:ascii="Times New Roman" w:hAnsi="Times New Roman" w:eastAsia="方正仿宋_GBK"/>
          <w:b/>
          <w:sz w:val="26"/>
        </w:rPr>
        <w:t xml:space="preserve">5.3.2 评价期费用目标</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以新增措施评价期费用现值最小为主目标。主变替换、主变扩建、新增储能与联络项目按第四章规定的投运年份和评价期折算。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rPr>
                    <m:nor/>
                    <m:sty m:val="p"/>
                  </m:rPr>
                  <m:t>min</m:t>
                </m:r>
                <m:r>
                  <m:t>C</m:t>
                </m:r>
                <m:r>
                  <m:t>=</m:t>
                </m:r>
                <m:nary>
                  <m:naryPr>
                    <m:chr m:val="∑"/>
                    <m:limLoc m:val="undOvr"/>
                    <m:subHide m:val="0"/>
                    <m:supHide m:val="1"/>
                  </m:naryPr>
                  <m:sub>
                    <m:r>
                      <m:t>c</m:t>
                    </m:r>
                  </m:sub>
                  <m:sup>
                    <m:r>
                      <m:t>​</m:t>
                    </m:r>
                  </m:sup>
                  <m:e>
                    <m:nary>
                      <m:naryPr>
                        <m:chr m:val="∑"/>
                        <m:limLoc m:val="undOvr"/>
                        <m:subHide m:val="0"/>
                        <m:supHide m:val="1"/>
                      </m:naryPr>
                      <m:sub>
                        <m:r>
                          <m:t>s</m:t>
                        </m:r>
                      </m:sub>
                      <m:sup>
                        <m:r>
                          <m:t>​</m:t>
                        </m:r>
                      </m:sup>
                      <m:e>
                        <m:nary>
                          <m:naryPr>
                            <m:chr m:val="∑"/>
                            <m:limLoc m:val="undOvr"/>
                            <m:subHide m:val="0"/>
                            <m:supHide m:val="1"/>
                          </m:naryPr>
                          <m:sub>
                            <m:r>
                              <m:t>y</m:t>
                            </m:r>
                          </m:sub>
                          <m:sup>
                            <m:r>
                              <m:t>​</m:t>
                            </m:r>
                          </m:sup>
                          <m:e>
                            <m:d>
                              <m:dPr>
                                <m:begChr m:val="["/>
                                <m:endChr m:val="]"/>
                                <m:grow/>
                              </m:dPr>
                              <m:e>
                                <m:sSub>
                                  <m:e>
                                    <m:r>
                                      <m:t>A</m:t>
                                    </m:r>
                                  </m:e>
                                  <m:sub>
                                    <m:r>
                                      <m:t>T</m:t>
                                    </m:r>
                                  </m:sub>
                                </m:sSub>
                                <m:r>
                                  <m:t>(</m:t>
                                </m:r>
                                <m:r>
                                  <m:t>y</m:t>
                                </m:r>
                                <m:r>
                                  <m:t>)</m:t>
                                </m:r>
                                <m:sSub>
                                  <m:e>
                                    <m:r>
                                      <m:t>I</m:t>
                                    </m:r>
                                  </m:e>
                                  <m:sub>
                                    <m:r>
                                      <m:t>T</m:t>
                                    </m:r>
                                    <m:r>
                                      <m:t>,</m:t>
                                    </m:r>
                                    <m:r>
                                      <m:t>c</m:t>
                                    </m:r>
                                    <m:r>
                                      <m:t>,</m:t>
                                    </m:r>
                                    <m:r>
                                      <m:t>s</m:t>
                                    </m:r>
                                    <m:r>
                                      <m:t>,</m:t>
                                    </m:r>
                                    <m:r>
                                      <m:t>y</m:t>
                                    </m:r>
                                  </m:sub>
                                </m:sSub>
                                <m:r>
                                  <m:t>+</m:t>
                                </m:r>
                                <m:sSub>
                                  <m:e>
                                    <m:r>
                                      <m:t>A</m:t>
                                    </m:r>
                                  </m:e>
                                  <m:sub>
                                    <m:r>
                                      <m:t>B</m:t>
                                    </m:r>
                                  </m:sub>
                                </m:sSub>
                                <m:r>
                                  <m:t>(</m:t>
                                </m:r>
                                <m:r>
                                  <m:t>y</m:t>
                                </m:r>
                                <m:r>
                                  <m:t>)</m:t>
                                </m:r>
                                <m:sSub>
                                  <m:e>
                                    <m:r>
                                      <m:t>I</m:t>
                                    </m:r>
                                  </m:e>
                                  <m:sub>
                                    <m:r>
                                      <m:t>B</m:t>
                                    </m:r>
                                    <m:r>
                                      <m:t>,</m:t>
                                    </m:r>
                                    <m:r>
                                      <m:t>c</m:t>
                                    </m:r>
                                    <m:r>
                                      <m:t>,</m:t>
                                    </m:r>
                                    <m:r>
                                      <m:t>s</m:t>
                                    </m:r>
                                    <m:r>
                                      <m:t>,</m:t>
                                    </m:r>
                                    <m:r>
                                      <m:t>y</m:t>
                                    </m:r>
                                  </m:sub>
                                </m:sSub>
                                <m:r>
                                  <m:t>+</m:t>
                                </m:r>
                                <m:sSub>
                                  <m:e>
                                    <m:r>
                                      <m:t>A</m:t>
                                    </m:r>
                                  </m:e>
                                  <m:sub>
                                    <m:r>
                                      <m:t>L</m:t>
                                    </m:r>
                                  </m:sub>
                                </m:sSub>
                                <m:r>
                                  <m:t>(</m:t>
                                </m:r>
                                <m:r>
                                  <m:t>y</m:t>
                                </m:r>
                                <m:r>
                                  <m:t>)</m:t>
                                </m:r>
                                <m:sSub>
                                  <m:e>
                                    <m:r>
                                      <m:t>I</m:t>
                                    </m:r>
                                  </m:e>
                                  <m:sub>
                                    <m:r>
                                      <m:t>L</m:t>
                                    </m:r>
                                    <m:r>
                                      <m:t>,</m:t>
                                    </m:r>
                                    <m:r>
                                      <m:t>c</m:t>
                                    </m:r>
                                    <m:r>
                                      <m:t>,</m:t>
                                    </m:r>
                                    <m:r>
                                      <m:t>s</m:t>
                                    </m:r>
                                    <m:r>
                                      <m:t>,</m:t>
                                    </m:r>
                                    <m:r>
                                      <m:t>y</m:t>
                                    </m:r>
                                  </m:sub>
                                </m:sSub>
                              </m:e>
                            </m:d>
                          </m:e>
                        </m:nary>
                      </m:e>
                    </m:nary>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（5-13）</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为评价期费用现值，单位万元；</w:t>
      </w:r>
      <m:oMath>
        <m:sSub>
          <m:e>
            <m:r>
              <m:t>I</m:t>
            </m:r>
          </m:e>
          <m:sub>
            <m:r>
              <m:t>T</m:t>
            </m:r>
            <m:r>
              <m:t>,</m:t>
            </m:r>
            <m:r>
              <m:t>c</m:t>
            </m:r>
            <m:r>
              <m:t>,</m:t>
            </m:r>
            <m:r>
              <m:t>s</m:t>
            </m:r>
            <m:r>
              <m:t>,</m:t>
            </m:r>
            <m:r>
              <m:t>y</m:t>
            </m:r>
          </m:sub>
        </m:sSub>
      </m:oMath>
      <w:r>
        <w:rPr>
          <w:rFonts w:ascii="Times New Roman" w:hAnsi="Times New Roman" w:eastAsia="方正仿宋_GBK"/>
          <w:b w:val="0"/>
          <w:sz w:val="24"/>
        </w:rPr>
        <w:t xml:space="preserve">、</w:t>
      </w:r>
      <m:oMath>
        <m:sSub>
          <m:e>
            <m:r>
              <m:t>I</m:t>
            </m:r>
          </m:e>
          <m:sub>
            <m:r>
              <m:t>B</m:t>
            </m:r>
            <m:r>
              <m:t>,</m:t>
            </m:r>
            <m:r>
              <m:t>c</m:t>
            </m:r>
            <m:r>
              <m:t>,</m:t>
            </m:r>
            <m:r>
              <m:t>s</m:t>
            </m:r>
            <m:r>
              <m:t>,</m:t>
            </m:r>
            <m:r>
              <m:t>y</m:t>
            </m:r>
          </m:sub>
        </m:sSub>
      </m:oMath>
      <w:r>
        <w:rPr>
          <w:rFonts w:ascii="Times New Roman" w:hAnsi="Times New Roman" w:eastAsia="方正仿宋_GBK"/>
          <w:b w:val="0"/>
          <w:sz w:val="24"/>
        </w:rPr>
        <w:t xml:space="preserve">、</w:t>
      </w:r>
      <m:oMath>
        <m:sSub>
          <m:e>
            <m:r>
              <m:t>I</m:t>
            </m:r>
          </m:e>
          <m:sub>
            <m:r>
              <m:t>L</m:t>
            </m:r>
            <m:r>
              <m:t>,</m:t>
            </m:r>
            <m:r>
              <m:t>c</m:t>
            </m:r>
            <m:r>
              <m:t>,</m:t>
            </m:r>
            <m:r>
              <m:t>s</m:t>
            </m:r>
            <m:r>
              <m:t>,</m:t>
            </m:r>
            <m:r>
              <m:t>y</m:t>
            </m:r>
          </m:sub>
        </m:sSub>
      </m:oMath>
      <w:r>
        <w:rPr>
          <w:rFonts w:ascii="Times New Roman" w:hAnsi="Times New Roman" w:eastAsia="方正仿宋_GBK"/>
          <w:b w:val="0"/>
          <w:sz w:val="24"/>
        </w:rPr>
        <w:t xml:space="preserve">分别为当年主变、储能及新增联络初始投资；</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为对应现值因子。替换费用按新购整台容量，扩建主变按独立扩建项目，储能按新增柜数，联络按当年新增项目数计取。</w:t>
      </w:r>
    </w:p>
    <w:p>
      <w:pPr>
        <w:pStyle w:val="2"/>
        <w:widowControl/>
        <w:spacing w:line="348" w:lineRule="exact" w:before="0" w:after="0"/>
        <w:ind w:firstLine="480"/>
        <w:jc w:val="both"/>
      </w:pPr>
      <w:r>
        <w:rPr>
          <w:rFonts w:ascii="Times New Roman" w:hAnsi="Times New Roman" w:eastAsia="方正仿宋_GBK"/>
          <w:b w:val="0"/>
          <w:sz w:val="24"/>
        </w:rPr>
        <w:t xml:space="preserve">既有联络利用产生的新增建设投资为零。新建线路的正投资通过费用目标与扩容、储能共同比较。配置更多主变可能减少储能柜数和持续支撑需求；增加联络能力可能使负荷转至有余量的站点。优化据此选择满足共同约束的组合。</w:t>
      </w:r>
    </w:p>
    <w:p>
      <w:pPr>
        <w:pStyle w:val="5"/>
        <w:keepNext/>
        <w:numPr>
          <w:numId w:val="0"/>
        </w:numPr>
        <w:spacing w:line="390" w:lineRule="exact" w:before="160" w:after="120"/>
        <w:ind w:firstLine="0"/>
      </w:pPr>
      <w:bookmarkStart w:id="186" w:name="三类措施的约束寻优流程"/>
      <w:r>
        <w:rPr>
          <w:rFonts w:ascii="Times New Roman" w:hAnsi="Times New Roman" w:eastAsia="方正仿宋_GBK"/>
          <w:b/>
          <w:sz w:val="26"/>
        </w:rPr>
        <w:t xml:space="preserve">5.3.3 三类措施的约束寻优流程</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分别建立邳州、市区的刚性和弹性规划方案，同一区县两种方案采用相同的容载比2.00仿真起点、负荷预测和工程价格。刚性方案按2.00上限控制容载比，弹性方案按第5.1.2节的范围寻优。两种方案均可选择主变增容、储能配置和10 kV联络，站间负荷转接限定在各区县内部。</w:t>
      </w:r>
    </w:p>
    <w:p>
      <w:pPr>
        <w:pStyle w:val="2"/>
        <w:widowControl/>
        <w:spacing w:line="348" w:lineRule="exact" w:before="0" w:after="0"/>
        <w:ind w:firstLine="480"/>
        <w:jc w:val="both"/>
      </w:pPr>
      <w:r>
        <w:rPr>
          <w:rFonts w:ascii="Times New Roman" w:hAnsi="Times New Roman" w:eastAsia="方正仿宋_GBK"/>
          <w:b w:val="0"/>
          <w:sz w:val="24"/>
        </w:rPr>
        <w:t xml:space="preserve">根据在役主变规格、扩建预留位置和后续负荷需求，设置各站允许的主变增容及扩建候选；储能按整数柜配置，结合正向、反向95%峰值持续时间计算其充放电功率。设备规模和投运年份共同作为规划变量，使新增容量与各年容量需求相衔接。</w:t>
      </w:r>
    </w:p>
    <w:p>
      <w:pPr>
        <w:pStyle w:val="2"/>
        <w:widowControl/>
        <w:spacing w:line="348" w:lineRule="exact" w:before="0" w:after="0"/>
        <w:ind w:firstLine="480"/>
        <w:jc w:val="both"/>
      </w:pPr>
      <w:r>
        <w:rPr>
          <w:rFonts w:ascii="Times New Roman" w:hAnsi="Times New Roman" w:eastAsia="方正仿宋_GBK"/>
          <w:b w:val="0"/>
          <w:sz w:val="24"/>
        </w:rPr>
        <w:t xml:space="preserve">10 kV联络方案同时考虑既有能力利用与新建联络。市区初始转供率按50.00%设定，邳州按馈线样本测算的28.29%设定，并应用于各自区县站群。既有能力利用按零新增建设投资计取；新增联络以区县内不同站点之间的连接为候选，通过增加项目数提升可转供能力，并计入建设费用。实际转接量由送端可转负荷、受端承接能力及联络能力共同约束。</w:t>
      </w:r>
    </w:p>
    <w:p>
      <w:pPr>
        <w:pStyle w:val="2"/>
        <w:widowControl/>
        <w:spacing w:line="348" w:lineRule="exact" w:before="0" w:after="0"/>
        <w:ind w:firstLine="480"/>
        <w:jc w:val="both"/>
      </w:pPr>
      <w:r>
        <w:rPr>
          <w:rFonts w:ascii="Times New Roman" w:hAnsi="Times New Roman" w:eastAsia="方正仿宋_GBK"/>
          <w:b w:val="0"/>
          <w:sz w:val="24"/>
        </w:rPr>
        <w:t xml:space="preserve">将主变配置、储能柜数、联络项目数与站间转接量共同纳入规划期寻优。每年均校核正常运行的正向供电、反向输送以及主变N-1后的容量需求。转出与转入负荷保持区县总量守恒，转出负荷后的原站反向压力同步校核；设备容量和在役项目逐年衔接，并满足各方案的容载比控制范围。</w:t>
      </w:r>
    </w:p>
    <w:p>
      <w:pPr>
        <w:pStyle w:val="2"/>
        <w:widowControl/>
        <w:spacing w:line="348" w:lineRule="exact" w:before="0" w:after="0"/>
        <w:ind w:firstLine="480"/>
        <w:jc w:val="both"/>
      </w:pPr>
      <w:r>
        <w:rPr>
          <w:rFonts w:ascii="Times New Roman" w:hAnsi="Times New Roman" w:eastAsia="方正仿宋_GBK"/>
          <w:b w:val="0"/>
          <w:sz w:val="24"/>
        </w:rPr>
        <w:t xml:space="preserve">对满足上述约束的配置，按第5.3.2节计算主变、储能与新建联络的评价期费用现值，将两地区的刚性和弹性方案一并求解，以费用最小为主要目标确定规划期建设组合。主变新增容量、储能峰段支撑和站间负荷转接可以相互补充，其配置与建设时点由共同的技术约束和费用比较确定。</w:t>
      </w:r>
    </w:p>
    <w:p>
      <w:pPr>
        <w:pStyle w:val="2"/>
        <w:widowControl/>
        <w:spacing w:line="348" w:lineRule="exact" w:before="0" w:after="0"/>
        <w:ind w:firstLine="480"/>
        <w:jc w:val="both"/>
      </w:pPr>
      <w:r>
        <w:rPr>
          <w:rFonts w:ascii="Times New Roman" w:hAnsi="Times New Roman" w:eastAsia="方正仿宋_GBK"/>
          <w:b w:val="0"/>
          <w:sz w:val="24"/>
        </w:rPr>
        <w:t xml:space="preserve">设备配置采用混合整数线性规划求解：主变按允许规格选取，储能和联络按整数工程数量计取，站间转接功率连续取值。年度容载比由公用主变总容量与该年网供最大负荷计算，设备规格决定可行容量的离散变化。</w:t>
      </w:r>
    </w:p>
    <w:p>
      <w:pPr>
        <w:pStyle w:val="2"/>
        <w:widowControl/>
        <w:spacing w:line="348" w:lineRule="exact" w:before="0" w:after="0"/>
        <w:ind w:firstLine="480"/>
        <w:jc w:val="both"/>
      </w:pPr>
      <w:r>
        <w:rPr>
          <w:rFonts w:ascii="Times New Roman" w:hAnsi="Times New Roman" w:eastAsia="方正仿宋_GBK"/>
          <w:b w:val="0"/>
          <w:sz w:val="24"/>
        </w:rPr>
        <w:t xml:space="preserve">以费用最小为主要目标取得方案后，在费用预算内优先保留较多弹性容量储备，再在选定设备布局下减少连续负荷转接。费用相近时可存在不同设备布局，报告列示所选代表方案，其容载比不必是唯一经济取值。按年度汇总主变在役容量、新增储能、联络建设及负荷转接量，计算相应容载比和评价期费用，再比较刚性与弹性方案，形成分区县的规划建议。</w:t>
      </w:r>
    </w:p>
    <w:p>
      <w:bookmarkStart w:id="1587" w:name="h587"/>
      <w:pPr>
        <w:pStyle w:val="4"/>
        <w:keepNext/>
        <w:numPr>
          <w:numId w:val="0"/>
        </w:numPr>
        <w:spacing w:line="480" w:lineRule="exact" w:before="160" w:after="120"/>
        <w:ind w:firstLine="0"/>
      </w:pPr>
      <w:bookmarkStart w:id="187" w:name="寻优结果"/>
      <w:r>
        <w:rPr>
          <w:rFonts w:ascii="Times New Roman" w:hAnsi="Times New Roman" w:eastAsia="方正仿宋_GBK"/>
          <w:b/>
          <w:sz w:val="32"/>
        </w:rPr>
        <w:t xml:space="preserve">5.4 寻优结果</w:t>
      </w:r>
      <w:bookmarkEnd w:id="187"/>
      <w:bookmarkEnd w:id="1587"/>
    </w:p>
    <w:p>
      <w:pPr>
        <w:pStyle w:val="5"/>
        <w:keepNext/>
        <w:numPr>
          <w:numId w:val="0"/>
        </w:numPr>
        <w:spacing w:line="390" w:lineRule="exact" w:before="160" w:after="120"/>
        <w:ind w:firstLine="0"/>
      </w:pPr>
      <w:bookmarkStart w:id="188" w:name="邳州逐年方案"/>
      <w:r>
        <w:rPr>
          <w:rFonts w:ascii="Times New Roman" w:hAnsi="Times New Roman" w:eastAsia="方正仿宋_GBK"/>
          <w:b/>
          <w:sz w:val="26"/>
        </w:rPr>
        <w:t xml:space="preserve">5.4.1 邳州逐年方案</w:t>
      </w:r>
      <w:bookmarkEnd w:id="188"/>
    </w:p>
    <w:p>
      <w:pPr>
        <w:pStyle w:val="FirstParagraph"/>
        <w:widowControl/>
        <w:spacing w:line="348" w:lineRule="exact" w:before="0" w:after="0"/>
        <w:ind w:firstLine="480"/>
        <w:jc w:val="both"/>
      </w:pPr>
      <w:r>
        <w:rPr>
          <w:rFonts w:ascii="Times New Roman" w:hAnsi="Times New Roman" w:eastAsia="方正仿宋_GBK"/>
          <w:b w:val="0"/>
          <w:sz w:val="24"/>
        </w:rPr>
        <w:t xml:space="preserve">邳州采用20站结构，初始转供率为28.29%，后续负荷按年最大净负荷平均增长率8.07%推演。增容、储能与联络在同一约束条件下选取，年度表分别列出主变在役容量、当年采购容量、新增储能和转接量。</w:t>
      </w:r>
    </w:p>
    <w:p>
      <w:pPr>
        <w:pStyle w:val="2"/>
        <w:widowControl/>
        <w:spacing w:line="348" w:lineRule="exact" w:before="0" w:after="0"/>
        <w:ind w:firstLine="480"/>
        <w:jc w:val="both"/>
      </w:pPr>
      <w:r>
        <w:rPr>
          <w:rFonts w:ascii="Times New Roman" w:hAnsi="Times New Roman" w:eastAsia="方正仿宋_GBK"/>
          <w:b w:val="0"/>
          <w:sz w:val="24"/>
        </w:rPr>
        <w:t xml:space="preserve">邳州刚性方案第1—4年容载比分别为2.00、1.99、1.99、1.97，弹性方案分别为2.41、2.35、2.26、2.20。刚性新增措施评价期费用现值为86143.38万元，弹性为29227.32万元。各年主变容量、储能和联络建设列于下表。</w:t>
      </w:r>
    </w:p>
    <w:p>
      <w:pPr>
        <w:pStyle w:val="2"/>
        <w:keepNext/>
        <w:spacing w:line="280" w:lineRule="exact" w:before="120" w:after="80"/>
        <w:ind w:firstLine="0"/>
        <w:jc w:val="center"/>
      </w:pPr>
      <w:r>
        <w:rPr>
          <w:rFonts w:ascii="Times New Roman" w:hAnsi="Times New Roman" w:eastAsia="宋体"/>
          <w:b w:val="0"/>
          <w:sz w:val="21"/>
        </w:rPr>
        <w:t xml:space="preserve">表5-4 邳州刚性方案逐年措施及容载比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1581.00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117.50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220.50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253.00/543.95</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161.42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1701.00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135.49</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1842.50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141.50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181.50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149.30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1962.50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0.10/0.21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197.61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r>
    </w:tbl>
    <w:p>
      <w:pPr>
        <w:pStyle w:val="2"/>
        <w:keepNext/>
        <w:spacing w:line="280" w:lineRule="exact" w:before="120" w:after="80"/>
        <w:ind w:firstLine="0"/>
        <w:jc w:val="center"/>
      </w:pPr>
      <w:r>
        <w:rPr>
          <w:rFonts w:ascii="Times New Roman" w:hAnsi="Times New Roman" w:eastAsia="宋体"/>
          <w:b w:val="0"/>
          <w:sz w:val="21"/>
        </w:rPr>
        <w:t xml:space="preserve">表5-5 邳州弹性方案逐年措施及容载比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1905.00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441.50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576.00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130.12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2.41</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2009.50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104.50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144.50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0.20/0.43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142.04</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2.35</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2089.50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160.12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2198.00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3.10/6.67</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r>
    </w:tbl>
    <w:p>
      <w:pPr>
        <w:pStyle w:val="5"/>
        <w:keepNext/>
        <w:numPr>
          <w:numId w:val="0"/>
        </w:numPr>
        <w:spacing w:line="390" w:lineRule="exact" w:before="160" w:after="120"/>
        <w:ind w:firstLine="0"/>
      </w:pPr>
      <w:bookmarkStart w:id="189" w:name="市区逐年方案"/>
      <w:r>
        <w:rPr>
          <w:rFonts w:ascii="Times New Roman" w:hAnsi="Times New Roman" w:eastAsia="方正仿宋_GBK"/>
          <w:b/>
          <w:sz w:val="26"/>
        </w:rPr>
        <w:t xml:space="preserve">5.4.2 市区逐年方案</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市区采用29站结构，供电区域统一按A类规划，初始转供率假定为50%，后续负荷按年最大净负荷平均增长率1.80%推演。主变N-1工况校核全部转接后负荷，新增联络可使站级能力提高至研究上限。</w:t>
      </w:r>
    </w:p>
    <w:p>
      <w:pPr>
        <w:pStyle w:val="2"/>
        <w:widowControl/>
        <w:spacing w:line="348" w:lineRule="exact" w:before="0" w:after="0"/>
        <w:ind w:firstLine="480"/>
        <w:jc w:val="both"/>
      </w:pPr>
      <w:r>
        <w:rPr>
          <w:rFonts w:ascii="Times New Roman" w:hAnsi="Times New Roman" w:eastAsia="方正仿宋_GBK"/>
          <w:b w:val="0"/>
          <w:sz w:val="24"/>
        </w:rPr>
        <w:t xml:space="preserve">市区刚性方案第1—4年容载比分别为1.99、1.98、1.99、1.95，弹性方案分别为2.26、2.26、2.22、2.20。刚性新增措施评价期费用现值为73047.96万元，弹性为18432.29万元。各年主变容量、储能和联络建设列于下表。</w:t>
      </w:r>
    </w:p>
    <w:p>
      <w:pPr>
        <w:pStyle w:val="2"/>
        <w:keepNext/>
        <w:spacing w:line="280" w:lineRule="exact" w:before="120" w:after="80"/>
        <w:ind w:firstLine="0"/>
        <w:jc w:val="center"/>
      </w:pPr>
      <w:r>
        <w:rPr>
          <w:rFonts w:ascii="Times New Roman" w:hAnsi="Times New Roman" w:eastAsia="宋体"/>
          <w:b w:val="0"/>
          <w:sz w:val="21"/>
        </w:rPr>
        <w:t xml:space="preserve">表5-6 市区刚性方案逐年措施及容载比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2498.00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126.00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250.00/537.50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354.94</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2531.00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33.00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113.00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363.46</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382.29</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r>
    </w:tbl>
    <w:p>
      <w:pPr>
        <w:pStyle w:val="2"/>
        <w:keepNext/>
        <w:spacing w:line="280" w:lineRule="exact" w:before="120" w:after="80"/>
        <w:ind w:firstLine="0"/>
        <w:jc w:val="center"/>
      </w:pPr>
      <w:r>
        <w:rPr>
          <w:rFonts w:ascii="Times New Roman" w:hAnsi="Times New Roman" w:eastAsia="宋体"/>
          <w:b w:val="0"/>
          <w:sz w:val="21"/>
        </w:rPr>
        <w:t xml:space="preserve">表5-7 市区弹性方案逐年措施及容载比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2835.00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373.00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413.00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0.20/0.43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364.43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2885.00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380.20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2885.00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396.75</w:t>
            </w:r>
          </w:p>
        </w:tc>
        <w:tc>
          <w:tcPr>
            <w:tcW w:type="dxa" w:w="88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2.22</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2.70/5.80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r>
    </w:tbl>
    <w:p>
      <w:pPr>
        <w:pStyle w:val="2"/>
        <w:keepNext/>
        <w:spacing w:line="240" w:lineRule="auto" w:before="120" w:after="0"/>
        <w:ind w:firstLine="0"/>
        <w:jc w:val="center"/>
      </w:pPr>
      <w:r>
        <w:drawing>
          <wp:inline>
            <wp:extent cx="5120640" cy="2901959"/>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0"/>
                    <a:stretch>
                      <a:fillRect/>
                    </a:stretch>
                  </pic:blipFill>
                  <pic:spPr bwMode="auto">
                    <a:xfrm>
                      <a:off x="0" y="0"/>
                      <a:ext cx="5120640" cy="2901959"/>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图5-1 邳州和市区逐年容载比</w:t>
      </w:r>
    </w:p>
    <w:p>
      <w:pPr>
        <w:pStyle w:val="5"/>
        <w:keepNext/>
        <w:numPr>
          <w:numId w:val="0"/>
        </w:numPr>
        <w:spacing w:line="390" w:lineRule="exact" w:before="160" w:after="120"/>
        <w:ind w:firstLine="0"/>
      </w:pPr>
      <w:bookmarkStart w:id="191" w:name="刚性与弹性方案的对比"/>
      <w:r>
        <w:rPr>
          <w:rFonts w:ascii="Times New Roman" w:hAnsi="Times New Roman" w:eastAsia="方正仿宋_GBK"/>
          <w:b/>
          <w:sz w:val="26"/>
        </w:rPr>
        <w:t xml:space="preserve">5.4.3 刚性与弹性方案的对比</w:t>
      </w:r>
      <w:bookmarkEnd w:id="191"/>
    </w:p>
    <w:p>
      <w:pPr>
        <w:pStyle w:val="FirstParagraph"/>
        <w:widowControl/>
        <w:spacing w:line="348" w:lineRule="exact" w:before="0" w:after="0"/>
        <w:ind w:firstLine="480"/>
        <w:jc w:val="both"/>
      </w:pPr>
      <w:r>
        <w:rPr>
          <w:rFonts w:ascii="Times New Roman" w:hAnsi="Times New Roman" w:eastAsia="方正仿宋_GBK"/>
          <w:b w:val="0"/>
          <w:sz w:val="24"/>
        </w:rPr>
        <w:t xml:space="preserve">费用比较按相同起点、价格和评价期进行。主变新购容量反映整台购置，主变净增容量反映在役规模变化，储能MW/MWh分别反映功率与能量配置。转接功率与联络项目数量分别用于说明负荷调整和新增建设。</w:t>
      </w:r>
    </w:p>
    <w:p>
      <w:pPr>
        <w:pStyle w:val="2"/>
        <w:widowControl/>
        <w:spacing w:line="348" w:lineRule="exact" w:before="0" w:after="0"/>
        <w:ind w:firstLine="480"/>
        <w:jc w:val="both"/>
      </w:pPr>
      <w:r>
        <w:rPr>
          <w:rFonts w:ascii="Times New Roman" w:hAnsi="Times New Roman" w:eastAsia="方正仿宋_GBK"/>
          <w:b w:val="0"/>
          <w:sz w:val="24"/>
        </w:rPr>
        <w:t xml:space="preserve">规划第4年，两地区刚性方案容载比为1.95～1.97，弹性方案平均约为2.20。逐年配置显示，弹性方案在规划初期形成较多容量储备，随着负荷增长，容载比逐步下降。</w:t>
      </w:r>
    </w:p>
    <w:p>
      <w:pPr>
        <w:pStyle w:val="2"/>
        <w:keepNext/>
        <w:spacing w:line="280" w:lineRule="exact" w:before="120" w:after="80"/>
        <w:ind w:firstLine="0"/>
        <w:jc w:val="center"/>
      </w:pPr>
      <w:r>
        <w:rPr>
          <w:rFonts w:ascii="Times New Roman" w:hAnsi="Times New Roman" w:eastAsia="宋体"/>
          <w:b w:val="0"/>
          <w:sz w:val="21"/>
        </w:rPr>
        <w:t xml:space="preserve">表5-8 刚性与弹性容载比逐年对照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刚性容载比</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弹性容载比</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差值</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2.41</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0.41</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2.35</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0.36</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0.27</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1.97</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2.20</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0.24</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0.27</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0.28</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2.22</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r>
    </w:tbl>
    <w:p>
      <w:pPr>
        <w:pStyle w:val="2"/>
        <w:widowControl/>
        <w:spacing w:line="348" w:lineRule="exact" w:before="0" w:after="0"/>
        <w:ind w:firstLine="480"/>
        <w:jc w:val="both"/>
      </w:pPr>
      <w:r>
        <w:rPr>
          <w:rFonts w:ascii="Times New Roman" w:hAnsi="Times New Roman" w:eastAsia="方正仿宋_GBK"/>
          <w:b w:val="0"/>
          <w:sz w:val="24"/>
        </w:rPr>
        <w:t xml:space="preserve">两地区刚性方案新增措施评价期费用现值合计159191.34万元，弹性合计47659.61万元，弹性费用降低70.06%。本评价期内三类设备均无寿命更新支出，费用差来自新增投资、固定维护费用及投运时点。</w:t>
      </w:r>
    </w:p>
    <w:p>
      <w:pPr>
        <w:pStyle w:val="2"/>
        <w:keepNext/>
        <w:spacing w:line="280" w:lineRule="exact" w:before="120" w:after="80"/>
        <w:ind w:firstLine="0"/>
        <w:jc w:val="center"/>
      </w:pPr>
      <w:r>
        <w:rPr>
          <w:rFonts w:ascii="Times New Roman" w:hAnsi="Times New Roman" w:eastAsia="宋体"/>
          <w:b w:val="0"/>
          <w:sz w:val="21"/>
        </w:rPr>
        <w:t xml:space="preserve">表5-9 刚性与弹性方案评价期费用现值比较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刚性方案费用现值/万元</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弹性方案费用现值/万元</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差额/万元</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评价期费用降低比例</w:t>
            </w:r>
          </w:p>
        </w:tc>
      </w:tr>
      <w:tr>
        <w:trPr>
          <w:cantSplit/>
        </w:trPr>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86143.38</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29227.32</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56916.07</w:t>
            </w:r>
          </w:p>
        </w:tc>
        <w:tc>
          <w:tcPr>
            <w:tcW w:type="dxa" w:w="166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66.07%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73047.96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18432.29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54615.66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74.77%</w:t>
            </w:r>
          </w:p>
        </w:tc>
      </w:tr>
    </w:tbl>
    <w:p>
      <w:pPr>
        <w:pStyle w:val="2"/>
        <w:keepNext/>
        <w:spacing w:line="280" w:lineRule="exact" w:before="120" w:after="80"/>
        <w:ind w:firstLine="0"/>
        <w:jc w:val="center"/>
      </w:pPr>
      <w:r>
        <w:rPr>
          <w:rFonts w:ascii="Times New Roman" w:hAnsi="Times New Roman" w:eastAsia="宋体"/>
          <w:b w:val="0"/>
          <w:sz w:val="21"/>
        </w:rPr>
        <w:t xml:space="preserve">表5-10 评价期费用按工程类型分解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主变措施费用现值/万元</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储能措施费用现值/万元</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线路措施费用现值/万元</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17186.85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67067.95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1888.59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86143.38</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26650.57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723.08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1853.67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29227.32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6796.75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66251.21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73047.96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16069.52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639.55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1723.22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18432.29</w:t>
            </w:r>
          </w:p>
        </w:tc>
      </w:tr>
    </w:tbl>
    <w:p>
      <w:pPr>
        <w:pStyle w:val="2"/>
        <w:keepNext/>
        <w:spacing w:line="280" w:lineRule="exact" w:before="120" w:after="80"/>
        <w:ind w:firstLine="0"/>
        <w:jc w:val="center"/>
      </w:pPr>
      <w:r>
        <w:rPr>
          <w:rFonts w:ascii="Times New Roman" w:hAnsi="Times New Roman" w:eastAsia="宋体"/>
          <w:b w:val="0"/>
          <w:sz w:val="21"/>
        </w:rPr>
        <w:t xml:space="preserve">表5-11 全期新购主变及第4年在役状态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289"/>
        <w:gridCol w:w="1289"/>
        <w:gridCol w:w="1868"/>
        <w:gridCol w:w="1289"/>
      </w:tblGrid>
      <w:tr>
        <w:trPr>
          <w:cantSplit/>
          <w:tblHeader/>
        </w:trPr>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主变新购容量/MVA</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扩建主变/项</w:t>
            </w:r>
          </w:p>
        </w:tc>
        <w:tc>
          <w:tcPr>
            <w:tcW w:type="dxa" w:w="1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r>
      <w:tr>
        <w:trPr>
          <w:cantSplit/>
        </w:trPr>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682.00</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w:t>
            </w:r>
          </w:p>
        </w:tc>
        <w:tc>
          <w:tcPr>
            <w:tcW w:type="dxa" w:w="1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253.10/544.16</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960.50</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w:t>
            </w:r>
          </w:p>
        </w:tc>
        <w:tc>
          <w:tcPr>
            <w:tcW w:type="dxa" w:w="1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3.30/7.09</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289.00</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250.00/537.50</w:t>
            </w:r>
          </w:p>
        </w:tc>
        <w:tc>
          <w:tcPr>
            <w:tcW w:type="dxa" w:w="12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2.90/6.23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bl>
    <w:p>
      <w:pPr>
        <w:pStyle w:val="2"/>
        <w:keepNext/>
        <w:spacing w:line="280" w:lineRule="exact" w:before="120" w:after="80"/>
        <w:ind w:firstLine="0"/>
        <w:jc w:val="center"/>
      </w:pPr>
      <w:r>
        <w:rPr>
          <w:rFonts w:ascii="Times New Roman" w:hAnsi="Times New Roman" w:eastAsia="宋体"/>
          <w:b w:val="0"/>
          <w:sz w:val="21"/>
        </w:rPr>
        <w:t xml:space="preserve">表5-12 刚性与弹性方案的技术经济比较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比较内容</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刚性方案</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弹性方案</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仿真起点</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同区县容载比2.00</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同区县容载比2.00</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容载比范围</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不超过2.00</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技术条件</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正常、反向、全负荷主变N-1、持续在役及负荷守恒</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与刚性相同</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增容、储能及联络</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三类措施共同寻优</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三类措施共同寻优</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第4年两地区在役储能</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503.10 MW/1081.66 MWh</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6.20 MW/13.33 MWh</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新增措施费用现值</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159191.34万元</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47659.61万元</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规划比较</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作为比较基准</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费用降低70.06%，优先比选</w:t>
            </w:r>
          </w:p>
        </w:tc>
      </w:tr>
    </w:tbl>
    <w:p>
      <w:pPr>
        <w:pStyle w:val="2"/>
        <w:widowControl/>
        <w:spacing w:line="348" w:lineRule="exact" w:before="0" w:after="0"/>
        <w:ind w:firstLine="480"/>
        <w:jc w:val="both"/>
      </w:pPr>
      <w:r>
        <w:rPr>
          <w:rFonts w:ascii="Times New Roman" w:hAnsi="Times New Roman" w:eastAsia="方正仿宋_GBK"/>
          <w:b w:val="0"/>
          <w:sz w:val="24"/>
        </w:rPr>
        <w:t xml:space="preserve">弹性方案增加主变容量后，主变N-1工况下由储能承担的供电缺口减小。规划第4年，两地区储能总功率由刚性方案的503.10 MW降至6.20 MW，额定能量由1081.66 MWh降至13.33 MWh。按第四章现金流方法汇总新增投资和固定运维费用，评价期费用现值由159191.34万元降至47659.61万元，降低70.06%。该案例的费用优势主要来自增加主变容量后减少的储能配置。</w:t>
      </w:r>
    </w:p>
    <w:p>
      <w:pPr>
        <w:pStyle w:val="2"/>
        <w:keepNext/>
        <w:spacing w:line="240" w:lineRule="auto" w:before="120" w:after="0"/>
        <w:ind w:firstLine="0"/>
        <w:jc w:val="center"/>
      </w:pPr>
      <w:r>
        <w:drawing>
          <wp:inline>
            <wp:extent cx="5120640" cy="2854893"/>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2"/>
                    <a:stretch>
                      <a:fillRect/>
                    </a:stretch>
                  </pic:blipFill>
                  <pic:spPr bwMode="auto">
                    <a:xfrm>
                      <a:off x="0" y="0"/>
                      <a:ext cx="5120640" cy="2854893"/>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图5-2 各规划方案评价期费用构成</w:t>
      </w:r>
    </w:p>
    <w:p>
      <w:pPr>
        <w:pStyle w:val="2"/>
        <w:keepNext/>
        <w:spacing w:line="240" w:lineRule="auto" w:before="120" w:after="0"/>
        <w:ind w:firstLine="0"/>
        <w:jc w:val="center"/>
      </w:pPr>
      <w:r>
        <w:drawing>
          <wp:inline>
            <wp:extent cx="5120640" cy="273167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3"/>
                    <a:stretch>
                      <a:fillRect/>
                    </a:stretch>
                  </pic:blipFill>
                  <pic:spPr bwMode="auto">
                    <a:xfrm>
                      <a:off x="0" y="0"/>
                      <a:ext cx="5120640" cy="273167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图5-3 主变采购与储能配置对照</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（5-14）</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为相邻两年公用主变总容量，单位MVA；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5"/>
        <w:keepNext/>
        <w:numPr>
          <w:numId w:val="0"/>
        </w:numPr>
        <w:spacing w:line="390" w:lineRule="exact" w:before="160" w:after="120"/>
        <w:ind w:firstLine="0"/>
      </w:pPr>
      <w:bookmarkStart w:id="194" w:name="邳州逐站规划方案"/>
      <w:r>
        <w:rPr>
          <w:rFonts w:ascii="Times New Roman" w:hAnsi="Times New Roman" w:eastAsia="方正仿宋_GBK"/>
          <w:b/>
          <w:sz w:val="26"/>
        </w:rPr>
        <w:t xml:space="preserve">5.4.4 邳州逐站规划方案</w:t>
      </w:r>
      <w:bookmarkEnd w:id="194"/>
    </w:p>
    <w:p>
      <w:pPr>
        <w:pStyle w:val="FirstParagraph"/>
        <w:widowControl/>
        <w:spacing w:line="348" w:lineRule="exact" w:before="0" w:after="0"/>
        <w:ind w:firstLine="480"/>
        <w:jc w:val="both"/>
      </w:pPr>
      <w:r>
        <w:rPr>
          <w:rFonts w:ascii="Times New Roman" w:hAnsi="Times New Roman" w:eastAsia="方正仿宋_GBK"/>
          <w:b w:val="0"/>
          <w:sz w:val="24"/>
        </w:rPr>
        <w:t xml:space="preserve">邳州各站同时考虑正向供电与反向净负荷。以下按站列示设备结构、负荷转接及储能规模。逐站结果反映主变容量、储能与负荷转接的共同作用。</w:t>
      </w:r>
    </w:p>
    <w:p>
      <w:pPr>
        <w:pStyle w:val="7"/>
        <w:keepNext/>
        <w:numPr>
          <w:numId w:val="0"/>
        </w:numPr>
        <w:spacing w:line="360" w:lineRule="exact" w:before="160" w:after="120"/>
        <w:ind w:firstLine="0"/>
      </w:pPr>
      <w:bookmarkStart w:id="195" w:name="bdz-00005站规划分析"/>
      <w:r>
        <w:rPr>
          <w:rFonts w:ascii="Times New Roman" w:hAnsi="Times New Roman" w:eastAsia="方正仿宋_GBK"/>
          <w:b/>
          <w:sz w:val="24"/>
        </w:rPr>
        <w:t xml:space="preserve">BDZ-00005站规划分析</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MVA，规划第4年转接前最大正向、反向净负荷分别为38.85 MW和19.85 MW，正向95%峰值持续时间为2.00 h。弹性方案第4年新增储能0.50 MW/1.07 MWh。</w:t>
      </w:r>
    </w:p>
    <w:p>
      <w:pPr>
        <w:pStyle w:val="2"/>
        <w:widowControl/>
        <w:spacing w:line="348" w:lineRule="exact" w:before="0" w:after="0"/>
        <w:ind w:firstLine="480"/>
        <w:jc w:val="both"/>
      </w:pPr>
      <w:r>
        <w:rPr>
          <w:rFonts w:ascii="Times New Roman" w:hAnsi="Times New Roman" w:eastAsia="方正仿宋_GBK"/>
          <w:b w:val="0"/>
          <w:sz w:val="24"/>
        </w:rPr>
        <w:t xml:space="preserve">第4年转出19.35 MW、承接0.00 MW后，正向校核负荷为19.50 MW。负荷转出降低正向需求，同时将反向校核上界提高至39.21 MW，配置按两个方向共同确定。刚性方案第4年公用主变总容量为70.00 MVA，储能为38.90 MW；弹性方案相应为70.00 MVA和0.50 MW。弹性方案储能功率减少38.40 MW。</w:t>
      </w:r>
    </w:p>
    <w:p>
      <w:pPr>
        <w:pStyle w:val="2"/>
        <w:keepNext/>
        <w:spacing w:line="280" w:lineRule="exact" w:before="120" w:after="80"/>
        <w:ind w:firstLine="0"/>
        <w:jc w:val="center"/>
      </w:pPr>
      <w:r>
        <w:rPr>
          <w:rFonts w:ascii="Times New Roman" w:hAnsi="Times New Roman" w:eastAsia="宋体"/>
          <w:b w:val="0"/>
          <w:sz w:val="21"/>
        </w:rPr>
        <w:t xml:space="preserve">表5-13 BDZ-00005站第4年配置与负荷转接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38.90/83.64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0.50/1.07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从建设时序看，第1—4年公用主变总容量依次为70.00、70.00、70.00、70.00 MVA；转接后正向负荷由第1年的19.00 MW变为第4年的19.50 MW。四年均以转出负荷为主，第1年和第4年分别转出11.78 MW和19.35 MW，邻站承接是本站供电安排的重要组成。第4年退出最大一台主变后，剩余主变容量为20.00 MVA，按功率因数折算并计入相应持续时间的储能放电功率，正向容量余量为0.00 MW。</w:t>
      </w:r>
    </w:p>
    <w:p>
      <w:pPr>
        <w:pStyle w:val="7"/>
        <w:keepNext/>
        <w:numPr>
          <w:numId w:val="0"/>
        </w:numPr>
        <w:spacing w:line="360" w:lineRule="exact" w:before="160" w:after="120"/>
        <w:ind w:firstLine="0"/>
      </w:pPr>
      <w:bookmarkStart w:id="196" w:name="bdz-00016站规划分析"/>
      <w:r>
        <w:rPr>
          <w:rFonts w:ascii="Times New Roman" w:hAnsi="Times New Roman" w:eastAsia="方正仿宋_GBK"/>
          <w:b/>
          <w:sz w:val="24"/>
        </w:rPr>
        <w:t xml:space="preserve">BDZ-00016站规划分析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MVA，规划第4年转接前最大正向、反向净负荷分别为72.47 MW和32.99 MW，正向95%峰值持续时间为3.00 h。弹性方案第2年扩建50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第4年承接13.03 MW，正向校核负荷增至85.50 MW。该站利用相应主变容量承担片区内部负荷，接收能力按承接后的负荷进行正常运行及主变N-1校核。刚性方案第4年公用主变总容量为153.00 MVA，储能为0.00 MW；弹性方案相应为153.00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表5-14 BDZ-00016站第4年配置与负荷转接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13.03</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从建设时序看，第1—4年公用主变总容量依次为103.00、153.00、153.00、153.00 MVA；转接后正向负荷由第1年的38.00 MW变为第4年的85.50 MW。该站在规划期内同时承担过负荷转出和承接任务，站间安排随各年容量需求调整。第4年退出最大一台主变后，剩余主变容量为90.00 MVA，按功率因数折算并计入相应持续时间的储能放电功率，正向容量余量为0.00 MW。</w:t>
      </w:r>
    </w:p>
    <w:p>
      <w:pPr>
        <w:pStyle w:val="7"/>
        <w:keepNext/>
        <w:numPr>
          <w:numId w:val="0"/>
        </w:numPr>
        <w:spacing w:line="360" w:lineRule="exact" w:before="160" w:after="120"/>
        <w:ind w:firstLine="0"/>
      </w:pPr>
      <w:bookmarkStart w:id="197" w:name="bdz-00021站规划分析"/>
      <w:r>
        <w:rPr>
          <w:rFonts w:ascii="Times New Roman" w:hAnsi="Times New Roman" w:eastAsia="方正仿宋_GBK"/>
          <w:b/>
          <w:sz w:val="24"/>
        </w:rPr>
        <w:t xml:space="preserve">BDZ-00021站规划分析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MVA，规划第4年转接前最大正向、反向净负荷分别为31.63 MW和25.40 MW，正向95%峰值持续时间为4.00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第4年承接19.00 MW，正向校核负荷增至50.63 MW。该站利用相应主变容量承担片区内部负荷，接收能力按承接后的负荷进行正常运行及主变N-1校核。刚性方案第4年公用主变总容量为70.00 MVA，储能为0.00 MW；弹性方案相应为120.00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表5-15 BDZ-00021站第4年配置与负荷转接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12.63</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50.63</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从建设时序看，第1—4年公用主变总容量依次为120.00、120.00、120.00、120.00 MVA；转接后正向负荷由第1年的66.50 MW变为第4年的50.63 MW。四年均以承接负荷为主，第1年和第4年净承接分别为41.45 MW和19.00 MW，主变配置同时服务于本站及片区转入负荷。第4年退出最大一台主变后，剩余主变容量为70.00 MVA，按功率因数折算并计入相应持续时间的储能放电功率，正向容量余量为15.87 MW。</w:t>
      </w:r>
    </w:p>
    <w:p>
      <w:pPr>
        <w:pStyle w:val="7"/>
        <w:keepNext/>
        <w:numPr>
          <w:numId w:val="0"/>
        </w:numPr>
        <w:spacing w:line="360" w:lineRule="exact" w:before="160" w:after="120"/>
        <w:ind w:firstLine="0"/>
      </w:pPr>
      <w:bookmarkStart w:id="198" w:name="bdz-00022站规划分析"/>
      <w:r>
        <w:rPr>
          <w:rFonts w:ascii="Times New Roman" w:hAnsi="Times New Roman" w:eastAsia="方正仿宋_GBK"/>
          <w:b/>
          <w:sz w:val="24"/>
        </w:rPr>
        <w:t xml:space="preserve">BDZ-00022站规划分析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MVA，规划第4年转接前最大正向、反向净负荷分别为31.93 MW和49.30 MW，正向95%峰值持续时间为2.00 h。弹性方案第2年实施主变增容，新购容量31.50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第4年转出2.01 MW、承接0.00 MW后，正向校核负荷为29.92 MW。负荷转出降低正向需求，同时将反向校核上界提高至51.30 MW，配置按两个方向共同确定。刚性方案第4年公用主变总容量为63.00 MVA，储能为49.30 MW；弹性方案相应为63.00 MVA和0.00 MW。弹性方案储能功率减少49.30 MW。</w:t>
      </w:r>
    </w:p>
    <w:p>
      <w:pPr>
        <w:pStyle w:val="2"/>
        <w:keepNext/>
        <w:spacing w:line="280" w:lineRule="exact" w:before="120" w:after="80"/>
        <w:ind w:firstLine="0"/>
        <w:jc w:val="center"/>
      </w:pPr>
      <w:r>
        <w:rPr>
          <w:rFonts w:ascii="Times New Roman" w:hAnsi="Times New Roman" w:eastAsia="宋体"/>
          <w:b w:val="0"/>
          <w:sz w:val="21"/>
        </w:rPr>
        <w:t xml:space="preserve">表5-16 BDZ-00022站第4年配置与负荷转接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31.50+31.50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49.30/106.00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37.08</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69.02</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31.50+31.50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从建设时序看，第1—4年公用主变总容量依次为51.50、63.00、63.00、63.00 MVA；转接后正向负荷由第1年的19.00 MW变为第4年的29.92 MW。该站在规划期内同时承担过负荷转出和承接任务，站间安排随各年容量需求调整。第4年退出最大一台主变后，剩余主变容量为31.50 MVA，按功率因数折算并计入相应持续时间的储能放电功率，正向容量余量为0.00 MW。</w:t>
      </w:r>
    </w:p>
    <w:p>
      <w:pPr>
        <w:pStyle w:val="7"/>
        <w:keepNext/>
        <w:numPr>
          <w:numId w:val="0"/>
        </w:numPr>
        <w:spacing w:line="360" w:lineRule="exact" w:before="160" w:after="120"/>
        <w:ind w:firstLine="0"/>
      </w:pPr>
      <w:bookmarkStart w:id="199" w:name="bdz-00026站规划分析"/>
      <w:r>
        <w:rPr>
          <w:rFonts w:ascii="Times New Roman" w:hAnsi="Times New Roman" w:eastAsia="方正仿宋_GBK"/>
          <w:b/>
          <w:sz w:val="24"/>
        </w:rPr>
        <w:t xml:space="preserve">BDZ-00026站规划分析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MVA，规划第4年转接前最大正向、反向净负荷分别为96.09 MW和18.83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第4年转出20.09 MW、承接0.00 MW后，正向校核负荷为76.00 MW。负荷转出降低正向需求，同时将反向校核上界提高至38.92 MW，配置按两个方向共同确定。刚性方案第4年公用主变总容量为130.00 MVA，储能为0.10 MW；弹性方案相应为130.00 MVA和0.00 MW。弹性方案储能功率减少0.10 MW。</w:t>
      </w:r>
    </w:p>
    <w:p>
      <w:pPr>
        <w:pStyle w:val="2"/>
        <w:keepNext/>
        <w:spacing w:line="280" w:lineRule="exact" w:before="120" w:after="80"/>
        <w:ind w:firstLine="0"/>
        <w:jc w:val="center"/>
      </w:pPr>
      <w:r>
        <w:rPr>
          <w:rFonts w:ascii="Times New Roman" w:hAnsi="Times New Roman" w:eastAsia="宋体"/>
          <w:b w:val="0"/>
          <w:sz w:val="21"/>
        </w:rPr>
        <w:t xml:space="preserve">表5-17 BDZ-00026站第4年配置与负荷转接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0.10/0.21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20.02</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76.07</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MW。四年均以转出负荷为主，第1年和第4年分别转出0.12 MW和20.09 MW，邻站承接是本站供电安排的重要组成。第4年退出最大一台主变后，剩余主变容量为80.00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00" w:name="bdz-00027站规划分析"/>
      <w:r>
        <w:rPr>
          <w:rFonts w:ascii="Times New Roman" w:hAnsi="Times New Roman" w:eastAsia="方正仿宋_GBK"/>
          <w:b/>
          <w:sz w:val="24"/>
        </w:rPr>
        <w:t xml:space="preserve">BDZ-00027站规划分析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MVA，规划第4年转接前最大正向、反向净负荷分别为62.12 MW和36.81 MW，正向95%峰值持续时间为2.00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第4年承接4.38 MW，正向校核负荷增至66.50 MW。该站利用相应主变容量承担片区内部负荷，接收能力按承接后的负荷进行正常运行及主变N-1校核。刚性方案第4年公用主变总容量为70.00 MVA，储能为18.10 MW；弹性方案相应为120.00 MVA和0.00 MW。弹性方案储能功率减少18.10 MW。</w:t>
      </w:r>
    </w:p>
    <w:p>
      <w:pPr>
        <w:pStyle w:val="2"/>
        <w:keepNext/>
        <w:spacing w:line="280" w:lineRule="exact" w:before="120" w:after="80"/>
        <w:ind w:firstLine="0"/>
        <w:jc w:val="center"/>
      </w:pPr>
      <w:r>
        <w:rPr>
          <w:rFonts w:ascii="Times New Roman" w:hAnsi="Times New Roman" w:eastAsia="宋体"/>
          <w:b w:val="0"/>
          <w:sz w:val="21"/>
        </w:rPr>
        <w:t xml:space="preserve">表5-18 BDZ-00027站第4年配置与负荷转接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18.10/38.91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25.02</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37.10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从建设时序看，第1—4年公用主变总容量依次为120.00、120.00、120.00、120.00 MVA；转接后正向负荷由第1年的57.52 MW变为第4年的66.50 MW。四年均以承接负荷为主，第1年和第4年净承接分别为8.31 MW和4.38 MW，主变配置同时服务于本站及片区转入负荷。第4年退出最大一台主变后，剩余主变容量为70.00 MVA，按功率因数折算并计入相应持续时间的储能放电功率，正向容量余量为0.00 MW。</w:t>
      </w:r>
    </w:p>
    <w:p>
      <w:pPr>
        <w:pStyle w:val="7"/>
        <w:keepNext/>
        <w:numPr>
          <w:numId w:val="0"/>
        </w:numPr>
        <w:spacing w:line="360" w:lineRule="exact" w:before="160" w:after="120"/>
        <w:ind w:firstLine="0"/>
      </w:pPr>
      <w:bookmarkStart w:id="201" w:name="bdz-00028站规划分析"/>
      <w:r>
        <w:rPr>
          <w:rFonts w:ascii="Times New Roman" w:hAnsi="Times New Roman" w:eastAsia="方正仿宋_GBK"/>
          <w:b/>
          <w:sz w:val="24"/>
        </w:rPr>
        <w:t xml:space="preserve">BDZ-00028站规划分析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MVA，规划第4年转接前最大正向、反向净负荷分别为108.09 MW和0.00 MW，正向95%峰值持续时间为3.00 h。弹性方案第1年实施主变增容，新购容量63.00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第4年转出48.24 MW、承接0.00 MW后，正向校核负荷为59.85 MW。负荷转出降低正向需求，同时将反向校核上界提高至48.24 MW，配置按两个方向共同确定。刚性方案第4年公用主变总容量为143.00 MVA，储能为0.00 MW；弹性方案相应为143.00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表5-19 BDZ-00028站第4年配置与负荷转接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48.24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从建设时序看，第1—4年公用主变总容量依次为143.00、143.00、143.00、143.00 MVA；转接后正向负荷由第1年的59.85 MW变为第4年的59.85 MW。四年均以转出负荷为主，第1年和第4年分别转出25.78 MW和48.24 MW，邻站承接是本站供电安排的重要组成。第4年退出最大一台主变后，剩余主变容量为63.00 MVA，按功率因数折算并计入相应持续时间的储能放电功率，正向容量余量为0.00 MW。</w:t>
      </w:r>
    </w:p>
    <w:p>
      <w:pPr>
        <w:pStyle w:val="7"/>
        <w:keepNext/>
        <w:numPr>
          <w:numId w:val="0"/>
        </w:numPr>
        <w:spacing w:line="360" w:lineRule="exact" w:before="160" w:after="120"/>
        <w:ind w:firstLine="0"/>
      </w:pPr>
      <w:bookmarkStart w:id="202" w:name="bdz-00031站规划分析"/>
      <w:r>
        <w:rPr>
          <w:rFonts w:ascii="Times New Roman" w:hAnsi="Times New Roman" w:eastAsia="方正仿宋_GBK"/>
          <w:b/>
          <w:sz w:val="24"/>
        </w:rPr>
        <w:t xml:space="preserve">BDZ-00031站规划分析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MVA，规划第4年转接前最大正向、反向净负荷分别为41.63 MW和30.82 MW，正向95%峰值持续时间为3.00 h。弹性方案第4年扩建50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第4年承接26.29 MW，正向校核负荷增至67.93 MW。该站利用相应主变容量承担片区内部负荷，接收能力按承接后的负荷进行正常运行及主变N-1校核。刚性方案第4年公用主变总容量为71.50 MVA，储能为0.00 MW；弹性方案相应为121.50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表5-20 BDZ-00031站第4年配置与负荷转接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31.50+40.00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11.71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29.92</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67.93</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从建设时序看，第1—4年公用主变总容量依次为71.50、71.50、71.50、121.50 MVA；转接后正向负荷由第1年的29.92 MW变为第4年的67.93 MW。该站在规划期内同时承担过负荷转出和承接任务，站间安排随各年容量需求调整。第4年退出最大一台主变后，剩余主变容量为71.50 MVA，按功率因数折算并计入相应持续时间的储能放电功率，正向容量余量为0.00 MW。</w:t>
      </w:r>
    </w:p>
    <w:p>
      <w:pPr>
        <w:pStyle w:val="7"/>
        <w:keepNext/>
        <w:numPr>
          <w:numId w:val="0"/>
        </w:numPr>
        <w:spacing w:line="360" w:lineRule="exact" w:before="160" w:after="120"/>
        <w:ind w:firstLine="0"/>
      </w:pPr>
      <w:bookmarkStart w:id="203" w:name="bdz-00037站规划分析"/>
      <w:r>
        <w:rPr>
          <w:rFonts w:ascii="Times New Roman" w:hAnsi="Times New Roman" w:eastAsia="方正仿宋_GBK"/>
          <w:b/>
          <w:sz w:val="24"/>
        </w:rPr>
        <w:t xml:space="preserve">BDZ-00037站规划分析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MVA，规划第4年转接前最大正向、反向净负荷分别为28.74 MW和28.03 MW，正向95%峰值持续时间为2.00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第4年转出9.74 MW、承接0.00 MW后，正向校核负荷为19.00 MW。负荷转出降低正向需求，同时将反向校核上界提高至37.78 MW，配置按两个方向共同确定。刚性方案第4年公用主变总容量为100.00 MVA，储能为0.00 MW；弹性方案相应为70.00 MVA和0.00 MW。弹性方案本站公用主变总容量比刚性减少30.00 MVA；区域总容量提高并不要求每座站均增加容量，本站按所列转接后负荷及主变N-1条件校核。</w:t>
      </w:r>
    </w:p>
    <w:p>
      <w:pPr>
        <w:pStyle w:val="2"/>
        <w:keepNext/>
        <w:spacing w:line="280" w:lineRule="exact" w:before="120" w:after="80"/>
        <w:ind w:firstLine="0"/>
        <w:jc w:val="center"/>
      </w:pPr>
      <w:r>
        <w:rPr>
          <w:rFonts w:ascii="Times New Roman" w:hAnsi="Times New Roman" w:eastAsia="宋体"/>
          <w:b w:val="0"/>
          <w:sz w:val="21"/>
        </w:rPr>
        <w:t xml:space="preserve">表5-21 BDZ-00037站第4年配置与负荷转接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18.76</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从建设时序看，第1—4年公用主变总容量依次为70.00、70.00、70.00、70.00 MVA；转接后正向负荷由第1年的19.00 MW变为第4年的19.00 MW。四年均以转出负荷为主，第1年和第4年分别转出3.77 MW和9.74 MW，邻站承接是本站供电安排的重要组成。第4年退出最大一台主变后，剩余主变容量为20.00 MVA，按功率因数折算并计入相应持续时间的储能放电功率，正向容量余量为0.00 MW。</w:t>
      </w:r>
    </w:p>
    <w:p>
      <w:pPr>
        <w:pStyle w:val="7"/>
        <w:keepNext/>
        <w:numPr>
          <w:numId w:val="0"/>
        </w:numPr>
        <w:spacing w:line="360" w:lineRule="exact" w:before="160" w:after="120"/>
        <w:ind w:firstLine="0"/>
      </w:pPr>
      <w:bookmarkStart w:id="204" w:name="bdz-00048站规划分析"/>
      <w:r>
        <w:rPr>
          <w:rFonts w:ascii="Times New Roman" w:hAnsi="Times New Roman" w:eastAsia="方正仿宋_GBK"/>
          <w:b/>
          <w:sz w:val="24"/>
        </w:rPr>
        <w:t xml:space="preserve">BDZ-00048站规划分析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该站基期主变配置为20.00+80.00 MVA，规划第4年转接前最大正向、反向净负荷分别为76.30 MW和4.76 MW，正向95%峰值持续时间为3.00 h。弹性方案第1年扩建50 MVA主变；第2年实施主变增容，新购容量63.00 MVA。</w:t>
      </w:r>
    </w:p>
    <w:p>
      <w:pPr>
        <w:pStyle w:val="2"/>
        <w:widowControl/>
        <w:spacing w:line="348" w:lineRule="exact" w:before="0" w:after="0"/>
        <w:ind w:firstLine="480"/>
        <w:jc w:val="both"/>
      </w:pPr>
      <w:r>
        <w:rPr>
          <w:rFonts w:ascii="Times New Roman" w:hAnsi="Times New Roman" w:eastAsia="方正仿宋_GBK"/>
          <w:b w:val="0"/>
          <w:sz w:val="24"/>
        </w:rPr>
        <w:t xml:space="preserve">第4年承接31.05 MW，正向校核负荷增至107.35 MW。该站利用相应主变容量承担片区内部负荷，接收能力按承接后的负荷进行正常运行及主变N-1校核。刚性方案第4年公用主变总容量为143.00 MVA，储能为0.00 MW；弹性方案相应为193.00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表5-22 BDZ-00048站第4年配置与负荷转接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16.45</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31.05</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107.35</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从建设时序看，第1—4年公用主变总容量依次为150.00、193.00、193.00、193.00 MVA；转接后正向负荷由第1年的66.50 MW变为第4年的107.35 MW。四年均以承接负荷为主，第1年和第4年净承接分别为6.05 MW和31.05 MW，主变配置同时服务于本站及片区转入负荷。第4年退出最大一台主变后，剩余主变容量为113.00 MVA，按功率因数折算并计入相应持续时间的储能放电功率，正向容量余量为0.00 MW。</w:t>
      </w:r>
    </w:p>
    <w:p>
      <w:pPr>
        <w:pStyle w:val="7"/>
        <w:keepNext/>
        <w:numPr>
          <w:numId w:val="0"/>
        </w:numPr>
        <w:spacing w:line="360" w:lineRule="exact" w:before="160" w:after="120"/>
        <w:ind w:firstLine="0"/>
      </w:pPr>
      <w:bookmarkStart w:id="205" w:name="bdz-00095站规划分析"/>
      <w:r>
        <w:rPr>
          <w:rFonts w:ascii="Times New Roman" w:hAnsi="Times New Roman" w:eastAsia="方正仿宋_GBK"/>
          <w:b/>
          <w:sz w:val="24"/>
        </w:rPr>
        <w:t xml:space="preserve">BDZ-00095站规划分析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MVA，规划第4年转接前最大正向、反向净负荷分别为23.91 MW和32.16 MW，正向95%峰值持续时间为2.00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第4年转出4.91 MW、承接0.00 MW后，正向校核负荷为19.00 MW。负荷转出降低正向需求，同时将反向校核上界提高至37.06 MW，配置按两个方向共同确定。刚性方案第4年公用主变总容量为70.00 MVA，储能为0.00 MW；弹性方案相应为70.00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表5-23 BDZ-00095站第4年配置与负荷转接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4.91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从建设时序看，第1—4年公用主变总容量依次为70.00、70.00、70.00、70.00 MVA；转接后正向负荷由第1年的19.00 MW变为第4年的19.00 MW。该站在规划期内同时承担过负荷转出和承接任务，站间安排随各年容量需求调整。第4年退出最大一台主变后，剩余主变容量为20.00 MVA，按功率因数折算并计入相应持续时间的储能放电功率，正向容量余量为0.00 MW。</w:t>
      </w:r>
    </w:p>
    <w:p>
      <w:pPr>
        <w:pStyle w:val="7"/>
        <w:keepNext/>
        <w:numPr>
          <w:numId w:val="0"/>
        </w:numPr>
        <w:spacing w:line="360" w:lineRule="exact" w:before="160" w:after="120"/>
        <w:ind w:firstLine="0"/>
      </w:pPr>
      <w:bookmarkStart w:id="206" w:name="bdz-00096站规划分析"/>
      <w:r>
        <w:rPr>
          <w:rFonts w:ascii="Times New Roman" w:hAnsi="Times New Roman" w:eastAsia="方正仿宋_GBK"/>
          <w:b/>
          <w:sz w:val="24"/>
        </w:rPr>
        <w:t xml:space="preserve">BDZ-00096站规划分析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MVA，规划第4年转接前最大正向、反向净负荷分别为72.42 MW和0.00 MW，正向95%峰值持续时间为3.00 h。弹性方案第1年实施主变增容，新购容量63.00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第4年转出12.57 MW、承接0.00 MW后，正向校核负荷为59.85 MW。负荷转出降低正向需求，同时将反向校核上界提高至12.57 MW，配置按两个方向共同确定。刚性方案第4年公用主变总容量为143.00 MVA，储能为0.00 MW；弹性方案相应为143.00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表5-24 BDZ-00096站第4年配置与负荷转接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从建设时序看，第1—4年公用主变总容量依次为143.00、143.00、143.00、143.00 MVA；转接后正向负荷由第1年的59.85 MW变为第4年的59.85 MW。该站在规划期内同时承担过负荷转出和承接任务，站间安排随各年容量需求调整。第4年退出最大一台主变后，剩余主变容量为63.00 MVA，按功率因数折算并计入相应持续时间的储能放电功率，正向容量余量为0.00 MW。</w:t>
      </w:r>
    </w:p>
    <w:p>
      <w:pPr>
        <w:pStyle w:val="7"/>
        <w:keepNext/>
        <w:numPr>
          <w:numId w:val="0"/>
        </w:numPr>
        <w:spacing w:line="360" w:lineRule="exact" w:before="160" w:after="120"/>
        <w:ind w:firstLine="0"/>
      </w:pPr>
      <w:bookmarkStart w:id="207" w:name="bdz-00124站规划分析"/>
      <w:r>
        <w:rPr>
          <w:rFonts w:ascii="Times New Roman" w:hAnsi="Times New Roman" w:eastAsia="方正仿宋_GBK"/>
          <w:b/>
          <w:sz w:val="24"/>
        </w:rPr>
        <w:t xml:space="preserve">BDZ-00124站规划分析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MVA，规划第4年转接前最大正向、反向净负荷分别为64.11 MW和31.99 MW，正向95%峰值持续时间为3.00 h。弹性方案第4年实施主变增容，新购容量40.00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第4年转出26.11 MW、承接0.00 MW后，正向校核负荷为38.00 MW。负荷转出降低正向需求，同时将反向校核上界提高至58.10 MW，配置按两个方向共同确定。刚性方案第4年公用主变总容量为71.50 MVA，储能为3.00 MW；弹性方案相应为80.00 MVA和0.00 MW。弹性方案储能功率减少3.00 MW。</w:t>
      </w:r>
    </w:p>
    <w:p>
      <w:pPr>
        <w:pStyle w:val="2"/>
        <w:keepNext/>
        <w:spacing w:line="280" w:lineRule="exact" w:before="120" w:after="80"/>
        <w:ind w:firstLine="0"/>
        <w:jc w:val="center"/>
      </w:pPr>
      <w:r>
        <w:rPr>
          <w:rFonts w:ascii="Times New Roman" w:hAnsi="Times New Roman" w:eastAsia="宋体"/>
          <w:b w:val="0"/>
          <w:sz w:val="21"/>
        </w:rPr>
        <w:t xml:space="preserve">表5-25 BDZ-00124站第4年配置与负荷转接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31.50+40.00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3.00/6.45</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32.04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32.07</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26.11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从建设时序看，第1—4年公用主变总容量依次为71.50、71.50、71.50、80.00 MVA；转接后正向负荷由第1年的29.92 MW变为第4年的38.00 MW。四年均以转出负荷为主，第1年和第4年分别转出20.87 MW和26.11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08" w:name="bdz-00135站规划分析"/>
      <w:r>
        <w:rPr>
          <w:rFonts w:ascii="Times New Roman" w:hAnsi="Times New Roman" w:eastAsia="方正仿宋_GBK"/>
          <w:b/>
          <w:sz w:val="24"/>
        </w:rPr>
        <w:t xml:space="preserve">BDZ-00135站规划分析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MVA，规划第4年转接前最大正向、反向净负荷分别为88.53 MW和59.41 MW，正向95%峰值持续时间为1.00 h。弹性方案第1年实施主变增容，新购容量100.00 MVA；第2年新增储能0.20 MW/0.43 MWh；第4年新增储能2.60 MW/5.59 MWh。</w:t>
      </w:r>
    </w:p>
    <w:p>
      <w:pPr>
        <w:pStyle w:val="2"/>
        <w:widowControl/>
        <w:spacing w:line="348" w:lineRule="exact" w:before="0" w:after="0"/>
        <w:ind w:firstLine="480"/>
        <w:jc w:val="both"/>
      </w:pPr>
      <w:r>
        <w:rPr>
          <w:rFonts w:ascii="Times New Roman" w:hAnsi="Times New Roman" w:eastAsia="方正仿宋_GBK"/>
          <w:b w:val="0"/>
          <w:sz w:val="24"/>
        </w:rPr>
        <w:t xml:space="preserve">第4年转出38.23 MW、承接0.00 MW后，正向校核负荷为50.30 MW。负荷转出降低正向需求，同时将反向校核上界提高至97.64 MW，配置按两个方向共同确定。刚性方案第4年公用主变总容量为71.50 MVA，储能为88.60 MW；弹性方案相应为100.00 MVA和2.80 MW。弹性方案储能功率减少85.80 MW。</w:t>
      </w:r>
    </w:p>
    <w:p>
      <w:pPr>
        <w:pStyle w:val="2"/>
        <w:keepNext/>
        <w:spacing w:line="280" w:lineRule="exact" w:before="120" w:after="80"/>
        <w:ind w:firstLine="0"/>
        <w:jc w:val="center"/>
      </w:pPr>
      <w:r>
        <w:rPr>
          <w:rFonts w:ascii="Times New Roman" w:hAnsi="Times New Roman" w:eastAsia="宋体"/>
          <w:b w:val="0"/>
          <w:sz w:val="21"/>
        </w:rPr>
        <w:t xml:space="preserve">表5-26 BDZ-00135站第4年配置与负荷转接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31.50+40.00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88.60/190.49</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88.53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2.80/6.02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50.30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从建设时序看，第1—4年公用主变总容量依次为100.00、100.00、100.00、100.00 MVA；转接后正向负荷由第1年的47.50 MW变为第4年的50.30 MW。四年均以转出负荷为主，第1年和第4年分别转出22.64 MW和38.23 MW，邻站承接是本站供电安排的重要组成。第4年退出最大一台主变后，剩余主变容量为50.00 MVA，按功率因数折算并计入相应持续时间的储能放电功率，正向容量余量为0.00 MW。</w:t>
      </w:r>
    </w:p>
    <w:p>
      <w:pPr>
        <w:pStyle w:val="7"/>
        <w:keepNext/>
        <w:numPr>
          <w:numId w:val="0"/>
        </w:numPr>
        <w:spacing w:line="360" w:lineRule="exact" w:before="160" w:after="120"/>
        <w:ind w:firstLine="0"/>
      </w:pPr>
      <w:bookmarkStart w:id="209" w:name="bdz-00141站规划分析"/>
      <w:r>
        <w:rPr>
          <w:rFonts w:ascii="Times New Roman" w:hAnsi="Times New Roman" w:eastAsia="方正仿宋_GBK"/>
          <w:b/>
          <w:sz w:val="24"/>
        </w:rPr>
        <w:t xml:space="preserve">BDZ-00141站规划分析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MVA，规划第4年转接前最大正向、反向净负荷分别为41.61 MW和39.10 MW，正向95%峰值持续时间为2.00 h。弹性方案第3年实施主变增容，新购容量50.00 MVA。</w:t>
      </w:r>
    </w:p>
    <w:p>
      <w:pPr>
        <w:pStyle w:val="2"/>
        <w:widowControl/>
        <w:spacing w:line="348" w:lineRule="exact" w:before="0" w:after="0"/>
        <w:ind w:firstLine="480"/>
        <w:jc w:val="both"/>
      </w:pPr>
      <w:r>
        <w:rPr>
          <w:rFonts w:ascii="Times New Roman" w:hAnsi="Times New Roman" w:eastAsia="方正仿宋_GBK"/>
          <w:b w:val="0"/>
          <w:sz w:val="24"/>
        </w:rPr>
        <w:t xml:space="preserve">第4年承接5.89 MW，正向校核负荷增至47.50 MW。该站利用相应主变容量承担片区内部负荷，接收能力按承接后的负荷进行正常运行及主变N-1校核。刚性方案第4年公用主变总容量为70.00 MVA，储能为21.20 MW；弹性方案相应为100.00 MVA和0.00 MW。弹性方案储能功率减少21.20 MW。</w:t>
      </w:r>
    </w:p>
    <w:p>
      <w:pPr>
        <w:pStyle w:val="2"/>
        <w:keepNext/>
        <w:spacing w:line="280" w:lineRule="exact" w:before="120" w:after="80"/>
        <w:ind w:firstLine="0"/>
        <w:jc w:val="center"/>
      </w:pPr>
      <w:r>
        <w:rPr>
          <w:rFonts w:ascii="Times New Roman" w:hAnsi="Times New Roman" w:eastAsia="宋体"/>
          <w:b w:val="0"/>
          <w:sz w:val="21"/>
        </w:rPr>
        <w:t xml:space="preserve">表5-27 BDZ-00141站第4年配置与负荷转接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21.20/45.58</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40.20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从建设时序看，第1—4年公用主变总容量依次为70.00、70.00、100.00、100.00 MVA；转接后正向负荷由第1年的19.00 MW变为第4年的47.50 MW。站间负荷调整与本站容量配置共同满足各年度供电需求。第4年退出最大一台主变后，剩余主变容量为50.00 MVA，按功率因数折算并计入相应持续时间的储能放电功率，正向容量余量为0.00 MW。</w:t>
      </w:r>
    </w:p>
    <w:p>
      <w:pPr>
        <w:pStyle w:val="7"/>
        <w:keepNext/>
        <w:numPr>
          <w:numId w:val="0"/>
        </w:numPr>
        <w:spacing w:line="360" w:lineRule="exact" w:before="160" w:after="120"/>
        <w:ind w:firstLine="0"/>
      </w:pPr>
      <w:bookmarkStart w:id="210" w:name="bdz-00146站规划分析"/>
      <w:r>
        <w:rPr>
          <w:rFonts w:ascii="Times New Roman" w:hAnsi="Times New Roman" w:eastAsia="方正仿宋_GBK"/>
          <w:b/>
          <w:sz w:val="24"/>
        </w:rPr>
        <w:t xml:space="preserve">BDZ-00146站规划分析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MVA，规划第4年转接前最大正向、反向净负荷分别为27.06 MW和30.06 MW，正向95%峰值持续时间为2.00 h。弹性方案第3年扩建50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第4年承接21.86 MW，正向校核负荷增至48.93 MW。该站利用相应主变容量承担片区内部负荷，接收能力按承接后的负荷进行正常运行及主变N-1校核。刚性方案第4年公用主变总容量为101.50 MVA，储能为30.10 MW；弹性方案相应为101.50 MVA和0.00 MW。弹性方案储能功率减少30.10 MW。</w:t>
      </w:r>
    </w:p>
    <w:p>
      <w:pPr>
        <w:pStyle w:val="2"/>
        <w:keepNext/>
        <w:spacing w:line="280" w:lineRule="exact" w:before="120" w:after="80"/>
        <w:ind w:firstLine="0"/>
        <w:jc w:val="center"/>
      </w:pPr>
      <w:r>
        <w:rPr>
          <w:rFonts w:ascii="Times New Roman" w:hAnsi="Times New Roman" w:eastAsia="宋体"/>
          <w:b w:val="0"/>
          <w:sz w:val="21"/>
        </w:rPr>
        <w:t xml:space="preserve">表5-28 BDZ-00146站第4年配置与负荷转接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20.00+31.50+50.00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30.10/64.72</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51.96</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79.03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48.93</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从建设时序看，第1—4年公用主变总容量依次为51.50、51.50、101.50、101.50 MVA；转接后正向负荷由第1年的19.00 MW变为第4年的48.93 MW。该站在规划期内同时承担过负荷转出和承接任务，站间安排随各年容量需求调整。第4年退出最大一台主变后，剩余主变容量为51.50 MVA，按功率因数折算并计入相应持续时间的储能放电功率，正向容量余量为0.00 MW。</w:t>
      </w:r>
    </w:p>
    <w:p>
      <w:pPr>
        <w:pStyle w:val="7"/>
        <w:keepNext/>
        <w:numPr>
          <w:numId w:val="0"/>
        </w:numPr>
        <w:spacing w:line="360" w:lineRule="exact" w:before="160" w:after="120"/>
        <w:ind w:firstLine="0"/>
      </w:pPr>
      <w:bookmarkStart w:id="211" w:name="bdz-00147站规划分析"/>
      <w:r>
        <w:rPr>
          <w:rFonts w:ascii="Times New Roman" w:hAnsi="Times New Roman" w:eastAsia="方正仿宋_GBK"/>
          <w:b/>
          <w:sz w:val="24"/>
        </w:rPr>
        <w:t xml:space="preserve">BDZ-00147站规划分析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MVA，规划第4年转接前最大正向、反向净负荷分别为52.41 MW和0.00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第4年承接14.09 MW，正向校核负荷增至66.50 MW。该站利用相应主变容量承担片区内部负荷，接收能力按承接后的负荷进行正常运行及主变N-1校核。刚性方案第4年公用主变总容量为90.00 MVA，储能为2.50 MW；弹性方案相应为120.00 MVA和0.00 MW。弹性方案储能功率减少2.50 MW。</w:t>
      </w:r>
    </w:p>
    <w:p>
      <w:pPr>
        <w:pStyle w:val="2"/>
        <w:keepNext/>
        <w:spacing w:line="280" w:lineRule="exact" w:before="120" w:after="80"/>
        <w:ind w:firstLine="0"/>
        <w:jc w:val="center"/>
      </w:pPr>
      <w:r>
        <w:rPr>
          <w:rFonts w:ascii="Times New Roman" w:hAnsi="Times New Roman" w:eastAsia="宋体"/>
          <w:b w:val="0"/>
          <w:sz w:val="21"/>
        </w:rPr>
        <w:t xml:space="preserve">表5-29 BDZ-00147站第4年配置与负荷转接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2.50/5.38</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12.62</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39.79</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从建设时序看，第1—4年公用主变总容量依次为120.00、120.00、120.00、120.00 MVA；转接后正向负荷由第1年的66.50 MW变为第4年的66.50 MW。四年均以承接负荷为主，第1年和第4年净承接分别为24.98 MW和14.09 MW，主变配置同时服务于本站及片区转入负荷。第4年退出最大一台主变后，剩余主变容量为70.00 MVA，按功率因数折算并计入相应持续时间的储能放电功率，正向容量余量为0.00 MW。</w:t>
      </w:r>
    </w:p>
    <w:p>
      <w:pPr>
        <w:pStyle w:val="7"/>
        <w:keepNext/>
        <w:numPr>
          <w:numId w:val="0"/>
        </w:numPr>
        <w:spacing w:line="360" w:lineRule="exact" w:before="160" w:after="120"/>
        <w:ind w:firstLine="0"/>
      </w:pPr>
      <w:bookmarkStart w:id="212" w:name="bdz-00162站规划分析"/>
      <w:r>
        <w:rPr>
          <w:rFonts w:ascii="Times New Roman" w:hAnsi="Times New Roman" w:eastAsia="方正仿宋_GBK"/>
          <w:b/>
          <w:sz w:val="24"/>
        </w:rPr>
        <w:t xml:space="preserve">BDZ-00162站规划分析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MVA，规划第4年转接前最大正向、反向净负荷分别为20.04 MW和36.74 MW，正向95%峰值持续时间为2.00 h。弹性方案第4年扩建50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第4年承接17.96 MW，正向校核负荷增至38.00 MW。该站利用相应主变容量承担片区内部负荷，接收能力按承接后的负荷进行正常运行及主变N-1校核。刚性方案第4年公用主变总容量为90.00 MVA，储能为0.00 MW；弹性方案相应为90.00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表5-30 BDZ-00162站第4年配置与负荷转接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20.00+20.00+50.00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17.96</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从建设时序看，第1—4年公用主变总容量依次为40.00、40.00、40.00、90.00 MVA；转接后正向负荷由第1年的19.00 MW变为第4年的38.00 MW。四年均以承接负荷为主，第1年和第4年净承接分别为3.13 MW和17.96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13" w:name="bdz-00164站规划分析"/>
      <w:r>
        <w:rPr>
          <w:rFonts w:ascii="Times New Roman" w:hAnsi="Times New Roman" w:eastAsia="方正仿宋_GBK"/>
          <w:b/>
          <w:sz w:val="24"/>
        </w:rPr>
        <w:t xml:space="preserve">BDZ-00164站规划分析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MVA，规划第4年转接前最大正向、反向净负荷分别为40.86 MW和31.84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第4年转出2.86 MW、承接0.00 MW后，正向校核负荷为38.00 MW。负荷转出降低正向需求，同时将反向校核上界提高至34.70 MW，配置按两个方向共同确定。刚性方案第4年公用主变总容量为110.00 MVA，储能为0.40 MW；弹性方案相应为90.00 MVA和0.00 MW。弹性方案储能功率减少0.40 MW。</w:t>
      </w:r>
    </w:p>
    <w:p>
      <w:pPr>
        <w:pStyle w:val="2"/>
        <w:keepNext/>
        <w:spacing w:line="280" w:lineRule="exact" w:before="120" w:after="80"/>
        <w:ind w:firstLine="0"/>
        <w:jc w:val="center"/>
      </w:pPr>
      <w:r>
        <w:rPr>
          <w:rFonts w:ascii="Times New Roman" w:hAnsi="Times New Roman" w:eastAsia="宋体"/>
          <w:b w:val="0"/>
          <w:sz w:val="21"/>
        </w:rPr>
        <w:t xml:space="preserve">表5-31 BDZ-00164站第4年配置与负荷转接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0.40/0.86</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16.43</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57.29</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从建设时序看，第1—4年公用主变总容量依次为90.00、90.00、90.00、90.00 MVA；转接后正向负荷由第1年的38.00 MW变为第4年的38.00 MW。该站在规划期内同时承担过负荷转出和承接任务，站间安排随各年容量需求调整。第4年退出最大一台主变后，剩余主变容量为40.00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14" w:name="bdz-00172站规划分析"/>
      <w:r>
        <w:rPr>
          <w:rFonts w:ascii="Times New Roman" w:hAnsi="Times New Roman" w:eastAsia="方正仿宋_GBK"/>
          <w:b/>
          <w:sz w:val="24"/>
        </w:rPr>
        <w:t xml:space="preserve">BDZ-00172站规划分析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MVA，规划第4年转接前最大正向、反向净负荷分别为35.94 MW和23.78 MW，正向95%峰值持续时间为2.00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第4年承接30.56 MW，正向校核负荷增至66.50 MW。该站利用相应主变容量承担片区内部负荷，接收能力按承接后的负荷进行正常运行及主变N-1校核。刚性方案第4年公用主变总容量为131.50 MVA，储能为0.90 MW；弹性方案相应为120.00 MVA和0.00 MW。弹性方案储能功率减少0.90 MW。</w:t>
      </w:r>
    </w:p>
    <w:p>
      <w:pPr>
        <w:pStyle w:val="2"/>
        <w:keepNext/>
        <w:spacing w:line="280" w:lineRule="exact" w:before="120" w:after="80"/>
        <w:ind w:firstLine="0"/>
        <w:jc w:val="center"/>
      </w:pPr>
      <w:r>
        <w:rPr>
          <w:rFonts w:ascii="Times New Roman" w:hAnsi="Times New Roman" w:eastAsia="宋体"/>
          <w:b w:val="0"/>
          <w:sz w:val="21"/>
        </w:rPr>
        <w:t xml:space="preserve">表5-32 BDZ-00172站第4年配置与负荷转接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31.50+50.00+50.00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0.90/1.94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42.39</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78.33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从建设时序看，第1—4年公用主变总容量依次为120.00、120.00、120.00、120.00 MVA；转接后正向负荷由第1年的66.50 MW变为第4年的66.50 MW。四年均以承接负荷为主，第1年和第4年净承接分别为38.03 MW和30.56 MW，主变配置同时服务于本站及片区转入负荷。第4年退出最大一台主变后，剩余主变容量为70.00 MVA，按功率因数折算并计入相应持续时间的储能放电功率，正向容量余量为0.00 MW。</w:t>
      </w:r>
    </w:p>
    <w:p>
      <w:pPr>
        <w:pStyle w:val="5"/>
        <w:keepNext/>
        <w:numPr>
          <w:numId w:val="0"/>
        </w:numPr>
        <w:spacing w:line="390" w:lineRule="exact" w:before="160" w:after="120"/>
        <w:ind w:firstLine="0"/>
      </w:pPr>
      <w:bookmarkStart w:id="215" w:name="市区逐站规划方案"/>
      <w:r>
        <w:rPr>
          <w:rFonts w:ascii="Times New Roman" w:hAnsi="Times New Roman" w:eastAsia="方正仿宋_GBK"/>
          <w:b/>
          <w:sz w:val="26"/>
        </w:rPr>
        <w:t xml:space="preserve">5.4.5 市区逐站规划方案</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市区各站按A类供电区域进行规划，站级需求以正向供电和主变N-1为主。以下结合重载站负荷转出和承接站容量配置说明建设安排。</w:t>
      </w:r>
    </w:p>
    <w:p>
      <w:pPr>
        <w:pStyle w:val="7"/>
        <w:keepNext/>
        <w:numPr>
          <w:numId w:val="0"/>
        </w:numPr>
        <w:spacing w:line="360" w:lineRule="exact" w:before="160" w:after="120"/>
        <w:ind w:firstLine="0"/>
      </w:pPr>
      <w:bookmarkStart w:id="216" w:name="bdz-00012站规划分析"/>
      <w:r>
        <w:rPr>
          <w:rFonts w:ascii="Times New Roman" w:hAnsi="Times New Roman" w:eastAsia="方正仿宋_GBK"/>
          <w:b/>
          <w:sz w:val="24"/>
        </w:rPr>
        <w:t xml:space="preserve">BDZ-00012站规划分析</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MVA，规划第4年转接前最大正向、反向净负荷分别为27.92 MW和30.90 MW，正向95%峰值持续时间为2.00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第4年承接10.08 MW，正向校核负荷增至38.00 MW。该站利用相应主变容量承担片区内部负荷，接收能力按承接后的负荷进行正常运行及主变N-1校核。刚性方案第4年公用主变总容量为80.00 MVA，储能为31.00 MW；弹性方案相应为80.00 MVA和0.00 MW。弹性方案储能功率减少31.00 MW。</w:t>
      </w:r>
    </w:p>
    <w:p>
      <w:pPr>
        <w:pStyle w:val="2"/>
        <w:keepNext/>
        <w:spacing w:line="280" w:lineRule="exact" w:before="120" w:after="80"/>
        <w:ind w:firstLine="0"/>
        <w:jc w:val="center"/>
      </w:pPr>
      <w:r>
        <w:rPr>
          <w:rFonts w:ascii="Times New Roman" w:hAnsi="Times New Roman" w:eastAsia="宋体"/>
          <w:b w:val="0"/>
          <w:sz w:val="21"/>
        </w:rPr>
        <w:t xml:space="preserve">表5-33 BDZ-00012站第4年配置与负荷转接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31.00/66.65</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41.08</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69.00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MVA；转接后正向负荷由第1年的26.47 MW变为第4年的38.00 MW。四年均以承接负荷为主，第1年和第4年净承接分别为0.00 MW和10.08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17" w:name="bdz-00013站规划分析"/>
      <w:r>
        <w:rPr>
          <w:rFonts w:ascii="Times New Roman" w:hAnsi="Times New Roman" w:eastAsia="方正仿宋_GBK"/>
          <w:b/>
          <w:sz w:val="24"/>
        </w:rPr>
        <w:t xml:space="preserve">BDZ-00013站规划分析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MVA，规划第4年转接前最大正向、反向净负荷分别为60.81 MW和7.52 MW，正向95%峰值持续时间为4.00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第4年承接15.19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表5-34 BDZ-00013站第4年配置与负荷转接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22.81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15.19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MW。四年均以承接负荷为主，第1年和第4年净承接分别为18.36 MW和15.19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18" w:name="bdz-00023站规划分析"/>
      <w:r>
        <w:rPr>
          <w:rFonts w:ascii="Times New Roman" w:hAnsi="Times New Roman" w:eastAsia="方正仿宋_GBK"/>
          <w:b/>
          <w:sz w:val="24"/>
        </w:rPr>
        <w:t xml:space="preserve">BDZ-00023站规划分析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MVA，规划第4年转接前最大正向、反向净负荷分别为89.01 MW和0.00 MW，正向95%峰值持续时间为4.00 h。弹性方案第4年实施主变增容，新购容量63.00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第4年转出29.16 MW、承接0.00 MW后，正向校核负荷为59.85 MW。负荷转出降低正向需求，同时将反向校核上界提高至29.16 MW，配置按两个方向共同确定。刚性方案第4年公用主变总容量为126.00 MVA，储能为0.00 MW；弹性方案相应为126.00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表5-35 BDZ-00023站第4年配置与负荷转接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29.16</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29.16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从建设时序看，第1—4年公用主变总容量依次为103.00、103.00、103.00、126.00 MVA；转接后正向负荷由第1年的38.00 MW变为第4年的59.85 MW。四年均以转出负荷为主，第1年和第4年分别转出46.37 MW和29.16 MW，邻站承接是本站供电安排的重要组成。第4年退出最大一台主变后，剩余主变容量为63.00 MVA，按功率因数折算并计入相应持续时间的储能放电功率，正向容量余量为0.00 MW。</w:t>
      </w:r>
    </w:p>
    <w:p>
      <w:pPr>
        <w:pStyle w:val="7"/>
        <w:keepNext/>
        <w:numPr>
          <w:numId w:val="0"/>
        </w:numPr>
        <w:spacing w:line="360" w:lineRule="exact" w:before="160" w:after="120"/>
        <w:ind w:firstLine="0"/>
      </w:pPr>
      <w:bookmarkStart w:id="219" w:name="bdz-00024站规划分析"/>
      <w:r>
        <w:rPr>
          <w:rFonts w:ascii="Times New Roman" w:hAnsi="Times New Roman" w:eastAsia="方正仿宋_GBK"/>
          <w:b/>
          <w:sz w:val="24"/>
        </w:rPr>
        <w:t xml:space="preserve">BDZ-00024站规划分析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MVA，规划第4年转接前最大正向、反向净负荷分别为82.69 MW和0.00 MW，正向95%峰值持续时间为2.00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第4年转出44.69 MW、承接0.00 MW后，正向校核负荷为38.00 MW。负荷转出降低正向需求，同时将反向校核上界提高至44.69 MW，配置按两个方向共同确定。刚性方案第4年公用主变总容量为90.00 MVA，储能为5.80 MW；弹性方案相应为90.00 MVA和0.00 MW。弹性方案储能功率减少5.80 MW。</w:t>
      </w:r>
    </w:p>
    <w:p>
      <w:pPr>
        <w:pStyle w:val="2"/>
        <w:keepNext/>
        <w:spacing w:line="280" w:lineRule="exact" w:before="120" w:after="80"/>
        <w:ind w:firstLine="0"/>
        <w:jc w:val="center"/>
      </w:pPr>
      <w:r>
        <w:rPr>
          <w:rFonts w:ascii="Times New Roman" w:hAnsi="Times New Roman" w:eastAsia="宋体"/>
          <w:b w:val="0"/>
          <w:sz w:val="21"/>
        </w:rPr>
        <w:t xml:space="preserve">表5-36 BDZ-00024站第4年配置与负荷转接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5.80/12.47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38.89</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43.80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44.69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从建设时序看，第1—4年公用主变总容量依次为90.00、90.00、90.00、90.00 MVA；转接后正向负荷由第1年的38.00 MW变为第4年的38.00 MW。四年均以转出负荷为主，第1年和第4年分别转出40.38 MW和44.69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0" w:name="bdz-00042站规划分析"/>
      <w:r>
        <w:rPr>
          <w:rFonts w:ascii="Times New Roman" w:hAnsi="Times New Roman" w:eastAsia="方正仿宋_GBK"/>
          <w:b/>
          <w:sz w:val="24"/>
        </w:rPr>
        <w:t xml:space="preserve">BDZ-00042站规划分析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MVA，规划第4年转接前最大正向、反向净负荷分别为72.72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第4年转出34.72 MW、承接0.00 MW后，正向校核负荷为38.00 MW。负荷转出降低正向需求，同时将反向校核上界提高至34.72 MW，配置按两个方向共同确定。刚性方案第4年公用主变总容量为100.00 MVA，储能为0.00 MW；弹性方案相应为90.00 MVA和0.00 MW。弹性方案本站公用主变总容量比刚性减少10.00 MVA；区域总容量提高并不要求每座站均增加容量，本站按所列转接后负荷及主变N-1条件校核。</w:t>
      </w:r>
    </w:p>
    <w:p>
      <w:pPr>
        <w:pStyle w:val="2"/>
        <w:keepNext/>
        <w:spacing w:line="280" w:lineRule="exact" w:before="120" w:after="80"/>
        <w:ind w:firstLine="0"/>
        <w:jc w:val="center"/>
      </w:pPr>
      <w:r>
        <w:rPr>
          <w:rFonts w:ascii="Times New Roman" w:hAnsi="Times New Roman" w:eastAsia="宋体"/>
          <w:b w:val="0"/>
          <w:sz w:val="21"/>
        </w:rPr>
        <w:t xml:space="preserve">表5-37 BDZ-00042站第4年配置与负荷转接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25.22</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34.72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从建设时序看，第1—4年公用主变总容量依次为90.00、90.00、90.00、90.00 MVA；转接后正向负荷由第1年的38.00 MW变为第4年的38.00 MW。四年均以转出负荷为主，第1年和第4年分别转出30.93 MW和34.72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1" w:name="bdz-00051站规划分析"/>
      <w:r>
        <w:rPr>
          <w:rFonts w:ascii="Times New Roman" w:hAnsi="Times New Roman" w:eastAsia="方正仿宋_GBK"/>
          <w:b/>
          <w:sz w:val="24"/>
        </w:rPr>
        <w:t xml:space="preserve">BDZ-00051站规划分析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MVA，规划第4年转接前最大正向、反向净负荷分别为54.98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第4年转出16.98 MW、承接0.00 MW后，正向校核负荷为38.00 MW。负荷转出降低正向需求，同时将反向校核上界提高至16.98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表5-38 BDZ-00051站第4年配置与负荷转接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16.98</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16.98</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MW。四年均以转出负荷为主，第1年和第4年分别转出14.11 MW和16.98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2" w:name="bdz-00053站规划分析"/>
      <w:r>
        <w:rPr>
          <w:rFonts w:ascii="Times New Roman" w:hAnsi="Times New Roman" w:eastAsia="方正仿宋_GBK"/>
          <w:b/>
          <w:sz w:val="24"/>
        </w:rPr>
        <w:t xml:space="preserve">BDZ-00053站规划分析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MVA，规划第4年转接前最大正向、反向净负荷分别为73.75 MW和0.00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第4年承接2.25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表5-39 BDZ-00053站第4年配置与负荷转接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35.75</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MW。四年均以承接负荷为主，第1年和第4年净承接分别为6.09 MW和2.25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23" w:name="bdz-00055站规划分析"/>
      <w:r>
        <w:rPr>
          <w:rFonts w:ascii="Times New Roman" w:hAnsi="Times New Roman" w:eastAsia="方正仿宋_GBK"/>
          <w:b/>
          <w:sz w:val="24"/>
        </w:rPr>
        <w:t xml:space="preserve">BDZ-00055站规划分析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MVA，规划第4年转接前最大正向、反向净负荷分别为39.83 MW和5.89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第4年转出1.83 MW、承接0.00 MW后，正向校核负荷为38.00 MW。负荷转出降低正向需求，同时将反向校核上界提高至7.72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表5-40 BDZ-00055站第4年配置与负荷转接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1.83</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MW。该站在规划期内同时承担过负荷转出和承接任务，站间安排随各年容量需求调整。第4年退出最大一台主变后，剩余主变容量为40.00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4" w:name="bdz-00062站规划分析"/>
      <w:r>
        <w:rPr>
          <w:rFonts w:ascii="Times New Roman" w:hAnsi="Times New Roman" w:eastAsia="方正仿宋_GBK"/>
          <w:b/>
          <w:sz w:val="24"/>
        </w:rPr>
        <w:t xml:space="preserve">BDZ-00062站规划分析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MVA，规划第4年转接前最大正向、反向净负荷分别为48.63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第4年转出10.63 MW、承接0.00 MW后，正向校核负荷为38.00 MW。负荷转出降低正向需求，同时将反向校核上界提高至10.63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表5-41 BDZ-00062站第4年配置与负荷转接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10.63</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MW。四年均以转出负荷为主，第1年和第4年分别转出8.10 MW和10.63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5" w:name="bdz-00065站规划分析"/>
      <w:r>
        <w:rPr>
          <w:rFonts w:ascii="Times New Roman" w:hAnsi="Times New Roman" w:eastAsia="方正仿宋_GBK"/>
          <w:b/>
          <w:sz w:val="24"/>
        </w:rPr>
        <w:t xml:space="preserve">BDZ-00065站规划分析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MVA，规划第4年转接前最大正向、反向净负荷分别为72.41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第4年转出34.41 MW、承接0.00 MW后，正向校核负荷为38.00 MW。负荷转出降低正向需求，同时将反向校核上界提高至34.41 MW，配置按两个方向共同确定。刚性方案第4年公用主变总容量为90.00 MVA，储能为0.00 MW；弹性方案相应为90.00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表5-42 BDZ-00065站第4年配置与负荷转接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34.41</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从建设时序看，第1—4年公用主变总容量依次为90.00、90.00、90.00、90.00 MVA；转接后正向负荷由第1年的38.00 MW变为第4年的38.00 MW。四年均以转出负荷为主，第1年和第4年分别转出30.64 MW和34.41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6" w:name="bdz-00074站规划分析"/>
      <w:r>
        <w:rPr>
          <w:rFonts w:ascii="Times New Roman" w:hAnsi="Times New Roman" w:eastAsia="方正仿宋_GBK"/>
          <w:b/>
          <w:sz w:val="24"/>
        </w:rPr>
        <w:t xml:space="preserve">BDZ-00074站规划分析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MVA，规划第4年转接前最大正向、反向净负荷分别为61.59 MW和11.51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第4年承接14.41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表5-43 BDZ-00074站第4年配置与负荷转接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23.59</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14.41</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MW。四年均以承接负荷为主，第1年和第4年净承接分别为17.62 MW和14.41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27" w:name="bdz-00076站规划分析"/>
      <w:r>
        <w:rPr>
          <w:rFonts w:ascii="Times New Roman" w:hAnsi="Times New Roman" w:eastAsia="方正仿宋_GBK"/>
          <w:b/>
          <w:sz w:val="24"/>
        </w:rPr>
        <w:t xml:space="preserve">BDZ-00076站规划分析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MVA，规划第4年转接前最大正向、反向净负荷分别为27.53 MW和0.00 MW，正向95%峰值持续时间为4.00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第4年承接10.47 MW，正向校核负荷增至38.00 MW。该站利用相应主变容量承担片区内部负荷，接收能力按承接后的负荷进行正常运行及主变N-1校核。刚性方案第4年公用主变总容量为80.00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表5-44 BDZ-00076站第4年配置与负荷转接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10.47</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10.47</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MW。四年均以承接负荷为主，第1年和第4年净承接分别为11.91 MW和10.47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28" w:name="bdz-00092站规划分析"/>
      <w:r>
        <w:rPr>
          <w:rFonts w:ascii="Times New Roman" w:hAnsi="Times New Roman" w:eastAsia="方正仿宋_GBK"/>
          <w:b/>
          <w:sz w:val="24"/>
        </w:rPr>
        <w:t xml:space="preserve">BDZ-00092站规划分析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MVA，规划第4年转接前最大正向、反向净负荷分别为9.68 MW和6.12 MW，正向95%峰值持续时间为1.00 h。弹性方案第2年扩建50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第4年承接66.32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表5-45 BDZ-00092站第4年配置与负荷转接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28.32</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66.32</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从建设时序看，第1—4年公用主变总容量依次为80.00、130.00、130.00、130.00 MVA；转接后正向负荷由第1年的38.00 MW变为第4年的76.00 MW。四年均以承接负荷为主，第1年和第4年净承接分别为28.82 MW和66.32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29" w:name="bdz-00094站规划分析"/>
      <w:r>
        <w:rPr>
          <w:rFonts w:ascii="Times New Roman" w:hAnsi="Times New Roman" w:eastAsia="方正仿宋_GBK"/>
          <w:b/>
          <w:sz w:val="24"/>
        </w:rPr>
        <w:t xml:space="preserve">BDZ-00094站规划分析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MVA，规划第4年转接前最大正向、反向净负荷分别为56.14 MW和0.00 MW，正向95%峰值持续时间为2.00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第4年承接19.86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表5-46 BDZ-00094站第4年配置与负荷转接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MW。四年均以承接负荷为主，第1年和第4年净承接分别为22.79 MW和19.86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30" w:name="bdz-00103站规划分析"/>
      <w:r>
        <w:rPr>
          <w:rFonts w:ascii="Times New Roman" w:hAnsi="Times New Roman" w:eastAsia="方正仿宋_GBK"/>
          <w:b/>
          <w:sz w:val="24"/>
        </w:rPr>
        <w:t xml:space="preserve">BDZ-00103站规划分析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MVA，规划第4年转接前最大正向、反向净负荷分别为56.87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第4年转出18.87 MW、承接0.00 MW后，正向校核负荷为38.00 MW。负荷转出降低正向需求，同时将反向校核上界提高至18.87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表5-47 BDZ-00103站第4年配置与负荷转接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MW。四年均以转出负荷为主，第1年和第4年分别转出15.90 MW和18.87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31" w:name="bdz-00106站规划分析"/>
      <w:r>
        <w:rPr>
          <w:rFonts w:ascii="Times New Roman" w:hAnsi="Times New Roman" w:eastAsia="方正仿宋_GBK"/>
          <w:b/>
          <w:sz w:val="24"/>
        </w:rPr>
        <w:t xml:space="preserve">BDZ-00106站规划分析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MVA，规划第4年转接前最大正向、反向净负荷分别为5.02 MW和0.00 MW，正向95%峰值持续时间为4.00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第4年承接32.98 MW，正向校核负荷增至38.00 MW。该站利用相应主变容量承担片区内部负荷，接收能力按承接后的负荷进行正常运行及主变N-1校核。刚性方案第4年公用主变总容量为80.00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表5-48 BDZ-00106站第4年配置与负荷转接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32.98</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MW。四年均以承接负荷为主，第1年和第4年净承接分别为33.24 MW和32.98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32" w:name="bdz-00110站规划分析"/>
      <w:r>
        <w:rPr>
          <w:rFonts w:ascii="Times New Roman" w:hAnsi="Times New Roman" w:eastAsia="方正仿宋_GBK"/>
          <w:b/>
          <w:sz w:val="24"/>
        </w:rPr>
        <w:t xml:space="preserve">BDZ-00110站规划分析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MVA，规划第4年转接前最大正向、反向净负荷分别为33.16 MW和0.00 MW，正向95%峰值持续时间为5.00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第4年承接52.33 MW，正向校核负荷增至85.49 MW。该站利用相应主变容量承担片区内部负荷，接收能力按承接后的负荷进行正常运行及主变N-1校核。刚性方案第4年公用主变总容量为153.00 MVA，储能为0.00 MW；弹性方案相应为153.00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表5-49 BDZ-00110站第4年配置与负荷转接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52.34</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52.33</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85.49</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从建设时序看，第1—4年公用主变总容量依次为153.00、153.00、153.00、153.00 MVA；转接后正向负荷由第1年的85.50 MW变为第4年的85.49 MW。四年均以承接负荷为主，第1年和第4年净承接分别为54.07 MW和52.33 MW，主变配置同时服务于本站及片区转入负荷。第4年退出最大一台主变后，剩余主变容量为90.00 MVA，按功率因数折算并计入相应持续时间的储能放电功率，正向容量余量为0.01 MW。</w:t>
      </w:r>
    </w:p>
    <w:p>
      <w:pPr>
        <w:pStyle w:val="7"/>
        <w:keepNext/>
        <w:numPr>
          <w:numId w:val="0"/>
        </w:numPr>
        <w:spacing w:line="360" w:lineRule="exact" w:before="160" w:after="120"/>
        <w:ind w:firstLine="0"/>
      </w:pPr>
      <w:bookmarkStart w:id="233" w:name="bdz-00114站规划分析"/>
      <w:r>
        <w:rPr>
          <w:rFonts w:ascii="Times New Roman" w:hAnsi="Times New Roman" w:eastAsia="方正仿宋_GBK"/>
          <w:b/>
          <w:sz w:val="24"/>
        </w:rPr>
        <w:t xml:space="preserve">BDZ-00114站规划分析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MVA，规划第4年转接前最大正向、反向净负荷分别为95.14 MW和9.47 MW，正向95%峰值持续时间为1.00 h。弹性方案第1年实施主变增容，新购容量63.00 MVA。</w:t>
      </w:r>
    </w:p>
    <w:p>
      <w:pPr>
        <w:pStyle w:val="2"/>
        <w:widowControl/>
        <w:spacing w:line="348" w:lineRule="exact" w:before="0" w:after="0"/>
        <w:ind w:firstLine="480"/>
        <w:jc w:val="both"/>
      </w:pPr>
      <w:r>
        <w:rPr>
          <w:rFonts w:ascii="Times New Roman" w:hAnsi="Times New Roman" w:eastAsia="方正仿宋_GBK"/>
          <w:b w:val="0"/>
          <w:sz w:val="24"/>
        </w:rPr>
        <w:t xml:space="preserve">第4年转出35.29 MW、承接0.00 MW后，正向校核负荷为59.85 MW。负荷转出降低正向需求，同时将反向校核上界提高至44.76 MW，配置按两个方向共同确定。刚性方案第4年公用主变总容量为126.00 MVA，储能为95.20 MW；弹性方案相应为126.00 MVA和0.00 MW。弹性方案储能功率减少95.20 MW。</w:t>
      </w:r>
    </w:p>
    <w:p>
      <w:pPr>
        <w:pStyle w:val="2"/>
        <w:keepNext/>
        <w:spacing w:line="280" w:lineRule="exact" w:before="120" w:after="80"/>
        <w:ind w:firstLine="0"/>
        <w:jc w:val="center"/>
      </w:pPr>
      <w:r>
        <w:rPr>
          <w:rFonts w:ascii="Times New Roman" w:hAnsi="Times New Roman" w:eastAsia="宋体"/>
          <w:b w:val="0"/>
          <w:sz w:val="21"/>
        </w:rPr>
        <w:t xml:space="preserve">表5-50 BDZ-00114站第4年配置与负荷转接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95.20/204.68</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59.91</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155.05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从建设时序看，第1—4年公用主变总容量依次为126.00、126.00、126.00、126.00 MVA；转接后正向负荷由第1年的59.85 MW变为第4年的59.85 MW。四年均以转出负荷为主，第1年和第4年分别转出30.33 MW和35.29 MW，邻站承接是本站供电安排的重要组成。第4年退出最大一台主变后，剩余主变容量为63.00 MVA，按功率因数折算并计入相应持续时间的储能放电功率，正向容量余量为0.00 MW。</w:t>
      </w:r>
    </w:p>
    <w:p>
      <w:pPr>
        <w:pStyle w:val="7"/>
        <w:keepNext/>
        <w:numPr>
          <w:numId w:val="0"/>
        </w:numPr>
        <w:spacing w:line="360" w:lineRule="exact" w:before="160" w:after="120"/>
        <w:ind w:firstLine="0"/>
      </w:pPr>
      <w:bookmarkStart w:id="234" w:name="bdz-00115站规划分析"/>
      <w:r>
        <w:rPr>
          <w:rFonts w:ascii="Times New Roman" w:hAnsi="Times New Roman" w:eastAsia="方正仿宋_GBK"/>
          <w:b/>
          <w:sz w:val="24"/>
        </w:rPr>
        <w:t xml:space="preserve">BDZ-00115站规划分析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MVA，规划第4年转接前最大正向、反向净负荷分别为63.53 MW和0.00 MW，正向95%峰值持续时间为3.00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第4年承接12.47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表5-51 BDZ-00115站第4年配置与负荷转接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25.53</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12.47</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MW。四年均以承接负荷为主，第1年和第4年净承接分别为15.78 MW和12.47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35" w:name="bdz-00139站规划分析"/>
      <w:r>
        <w:rPr>
          <w:rFonts w:ascii="Times New Roman" w:hAnsi="Times New Roman" w:eastAsia="方正仿宋_GBK"/>
          <w:b/>
          <w:sz w:val="24"/>
        </w:rPr>
        <w:t xml:space="preserve">BDZ-00139站规划分析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MVA，规划第4年转接前最大正向、反向净负荷分别为80.37 MW和0.00 MW，正向95%峰值持续时间为3.00 h。弹性方案第1年新增储能0.20 MW/0.43 MWh；第4年新增储能0.10 MW/0.22 MWh。</w:t>
      </w:r>
    </w:p>
    <w:p>
      <w:pPr>
        <w:pStyle w:val="2"/>
        <w:widowControl/>
        <w:spacing w:line="348" w:lineRule="exact" w:before="0" w:after="0"/>
        <w:ind w:firstLine="480"/>
        <w:jc w:val="both"/>
      </w:pPr>
      <w:r>
        <w:rPr>
          <w:rFonts w:ascii="Times New Roman" w:hAnsi="Times New Roman" w:eastAsia="方正仿宋_GBK"/>
          <w:b w:val="0"/>
          <w:sz w:val="24"/>
        </w:rPr>
        <w:t xml:space="preserve">第4年转出42.16 MW、承接0.00 MW后，正向校核负荷为38.22 MW。负荷转出降低正向需求，同时将反向校核上界提高至42.16 MW，配置按两个方向共同确定。刚性方案第4年公用主变总容量为80.00 MVA，储能为3.10 MW；弹性方案相应为80.00 MVA和0.30 MW。弹性方案储能功率减少2.80 MW。</w:t>
      </w:r>
    </w:p>
    <w:p>
      <w:pPr>
        <w:pStyle w:val="2"/>
        <w:keepNext/>
        <w:spacing w:line="280" w:lineRule="exact" w:before="120" w:after="80"/>
        <w:ind w:firstLine="0"/>
        <w:jc w:val="center"/>
      </w:pPr>
      <w:r>
        <w:rPr>
          <w:rFonts w:ascii="Times New Roman" w:hAnsi="Times New Roman" w:eastAsia="宋体"/>
          <w:b w:val="0"/>
          <w:sz w:val="21"/>
        </w:rPr>
        <w:t xml:space="preserve">表5-52 BDZ-00139站第4年配置与负荷转接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3.10/6.67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40.15</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40.22</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0.30/0.65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42.16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MVA；转接后正向负荷由第1年的38.14 MW变为第4年的38.22 MW。四年均以转出负荷为主，第1年和第4年分别转出38.04 MW和42.16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36" w:name="bdz-00148站规划分析"/>
      <w:r>
        <w:rPr>
          <w:rFonts w:ascii="Times New Roman" w:hAnsi="Times New Roman" w:eastAsia="方正仿宋_GBK"/>
          <w:b/>
          <w:sz w:val="24"/>
        </w:rPr>
        <w:t xml:space="preserve">BDZ-00148站规划分析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MVA，规划第4年转接前最大正向、反向净负荷分别为89.09 MW和0.00 MW，正向95%峰值持续时间为2.00 h。弹性方案第4年新增储能2.60 MW/5.59 MWh。</w:t>
      </w:r>
    </w:p>
    <w:p>
      <w:pPr>
        <w:pStyle w:val="2"/>
        <w:widowControl/>
        <w:spacing w:line="348" w:lineRule="exact" w:before="0" w:after="0"/>
        <w:ind w:firstLine="480"/>
        <w:jc w:val="both"/>
      </w:pPr>
      <w:r>
        <w:rPr>
          <w:rFonts w:ascii="Times New Roman" w:hAnsi="Times New Roman" w:eastAsia="方正仿宋_GBK"/>
          <w:b w:val="0"/>
          <w:sz w:val="24"/>
        </w:rPr>
        <w:t xml:space="preserve">第4年转出48.49 MW、承接0.00 MW后，正向校核负荷为40.60 MW。负荷转出降低正向需求，同时将反向校核上界提高至48.49 MW，配置按两个方向共同确定。刚性方案第4年公用主变总容量为90.00 MVA，储能为89.10 MW；弹性方案相应为90.00 MVA和2.60 MW。弹性方案储能功率减少86.50 MW。</w:t>
      </w:r>
    </w:p>
    <w:p>
      <w:pPr>
        <w:pStyle w:val="2"/>
        <w:keepNext/>
        <w:spacing w:line="280" w:lineRule="exact" w:before="120" w:after="80"/>
        <w:ind w:firstLine="0"/>
        <w:jc w:val="center"/>
      </w:pPr>
      <w:r>
        <w:rPr>
          <w:rFonts w:ascii="Times New Roman" w:hAnsi="Times New Roman" w:eastAsia="宋体"/>
          <w:b w:val="0"/>
          <w:sz w:val="21"/>
        </w:rPr>
        <w:t xml:space="preserve">表5-53 BDZ-00148站第4年配置与负荷转接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89.10/191.56</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38.01</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127.10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2.60/5.59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40.60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从建设时序看，第1—4年公用主变总容量依次为90.00、90.00、90.00、90.00 MVA；转接后正向负荷由第1年的38.00 MW变为第4年的40.60 MW。四年均以转出负荷为主，第1年和第4年分别转出46.44 MW和48.49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37" w:name="bdz-00151站规划分析"/>
      <w:r>
        <w:rPr>
          <w:rFonts w:ascii="Times New Roman" w:hAnsi="Times New Roman" w:eastAsia="方正仿宋_GBK"/>
          <w:b/>
          <w:sz w:val="24"/>
        </w:rPr>
        <w:t xml:space="preserve">BDZ-00151站规划分析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该站基期主变配置为50.00+63.00 MVA，规划第4年转接前最大正向、反向净负荷分别为110.92 MW和0.00 MW，正向95%峰值持续时间为4.00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第4年转出63.42 MW、承接0.00 MW后，正向校核负荷为47.50 MW。负荷转出降低正向需求，同时将反向校核上界提高至63.42 MW，配置按两个方向共同确定。刚性方案第4年公用主变总容量为126.00 MVA，储能为0.00 MW；弹性方案相应为113.00 MVA和0.00 MW。弹性方案本站公用主变总容量比刚性减少13.00 MVA；区域总容量提高并不要求每座站均增加容量，本站按所列转接后负荷及主变N-1条件校核。</w:t>
      </w:r>
    </w:p>
    <w:p>
      <w:pPr>
        <w:pStyle w:val="2"/>
        <w:keepNext/>
        <w:spacing w:line="280" w:lineRule="exact" w:before="120" w:after="80"/>
        <w:ind w:firstLine="0"/>
        <w:jc w:val="center"/>
      </w:pPr>
      <w:r>
        <w:rPr>
          <w:rFonts w:ascii="Times New Roman" w:hAnsi="Times New Roman" w:eastAsia="宋体"/>
          <w:b w:val="0"/>
          <w:sz w:val="21"/>
        </w:rPr>
        <w:t xml:space="preserve">表5-54 BDZ-00151站第4年配置与负荷转接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51.07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63.42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从建设时序看，第1—4年公用主变总容量依次为113.00、113.00、113.00、113.00 MVA；转接后正向负荷由第1年的47.50 MW变为第4年的47.50 MW。四年均以转出负荷为主，第1年和第4年分别转出57.64 MW和63.42 MW，邻站承接是本站供电安排的重要组成。第4年退出最大一台主变后，剩余主变容量为50.00 MVA，按功率因数折算并计入相应持续时间的储能放电功率，正向容量余量为0.00 MW。</w:t>
      </w:r>
    </w:p>
    <w:p>
      <w:pPr>
        <w:pStyle w:val="7"/>
        <w:keepNext/>
        <w:numPr>
          <w:numId w:val="0"/>
        </w:numPr>
        <w:spacing w:line="360" w:lineRule="exact" w:before="160" w:after="120"/>
        <w:ind w:firstLine="0"/>
      </w:pPr>
      <w:bookmarkStart w:id="238" w:name="bdz-00154站规划分析"/>
      <w:r>
        <w:rPr>
          <w:rFonts w:ascii="Times New Roman" w:hAnsi="Times New Roman" w:eastAsia="方正仿宋_GBK"/>
          <w:b/>
          <w:sz w:val="24"/>
        </w:rPr>
        <w:t xml:space="preserve">BDZ-00154站规划分析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MVA，规划第4年转接前最大正向、反向净负荷分别为16.75 MW和0.00 MW，正向95%峰值持续时间为4.00 h。弹性方案第1年扩建50 MVA主变。</w:t>
      </w:r>
    </w:p>
    <w:p>
      <w:pPr>
        <w:pStyle w:val="2"/>
        <w:widowControl/>
        <w:spacing w:line="348" w:lineRule="exact" w:before="0" w:after="0"/>
        <w:ind w:firstLine="480"/>
        <w:jc w:val="both"/>
      </w:pPr>
      <w:r>
        <w:rPr>
          <w:rFonts w:ascii="Times New Roman" w:hAnsi="Times New Roman" w:eastAsia="方正仿宋_GBK"/>
          <w:b w:val="0"/>
          <w:sz w:val="24"/>
        </w:rPr>
        <w:t xml:space="preserve">第4年承接59.25 MW，正向校核负荷增至76.00 MW。该站利用相应主变容量承担片区内部负荷，接收能力按承接后的负荷进行正常运行及主变N-1校核。刚性方案第4年公用主变总容量为80.00 MVA，储能为0.00 MW；弹性方案相应为130.00 MVA和0.00 MW。弹性方案增加主变容量，为本站或片区承接负荷提供支撑。</w:t>
      </w:r>
    </w:p>
    <w:p>
      <w:pPr>
        <w:pStyle w:val="2"/>
        <w:keepNext/>
        <w:spacing w:line="280" w:lineRule="exact" w:before="120" w:after="80"/>
        <w:ind w:firstLine="0"/>
        <w:jc w:val="center"/>
      </w:pPr>
      <w:r>
        <w:rPr>
          <w:rFonts w:ascii="Times New Roman" w:hAnsi="Times New Roman" w:eastAsia="宋体"/>
          <w:b w:val="0"/>
          <w:sz w:val="21"/>
        </w:rPr>
        <w:t xml:space="preserve">表5-55 BDZ-00154站第4年配置与负荷转接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21.25</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59.25</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从建设时序看，第1—4年公用主变总容量依次为130.00、130.00、130.00、130.00 MVA；转接后正向负荷由第1年的76.00 MW变为第4年的76.00 MW。四年均以承接负荷为主，第1年和第4年净承接分别为60.12 MW和59.25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exact" w:before="160" w:after="120"/>
        <w:ind w:firstLine="0"/>
      </w:pPr>
      <w:bookmarkStart w:id="239" w:name="bdz-00155站规划分析"/>
      <w:r>
        <w:rPr>
          <w:rFonts w:ascii="Times New Roman" w:hAnsi="Times New Roman" w:eastAsia="方正仿宋_GBK"/>
          <w:b/>
          <w:sz w:val="24"/>
        </w:rPr>
        <w:t xml:space="preserve">BDZ-00155站规划分析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MVA，规划第4年转接前最大正向、反向净负荷分别为45.93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第4年转出7.93 MW、承接0.00 MW后，正向校核负荷为38.00 MW。负荷转出降低正向需求，同时将反向校核上界提高至7.93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表5-56 BDZ-00155站第4年配置与负荷转接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7.93</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MW。四年均以转出负荷为主，第1年和第4年分别转出5.54 MW和7.93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40" w:name="bdz-00175站规划分析"/>
      <w:r>
        <w:rPr>
          <w:rFonts w:ascii="Times New Roman" w:hAnsi="Times New Roman" w:eastAsia="方正仿宋_GBK"/>
          <w:b/>
          <w:sz w:val="24"/>
        </w:rPr>
        <w:t xml:space="preserve">BDZ-00175站规划分析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MVA，规划第4年转接前最大正向、反向净负荷分别为38.94 MW和0.00 MW，正向95%峰值持续时间为3.00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第4年转出0.94 MW、承接0.00 MW后，正向校核负荷为38.00 MW。负荷转出降低正向需求，同时将反向校核上界提高至0.94 MW，配置按两个方向共同确定。刚性方案第4年公用主变总容量为80.00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表5-57 BDZ-00175站第4年配置与负荷转接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0.94</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MW。站间负荷调整与本站容量配置共同满足各年度供电需求。第4年退出最大一台主变后，剩余主变容量为40.00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41" w:name="bdz-00183站规划分析"/>
      <w:r>
        <w:rPr>
          <w:rFonts w:ascii="Times New Roman" w:hAnsi="Times New Roman" w:eastAsia="方正仿宋_GBK"/>
          <w:b/>
          <w:sz w:val="24"/>
        </w:rPr>
        <w:t xml:space="preserve">BDZ-00183站规划分析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MVA，规划第4年转接前最大正向、反向净负荷分别为14.24 MW和4.85 MW，正向95%峰值持续时间为4.00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第4年承接23.76 MW，正向校核负荷增至38.00 MW。该站利用相应主变容量承担片区内部负荷，接收能力按承接后的负荷进行正常运行及主变N-1校核。刚性方案第4年公用主变总容量为80.00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表5-58 BDZ-00183站第4年配置与负荷转接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21.59</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35.83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23.76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MW。四年均以承接负荷为主，第1年和第4年净承接分别为24.50 MW和23.76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42" w:name="sim-city-kl站规划分析"/>
      <w:r>
        <w:rPr>
          <w:rFonts w:ascii="Times New Roman" w:hAnsi="Times New Roman" w:eastAsia="方正仿宋_GBK"/>
          <w:b/>
          <w:sz w:val="24"/>
        </w:rPr>
        <w:t xml:space="preserve">SIM-CITY-KL站规划分析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MVA，规划第4年转接前最大正向、反向净负荷分别为13.92 MW和4.11 MW，正向95%峰值持续时间为1.00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第4年承接24.08 MW，正向校核负荷增至38.00 MW。该站利用相应主变容量承担片区内部负荷，接收能力按承接后的负荷进行正常运行及主变N-1校核。刚性方案第4年公用主变总容量为80.00 MVA，储能为14.00 MW；弹性方案相应为80.00 MVA和0.00 MW。弹性方案储能功率减少14.00 MW。</w:t>
      </w:r>
    </w:p>
    <w:p>
      <w:pPr>
        <w:pStyle w:val="2"/>
        <w:keepNext/>
        <w:spacing w:line="280" w:lineRule="exact" w:before="120" w:after="80"/>
        <w:ind w:firstLine="0"/>
        <w:jc w:val="center"/>
      </w:pPr>
      <w:r>
        <w:rPr>
          <w:rFonts w:ascii="Times New Roman" w:hAnsi="Times New Roman" w:eastAsia="宋体"/>
          <w:b w:val="0"/>
          <w:sz w:val="21"/>
        </w:rPr>
        <w:t xml:space="preserve">表5-59 SIM-CITY-KL站第4年配置与负荷转接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14.00/30.10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38.08</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52.00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MW。四年均以承接负荷为主，第1年和第4年净承接分别为24.81 MW和24.08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43" w:name="sim-city-xsz站规划分析"/>
      <w:r>
        <w:rPr>
          <w:rFonts w:ascii="Times New Roman" w:hAnsi="Times New Roman" w:eastAsia="方正仿宋_GBK"/>
          <w:b/>
          <w:sz w:val="24"/>
        </w:rPr>
        <w:t xml:space="preserve">SIM-CITY-XSZ站规划分析</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MVA，规划第4年转接前最大正向、反向净负荷分别为11.78 MW和2.90 MW，正向95%峰值持续时间为1.00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第4年承接26.22 MW，正向校核负荷增至38.00 MW。该站利用相应主变容量承担片区内部负荷，接收能力按承接后的负荷进行正常运行及主变N-1校核。刚性方案第4年公用主变总容量为80.00 MVA，储能为11.80 MW；弹性方案相应为80.00 MVA和0.00 MW。弹性方案储能功率减少11.80 MW。</w:t>
      </w:r>
    </w:p>
    <w:p>
      <w:pPr>
        <w:pStyle w:val="2"/>
        <w:keepNext/>
        <w:spacing w:line="280" w:lineRule="exact" w:before="120" w:after="80"/>
        <w:ind w:firstLine="0"/>
        <w:jc w:val="center"/>
      </w:pPr>
      <w:r>
        <w:rPr>
          <w:rFonts w:ascii="Times New Roman" w:hAnsi="Times New Roman" w:eastAsia="宋体"/>
          <w:b w:val="0"/>
          <w:sz w:val="21"/>
        </w:rPr>
        <w:t xml:space="preserve">表5-60 SIM-CITY-XSZ站第4年配置与负荷转接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11.80/25.37</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38.02</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49.80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26.22</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MVA；转接后正向负荷由第1年的35.36 MW变为第4年的38.00 MW。四年均以承接负荷为主，第1年和第4年净承接分别为24.19 MW和26.22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exact" w:before="160" w:after="120"/>
        <w:ind w:firstLine="0"/>
      </w:pPr>
      <w:bookmarkStart w:id="244" w:name="sim-city-yq站规划分析"/>
      <w:r>
        <w:rPr>
          <w:rFonts w:ascii="Times New Roman" w:hAnsi="Times New Roman" w:eastAsia="方正仿宋_GBK"/>
          <w:b/>
          <w:sz w:val="24"/>
        </w:rPr>
        <w:t xml:space="preserve">SIM-CITY-YQ站规划分析</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MVA，规划第4年转接前最大正向、反向净负荷分别为18.16 MW和0.00 MW，正向95%峰值持续时间为1.00 h。弹性方案沿用基期主变容量，后续各年通过站间负荷转接满足容量需求。</w:t>
      </w:r>
    </w:p>
    <w:p>
      <w:pPr>
        <w:pStyle w:val="2"/>
        <w:widowControl/>
        <w:spacing w:line="348" w:lineRule="exact" w:before="0" w:after="0"/>
        <w:ind w:firstLine="480"/>
        <w:jc w:val="both"/>
      </w:pPr>
      <w:r>
        <w:rPr>
          <w:rFonts w:ascii="Times New Roman" w:hAnsi="Times New Roman" w:eastAsia="方正仿宋_GBK"/>
          <w:b w:val="0"/>
          <w:sz w:val="24"/>
        </w:rPr>
        <w:t xml:space="preserve">第4年承接19.84 MW，正向校核负荷增至38.00 MW。该站利用相应主变容量承担片区内部负荷，接收能力按承接后的负荷进行正常运行及主变N-1校核。刚性方案第4年公用主变总容量为80.00 MVA，储能为0.00 MW；弹性方案相应为80.00 MVA和0.00 MW。两类方案的本站公用主变总容量相同。</w:t>
      </w:r>
    </w:p>
    <w:p>
      <w:pPr>
        <w:pStyle w:val="2"/>
        <w:keepNext/>
        <w:spacing w:line="280" w:lineRule="exact" w:before="120" w:after="80"/>
        <w:ind w:firstLine="0"/>
        <w:jc w:val="center"/>
      </w:pPr>
      <w:r>
        <w:rPr>
          <w:rFonts w:ascii="Times New Roman" w:hAnsi="Times New Roman" w:eastAsia="宋体"/>
          <w:b w:val="0"/>
          <w:sz w:val="21"/>
        </w:rPr>
        <w:t xml:space="preserve">表5-61 SIM-CITY-YQ站第4年配置与负荷转接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转接后正向净负荷/MW</w:t>
            </w:r>
          </w:p>
        </w:tc>
      </w:tr>
      <w:tr>
        <w:trPr>
          <w:cantSplit/>
        </w:trPr>
        <w:tc>
          <w:tcPr>
            <w:tcW w:type="dxa" w:w="78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19.84</w:t>
            </w:r>
          </w:p>
        </w:tc>
        <w:tc>
          <w:tcPr>
            <w:tcW w:type="dxa" w:w="126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48" w:lineRule="exact" w:before="0" w:after="0"/>
        <w:ind w:firstLine="480"/>
        <w:jc w:val="both"/>
      </w:pPr>
      <w:r>
        <w:rPr>
          <w:rFonts w:ascii="Times New Roman" w:hAnsi="Times New Roman" w:eastAsia="方正仿宋_GBK"/>
          <w:b w:val="0"/>
          <w:sz w:val="24"/>
        </w:rPr>
        <w:t xml:space="preserve">从建设时序看，第1—4年公用主变总容量依次为80.00、80.00、80.00、80.00 MVA；转接后正向负荷由第1年的38.00 MW变为第4年的38.00 MW。四年均以承接负荷为主，第1年和第4年净承接分别为20.79 MW和19.84 MW，主变配置同时服务于本站及片区转入负荷。第4年退出最大一台主变后，剩余主变容量为40.00 MVA，按功率因数折算并计入相应持续时间的储能放电功率，正向容量余量为0.00 MW。</w:t>
      </w:r>
    </w:p>
    <w:p>
      <w:pPr>
        <w:pStyle w:val="5"/>
        <w:keepNext/>
        <w:numPr>
          <w:numId w:val="0"/>
        </w:numPr>
        <w:spacing w:line="390" w:lineRule="exact" w:before="160" w:after="120"/>
        <w:ind w:firstLine="0"/>
      </w:pPr>
      <w:bookmarkStart w:id="245" w:name="目标年设备配置的站间差异"/>
      <w:r>
        <w:rPr>
          <w:rFonts w:ascii="Times New Roman" w:hAnsi="Times New Roman" w:eastAsia="方正仿宋_GBK"/>
          <w:b/>
          <w:sz w:val="26"/>
        </w:rPr>
        <w:t xml:space="preserve">5.4.4 目标年设备配置的站间差异</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区域公用主变总容量增加，可以通过更换较大容量主变、增加主变台数或两者结合实现。两类措施形成的站内设备结构不同，对单台主变停运后的剩余容量也有不同影响。将逐站结果按在役主变台数和配储情况汇总，可以进一步说明弹性方案如何调整容量配置。</w:t>
      </w:r>
    </w:p>
    <w:p>
      <w:pPr>
        <w:pStyle w:val="2"/>
        <w:keepNext/>
        <w:spacing w:line="280" w:lineRule="exact" w:before="120" w:after="80"/>
        <w:ind w:firstLine="0"/>
        <w:jc w:val="center"/>
      </w:pPr>
      <w:r>
        <w:rPr>
          <w:rFonts w:ascii="Times New Roman" w:hAnsi="Times New Roman" w:eastAsia="宋体"/>
          <w:b w:val="0"/>
          <w:sz w:val="21"/>
        </w:rPr>
        <w:t xml:space="preserve">表5-62 目标年主变配置与配储站数比较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站数/座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两台主变站数/座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三台主变站数/座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配储站数/座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253.10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3.30</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250.00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座站中，刚性方案有6座采用三台主变，弹性方案增加到11座，占比由30.00%提高到55.00%；配储站数由11座降至2座，占比由55.00%降至10.00%。市区29座站中，三台主变站数由1座增加到8座，占比由3.45%提高到27.59%；配储站数由7座降至2座，占比由24.14%降至6.90%。储能规模的减少同时表现为配置地点减少和额定功率下降。</w:t>
      </w:r>
    </w:p>
    <w:p>
      <w:pPr>
        <w:pStyle w:val="2"/>
        <w:widowControl/>
        <w:spacing w:line="348" w:lineRule="exact" w:before="0" w:after="0"/>
        <w:ind w:firstLine="480"/>
        <w:jc w:val="both"/>
      </w:pPr>
      <w:r>
        <w:rPr>
          <w:rFonts w:ascii="Times New Roman" w:hAnsi="Times New Roman" w:eastAsia="方正仿宋_GBK"/>
          <w:b w:val="0"/>
          <w:sz w:val="24"/>
        </w:rPr>
        <w:t xml:space="preserve">主变台数变化与N-1后的剩余容量有关。在相同站内总容量下，单台主变越大，退出该主变后保留的容量越少；增加主变台数则可能改变最大单台容量占总容量的比例。因此，站内总容量相近的两种配置，其N-1后的供电条件仍可能不同。本案例的增容与扩建选择同时考虑正常运行和单台主变退出后的需求，区域容载比则汇总各站最终保留的容量。</w:t>
      </w:r>
    </w:p>
    <w:p>
      <w:pPr>
        <w:pStyle w:val="2"/>
        <w:widowControl/>
        <w:spacing w:line="348" w:lineRule="exact" w:before="0" w:after="0"/>
        <w:ind w:firstLine="480"/>
        <w:jc w:val="both"/>
      </w:pPr>
      <w:r>
        <w:rPr>
          <w:rFonts w:ascii="Times New Roman" w:hAnsi="Times New Roman" w:eastAsia="方正仿宋_GBK"/>
          <w:b w:val="0"/>
          <w:sz w:val="24"/>
        </w:rPr>
        <w:t xml:space="preserve">弹性方案中，邳州仍有9座站、市区仍有21座站采用两台主变。由此可见，区域总容量提高并未使全部站点采用相同配置。各站原有规格、承接负荷和反向功率不同，形成了两台与三台主变并存的建设结果。对已有容量能够满足需求的站，保留两台主变可以利用存量设备；对局部容量缺口较大且能够扩建的站，增加台数可以同时改善正常运行及N-1条件。</w:t>
      </w:r>
    </w:p>
    <w:p>
      <w:pPr>
        <w:pStyle w:val="2"/>
        <w:widowControl/>
        <w:spacing w:line="348" w:lineRule="exact" w:before="0" w:after="0"/>
        <w:ind w:firstLine="480"/>
        <w:jc w:val="both"/>
      </w:pPr>
      <w:r>
        <w:rPr>
          <w:rFonts w:ascii="Times New Roman" w:hAnsi="Times New Roman" w:eastAsia="方正仿宋_GBK"/>
          <w:b w:val="0"/>
          <w:sz w:val="24"/>
        </w:rPr>
        <w:t xml:space="preserve">配储站数反映储能配置的空间范围，储能额定功率反映设备规模，两项统计应结合解释。多个站点均配置少量储能，与少数站点配置大规模储能，对总投资、运维地点及容量分布有不同影响。本案例弹性方案在两地区均保留2处配储，说明主变建设和负荷转接完成大部分容量调整后，储能仍用于补充少数站点的剩余需求。</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bookmarkStart w:id="1873" w:name="h873"/>
      <w:pPr>
        <w:pStyle w:val="4"/>
        <w:keepNext/>
        <w:numPr>
          <w:numId w:val="0"/>
        </w:numPr>
        <w:spacing w:line="480" w:lineRule="exact" w:before="160" w:after="120"/>
        <w:ind w:firstLine="0"/>
      </w:pPr>
      <w:bookmarkStart w:id="246" w:name="措施作用与工程衔接"/>
      <w:r>
        <w:rPr>
          <w:rFonts w:ascii="Times New Roman" w:hAnsi="Times New Roman" w:eastAsia="方正仿宋_GBK"/>
          <w:b/>
          <w:sz w:val="32"/>
        </w:rPr>
        <w:t xml:space="preserve">5.5 措施作用与工程衔接</w:t>
      </w:r>
      <w:bookmarkEnd w:id="246"/>
      <w:bookmarkEnd w:id="1873"/>
    </w:p>
    <w:p>
      <w:pPr>
        <w:pStyle w:val="FirstParagraph"/>
        <w:widowControl/>
        <w:spacing w:line="348" w:lineRule="exact" w:before="0" w:after="0"/>
        <w:ind w:firstLine="480"/>
        <w:jc w:val="both"/>
      </w:pPr>
      <w:r>
        <w:rPr>
          <w:rFonts w:ascii="Times New Roman" w:hAnsi="Times New Roman" w:eastAsia="方正仿宋_GBK"/>
          <w:b w:val="0"/>
          <w:sz w:val="24"/>
        </w:rPr>
        <w:t xml:space="preserve">规划第4年，邳州弹性方案转接负荷184.11 MW，其中135.31 MW利用既有能力，48.80 MW利用新增能力；市区分别为389.51 MW、372.29 MW和17.22 MW。两地区负荷调整均以既有联络为主，新增联络补充局部转供能力。</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四年累计新建13项联络，市区新建3项。邳州初始转供率为28.29%，新增联络对提高片区转供能力的作用较为突出；市区初始转供率为50.00%，建设主要用于局部负荷调整。站间联络的作用取决于送端可转负荷及承接站容量余量，应与主变和储能配置共同评价。</w:t>
      </w:r>
    </w:p>
    <w:p>
      <w:pPr>
        <w:pStyle w:val="2"/>
        <w:keepNext/>
        <w:spacing w:line="280" w:lineRule="exact" w:before="120" w:after="80"/>
        <w:ind w:firstLine="0"/>
        <w:jc w:val="center"/>
      </w:pPr>
      <w:r>
        <w:rPr>
          <w:rFonts w:ascii="Times New Roman" w:hAnsi="Times New Roman" w:eastAsia="宋体"/>
          <w:b w:val="0"/>
          <w:sz w:val="21"/>
        </w:rPr>
        <w:t xml:space="preserve">表5-63 既有与新增转供能力的实际利用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规划年序</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既有能力使用/MW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新增能力使用/MW</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在役项目/项</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122.86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113.66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135.49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149.30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42.69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197.61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130.12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142.04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160.12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349.76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364.43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361.73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396.75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r>
    </w:tbl>
    <w:p>
      <w:pPr>
        <w:pStyle w:val="2"/>
        <w:widowControl/>
        <w:spacing w:line="348" w:lineRule="exact" w:before="0" w:after="0"/>
        <w:ind w:firstLine="480"/>
        <w:jc w:val="both"/>
      </w:pPr>
      <w:r>
        <w:rPr>
          <w:rFonts w:ascii="Times New Roman" w:hAnsi="Times New Roman" w:eastAsia="方正仿宋_GBK"/>
          <w:b w:val="0"/>
          <w:sz w:val="24"/>
        </w:rPr>
        <w:t xml:space="preserve">负荷转接的规模还随规划年份变化。下表分别统计承担转出与承接任务的站数、地区转接负荷合计，以及单站转出和承接负荷的最大值。地区转出量与承接量相等，转接负荷合计按转出端计算一次，用于反映区域内部重新分配的负荷规模。</w:t>
      </w:r>
    </w:p>
    <w:p>
      <w:pPr>
        <w:pStyle w:val="2"/>
        <w:keepNext/>
        <w:spacing w:line="280" w:lineRule="exact" w:before="120" w:after="80"/>
        <w:ind w:firstLine="0"/>
        <w:jc w:val="center"/>
      </w:pPr>
      <w:r>
        <w:rPr>
          <w:rFonts w:ascii="Times New Roman" w:hAnsi="Times New Roman" w:eastAsia="宋体"/>
          <w:b w:val="0"/>
          <w:sz w:val="21"/>
        </w:rPr>
        <w:t xml:space="preserve">表5-64 邳州弹性方案逐年负荷转接规模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转出站数/座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承接站数/座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单站最大转出负荷/MW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单站最大承接负荷/MW</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130.12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25.78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41.45</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142.04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32.69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39.42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160.12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40.16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37.24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邳州转接负荷由第1年的130.12 MW增加至第4年的184.11 MW，增加53.99 MW，增幅41.49%。规划期间承担转出任务的站数为9～11座，承接站数为7～10座。转接总量增加的同时，参与站数并未按相同比例增加，表明负荷调整更多体现为各站承担规模的变化。</w:t>
      </w:r>
    </w:p>
    <w:p>
      <w:pPr>
        <w:pStyle w:val="2"/>
        <w:widowControl/>
        <w:spacing w:line="348" w:lineRule="exact" w:before="0" w:after="0"/>
        <w:ind w:firstLine="480"/>
        <w:jc w:val="both"/>
      </w:pPr>
      <w:r>
        <w:rPr>
          <w:rFonts w:ascii="Times New Roman" w:hAnsi="Times New Roman" w:eastAsia="方正仿宋_GBK"/>
          <w:b w:val="0"/>
          <w:sz w:val="24"/>
        </w:rPr>
        <w:t xml:space="preserve">单站最大转出负荷由25.78 MW增加至48.24 MW，而单站最大承接负荷由41.45 MW降至31.05 MW。两个方向的最大值变化不同，说明区域内部负荷增长后，部分转出站需要释放更多供电任务，承接任务则分配到多个具备余量的站点。这里比较的是各年度单站最大值，其对应站点可以变化；地区合计仍按全部站点统计。</w:t>
      </w:r>
    </w:p>
    <w:p>
      <w:pPr>
        <w:pStyle w:val="2"/>
        <w:widowControl/>
        <w:spacing w:line="348" w:lineRule="exact" w:before="0" w:after="0"/>
        <w:ind w:firstLine="480"/>
        <w:jc w:val="both"/>
      </w:pPr>
      <w:r>
        <w:rPr>
          <w:rFonts w:ascii="Times New Roman" w:hAnsi="Times New Roman" w:eastAsia="方正仿宋_GBK"/>
          <w:b w:val="0"/>
          <w:sz w:val="24"/>
        </w:rPr>
        <w:t xml:space="preserve">第3年邳州有9座转出站和10座承接站，第4年则分别为10座。相邻年份站点角色和数量的变化，与新增主变投运后的容量分配有关。主变扩建不仅满足本站负荷，还可能使该站获得承接邻站负荷的条件；某站当年减少转出任务，也可能意味着自身容量建设已经覆盖更多需求。逐年转接结果与主变建设时序共同说明了站群容量的利用方式。</w:t>
      </w:r>
    </w:p>
    <w:p>
      <w:pPr>
        <w:pStyle w:val="2"/>
        <w:keepNext/>
        <w:spacing w:line="280" w:lineRule="exact" w:before="120" w:after="80"/>
        <w:ind w:firstLine="0"/>
        <w:jc w:val="center"/>
      </w:pPr>
      <w:r>
        <w:rPr>
          <w:rFonts w:ascii="Times New Roman" w:hAnsi="Times New Roman" w:eastAsia="宋体"/>
          <w:b w:val="0"/>
          <w:sz w:val="21"/>
        </w:rPr>
        <w:t xml:space="preserve">表5-65 市区弹性方案逐年负荷转接规模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规划年</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转出站数/座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承接站数/座</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单站最大转出负荷/MW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单站最大承接负荷/MW</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364.43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57.64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60.12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380.20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59.53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66.66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396.75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61.46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66.49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63.42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66.32</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市区转接负荷由第1年的364.43 MW增加至第3年的396.75 MW，第4年回落至389.51 MW；第1年至第4年净增加25.09 MW，增幅6.88%。其变化幅度小于邳州，但转接总量较大，与市区较高的既有转供条件及较多站点有关。负荷转接在市区方案中持续承担较大的区域内部配置任务。</w:t>
      </w:r>
    </w:p>
    <w:p>
      <w:pPr>
        <w:pStyle w:val="2"/>
        <w:widowControl/>
        <w:spacing w:line="348" w:lineRule="exact" w:before="0" w:after="0"/>
        <w:ind w:firstLine="480"/>
        <w:jc w:val="both"/>
      </w:pPr>
      <w:r>
        <w:rPr>
          <w:rFonts w:ascii="Times New Roman" w:hAnsi="Times New Roman" w:eastAsia="方正仿宋_GBK"/>
          <w:b w:val="0"/>
          <w:sz w:val="24"/>
        </w:rPr>
        <w:t xml:space="preserve">市区转出站数由12座增加至14座，承接站数由16座变为15座，单站最大转出负荷由57.64 MW增加至63.42 MW。单站最大承接负荷维持在60.12～66.66 MW之间，说明承接侧较大的供电任务在各年均存在。对这些站点，主变容量既要覆盖本地需求，也要承担由邻站转入的负荷，工程建设规模需要按转接后的负荷确定。</w:t>
      </w:r>
    </w:p>
    <w:p>
      <w:pPr>
        <w:pStyle w:val="2"/>
        <w:widowControl/>
        <w:spacing w:line="348" w:lineRule="exact" w:before="0" w:after="0"/>
        <w:ind w:firstLine="480"/>
        <w:jc w:val="both"/>
      </w:pPr>
      <w:r>
        <w:rPr>
          <w:rFonts w:ascii="Times New Roman" w:hAnsi="Times New Roman" w:eastAsia="方正仿宋_GBK"/>
          <w:b w:val="0"/>
          <w:sz w:val="24"/>
        </w:rPr>
        <w:t xml:space="preserve">市区第4年转接总量较第3年减少7.24 MW，不能据此判断区域负荷下降。转接总量仅表示区域内部重新分配的部分，地区最大负荷还包括各站继续承担的本地负荷。新增容量投运后，部分站可以自行承担更多负荷，从而减少需要转接的规模。将转接总量与年网供最大负荷分别统计，有助于解释负荷增长与转接安排之间的关系。</w:t>
      </w:r>
    </w:p>
    <w:p>
      <w:pPr>
        <w:pStyle w:val="2"/>
        <w:widowControl/>
        <w:spacing w:line="348" w:lineRule="exact" w:before="0" w:after="0"/>
        <w:ind w:firstLine="480"/>
        <w:jc w:val="both"/>
      </w:pPr>
      <w:r>
        <w:rPr>
          <w:rFonts w:ascii="Times New Roman" w:hAnsi="Times New Roman" w:eastAsia="方正仿宋_GBK"/>
          <w:b w:val="0"/>
          <w:sz w:val="24"/>
        </w:rPr>
        <w:t xml:space="preserve">两地区年度结果表明，联络设施的建设数量、允许转接的能力和实际承担的转接负荷是三个不同量。建设数量决定新增工程规模，转供能力反映线路及两端设备允许承担的范围，实际转接负荷取决于当年的站间容量分配。已有线路在不同年份可以承担不同负荷，因此逐年转接量变化不必对应相同数量的新增线路。</w:t>
      </w:r>
    </w:p>
    <w:p>
      <w:pPr>
        <w:pStyle w:val="2"/>
        <w:widowControl/>
        <w:spacing w:line="348" w:lineRule="exact" w:before="0" w:after="0"/>
        <w:ind w:firstLine="480"/>
        <w:jc w:val="both"/>
      </w:pPr>
      <w:r>
        <w:rPr>
          <w:rFonts w:ascii="Times New Roman" w:hAnsi="Times New Roman" w:eastAsia="方正仿宋_GBK"/>
          <w:b w:val="0"/>
          <w:sz w:val="24"/>
        </w:rPr>
        <w:t xml:space="preserve">从建设措施衔接看，主变增容或扩建为承接站提供容量，联络条件使部分负荷能够由相邻站承担，储能补充特定持续时间内的局部容量需求。三类措施共同形成最终设备布局。邳州更多依靠持续增加主变容量并补充联络条件，市区则较多利用既有联络开展负荷调整；两地的建设重点与前述运行特征相对应。</w:t>
      </w:r>
    </w:p>
    <w:p>
      <w:bookmarkStart w:id="1888" w:name="h888"/>
      <w:pPr>
        <w:pStyle w:val="4"/>
        <w:keepNext/>
        <w:numPr>
          <w:numId w:val="0"/>
        </w:numPr>
        <w:spacing w:line="480" w:lineRule="exact" w:before="160" w:after="120"/>
        <w:ind w:firstLine="0"/>
      </w:pPr>
      <w:bookmarkStart w:id="247" w:name="参数拓展与通用推荐矩阵"/>
      <w:r>
        <w:rPr>
          <w:rFonts w:ascii="Times New Roman" w:hAnsi="Times New Roman" w:eastAsia="方正仿宋_GBK"/>
          <w:b/>
          <w:sz w:val="32"/>
        </w:rPr>
        <w:t xml:space="preserve">5.6 参数拓展与通用推荐矩阵</w:t>
      </w:r>
      <w:bookmarkEnd w:id="247"/>
      <w:bookmarkEnd w:id="1888"/>
    </w:p>
    <w:p>
      <w:pPr>
        <w:pStyle w:val="5"/>
        <w:keepNext/>
        <w:numPr>
          <w:numId w:val="0"/>
        </w:numPr>
        <w:spacing w:line="390" w:lineRule="exact" w:before="160" w:after="120"/>
        <w:ind w:firstLine="0"/>
      </w:pPr>
      <w:bookmarkStart w:id="248" w:name="从案例关系到通用参数"/>
      <w:r>
        <w:rPr>
          <w:rFonts w:ascii="Times New Roman" w:hAnsi="Times New Roman" w:eastAsia="方正仿宋_GBK"/>
          <w:b/>
          <w:sz w:val="26"/>
        </w:rPr>
        <w:t xml:space="preserve">5.6.1 从案例关系到通用参数</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案例说明容载比由主变容量和年网供最大负荷共同形成，其经济取值还受储能持续支撑、站间转供能力和工程价格影响。通用矩阵据此采用可比较的参数范围，构造A类和B/C类两种等容量仿真站群，将具体地区的站名和规模转换为一般结构条件。</w:t>
      </w:r>
    </w:p>
    <w:p>
      <w:pPr>
        <w:pStyle w:val="2"/>
        <w:widowControl/>
        <w:spacing w:line="348" w:lineRule="exact" w:before="0" w:after="0"/>
        <w:ind w:firstLine="480"/>
        <w:jc w:val="both"/>
      </w:pPr>
      <w:r>
        <w:rPr>
          <w:rFonts w:ascii="Times New Roman" w:hAnsi="Times New Roman" w:eastAsia="方正仿宋_GBK"/>
          <w:b w:val="0"/>
          <w:sz w:val="24"/>
        </w:rPr>
        <w:t xml:space="preserve">外推站群均含5座变电站，每站初始配置两台主变。A类单台50 MVA，B/C类单台40 MVA，基期年网供最大负荷分别为250和200 MW，基期容载比均为2.00。负荷分散系数为同一统计期、同一电压等级及统计范围内，各站最大负荷之和与对应站群同时最大负荷的比值，用于反映各站负荷高峰的不同时性。DL/T 5729—2023将其列为确定容载比的影响因素，比值定义参照相关研究[5][46]。本研究取1.00和1.15，两组情景沿用各自的站间负荷权重，推荐范围按相应组合归纳。邳州、市区案例的负荷分散系数分别约为1.06和1.11。光伏分配采用独立权重，保留源荷空间差异。新购规格、扩建50 MVA主变、储能柜及单项联络能力沿用前述参数。外推分别考察每座站最大单台主变停运后的供电状态，健康邻站按其正常可用容量承接转供负荷；新增联络按站对选择建设，正常与事故转供共同受已建线路能力限制。该比较体现主变配置与站间支援的联系[5]。</w:t>
      </w:r>
    </w:p>
    <w:p>
      <w:pPr>
        <w:pStyle w:val="2"/>
        <w:widowControl/>
        <w:spacing w:line="348" w:lineRule="exact" w:before="0" w:after="0"/>
        <w:ind w:firstLine="480"/>
        <w:jc w:val="both"/>
      </w:pPr>
      <w:r>
        <w:rPr>
          <w:rFonts w:ascii="Times New Roman" w:hAnsi="Times New Roman" w:eastAsia="方正仿宋_GBK"/>
          <w:b w:val="0"/>
          <w:sz w:val="24"/>
        </w:rPr>
        <w:t xml:space="preserve">本节为新增联络需求条件下的专项外推，既有联络剩余可转负荷取0.00 MW，新增转供通过建设线路获得，推荐范围对应这一供电条件。容载比依据负荷增长要求、正常与故障供电能力及工程经济性确定；费用较低的联络方案可能减少本地主变建设。参数变化通过站级正向、反向负荷和持续支撑系数进入约束，以评价期费用确定对应配置。通用外推采用规划第4年的静态容量比选，归纳目标年推荐值；两地区案例另按逐年状态进行建设时序寻优。</w:t>
      </w:r>
    </w:p>
    <w:p>
      <w:pPr>
        <w:pStyle w:val="5"/>
        <w:keepNext/>
        <w:numPr>
          <w:numId w:val="0"/>
        </w:numPr>
        <w:spacing w:line="390" w:lineRule="exact" w:before="160" w:after="120"/>
        <w:ind w:firstLine="0"/>
      </w:pPr>
      <w:bookmarkStart w:id="249" w:name="参数范围与场景构造"/>
      <w:r>
        <w:rPr>
          <w:rFonts w:ascii="Times New Roman" w:hAnsi="Times New Roman" w:eastAsia="方正仿宋_GBK"/>
          <w:b/>
          <w:sz w:val="26"/>
        </w:rPr>
        <w:t xml:space="preserve">5.6.2 参数范围与场景构造</w:t>
      </w:r>
      <w:bookmarkEnd w:id="249"/>
    </w:p>
    <w:p>
      <w:pPr>
        <w:pStyle w:val="FirstParagraph"/>
        <w:keepNext/>
        <w:spacing w:line="280" w:lineRule="exact" w:before="120" w:after="80"/>
        <w:ind w:firstLine="0"/>
        <w:jc w:val="center"/>
      </w:pPr>
      <w:r>
        <w:rPr>
          <w:rFonts w:ascii="Times New Roman" w:hAnsi="Times New Roman" w:eastAsia="宋体"/>
          <w:b w:val="0"/>
          <w:sz w:val="21"/>
        </w:rPr>
        <w:t xml:space="preserve">表5-66 通用外推参数及站群假定</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取值或范围</w:t>
            </w:r>
          </w:p>
        </w:tc>
        <w:tc>
          <w:tcPr>
            <w:tcW w:type="dxa" w:w="325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设定方式</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供电区域类别</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A类、B/C类</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两类五站仿真模板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初始主变</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5站；各2×50或2×40 MVA</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等容量基期</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初始容载比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两类站群一致</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1.00、1.15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研究情景取值；案例约1.06和1.11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光伏装机分配权重</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0.08/0.14/0.18/0.25/0.35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权重之和为1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0、0.30、0.80、1、1.30、1.80、2、2.30、2.80、3</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0、1%、2%、4%、7%、8%、10%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1、2、3、4、6 h</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正反向采用相同场景时长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既有联络剩余可转负荷</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 MW</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新增转供需求通过建设联络获得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线路、储能价格倍数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线路0.75/1.00/1.25；储能0.50/1.00/1.25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九组交叉价格</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光伏利用小时、用户年负荷率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 h；0.50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电量指标换算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目标年、费用时点</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第4年；按2025年投运折现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目标年静态规划外推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架空长度占90.00%，电缆长度占10.00%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每项3 km、两台开关，基准投资124.80万元</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架空长度占10.00%，电缆长度占90.00%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每项3 km、两台开关，基准投资499.20万元</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单项联络可转负荷</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两类线路均为7.49 MW</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保持技术能力相同，比较敷设造价差异</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主变N-1校核</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各站最大单台主变分别停运</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健康邻站按正常可用容量承接转供负荷</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新增联络</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各站对为候选，单项可转负荷7.49 MW</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按容量需求与费用比较确定建设数量</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分布式电源装机渗透率在0～3.00之间选取10个代表值，年最大净负荷平均增长率在0～10%之间选取7个值，95%峰值持续时间选取1、2、3、4、6 h。本节比较既有联络无剩余可用能力、新增转供需求需建设联络的条件；负荷分散系数取1.00和1.15。线路类型取架空为主和电缆为主；每类线路与储能各取三档价格，按九组交叉价格计算，形成25200个技术经济情景。</w:t>
      </w:r>
    </w:p>
    <w:p>
      <w:pPr>
        <w:pStyle w:val="2"/>
        <w:widowControl/>
        <w:spacing w:line="348" w:lineRule="exact" w:before="0" w:after="0"/>
        <w:ind w:firstLine="480"/>
        <w:jc w:val="both"/>
      </w:pPr>
      <w:r>
        <w:rPr>
          <w:rFonts w:ascii="Times New Roman" w:hAnsi="Times New Roman" w:eastAsia="方正仿宋_GBK"/>
          <w:b w:val="0"/>
          <w:sz w:val="24"/>
        </w:rPr>
        <w:t xml:space="preserve">设用户年负荷率0.50、光伏利用小时1200 h，分布式电源电量渗透率按分布式电源装机渗透率换算，约为0.00%～82.19%。技术场景以夜间正向负荷作为年网供最大负荷，日间光伏出力系数0.75、用户负荷为正向峰值的30%，由此构造反向净负荷。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rPr>
                              <m:sty m:val="p"/>
                            </m:rPr>
                            <m:t>D</m:t>
                          </m:r>
                          <m:r>
                            <m:rPr>
                              <m:sty m:val="p"/>
                            </m:rPr>
                            <m:t>G</m:t>
                          </m:r>
                        </m:sub>
                      </m:sSub>
                    </m:e>
                    <m:e>
                      <m:r>
                        <m:t>=</m:t>
                      </m:r>
                      <m:sSub>
                        <m:e>
                          <m:r>
                            <m:t>η</m:t>
                          </m:r>
                        </m:e>
                        <m:sub>
                          <m:r>
                            <m:t>C</m:t>
                          </m:r>
                        </m:sub>
                      </m:sSub>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e>
                  </m:mr>
                  <m:mr>
                    <m:e>
                      <m:sSubSup>
                        <m:e>
                          <m:r>
                            <m:t>L</m:t>
                          </m:r>
                        </m:e>
                        <m:sub>
                          <m:r>
                            <m:t>i</m:t>
                          </m:r>
                        </m:sub>
                        <m:sup>
                          <m:r>
                            <m:t>−</m:t>
                          </m:r>
                        </m:sup>
                      </m:sSubSup>
                    </m:e>
                    <m:e>
                      <m:r>
                        <m:t>=</m:t>
                      </m:r>
                      <m:r>
                        <m:rPr>
                          <m:nor/>
                          <m:sty m:val="p"/>
                        </m:rPr>
                        <m:t>max</m:t>
                      </m:r>
                      <m:r>
                        <m:t>(</m:t>
                      </m:r>
                      <m:r>
                        <m:t>0</m:t>
                      </m:r>
                      <m:r>
                        <m:t>,</m:t>
                      </m:r>
                      <m:r>
                        <m:t>0.75</m:t>
                      </m:r>
                      <m:sSub>
                        <m:e>
                          <m:r>
                            <m:t>C</m:t>
                          </m:r>
                        </m:e>
                        <m:sub>
                          <m:r>
                            <m:rPr>
                              <m:sty m:val="p"/>
                            </m:rPr>
                            <m:t>D</m:t>
                          </m:r>
                          <m:r>
                            <m:rPr>
                              <m:sty m:val="p"/>
                            </m:rPr>
                            <m:t>G</m:t>
                          </m:r>
                        </m:sub>
                      </m:sSub>
                      <m:sSubSup>
                        <m:e>
                          <m:r>
                            <m:t>w</m:t>
                          </m:r>
                        </m:e>
                        <m:sub>
                          <m:r>
                            <m:t>i</m:t>
                          </m:r>
                        </m:sub>
                        <m:sup>
                          <m:r>
                            <m:t>G</m:t>
                          </m:r>
                        </m:sup>
                      </m:sSubSup>
                      <m:r>
                        <m:t>−</m:t>
                      </m:r>
                      <m:r>
                        <m:t>0.30</m:t>
                      </m:r>
                      <m:sSubSup>
                        <m:e>
                          <m:r>
                            <m:t>L</m:t>
                          </m:r>
                        </m:e>
                        <m:sub>
                          <m:r>
                            <m:t>i</m:t>
                          </m:r>
                        </m:sub>
                        <m:sup>
                          <m:r>
                            <m:t>+</m:t>
                          </m:r>
                        </m:sup>
                      </m:sSub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（5-15）</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w:t>
      </w:r>
      <m:oMath>
        <m:sSub>
          <m:e>
            <m:r>
              <m:t>C</m:t>
            </m:r>
          </m:e>
          <m:sub>
            <m:r>
              <m:rPr>
                <m:sty m:val="p"/>
              </m:rPr>
              <m:t>D</m:t>
            </m:r>
            <m:r>
              <m:rPr>
                <m:sty m:val="p"/>
              </m:rPr>
              <m:t>G</m:t>
            </m:r>
          </m:sub>
        </m:sSub>
      </m:oMath>
      <w:r>
        <w:rPr>
          <w:rFonts w:ascii="Times New Roman" w:hAnsi="Times New Roman" w:eastAsia="方正仿宋_GBK"/>
          <w:b w:val="0"/>
          <w:sz w:val="24"/>
        </w:rPr>
        <w:t xml:space="preserve">为装机容量，单位MW；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为用户最大负荷，在本外推场景中取年网供最大负荷；</w:t>
      </w:r>
      <m:oMath>
        <m:sSubSup>
          <m:e>
            <m:r>
              <m:t>w</m:t>
            </m:r>
          </m:e>
          <m:sub>
            <m:r>
              <m:t>i</m:t>
            </m:r>
          </m:sub>
          <m:sup>
            <m:r>
              <m:t>G</m:t>
            </m:r>
          </m:sup>
        </m:sSubSup>
      </m:oMath>
      <w:r>
        <w:rPr>
          <w:rFonts w:ascii="Times New Roman" w:hAnsi="Times New Roman" w:eastAsia="方正仿宋_GBK"/>
          <w:b w:val="0"/>
          <w:sz w:val="24"/>
        </w:rPr>
        <w:t xml:space="preserve">为站级光伏分配权重，各站权重之和为1。</w:t>
      </w:r>
      <m:oMath>
        <m:sSubSup>
          <m:e>
            <m:r>
              <m:t>L</m:t>
            </m:r>
          </m:e>
          <m:sub>
            <m:r>
              <m:t>i</m:t>
            </m:r>
          </m:sub>
          <m:sup>
            <m:r>
              <m:t>+</m:t>
            </m:r>
          </m:sup>
        </m:sSubSup>
      </m:oMath>
      <w:r>
        <w:rPr>
          <w:rFonts w:ascii="Times New Roman" w:hAnsi="Times New Roman" w:eastAsia="方正仿宋_GBK"/>
          <w:b w:val="0"/>
          <w:sz w:val="24"/>
        </w:rPr>
        <w:t xml:space="preserve">为站级最大正向净负荷，</w:t>
      </w:r>
      <m:oMath>
        <m:sSubSup>
          <m:e>
            <m:r>
              <m:t>L</m:t>
            </m:r>
          </m:e>
          <m:sub>
            <m:r>
              <m:t>i</m:t>
            </m:r>
          </m:sub>
          <m:sup>
            <m:r>
              <m:t>−</m:t>
            </m:r>
          </m:sup>
        </m:sSubSup>
      </m:oMath>
      <w:r>
        <w:rPr>
          <w:rFonts w:ascii="Times New Roman" w:hAnsi="Times New Roman" w:eastAsia="方正仿宋_GBK"/>
          <w:b w:val="0"/>
          <w:sz w:val="24"/>
        </w:rPr>
        <w:t xml:space="preserve">为构造的最大反向净负荷。0.75和0.30均为外推场景假定。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E</m:t>
                    </m:r>
                  </m:sub>
                </m:sSub>
                <m:r>
                  <m:t>=</m:t>
                </m:r>
                <m:f>
                  <m:fPr>
                    <m:type m:val="bar"/>
                  </m:fPr>
                  <m:num>
                    <m:sSub>
                      <m:e>
                        <m:r>
                          <m:t>C</m:t>
                        </m:r>
                      </m:e>
                      <m:sub>
                        <m:r>
                          <m:rPr>
                            <m:sty m:val="p"/>
                          </m:rPr>
                          <m:t>D</m:t>
                        </m:r>
                        <m:r>
                          <m:rPr>
                            <m:sty m:val="p"/>
                          </m:rPr>
                          <m:t>G</m:t>
                        </m:r>
                      </m:sub>
                    </m:sSub>
                    <m:sSub>
                      <m:e>
                        <m:r>
                          <m:t>T</m:t>
                        </m:r>
                      </m:e>
                      <m:sub>
                        <m: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r>
                      <m:t> </m:t>
                    </m:r>
                    <m:r>
                      <m:t>8760</m:t>
                    </m:r>
                    <m:r>
                      <m:t> </m:t>
                    </m:r>
                    <m:sSub>
                      <m:e>
                        <m:r>
                          <m:t>f</m:t>
                        </m:r>
                      </m:e>
                      <m:sub>
                        <m:r>
                          <m:rPr>
                            <m:sty m:val="p"/>
                          </m:rPr>
                          <m:t>u</m:t>
                        </m:r>
                        <m:r>
                          <m:rPr>
                            <m:sty m:val="p"/>
                          </m:rPr>
                          <m:t>s</m:t>
                        </m:r>
                        <m:r>
                          <m:rPr>
                            <m:sty m:val="p"/>
                          </m:rPr>
                          <m:t>e</m:t>
                        </m:r>
                        <m:r>
                          <m:rPr>
                            <m:sty m:val="p"/>
                          </m:rPr>
                          <m:t>r</m:t>
                        </m:r>
                      </m:sub>
                    </m:sSub>
                  </m:den>
                </m:f>
                <m:r>
                  <m:t>=</m:t>
                </m:r>
                <m:sSub>
                  <m:e>
                    <m:r>
                      <m:t>η</m:t>
                    </m:r>
                  </m:e>
                  <m:sub>
                    <m:r>
                      <m:t>C</m:t>
                    </m:r>
                  </m:sub>
                </m:sSub>
                <m:f>
                  <m:fPr>
                    <m:type m:val="bar"/>
                  </m:fPr>
                  <m:num>
                    <m:r>
                      <m:t>1200</m:t>
                    </m:r>
                  </m:num>
                  <m:den>
                    <m:r>
                      <m:t>8760</m:t>
                    </m:r>
                    <m:r>
                      <m:t>×</m:t>
                    </m:r>
                    <m:r>
                      <m:t>0.50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（5-16）</w:t>
            </w:r>
          </w:p>
        </w:tc>
      </w:tr>
    </w:tbl>
    <w:p>
      <w:pPr>
        <w:pStyle w:val="FirstParagraph"/>
        <w:widowControl/>
        <w:spacing w:line="348" w:lineRule="exact" w:before="0" w:after="0"/>
        <w:ind w:firstLine="480"/>
        <w:jc w:val="both"/>
      </w:pPr>
      <w:r>
        <w:rPr>
          <w:rFonts w:ascii="Times New Roman" w:hAnsi="Times New Roman" w:eastAsia="方正仿宋_GBK"/>
          <w:b w:val="0"/>
          <w:sz w:val="24"/>
        </w:rPr>
        <w:t xml:space="preserve">式中，</w:t>
      </w:r>
      <m:oMath>
        <m:sSub>
          <m:e>
            <m:r>
              <m:t>η</m:t>
            </m:r>
          </m:e>
          <m:sub>
            <m:r>
              <m:t>E</m:t>
            </m:r>
          </m:sub>
        </m:sSub>
      </m:oMath>
      <w:r>
        <w:rPr>
          <w:rFonts w:ascii="Times New Roman" w:hAnsi="Times New Roman" w:eastAsia="方正仿宋_GBK"/>
          <w:b w:val="0"/>
          <w:sz w:val="24"/>
        </w:rPr>
        <w:t xml:space="preserve">为分布式电源电量渗透率，</w:t>
      </w:r>
      <m:oMath>
        <m:sSub>
          <m:e>
            <m:r>
              <m:t>T</m:t>
            </m:r>
          </m:e>
          <m:sub>
            <m:r>
              <m:t>G</m:t>
            </m:r>
          </m:sub>
        </m:sSub>
      </m:oMath>
      <w:r>
        <w:rPr>
          <w:rFonts w:ascii="Times New Roman" w:hAnsi="Times New Roman" w:eastAsia="方正仿宋_GBK"/>
          <w:b w:val="0"/>
          <w:sz w:val="24"/>
        </w:rPr>
        <w:t xml:space="preserve">为光伏年利用小时，取1200 h；</w:t>
      </w:r>
      <m:oMath>
        <m:sSub>
          <m:e>
            <m:r>
              <m:t>f</m:t>
            </m:r>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为用户年负荷率，取0.50；8760为一年小时数。电量参数在该外推中与装机参数保持同一发电及用电假定。</w:t>
      </w:r>
    </w:p>
    <w:p>
      <w:pPr>
        <w:pStyle w:val="2"/>
        <w:widowControl/>
        <w:spacing w:line="348" w:lineRule="exact" w:before="0" w:after="0"/>
        <w:ind w:firstLine="480"/>
        <w:jc w:val="both"/>
      </w:pPr>
      <w:r>
        <w:rPr>
          <w:rFonts w:ascii="Times New Roman" w:hAnsi="Times New Roman" w:eastAsia="方正仿宋_GBK"/>
          <w:b w:val="0"/>
          <w:sz w:val="24"/>
        </w:rPr>
        <w:t xml:space="preserve">两个单位功率投资比均为无量纲研究参数：主变投资按新购容量折算的有功功率归一化，线路投资按可转负荷归一化，储能投资按充放电功率归一化。三类措施的替代规模由站级容量及转供条件确定。主变与储能单位功率投资比按3 h参考峰段列示，实际约束仍使用该场景的持续时间。线路参考价格倍数为0.75～1.25，储能为0.50～1.25，对应架空为主的主变与线路单位功率投资比约0.84～1.40、电缆为主约0.21～0.35、主变与储能单位功率投资比约0.04～0.12。</w:t>
      </w:r>
    </w:p>
    <w:p>
      <w:pPr>
        <w:pStyle w:val="5"/>
        <w:keepNext/>
        <w:numPr>
          <w:numId w:val="0"/>
        </w:numPr>
        <w:spacing w:line="390" w:lineRule="exact" w:before="160" w:after="120"/>
        <w:ind w:firstLine="0"/>
      </w:pPr>
      <w:bookmarkStart w:id="250" w:name="分类容载比推荐区间"/>
      <w:r>
        <w:rPr>
          <w:rFonts w:ascii="Times New Roman" w:hAnsi="Times New Roman" w:eastAsia="方正仿宋_GBK"/>
          <w:b/>
          <w:sz w:val="26"/>
        </w:rPr>
        <w:t xml:space="preserve">5.6.3 分类容载比推荐区间</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通用推荐按供电区域类别、负荷分散系数和线路类型分类，再结合分布式电源装机渗透率、年最大净负荷平均增长率、95%峰值持续时间、主变与储能单位功率投资比及主变与线路单位功率投资比确定容载比范围。各区间取对应条件下所选配置的最小值和最大值，显示时向外保留两位小数。推荐值反映满足容量和费用条件的设备配置，直接对应公用主变总容量与年网供最大负荷的比值。</w:t>
      </w:r>
    </w:p>
    <w:p>
      <w:pPr>
        <w:pStyle w:val="2"/>
        <w:widowControl/>
        <w:spacing w:line="348" w:lineRule="exact" w:before="0" w:after="0"/>
        <w:ind w:firstLine="480"/>
        <w:jc w:val="both"/>
      </w:pPr>
      <w:r>
        <w:rPr>
          <w:rFonts w:ascii="Times New Roman" w:hAnsi="Times New Roman" w:eastAsia="方正仿宋_GBK"/>
          <w:b w:val="0"/>
          <w:sz w:val="24"/>
        </w:rPr>
        <w:t xml:space="preserve">供电区域类别和负荷分散系数分别反映设备配置条件及各站负荷高峰的不同时性。同一源荷、增长和储能价格范围内，按这两项条件细分后，可以减少不同站群条件混合形成的区间宽度。负荷分散系数取1.00和1.15，分别归纳相应站群的结果；各组仍采用对应的站间负荷分配权重。</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作为推荐表的一列，与主变及储能的相对投资共同定位容载比范围。架空为主和电缆为主分别比较三档价格；当新增联络和主变扩容的费用排序改变时，推荐区间相应调整。对于相邻参数范围内推荐区间相同的情景，合并其参数范围，减少重复列示。分布式电源装机渗透率1.00、2.00和95%峰值持续时间3 h为相邻分组共享条件，查表时同时核对两侧结果。</w:t>
      </w:r>
    </w:p>
    <w:p>
      <w:pPr>
        <w:pStyle w:val="7"/>
        <w:keepNext/>
        <w:numPr>
          <w:numId w:val="0"/>
        </w:numPr>
        <w:spacing w:line="360" w:lineRule="exact" w:before="160" w:after="120"/>
        <w:ind w:firstLine="0"/>
      </w:pPr>
      <w:bookmarkStart w:id="251" w:name="a类供电区域负荷分散系数1.00架空为主"/>
      <w:r>
        <w:rPr>
          <w:rFonts w:ascii="Times New Roman" w:hAnsi="Times New Roman" w:eastAsia="方正仿宋_GBK"/>
          <w:b/>
          <w:sz w:val="24"/>
        </w:rPr>
        <w:t xml:space="preserve">A类供电区域，负荷分散系数1.00，架空为主</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该类站群初始单台主变容量为50 MVA，本节既有联络剩余可转负荷为0.00 MW。按分布式电源装机规模、负荷增长、持续时间和工程投资条件比较后，归纳为17组推荐范围，区间宽度中位数为0.31。表中对结果相同的相邻参数范围合并列示，使持续时间或相对价格变化没有引起容量调整的条件能够集中查阅。</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主变与线路单位功率投资比随线路造价变化，主变与储能单位功率投资比按3 h参考条件列示。查表时同时选择两类投资比，能够区分通过新增联络利用邻站容量、增加本地主变容量以及配置储能的不同经济条件。表内保留主变离散规格形成的容量变化，推荐区间均由相应方案的设备容量与目标年最大负荷计算。</w:t>
      </w:r>
    </w:p>
    <w:p>
      <w:pPr>
        <w:pStyle w:val="2"/>
        <w:keepNext/>
        <w:spacing w:line="280" w:lineRule="exact" w:before="120" w:after="80"/>
        <w:ind w:firstLine="0"/>
        <w:jc w:val="center"/>
      </w:pPr>
      <w:r>
        <w:rPr>
          <w:rFonts w:ascii="Times New Roman" w:hAnsi="Times New Roman" w:eastAsia="宋体"/>
          <w:b w:val="0"/>
          <w:sz w:val="21"/>
        </w:rPr>
        <w:t xml:space="preserve">表5-67 A类、负荷分散系数1.00的容载比推荐区间（架空为主）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1.70～1.84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1.80～1.82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1.80～1.85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1.87～2.19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1.75～2.19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1.87～2.23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1.75～2.23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1.83～2.19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1.71～2.19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1.80～2.07</w:t>
            </w:r>
          </w:p>
        </w:tc>
      </w:tr>
    </w:tbl>
    <w:p>
      <w:pPr>
        <w:pStyle w:val="2"/>
        <w:widowControl/>
        <w:spacing w:line="348" w:lineRule="exact" w:before="0" w:after="0"/>
        <w:ind w:firstLine="480"/>
        <w:jc w:val="both"/>
      </w:pPr>
      <w:r>
        <w:rPr>
          <w:rFonts w:ascii="Times New Roman" w:hAnsi="Times New Roman" w:eastAsia="方正仿宋_GBK"/>
          <w:b w:val="0"/>
          <w:sz w:val="24"/>
        </w:rPr>
        <w:t xml:space="preserve">注：投资比均为无量纲量；容载比按MVA/MW计。相邻条件对应相同显示区间时合并列示，端点覆盖合并前全部计算结果。</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所列持续时间及价格条件，容载比范围为：年最大净负荷平均增长率0.00%～2.00%时为1.84～2.00；年最大净负荷平均增长率＞2.00%～7.00%时为1.70～1.84；年最大净负荷平均增长率＞7.00%～10.00%时为1.80～1.82。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所列持续时间及价格条件，容载比范围为：年最大净负荷平均增长率0.00%～2.00%时为1.84～2.20；年最大净负荷平均增长率＞2.00%～7.00%时为1.70～1.89；年最大净负荷平均增长率＞7.00%～10.00%时为1.80～1.85。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所列持续时间及价格条件，容载比范围为：年最大净负荷平均增长率0.00%～2.00%时为2.03～2.51；年最大净负荷平均增长率＞2.00%～7.00%时为1.71～2.23；年最大净负荷平均增长率＞7.00%～10.00%时为1.80～2.07。具体取值按表内两类投资比及持续时间进一步定位，避免将不同经济条件下的配置混为一个推荐值。</w:t>
      </w:r>
    </w:p>
    <w:p>
      <w:pPr>
        <w:pStyle w:val="7"/>
        <w:keepNext/>
        <w:numPr>
          <w:numId w:val="0"/>
        </w:numPr>
        <w:spacing w:line="360" w:lineRule="exact" w:before="160" w:after="120"/>
        <w:ind w:firstLine="0"/>
      </w:pPr>
      <w:bookmarkStart w:id="252" w:name="a类供电区域负荷分散系数1.15架空为主"/>
      <w:r>
        <w:rPr>
          <w:rFonts w:ascii="Times New Roman" w:hAnsi="Times New Roman" w:eastAsia="方正仿宋_GBK"/>
          <w:b/>
          <w:sz w:val="24"/>
        </w:rPr>
        <w:t xml:space="preserve">A类供电区域，负荷分散系数1.15，架空为主</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该类站群初始单台主变容量为50 MVA，本节既有联络剩余可转负荷为0.00 MW。按分布式电源装机规模、负荷增长、持续时间和工程投资条件比较后，归纳为22组推荐范围，区间宽度中位数为0.26。表中对结果相同的相邻参数范围合并列示，使持续时间或相对价格变化没有引起容量调整的条件能够集中查阅。</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主变与线路单位功率投资比随线路造价变化，主变与储能单位功率投资比按3 h参考条件列示。查表时同时选择两类投资比，能够区分通过新增联络利用邻站容量、增加本地主变容量以及配置储能的不同经济条件。表内保留主变离散规格形成的容量变化，推荐区间均由相应方案的设备容量与目标年最大负荷计算。</w:t>
      </w:r>
    </w:p>
    <w:p>
      <w:pPr>
        <w:pStyle w:val="2"/>
        <w:keepNext/>
        <w:spacing w:line="280" w:lineRule="exact" w:before="120" w:after="80"/>
        <w:ind w:firstLine="0"/>
        <w:jc w:val="center"/>
      </w:pPr>
      <w:r>
        <w:rPr>
          <w:rFonts w:ascii="Times New Roman" w:hAnsi="Times New Roman" w:eastAsia="宋体"/>
          <w:b w:val="0"/>
          <w:sz w:val="21"/>
        </w:rPr>
        <w:t xml:space="preserve">表5-68 A类、负荷分散系数1.15的容载比推荐区间（架空为主）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1.70～1.84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1.81～1.92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1.80～1.92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1.81～1.92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1.80～1.92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1.80～1.92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1.83～2.19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1.83～2.19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1.80～2.07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1.81～2.03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1.80～2.03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1.80～2.07</w:t>
            </w:r>
          </w:p>
        </w:tc>
      </w:tr>
    </w:tbl>
    <w:p>
      <w:pPr>
        <w:pStyle w:val="2"/>
        <w:widowControl/>
        <w:spacing w:line="348" w:lineRule="exact" w:before="0" w:after="0"/>
        <w:ind w:firstLine="480"/>
        <w:jc w:val="both"/>
      </w:pPr>
      <w:r>
        <w:rPr>
          <w:rFonts w:ascii="Times New Roman" w:hAnsi="Times New Roman" w:eastAsia="方正仿宋_GBK"/>
          <w:b w:val="0"/>
          <w:sz w:val="24"/>
        </w:rPr>
        <w:t xml:space="preserve">注：投资比均为无量纲量；容载比按MVA/MW计。相邻条件对应相同显示区间时合并列示，端点覆盖合并前全部计算结果。</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所列持续时间及价格条件，容载比范围为：年最大净负荷平均增长率0.00%～2.00%时为1.84～2.00；年最大净负荷平均增长率＞2.00%～7.00%时为1.70～1.84；年最大净负荷平均增长率＞7.00%～10.00%时为1.81～1.92。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所列持续时间及价格条件，容载比范围为：年最大净负荷平均增长率0.00%～2.00%时为1.84～2.20；年最大净负荷平均增长率＞2.00%～7.00%时为1.70～1.89；年最大净负荷平均增长率＞7.00%～10.00%时为1.80～1.92。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所列持续时间及价格条件，容载比范围为：年最大净负荷平均增长率0.00%～2.00%时为2.00～2.51；年最大净负荷平均增长率＞2.00%～7.00%时为1.83～2.32；年最大净负荷平均增长率＞7.00%～10.00%时为1.80～2.07。具体取值按表内两类投资比及持续时间进一步定位，避免将不同经济条件下的配置混为一个推荐值。</w:t>
      </w:r>
    </w:p>
    <w:p>
      <w:pPr>
        <w:pStyle w:val="7"/>
        <w:keepNext/>
        <w:numPr>
          <w:numId w:val="0"/>
        </w:numPr>
        <w:spacing w:line="360" w:lineRule="exact" w:before="160" w:after="120"/>
        <w:ind w:firstLine="0"/>
      </w:pPr>
      <w:bookmarkStart w:id="253" w:name="bc类供电区域负荷分散系数1.00架空为主"/>
      <w:r>
        <w:rPr>
          <w:rFonts w:ascii="Times New Roman" w:hAnsi="Times New Roman" w:eastAsia="方正仿宋_GBK"/>
          <w:b/>
          <w:sz w:val="24"/>
        </w:rPr>
        <w:t xml:space="preserve">B/C类供电区域，负荷分散系数1.00，架空为主</w:t>
      </w:r>
      <w:bookmarkEnd w:id="253"/>
    </w:p>
    <w:p>
      <w:pPr>
        <w:pStyle w:val="FirstParagraph"/>
        <w:widowControl/>
        <w:spacing w:line="348" w:lineRule="exact" w:before="0" w:after="0"/>
        <w:ind w:firstLine="480"/>
        <w:jc w:val="both"/>
      </w:pPr>
      <w:r>
        <w:rPr>
          <w:rFonts w:ascii="Times New Roman" w:hAnsi="Times New Roman" w:eastAsia="方正仿宋_GBK"/>
          <w:b w:val="0"/>
          <w:sz w:val="24"/>
        </w:rPr>
        <w:t xml:space="preserve">该类站群初始单台主变容量为40 MVA，本节既有联络剩余可转负荷为0.00 MW。按分布式电源装机规模、负荷增长、持续时间和工程投资条件比较后，归纳为24组推荐范围，区间宽度中位数为0.36。表中对结果相同的相邻参数范围合并列示，使持续时间或相对价格变化没有引起容量调整的条件能够集中查阅。</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主变与线路单位功率投资比随线路造价变化，主变与储能单位功率投资比按3 h参考条件列示。查表时同时选择两类投资比，能够区分通过新增联络利用邻站容量、增加本地主变容量以及配置储能的不同经济条件。表内保留主变离散规格形成的容量变化，推荐区间均由相应方案的设备容量与目标年最大负荷计算。</w:t>
      </w:r>
    </w:p>
    <w:p>
      <w:pPr>
        <w:pStyle w:val="2"/>
        <w:keepNext/>
        <w:spacing w:line="280" w:lineRule="exact" w:before="120" w:after="80"/>
        <w:ind w:firstLine="0"/>
        <w:jc w:val="center"/>
      </w:pPr>
      <w:r>
        <w:rPr>
          <w:rFonts w:ascii="Times New Roman" w:hAnsi="Times New Roman" w:eastAsia="宋体"/>
          <w:b w:val="0"/>
          <w:sz w:val="21"/>
        </w:rPr>
        <w:t xml:space="preserve">表5-69 B/C类、负荷分散系数1.00的容载比推荐区间（架空为主）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1.83～1.88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1.84～2.12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1.83～1.92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1.82～1.88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1.75～2.38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1.71～2.38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注：投资比均为无量纲量；容载比按MVA/MW计。相邻条件对应相同显示区间时合并列示，端点覆盖合并前全部计算结果。</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所列持续时间及价格条件，容载比范围为：年最大净负荷平均增长率0.00%～2.00%时为1.84～2.00；年最大净负荷平均增长率＞2.00%～7.00%时为1.70～1.72；年最大净负荷平均增长率＞7.00%～10.00%时为1.83～1.88。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所列持续时间及价格条件，容载比范围为：年最大净负荷平均增长率0.00%～2.00%时为1.84～2.12；年最大净负荷平均增长率＞2.00%～7.00%时为1.70～1.93；年最大净负荷平均增长率＞7.00%～10.00%时为1.82～1.92。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所列持续时间及价格条件，容载比范围为：年最大净负荷平均增长率0.00%～2.00%时为1.95～2.57；年最大净负荷平均增长率＞2.00%～7.00%时为1.71～2.38；年最大净负荷平均增长率＞7.00%～10.00%时为1.82～2.18。具体取值按表内两类投资比及持续时间进一步定位，避免将不同经济条件下的配置混为一个推荐值。</w:t>
      </w:r>
    </w:p>
    <w:p>
      <w:pPr>
        <w:pStyle w:val="7"/>
        <w:keepNext/>
        <w:numPr>
          <w:numId w:val="0"/>
        </w:numPr>
        <w:spacing w:line="360" w:lineRule="exact" w:before="160" w:after="120"/>
        <w:ind w:firstLine="0"/>
      </w:pPr>
      <w:bookmarkStart w:id="254" w:name="bc类供电区域负荷分散系数1.15架空为主"/>
      <w:r>
        <w:rPr>
          <w:rFonts w:ascii="Times New Roman" w:hAnsi="Times New Roman" w:eastAsia="方正仿宋_GBK"/>
          <w:b/>
          <w:sz w:val="24"/>
        </w:rPr>
        <w:t xml:space="preserve">B/C类供电区域，负荷分散系数1.15，架空为主</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该类站群初始单台主变容量为40 MVA，本节既有联络剩余可转负荷为0.00 MW。按分布式电源装机规模、负荷增长、持续时间和工程投资条件比较后，归纳为30组推荐范围，区间宽度中位数为0.31。表中对结果相同的相邻参数范围合并列示，使持续时间或相对价格变化没有引起容量调整的条件能够集中查阅。</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主变与线路单位功率投资比随线路造价变化，主变与储能单位功率投资比按3 h参考条件列示。查表时同时选择两类投资比，能够区分通过新增联络利用邻站容量、增加本地主变容量以及配置储能的不同经济条件。表内保留主变离散规格形成的容量变化，推荐区间均由相应方案的设备容量与目标年最大负荷计算。</w:t>
      </w:r>
    </w:p>
    <w:p>
      <w:pPr>
        <w:pStyle w:val="2"/>
        <w:keepNext/>
        <w:spacing w:line="280" w:lineRule="exact" w:before="120" w:after="80"/>
        <w:ind w:firstLine="0"/>
        <w:jc w:val="center"/>
      </w:pPr>
      <w:r>
        <w:rPr>
          <w:rFonts w:ascii="Times New Roman" w:hAnsi="Times New Roman" w:eastAsia="宋体"/>
          <w:b w:val="0"/>
          <w:sz w:val="21"/>
        </w:rPr>
        <w:t xml:space="preserve">表5-70 B/C类、负荷分散系数1.15的容载比推荐区间（架空为主）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1.71～1.93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1.83～1.88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1.84～2.17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1.84～2.17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1.84～2.17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1.71～2.38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1.82～2.12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1.82～2.13</w:t>
            </w:r>
          </w:p>
        </w:tc>
      </w:tr>
    </w:tbl>
    <w:p>
      <w:pPr>
        <w:pStyle w:val="2"/>
        <w:widowControl/>
        <w:spacing w:line="348" w:lineRule="exact" w:before="0" w:after="0"/>
        <w:ind w:firstLine="480"/>
        <w:jc w:val="both"/>
      </w:pPr>
      <w:r>
        <w:rPr>
          <w:rFonts w:ascii="Times New Roman" w:hAnsi="Times New Roman" w:eastAsia="方正仿宋_GBK"/>
          <w:b w:val="0"/>
          <w:sz w:val="24"/>
        </w:rPr>
        <w:t xml:space="preserve">注：投资比均为无量纲量；容载比按MVA/MW计。相邻条件对应相同显示区间时合并列示，端点覆盖合并前全部计算结果。</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所列持续时间及价格条件，容载比范围为：年最大净负荷平均增长率0.00%～2.00%时为1.84～2.00；年最大净负荷平均增长率＞2.00%～7.00%时为1.70～1.93；年最大净负荷平均增长率＞7.00%～10.00%时为1.83～1.88。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所列持续时间及价格条件，容载比范围为：年最大净负荷平均增长率0.00%～2.00%时为1.84～2.25；年最大净负荷平均增长率＞2.00%～7.00%时为1.70～1.93；年最大净负荷平均增长率＞7.00%～10.00%时为1.83～1.88。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所列持续时间及价格条件，容载比范围为：年最大净负荷平均增长率0.00%～2.00%时为1.92～2.52；年最大净负荷平均增长率＞2.00%～7.00%时为1.71～2.38；年最大净负荷平均增长率＞7.00%～10.00%时为1.82～2.23。具体取值按表内两类投资比及持续时间进一步定位，避免将不同经济条件下的配置混为一个推荐值。</w:t>
      </w:r>
    </w:p>
    <w:p>
      <w:pPr>
        <w:pStyle w:val="7"/>
        <w:keepNext/>
        <w:numPr>
          <w:numId w:val="0"/>
        </w:numPr>
        <w:spacing w:line="360" w:lineRule="exact" w:before="160" w:after="120"/>
        <w:ind w:firstLine="0"/>
      </w:pPr>
      <w:bookmarkStart w:id="255" w:name="a类供电区域负荷分散系数1.00电缆为主"/>
      <w:r>
        <w:rPr>
          <w:rFonts w:ascii="Times New Roman" w:hAnsi="Times New Roman" w:eastAsia="方正仿宋_GBK"/>
          <w:b/>
          <w:sz w:val="24"/>
        </w:rPr>
        <w:t xml:space="preserve">A类供电区域，负荷分散系数1.00，电缆为主</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该类站群初始单台主变容量为50 MVA，本节既有联络剩余可转负荷为0.00 MW。按分布式电源装机规模、负荷增长、持续时间和工程投资条件比较后，归纳为12组推荐范围，区间宽度中位数为0.29。表中对结果相同的相邻参数范围合并列示，使持续时间或相对价格变化没有引起容量调整的条件能够集中查阅。</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主变与线路单位功率投资比随线路造价变化，主变与储能单位功率投资比按3 h参考条件列示。查表时同时选择两类投资比，能够区分通过新增联络利用邻站容量、增加本地主变容量以及配置储能的不同经济条件。表内保留主变离散规格形成的容量变化，推荐区间均由相应方案的设备容量与目标年最大负荷计算。</w:t>
      </w:r>
    </w:p>
    <w:p>
      <w:pPr>
        <w:pStyle w:val="2"/>
        <w:keepNext/>
        <w:spacing w:line="280" w:lineRule="exact" w:before="120" w:after="80"/>
        <w:ind w:firstLine="0"/>
        <w:jc w:val="center"/>
      </w:pPr>
      <w:r>
        <w:rPr>
          <w:rFonts w:ascii="Times New Roman" w:hAnsi="Times New Roman" w:eastAsia="宋体"/>
          <w:b w:val="0"/>
          <w:sz w:val="21"/>
        </w:rPr>
        <w:t xml:space="preserve">表5-71 A类、负荷分散系数1.00的容载比推荐区间（电缆为主）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1.70～1.84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1.91～1.92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1.80～1.92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1.87～2.32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1.87～2.36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1.80～2.07</w:t>
            </w:r>
          </w:p>
        </w:tc>
      </w:tr>
    </w:tbl>
    <w:p>
      <w:pPr>
        <w:pStyle w:val="2"/>
        <w:widowControl/>
        <w:spacing w:line="348" w:lineRule="exact" w:before="0" w:after="0"/>
        <w:ind w:firstLine="480"/>
        <w:jc w:val="both"/>
      </w:pPr>
      <w:r>
        <w:rPr>
          <w:rFonts w:ascii="Times New Roman" w:hAnsi="Times New Roman" w:eastAsia="方正仿宋_GBK"/>
          <w:b w:val="0"/>
          <w:sz w:val="24"/>
        </w:rPr>
        <w:t xml:space="preserve">注：投资比均为无量纲量；容载比按MVA/MW计。相邻条件对应相同显示区间时合并列示，端点覆盖合并前全部计算结果。</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所列持续时间及价格条件，容载比范围为：年最大净负荷平均增长率0.00%～2.00%时为1.84～2.00；年最大净负荷平均增长率＞2.00%～7.00%时为1.70～1.84；年最大净负荷平均增长率＞7.00%～10.00%时为1.91～1.92。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所列持续时间及价格条件，容载比范围为：年最大净负荷平均增长率0.00%～2.00%时为1.84～2.20；年最大净负荷平均增长率＞2.00%～7.00%时为1.70～1.89；年最大净负荷平均增长率＞7.00%～10.00%时为1.80～1.92。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所列持续时间及价格条件，容载比范围为：年最大净负荷平均增长率0.00%～2.00%时为2.03～2.51；年最大净负荷平均增长率＞2.00%～7.00%时为1.83～2.36；年最大净负荷平均增长率＞7.00%～10.00%时为1.80～2.07。具体取值按表内两类投资比及持续时间进一步定位，避免将不同经济条件下的配置混为一个推荐值。</w:t>
      </w:r>
    </w:p>
    <w:p>
      <w:pPr>
        <w:pStyle w:val="7"/>
        <w:keepNext/>
        <w:numPr>
          <w:numId w:val="0"/>
        </w:numPr>
        <w:spacing w:line="360" w:lineRule="exact" w:before="160" w:after="120"/>
        <w:ind w:firstLine="0"/>
      </w:pPr>
      <w:bookmarkStart w:id="256" w:name="a类供电区域负荷分散系数1.15电缆为主"/>
      <w:r>
        <w:rPr>
          <w:rFonts w:ascii="Times New Roman" w:hAnsi="Times New Roman" w:eastAsia="方正仿宋_GBK"/>
          <w:b/>
          <w:sz w:val="24"/>
        </w:rPr>
        <w:t xml:space="preserve">A类供电区域，负荷分散系数1.15，电缆为主</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该类站群初始单台主变容量为50 MVA，本节既有联络剩余可转负荷为0.00 MW。按分布式电源装机规模、负荷增长、持续时间和工程投资条件比较后，归纳为24组推荐范围，区间宽度中位数为0.20。表中对结果相同的相邻参数范围合并列示，使持续时间或相对价格变化没有引起容量调整的条件能够集中查阅。</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主变与线路单位功率投资比随线路造价变化，主变与储能单位功率投资比按3 h参考条件列示。查表时同时选择两类投资比，能够区分通过新增联络利用邻站容量、增加本地主变容量以及配置储能的不同经济条件。表内保留主变离散规格形成的容量变化，推荐区间均由相应方案的设备容量与目标年最大负荷计算。</w:t>
      </w:r>
    </w:p>
    <w:p>
      <w:pPr>
        <w:pStyle w:val="2"/>
        <w:keepNext/>
        <w:spacing w:line="280" w:lineRule="exact" w:before="120" w:after="80"/>
        <w:ind w:firstLine="0"/>
        <w:jc w:val="center"/>
      </w:pPr>
      <w:r>
        <w:rPr>
          <w:rFonts w:ascii="Times New Roman" w:hAnsi="Times New Roman" w:eastAsia="宋体"/>
          <w:b w:val="0"/>
          <w:sz w:val="21"/>
        </w:rPr>
        <w:t xml:space="preserve">表5-72 A类、负荷分散系数1.15的容载比推荐区间（电缆为主）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1.92～2.04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1.83～1.89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1.81～1.92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1.81～2.07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1.81～2.03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1.81～2.07</w:t>
            </w:r>
          </w:p>
        </w:tc>
      </w:tr>
    </w:tbl>
    <w:p>
      <w:pPr>
        <w:pStyle w:val="2"/>
        <w:widowControl/>
        <w:spacing w:line="348" w:lineRule="exact" w:before="0" w:after="0"/>
        <w:ind w:firstLine="480"/>
        <w:jc w:val="both"/>
      </w:pPr>
      <w:r>
        <w:rPr>
          <w:rFonts w:ascii="Times New Roman" w:hAnsi="Times New Roman" w:eastAsia="方正仿宋_GBK"/>
          <w:b w:val="0"/>
          <w:sz w:val="24"/>
        </w:rPr>
        <w:t xml:space="preserve">注：投资比均为无量纲量；容载比按MVA/MW计。相邻条件对应相同显示区间时合并列示，端点覆盖合并前全部计算结果。</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所列持续时间及价格条件，容载比范围为：年最大净负荷平均增长率0.00%～2.00%时为1.92～2.22；年最大净负荷平均增长率＞2.00%～7.00%时为1.83～2.06；年最大净负荷平均增长率＞7.00%～10.00%时为1.81～1.92。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所列持续时间及价格条件，容载比范围为：年最大净负荷平均增长率0.00%～2.00%时为1.92～2.22；年最大净负荷平均增长率＞2.00%～7.00%时为1.83～2.06；年最大净负荷平均增长率＞7.00%～10.00%时为1.81～1.92。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所列持续时间及价格条件，容载比范围为：年最大净负荷平均增长率0.00%～2.00%时为2.03～2.51；年最大净负荷平均增长率＞2.00%～7.00%时为1.83～2.32；年最大净负荷平均增长率＞7.00%～10.00%时为1.81～2.07。具体取值按表内两类投资比及持续时间进一步定位，避免将不同经济条件下的配置混为一个推荐值。</w:t>
      </w:r>
    </w:p>
    <w:p>
      <w:pPr>
        <w:pStyle w:val="7"/>
        <w:keepNext/>
        <w:numPr>
          <w:numId w:val="0"/>
        </w:numPr>
        <w:spacing w:line="360" w:lineRule="exact" w:before="160" w:after="120"/>
        <w:ind w:firstLine="0"/>
      </w:pPr>
      <w:bookmarkStart w:id="257" w:name="bc类供电区域负荷分散系数1.00电缆为主"/>
      <w:r>
        <w:rPr>
          <w:rFonts w:ascii="Times New Roman" w:hAnsi="Times New Roman" w:eastAsia="方正仿宋_GBK"/>
          <w:b/>
          <w:sz w:val="24"/>
        </w:rPr>
        <w:t xml:space="preserve">B/C类供电区域，负荷分散系数1.00，电缆为主</w:t>
      </w:r>
      <w:bookmarkEnd w:id="257"/>
    </w:p>
    <w:p>
      <w:pPr>
        <w:pStyle w:val="FirstParagraph"/>
        <w:widowControl/>
        <w:spacing w:line="348" w:lineRule="exact" w:before="0" w:after="0"/>
        <w:ind w:firstLine="480"/>
        <w:jc w:val="both"/>
      </w:pPr>
      <w:r>
        <w:rPr>
          <w:rFonts w:ascii="Times New Roman" w:hAnsi="Times New Roman" w:eastAsia="方正仿宋_GBK"/>
          <w:b w:val="0"/>
          <w:sz w:val="24"/>
        </w:rPr>
        <w:t xml:space="preserve">该类站群初始单台主变容量为40 MVA，本节既有联络剩余可转负荷为0.00 MW。按分布式电源装机规模、负荷增长、持续时间和工程投资条件比较后，归纳为20组推荐范围，区间宽度中位数为0.45。表中对结果相同的相邻参数范围合并列示，使持续时间或相对价格变化没有引起容量调整的条件能够集中查阅。</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主变与线路单位功率投资比随线路造价变化，主变与储能单位功率投资比按3 h参考条件列示。查表时同时选择两类投资比，能够区分通过新增联络利用邻站容量、增加本地主变容量以及配置储能的不同经济条件。表内保留主变离散规格形成的容量变化，推荐区间均由相应方案的设备容量与目标年最大负荷计算。</w:t>
      </w:r>
    </w:p>
    <w:p>
      <w:pPr>
        <w:pStyle w:val="2"/>
        <w:keepNext/>
        <w:spacing w:line="280" w:lineRule="exact" w:before="120" w:after="80"/>
        <w:ind w:firstLine="0"/>
        <w:jc w:val="center"/>
      </w:pPr>
      <w:r>
        <w:rPr>
          <w:rFonts w:ascii="Times New Roman" w:hAnsi="Times New Roman" w:eastAsia="宋体"/>
          <w:b w:val="0"/>
          <w:sz w:val="21"/>
        </w:rPr>
        <w:t xml:space="preserve">表5-73 B/C类、负荷分散系数1.00的容载比推荐区间（电缆为主）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1.83～1.88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1.83～1.92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1.75～2.38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1.71～2.38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1.82～2.28</w:t>
            </w:r>
          </w:p>
        </w:tc>
      </w:tr>
    </w:tbl>
    <w:p>
      <w:pPr>
        <w:pStyle w:val="2"/>
        <w:widowControl/>
        <w:spacing w:line="348" w:lineRule="exact" w:before="0" w:after="0"/>
        <w:ind w:firstLine="480"/>
        <w:jc w:val="both"/>
      </w:pPr>
      <w:r>
        <w:rPr>
          <w:rFonts w:ascii="Times New Roman" w:hAnsi="Times New Roman" w:eastAsia="方正仿宋_GBK"/>
          <w:b w:val="0"/>
          <w:sz w:val="24"/>
        </w:rPr>
        <w:t xml:space="preserve">注：投资比均为无量纲量；容载比按MVA/MW计。相邻条件对应相同显示区间时合并列示，端点覆盖合并前全部计算结果。</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所列持续时间及价格条件，容载比范围为：年最大净负荷平均增长率0.00%～2.00%时为1.84～2.00；年最大净负荷平均增长率＞2.00%～7.00%时为1.70～1.72；年最大净负荷平均增长率＞7.00%～10.00%时为1.83～1.88。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所列持续时间及价格条件，容载比范围为：年最大净负荷平均增长率0.00%～2.00%时为1.84～2.25；年最大净负荷平均增长率＞2.00%～7.00%时为1.70～1.93；年最大净负荷平均增长率＞7.00%～10.00%时为1.83～1.92。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所列持续时间及价格条件，容载比范围为：年最大净负荷平均增长率0.00%～2.00%时为2.07～2.57；年最大净负荷平均增长率＞2.00%～7.00%时为1.71～2.55；年最大净负荷平均增长率＞7.00%～10.00%时为1.82～2.28。具体取值按表内两类投资比及持续时间进一步定位，避免将不同经济条件下的配置混为一个推荐值。</w:t>
      </w:r>
    </w:p>
    <w:p>
      <w:pPr>
        <w:pStyle w:val="7"/>
        <w:keepNext/>
        <w:numPr>
          <w:numId w:val="0"/>
        </w:numPr>
        <w:spacing w:line="360" w:lineRule="exact" w:before="160" w:after="120"/>
        <w:ind w:firstLine="0"/>
      </w:pPr>
      <w:bookmarkStart w:id="258" w:name="bc类供电区域负荷分散系数1.15电缆为主"/>
      <w:r>
        <w:rPr>
          <w:rFonts w:ascii="Times New Roman" w:hAnsi="Times New Roman" w:eastAsia="方正仿宋_GBK"/>
          <w:b/>
          <w:sz w:val="24"/>
        </w:rPr>
        <w:t xml:space="preserve">B/C类供电区域，负荷分散系数1.15，电缆为主</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该类站群初始单台主变容量为40 MVA，本节既有联络剩余可转负荷为0.00 MW。按分布式电源装机规模、负荷增长、持续时间和工程投资条件比较后，归纳为37组推荐范围，区间宽度中位数为0.43。表中对结果相同的相邻参数范围合并列示，使持续时间或相对价格变化没有引起容量调整的条件能够集中查阅。</w:t>
      </w:r>
    </w:p>
    <w:p>
      <w:pPr>
        <w:pStyle w:val="2"/>
        <w:widowControl/>
        <w:spacing w:line="348" w:lineRule="exact" w:before="0" w:after="0"/>
        <w:ind w:firstLine="480"/>
        <w:jc w:val="both"/>
      </w:pPr>
      <w:r>
        <w:rPr>
          <w:rFonts w:ascii="Times New Roman" w:hAnsi="Times New Roman" w:eastAsia="方正仿宋_GBK"/>
          <w:b w:val="0"/>
          <w:sz w:val="24"/>
        </w:rPr>
        <w:t xml:space="preserve">主变与线路单位功率投资比随线路造价变化，主变与储能单位功率投资比按3 h参考条件列示。查表时同时选择两类投资比，能够区分通过新增联络利用邻站容量、增加本地主变容量以及配置储能的不同经济条件。表内保留主变离散规格形成的容量变化，推荐区间均由相应方案的设备容量与目标年最大负荷计算。</w:t>
      </w:r>
    </w:p>
    <w:p>
      <w:pPr>
        <w:pStyle w:val="2"/>
        <w:keepNext/>
        <w:spacing w:line="280" w:lineRule="exact" w:before="120" w:after="80"/>
        <w:ind w:firstLine="0"/>
        <w:jc w:val="center"/>
      </w:pPr>
      <w:r>
        <w:rPr>
          <w:rFonts w:ascii="Times New Roman" w:hAnsi="Times New Roman" w:eastAsia="宋体"/>
          <w:b w:val="0"/>
          <w:sz w:val="21"/>
        </w:rPr>
        <w:t xml:space="preserve">表5-74 B/C类、负荷分散系数1.15的容载比推荐区间（电缆为主）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1.90～1.93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1.83～1.88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1.82～2.23</w:t>
            </w:r>
          </w:p>
        </w:tc>
      </w:tr>
    </w:tbl>
    <w:p>
      <w:pPr>
        <w:pStyle w:val="2"/>
        <w:widowControl/>
        <w:spacing w:line="348" w:lineRule="exact" w:before="0" w:after="0"/>
        <w:ind w:firstLine="480"/>
        <w:jc w:val="both"/>
      </w:pPr>
      <w:r>
        <w:rPr>
          <w:rFonts w:ascii="Times New Roman" w:hAnsi="Times New Roman" w:eastAsia="方正仿宋_GBK"/>
          <w:b w:val="0"/>
          <w:sz w:val="24"/>
        </w:rPr>
        <w:t xml:space="preserve">注：投资比均为无量纲量；容载比按MVA/MW计。相邻条件对应相同显示区间时合并列示，端点覆盖合并前全部计算结果。</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0.00～1.00时，合并所列持续时间及价格条件，容载比范围为：年最大净负荷平均增长率0.00%～2.00%时为1.84～2.25；年最大净负荷平均增长率＞2.00%～7.00%时为1.90～2.14；年最大净负荷平均增长率＞7.00%～10.00%时为1.83～1.88。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1.00～2.00时，合并所列持续时间及价格条件，容载比范围为：年最大净负荷平均增长率0.00%～2.00%时为1.84～2.25；年最大净负荷平均增长率＞2.00%～7.00%时为1.90～2.14；年最大净负荷平均增长率＞7.00%～10.00%时为1.83～1.88。具体取值按表内两类投资比及持续时间进一步定位，避免将不同经济条件下的配置混为一个推荐值。</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2.00～3.00时，合并所列持续时间及价格条件，容载比范围为：年最大净负荷平均增长率0.00%～2.00%时为2.00～2.60；年最大净负荷平均增长率＞2.00%～7.00%时为1.90～2.55；年最大净负荷平均增长率＞7.00%～10.00%时为1.82～2.29。具体取值按表内两类投资比及持续时间进一步定位，避免将不同经济条件下的配置混为一个推荐值。</w:t>
      </w:r>
    </w:p>
    <w:p>
      <w:pPr>
        <w:pStyle w:val="2"/>
        <w:keepNext/>
        <w:spacing w:line="240" w:lineRule="auto" w:before="120" w:after="0"/>
        <w:ind w:firstLine="0"/>
        <w:jc w:val="center"/>
      </w:pPr>
      <w:r>
        <w:drawing>
          <wp:inline>
            <wp:extent cx="5120640" cy="465552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9"/>
                    <a:stretch>
                      <a:fillRect/>
                    </a:stretch>
                  </pic:blipFill>
                  <pic:spPr bwMode="auto">
                    <a:xfrm>
                      <a:off x="0" y="0"/>
                      <a:ext cx="5120640" cy="465552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图5-4 不同线路投资条件下的容载比变化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图中分布式电源装机渗透率取1.80，95%峰值持续时间取3 h，储能采用基准价格。四幅子图分别对应两类供电区域与两种负荷分散系数；曲线比较架空为主基准造价与电缆为主两种价格条件下的容载比。重合部分表示所选主变容量相同，分离部分表示线路经济条件改变了配置选择。</w:t>
      </w:r>
    </w:p>
    <w:p>
      <w:pPr>
        <w:pStyle w:val="2"/>
        <w:widowControl/>
        <w:spacing w:line="348" w:lineRule="exact" w:before="0" w:after="0"/>
        <w:ind w:firstLine="480"/>
        <w:jc w:val="both"/>
      </w:pPr>
      <w:r>
        <w:rPr>
          <w:rFonts w:ascii="Times New Roman" w:hAnsi="Times New Roman" w:eastAsia="方正仿宋_GBK"/>
          <w:b w:val="0"/>
          <w:sz w:val="24"/>
        </w:rPr>
        <w:t xml:space="preserve">全部技术经济情景按供电区域类别、负荷分散系数和线路类型展开，形成1296个包含线路价格条件的基础单元；合并相邻同区间条件后，正文列出186组推荐范围。合并保留各单元的完整计算结果和区间端点，逐点方案与合并前后对应关系见配套工作簿。</w:t>
      </w:r>
    </w:p>
    <w:p>
      <w:pPr>
        <w:pStyle w:val="5"/>
        <w:keepNext/>
        <w:numPr>
          <w:numId w:val="0"/>
        </w:numPr>
        <w:spacing w:line="390" w:lineRule="exact" w:before="160" w:after="120"/>
        <w:ind w:firstLine="0"/>
      </w:pPr>
      <w:bookmarkStart w:id="260" w:name="参数变化与容载比的关系"/>
      <w:r>
        <w:rPr>
          <w:rFonts w:ascii="Times New Roman" w:hAnsi="Times New Roman" w:eastAsia="方正仿宋_GBK"/>
          <w:b/>
          <w:sz w:val="26"/>
        </w:rPr>
        <w:t xml:space="preserve">5.6.4 参数变化与容载比的关系</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主变与线路单位功率投资比同时反映主变工程单位容量投资、线路工程造价和可转负荷。下表选取价格变化引起容量配置调整的一组典型条件：B/C类、负荷分散系数1.15、分布式电源装机渗透率1.80、年最大净负荷平均增长率0.00%、95%峰值持续时间3.00 h，储能价格为基准的1.00倍。两类线路保持相同技术能力，分别比较价格变化下的建设规模和费用，展示联络与主变扩容的替代过程。</w:t>
      </w:r>
    </w:p>
    <w:p>
      <w:pPr>
        <w:pStyle w:val="2"/>
        <w:keepNext/>
        <w:spacing w:line="280" w:lineRule="exact" w:before="120" w:after="80"/>
        <w:ind w:firstLine="0"/>
        <w:jc w:val="center"/>
      </w:pPr>
      <w:r>
        <w:rPr>
          <w:rFonts w:ascii="Times New Roman" w:hAnsi="Times New Roman" w:eastAsia="宋体"/>
          <w:b w:val="0"/>
          <w:sz w:val="21"/>
        </w:rPr>
        <w:t xml:space="preserve">表5-75 主变与线路单位功率投资比变化下的典型方案比较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930"/>
        <w:gridCol w:w="1054"/>
        <w:gridCol w:w="868"/>
        <w:gridCol w:w="1551"/>
        <w:gridCol w:w="1489"/>
        <w:gridCol w:w="992"/>
        <w:gridCol w:w="1427"/>
      </w:tblGrid>
      <w:tr>
        <w:trPr>
          <w:cantSplit/>
          <w:tblHeader/>
        </w:trPr>
        <w:tc>
          <w:tcPr>
            <w:tcW w:type="dxa" w:w="93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线路类型</w:t>
            </w:r>
          </w:p>
        </w:tc>
        <w:tc>
          <w:tcPr>
            <w:tcW w:type="dxa" w:w="1054"/>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线路价格倍数</w:t>
            </w:r>
          </w:p>
        </w:tc>
        <w:tc>
          <w:tcPr>
            <w:tcW w:type="dxa" w:w="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55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4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99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新增联络项目数/项</w:t>
            </w:r>
          </w:p>
        </w:tc>
        <w:tc>
          <w:tcPr>
            <w:tcW w:type="dxa" w:w="14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93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054"/>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0.75</w:t>
            </w:r>
          </w:p>
        </w:tc>
        <w:tc>
          <w:tcPr>
            <w:tcW w:type="dxa" w:w="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1.40</w:t>
            </w:r>
          </w:p>
        </w:tc>
        <w:tc>
          <w:tcPr>
            <w:tcW w:type="dxa" w:w="155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4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400.00</w:t>
            </w:r>
          </w:p>
        </w:tc>
        <w:tc>
          <w:tcPr>
            <w:tcW w:type="dxa" w:w="99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w:t>
            </w:r>
          </w:p>
        </w:tc>
        <w:tc>
          <w:tcPr>
            <w:tcW w:type="dxa" w:w="14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634.36</w:t>
            </w:r>
          </w:p>
        </w:tc>
      </w:tr>
      <w:tr>
        <w:trPr>
          <w:cantSplit/>
        </w:trPr>
        <w:tc>
          <w:tcPr>
            <w:tcW w:type="dxa" w:w="93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054"/>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1.05</w:t>
            </w:r>
          </w:p>
        </w:tc>
        <w:tc>
          <w:tcPr>
            <w:tcW w:type="dxa" w:w="155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4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400.00</w:t>
            </w:r>
          </w:p>
        </w:tc>
        <w:tc>
          <w:tcPr>
            <w:tcW w:type="dxa" w:w="99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w:t>
            </w:r>
          </w:p>
        </w:tc>
        <w:tc>
          <w:tcPr>
            <w:tcW w:type="dxa" w:w="14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845.82</w:t>
            </w:r>
          </w:p>
        </w:tc>
      </w:tr>
      <w:tr>
        <w:trPr>
          <w:cantSplit/>
        </w:trPr>
        <w:tc>
          <w:tcPr>
            <w:tcW w:type="dxa" w:w="93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054"/>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0.84</w:t>
            </w:r>
          </w:p>
        </w:tc>
        <w:tc>
          <w:tcPr>
            <w:tcW w:type="dxa" w:w="155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4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400.00</w:t>
            </w:r>
          </w:p>
        </w:tc>
        <w:tc>
          <w:tcPr>
            <w:tcW w:type="dxa" w:w="99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w:t>
            </w:r>
          </w:p>
        </w:tc>
        <w:tc>
          <w:tcPr>
            <w:tcW w:type="dxa" w:w="14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1057.27</w:t>
            </w:r>
          </w:p>
        </w:tc>
      </w:tr>
      <w:tr>
        <w:trPr>
          <w:cantSplit/>
        </w:trPr>
        <w:tc>
          <w:tcPr>
            <w:tcW w:type="dxa" w:w="93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电缆为主</w:t>
            </w:r>
          </w:p>
        </w:tc>
        <w:tc>
          <w:tcPr>
            <w:tcW w:type="dxa" w:w="1054"/>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0.75</w:t>
            </w:r>
          </w:p>
        </w:tc>
        <w:tc>
          <w:tcPr>
            <w:tcW w:type="dxa" w:w="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0.35</w:t>
            </w:r>
          </w:p>
        </w:tc>
        <w:tc>
          <w:tcPr>
            <w:tcW w:type="dxa" w:w="155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4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400.00</w:t>
            </w:r>
          </w:p>
        </w:tc>
        <w:tc>
          <w:tcPr>
            <w:tcW w:type="dxa" w:w="99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w:t>
            </w:r>
          </w:p>
        </w:tc>
        <w:tc>
          <w:tcPr>
            <w:tcW w:type="dxa" w:w="14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2246.95</w:t>
            </w:r>
          </w:p>
        </w:tc>
      </w:tr>
      <w:tr>
        <w:trPr>
          <w:cantSplit/>
        </w:trPr>
        <w:tc>
          <w:tcPr>
            <w:tcW w:type="dxa" w:w="930"/>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电缆为主</w:t>
            </w:r>
          </w:p>
        </w:tc>
        <w:tc>
          <w:tcPr>
            <w:tcW w:type="dxa" w:w="1054"/>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868"/>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0.26</w:t>
            </w:r>
          </w:p>
        </w:tc>
        <w:tc>
          <w:tcPr>
            <w:tcW w:type="dxa" w:w="155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2.25</w:t>
            </w:r>
          </w:p>
        </w:tc>
        <w:tc>
          <w:tcPr>
            <w:tcW w:type="dxa" w:w="148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992"/>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c>
          <w:tcPr>
            <w:tcW w:type="dxa" w:w="142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2829.88</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450.00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3192.38</w:t>
            </w:r>
          </w:p>
        </w:tc>
      </w:tr>
    </w:tbl>
    <w:p>
      <w:pPr>
        <w:pStyle w:val="2"/>
        <w:widowControl/>
        <w:spacing w:line="348" w:lineRule="exact" w:before="0" w:after="0"/>
        <w:ind w:firstLine="480"/>
        <w:jc w:val="both"/>
      </w:pPr>
      <w:r>
        <w:rPr>
          <w:rFonts w:ascii="Times New Roman" w:hAnsi="Times New Roman" w:eastAsia="方正仿宋_GBK"/>
          <w:b w:val="0"/>
          <w:sz w:val="24"/>
        </w:rPr>
        <w:t xml:space="preserve">主变价格保持不变时，线路价格降低会提高主变与线路单位功率投资比。为保持指标方向一致，配对分析按投资比从小到大列示：架空为主由约0.84增至1.40，电缆为主由约0.21增至0.35，分别对应线路价格由基准的1.25倍降至0.75倍。</w:t>
      </w:r>
    </w:p>
    <w:p>
      <w:pPr>
        <w:pStyle w:val="2"/>
        <w:keepNext/>
        <w:spacing w:line="280" w:lineRule="exact" w:before="120" w:after="80"/>
        <w:ind w:firstLine="0"/>
        <w:jc w:val="center"/>
      </w:pPr>
      <w:r>
        <w:rPr>
          <w:rFonts w:ascii="Times New Roman" w:hAnsi="Times New Roman" w:eastAsia="宋体"/>
          <w:b w:val="0"/>
          <w:sz w:val="21"/>
        </w:rPr>
        <w:t xml:space="preserve">表5-76 主变与线路单位功率投资比提高时的配对结果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供电区域类别</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线路类型</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投资比变化</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配对数</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容载比平均变化</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容载比变化情景占比</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费用现值平均变化/万元</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0.84→1.40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7.14%</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-242.68</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电缆为主</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0.21→0.35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16.05%</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-730.83</w:t>
            </w:r>
          </w:p>
        </w:tc>
      </w:tr>
      <w:tr>
        <w:trPr>
          <w:cantSplit/>
        </w:trPr>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B/C类</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0.84→1.40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-0.01</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6.90%</w:t>
            </w:r>
          </w:p>
        </w:tc>
        <w:tc>
          <w:tcPr>
            <w:tcW w:type="dxa" w:w="1187"/>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-232.19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-698.00</w:t>
            </w:r>
          </w:p>
        </w:tc>
      </w:tr>
    </w:tbl>
    <w:p>
      <w:pPr>
        <w:pStyle w:val="2"/>
        <w:widowControl/>
        <w:spacing w:line="348" w:lineRule="exact" w:before="0" w:after="0"/>
        <w:ind w:firstLine="480"/>
        <w:jc w:val="both"/>
      </w:pPr>
      <w:r>
        <w:rPr>
          <w:rFonts w:ascii="Times New Roman" w:hAnsi="Times New Roman" w:eastAsia="方正仿宋_GBK"/>
          <w:b w:val="0"/>
          <w:sz w:val="24"/>
        </w:rPr>
        <w:t xml:space="preserve">架空为主条件下，线路价格由基准的0.75倍升至1.25倍，新增联络由7项变为7项，公用主变总容量由400.00 MVA变为400.00 MVA，容载比由2.00变为2.00。电缆为主条件下，线路价格由基准的0.75倍升至1.25倍，新增联络由5项变为3项，公用主变总容量由400.00 MVA变为450.00 MVA，容载比由2.00变为2.25。联络造价提高后，利用邻站余量所需的新增线路费用上升，本地增容可能成为较经济的选择。上表用于说明配置发生切换时的工程关系，全部情景的响应比例见配对统计。</w:t>
      </w:r>
    </w:p>
    <w:p>
      <w:pPr>
        <w:pStyle w:val="2"/>
        <w:keepNext/>
        <w:spacing w:line="280" w:lineRule="exact" w:before="120" w:after="80"/>
        <w:ind w:firstLine="0"/>
        <w:jc w:val="center"/>
      </w:pPr>
      <w:r>
        <w:rPr>
          <w:rFonts w:ascii="Times New Roman" w:hAnsi="Times New Roman" w:eastAsia="宋体"/>
          <w:b w:val="0"/>
          <w:sz w:val="21"/>
        </w:rPr>
        <w:t xml:space="preserve">表5-77 固定其他条件时单参数端点变化的影响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变化参数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容载比平均变化</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最大绝对变化</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容载比变化情景占比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费用平均变化/万元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0.84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13122.80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3600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0.59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8319.37</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10.26%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1763.29</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线路价格倍数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12.73%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475.93</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11.01%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1326.30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30.29%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1244.26</w:t>
            </w:r>
          </w:p>
        </w:tc>
      </w:tr>
    </w:tbl>
    <w:p>
      <w:pPr>
        <w:pStyle w:val="2"/>
        <w:widowControl/>
        <w:spacing w:line="348" w:lineRule="exact" w:before="0" w:after="0"/>
        <w:ind w:firstLine="480"/>
        <w:jc w:val="both"/>
      </w:pPr>
      <w:r>
        <w:rPr>
          <w:rFonts w:ascii="Times New Roman" w:hAnsi="Times New Roman" w:eastAsia="方正仿宋_GBK"/>
          <w:b w:val="0"/>
          <w:sz w:val="24"/>
        </w:rPr>
        <w:t xml:space="preserve">参数作用采用端点配对分析，固定其余条件，仅比较该参数最小值与最大值，线路类型则比较电缆为主与架空为主。数值输入按全组合交叉设置；供电区域类别同时关联初始主变规格与站间可转负荷上限，二者的影响在本次分类条件下共同体现。源荷比与分布式电源电量渗透率保留换算关系。表中平均变化为全部配对的端点差值均值，不能解读为每增加一个参数步长的响应或全过程单调变化。</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分布式电源装机渗透率增加后，反向净负荷可能成为主变或储能的约束条件。反向压力的变化还取决于本地用户负荷和电源分布，矩阵保留不同站群与空间分配的计算结果。</w:t>
      </w:r>
    </w:p>
    <w:p>
      <w:pPr>
        <w:pStyle w:val="2"/>
        <w:widowControl/>
        <w:spacing w:line="348" w:lineRule="exact" w:before="0" w:after="0"/>
        <w:ind w:firstLine="480"/>
        <w:jc w:val="both"/>
      </w:pPr>
      <w:r>
        <w:rPr>
          <w:rFonts w:ascii="Times New Roman" w:hAnsi="Times New Roman" w:eastAsia="方正仿宋_GBK"/>
          <w:b w:val="0"/>
          <w:sz w:val="24"/>
        </w:rPr>
        <w:t xml:space="preserve">配对结果中，分布式电源装机渗透率从0.00增至3.00，容载比平均变化为0.40；年最大净负荷平均增长率从0.00%增至10.00%，对应平均变化为-0.27。95%峰值持续时间和储能价格的端点变化分别使10.26%和11.01%的配对容载比发生变化。负荷增长同时扩大容载比分母，容量需求需结合主变在役规模共同分析。</w:t>
      </w:r>
    </w:p>
    <w:p>
      <w:pPr>
        <w:pStyle w:val="2"/>
        <w:widowControl/>
        <w:spacing w:line="348" w:lineRule="exact" w:before="0" w:after="0"/>
        <w:ind w:firstLine="480"/>
        <w:jc w:val="both"/>
      </w:pPr>
      <w:r>
        <w:rPr>
          <w:rFonts w:ascii="Times New Roman" w:hAnsi="Times New Roman" w:eastAsia="方正仿宋_GBK"/>
          <w:b w:val="0"/>
          <w:sz w:val="24"/>
        </w:rPr>
        <w:t xml:space="preserve">线路价格从0.75倍提高至1.25倍，有12.73%的配对容载比发生变化，最大绝对变化为0.25；线路由架空为主改为电缆为主时，变化比例为30.29%。相对投资影响配置的条件主要出现在本地存在容量缺口、邻站能够承接且新增线路与增容费用相近的组合中。当主变主要受反向功率约束，或已选线路与主变组合在所考察价格范围内仍具有费用优势时，价格变化可能只改变费用或保持原配置。</w:t>
      </w:r>
    </w:p>
    <w:p>
      <w:pPr>
        <w:pStyle w:val="2"/>
        <w:widowControl/>
        <w:spacing w:line="348" w:lineRule="exact" w:before="0" w:after="0"/>
        <w:ind w:firstLine="480"/>
        <w:jc w:val="both"/>
      </w:pPr>
      <w:r>
        <w:rPr>
          <w:rFonts w:ascii="Times New Roman" w:hAnsi="Times New Roman" w:eastAsia="方正仿宋_GBK"/>
          <w:b w:val="0"/>
          <w:sz w:val="24"/>
        </w:rPr>
        <w:t xml:space="preserve">在能量受限时，峰值持续时间延长会降低储能柜可持续的充放电功率，使储能与主变的相对经济性改变。新建联络提升转供能力时，转出站、承接站的容量及已建线路能力共同约束可转负荷。</w:t>
      </w:r>
    </w:p>
    <w:p>
      <w:pPr>
        <w:pStyle w:val="2"/>
        <w:widowControl/>
        <w:spacing w:line="348" w:lineRule="exact" w:before="0" w:after="0"/>
        <w:ind w:firstLine="480"/>
        <w:jc w:val="both"/>
      </w:pPr>
      <w:r>
        <w:rPr>
          <w:rFonts w:ascii="Times New Roman" w:hAnsi="Times New Roman" w:eastAsia="方正仿宋_GBK"/>
          <w:b w:val="0"/>
          <w:sz w:val="24"/>
        </w:rPr>
        <w:t xml:space="preserve">负荷增长一方面降低既有容量对应的容载比，另一方面触发新的容量配置。增长档位、主变离散规格及建设时序共同决定最终值。矩阵按增长参数分档，案例则以逐年结果解释这些变化。</w:t>
      </w:r>
    </w:p>
    <w:p>
      <w:pPr>
        <w:pStyle w:val="5"/>
        <w:keepNext/>
        <w:numPr>
          <w:numId w:val="0"/>
        </w:numPr>
        <w:spacing w:line="390" w:lineRule="exact" w:before="160" w:after="120"/>
        <w:ind w:firstLine="0"/>
      </w:pPr>
      <w:bookmarkStart w:id="261" w:name="分布式电源装机规模与双向容量需求"/>
      <w:r>
        <w:rPr>
          <w:rFonts w:ascii="Times New Roman" w:hAnsi="Times New Roman" w:eastAsia="方正仿宋_GBK"/>
          <w:b/>
          <w:sz w:val="26"/>
        </w:rPr>
        <w:t xml:space="preserve">5.6.5 分布式电源装机规模与双向容量需求</w:t>
      </w:r>
      <w:bookmarkEnd w:id="261"/>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直接联系电源装机规模和用户最大负荷。分类推荐表将相邻装机水平合并为便于查阅的范围，本节进一步列出离散计算点，观察装机规模增加后主变、储能及费用的变化。为便于比较，年最大净负荷平均增长率统一取4.00%，95%峰值持续时间取3 h，线路采用架空为主，线路与储能均取基准价格。各组只改变分布式电源装机渗透率，供电区域类别与负荷分散系数分别列示。</w:t>
      </w:r>
    </w:p>
    <w:p>
      <w:pPr>
        <w:pStyle w:val="2"/>
        <w:widowControl/>
        <w:spacing w:line="348" w:lineRule="exact" w:before="0" w:after="0"/>
        <w:ind w:firstLine="480"/>
        <w:jc w:val="both"/>
      </w:pPr>
      <w:r>
        <w:rPr>
          <w:rFonts w:ascii="Times New Roman" w:hAnsi="Times New Roman" w:eastAsia="方正仿宋_GBK"/>
          <w:b w:val="0"/>
          <w:sz w:val="24"/>
        </w:rPr>
        <w:t xml:space="preserve">电源规模较小时，夜间正向负荷和主变N-1通常是容量配置的重要条件。光伏装机增加后，日间用户负荷能够吸收部分本地出力，其余电量需经主变反向输送。当反向功率幅值超过已有设备及储能能够承担的水平时，建设组合可能改变。不同站点电源和负荷的分配不完全相同，因此区域分布式电源装机渗透率相同仍可能出现不同的局部容量需求。</w:t>
      </w:r>
    </w:p>
    <w:p>
      <w:pPr>
        <w:pStyle w:val="7"/>
        <w:keepNext/>
        <w:numPr>
          <w:numId w:val="0"/>
        </w:numPr>
        <w:spacing w:line="360" w:lineRule="exact" w:before="160" w:after="120"/>
        <w:ind w:firstLine="0"/>
      </w:pPr>
      <w:bookmarkStart w:id="262" w:name="a类供电区域负荷分散系数1.00"/>
      <w:r>
        <w:rPr>
          <w:rFonts w:ascii="Times New Roman" w:hAnsi="Times New Roman" w:eastAsia="方正仿宋_GBK"/>
          <w:b/>
          <w:sz w:val="24"/>
        </w:rPr>
        <w:t xml:space="preserve">A类供电区域，负荷分散系数1.00</w:t>
      </w:r>
      <w:bookmarkEnd w:id="262"/>
    </w:p>
    <w:p>
      <w:pPr>
        <w:pStyle w:val="FirstParagraph"/>
        <w:keepNext/>
        <w:spacing w:line="280" w:lineRule="exact" w:before="120" w:after="80"/>
        <w:ind w:firstLine="0"/>
        <w:jc w:val="center"/>
      </w:pPr>
      <w:r>
        <w:rPr>
          <w:rFonts w:ascii="Times New Roman" w:hAnsi="Times New Roman" w:eastAsia="宋体"/>
          <w:b w:val="0"/>
          <w:sz w:val="21"/>
        </w:rPr>
        <w:t xml:space="preserve">表5-78 A类、负荷分散系数1.00的光伏装机情景比较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604.16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604.16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604.16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604.16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604.16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4315.79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13460.72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639.00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20113.26</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分布式电源装机渗透率由0.00增加到3.00，容载比由1.71变为2.18；公用主变总容量由500.00 MVA变为639.00 MVA。储能额定功率分别为0.00 MW和62.50 MW，评价期费用现值由604.16万元变为20113.26万元。增长率固定，容载比分母保持一致，差异来自容量配置调整。</w:t>
      </w:r>
    </w:p>
    <w:p>
      <w:pPr>
        <w:pStyle w:val="2"/>
        <w:widowControl/>
        <w:spacing w:line="348" w:lineRule="exact" w:before="0" w:after="0"/>
        <w:ind w:firstLine="480"/>
        <w:jc w:val="both"/>
      </w:pPr>
      <w:r>
        <w:rPr>
          <w:rFonts w:ascii="Times New Roman" w:hAnsi="Times New Roman" w:eastAsia="方正仿宋_GBK"/>
          <w:b w:val="0"/>
          <w:sz w:val="24"/>
        </w:rPr>
        <w:t xml:space="preserve">各计算点按同一设备候选和经济评价方法进行比选。容量配置是否变化，取决于当前措施能否继续满足正常运行、主变停运和反向功率要求。既有设备仍有余量时，参数变化可以不增加主变容量；需要新增措施时，则同时比较增容、储能及联络建设的费用。</w:t>
      </w:r>
    </w:p>
    <w:p>
      <w:pPr>
        <w:pStyle w:val="2"/>
        <w:widowControl/>
        <w:spacing w:line="348" w:lineRule="exact"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7"/>
        <w:keepNext/>
        <w:numPr>
          <w:numId w:val="0"/>
        </w:numPr>
        <w:spacing w:line="360" w:lineRule="exact" w:before="160" w:after="120"/>
        <w:ind w:firstLine="0"/>
      </w:pPr>
      <w:bookmarkStart w:id="263" w:name="a类供电区域负荷分散系数1.15"/>
      <w:r>
        <w:rPr>
          <w:rFonts w:ascii="Times New Roman" w:hAnsi="Times New Roman" w:eastAsia="方正仿宋_GBK"/>
          <w:b/>
          <w:sz w:val="24"/>
        </w:rPr>
        <w:t xml:space="preserve">A类供电区域，负荷分散系数1.15</w:t>
      </w:r>
      <w:bookmarkEnd w:id="263"/>
    </w:p>
    <w:p>
      <w:pPr>
        <w:pStyle w:val="FirstParagraph"/>
        <w:keepNext/>
        <w:spacing w:line="280" w:lineRule="exact" w:before="120" w:after="80"/>
        <w:ind w:firstLine="0"/>
        <w:jc w:val="center"/>
      </w:pPr>
      <w:r>
        <w:rPr>
          <w:rFonts w:ascii="Times New Roman" w:hAnsi="Times New Roman" w:eastAsia="宋体"/>
          <w:b w:val="0"/>
          <w:sz w:val="21"/>
        </w:rPr>
        <w:t xml:space="preserve">表5-79 A类、负荷分散系数1.15的光伏装机情景比较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1329.14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1329.14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1329.14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1329.14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1329.14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4295.41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10800.86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16449.13</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分布式电源装机渗透率由0.00增加到3.00，容载比由1.71变为2.14；公用主变总容量由500.00 MVA变为626.00 MVA。储能额定功率分别为0.00 MW和50.50 MW，评价期费用现值由1329.14万元变为16449.13万元。增长率固定，容载比分母保持一致，差异来自容量配置调整。</w:t>
      </w:r>
    </w:p>
    <w:p>
      <w:pPr>
        <w:pStyle w:val="2"/>
        <w:widowControl/>
        <w:spacing w:line="348" w:lineRule="exact" w:before="0" w:after="0"/>
        <w:ind w:firstLine="480"/>
        <w:jc w:val="both"/>
      </w:pPr>
      <w:r>
        <w:rPr>
          <w:rFonts w:ascii="Times New Roman" w:hAnsi="Times New Roman" w:eastAsia="方正仿宋_GBK"/>
          <w:b w:val="0"/>
          <w:sz w:val="24"/>
        </w:rPr>
        <w:t xml:space="preserve">各计算点按同一设备候选和经济评价方法进行比选。容量配置是否变化，取决于当前措施能否继续满足正常运行、主变停运和反向功率要求。既有设备仍有余量时，参数变化可以不增加主变容量；需要新增措施时，则同时比较增容、储能及联络建设的费用。</w:t>
      </w:r>
    </w:p>
    <w:p>
      <w:pPr>
        <w:pStyle w:val="2"/>
        <w:widowControl/>
        <w:spacing w:line="348" w:lineRule="exact"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7"/>
        <w:keepNext/>
        <w:numPr>
          <w:numId w:val="0"/>
        </w:numPr>
        <w:spacing w:line="360" w:lineRule="exact" w:before="160" w:after="120"/>
        <w:ind w:firstLine="0"/>
      </w:pPr>
      <w:bookmarkStart w:id="264" w:name="bc类供电区域负荷分散系数1.00"/>
      <w:r>
        <w:rPr>
          <w:rFonts w:ascii="Times New Roman" w:hAnsi="Times New Roman" w:eastAsia="方正仿宋_GBK"/>
          <w:b/>
          <w:sz w:val="24"/>
        </w:rPr>
        <w:t xml:space="preserve">B/C类供电区域，负荷分散系数1.00</w:t>
      </w:r>
      <w:bookmarkEnd w:id="264"/>
    </w:p>
    <w:p>
      <w:pPr>
        <w:pStyle w:val="FirstParagraph"/>
        <w:keepNext/>
        <w:spacing w:line="280" w:lineRule="exact" w:before="120" w:after="80"/>
        <w:ind w:firstLine="0"/>
        <w:jc w:val="center"/>
      </w:pPr>
      <w:r>
        <w:rPr>
          <w:rFonts w:ascii="Times New Roman" w:hAnsi="Times New Roman" w:eastAsia="宋体"/>
          <w:b w:val="0"/>
          <w:sz w:val="21"/>
        </w:rPr>
        <w:t xml:space="preserve">表5-80 B/C类、负荷分散系数1.00的光伏装机情景比较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483.33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483.33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483.33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483.33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483.33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1661.40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2959.79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5201.43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6357.78</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分布式电源装机渗透率由0.00增加到3.00，容载比由1.71变为2.38；公用主变总容量由400.00 MVA变为556.00 MVA。储能额定功率分别为0.00 MW和0.30 MW，评价期费用现值由483.33万元变为6357.78万元。增长率固定，容载比分母保持一致，差异来自容量配置调整。</w:t>
      </w:r>
    </w:p>
    <w:p>
      <w:pPr>
        <w:pStyle w:val="2"/>
        <w:widowControl/>
        <w:spacing w:line="348" w:lineRule="exact" w:before="0" w:after="0"/>
        <w:ind w:firstLine="480"/>
        <w:jc w:val="both"/>
      </w:pPr>
      <w:r>
        <w:rPr>
          <w:rFonts w:ascii="Times New Roman" w:hAnsi="Times New Roman" w:eastAsia="方正仿宋_GBK"/>
          <w:b w:val="0"/>
          <w:sz w:val="24"/>
        </w:rPr>
        <w:t xml:space="preserve">各计算点按同一设备候选和经济评价方法进行比选。容量配置是否变化，取决于当前措施能否继续满足正常运行、主变停运和反向功率要求。既有设备仍有余量时，参数变化可以不增加主变容量；需要新增措施时，则同时比较增容、储能及联络建设的费用。</w:t>
      </w:r>
    </w:p>
    <w:p>
      <w:pPr>
        <w:pStyle w:val="2"/>
        <w:widowControl/>
        <w:spacing w:line="348" w:lineRule="exact"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7"/>
        <w:keepNext/>
        <w:numPr>
          <w:numId w:val="0"/>
        </w:numPr>
        <w:spacing w:line="360" w:lineRule="exact" w:before="160" w:after="120"/>
        <w:ind w:firstLine="0"/>
      </w:pPr>
      <w:bookmarkStart w:id="265" w:name="bc类供电区域负荷分散系数1.15"/>
      <w:r>
        <w:rPr>
          <w:rFonts w:ascii="Times New Roman" w:hAnsi="Times New Roman" w:eastAsia="方正仿宋_GBK"/>
          <w:b/>
          <w:sz w:val="24"/>
        </w:rPr>
        <w:t xml:space="preserve">B/C类供电区域，负荷分散系数1.15</w:t>
      </w:r>
      <w:bookmarkEnd w:id="265"/>
    </w:p>
    <w:p>
      <w:pPr>
        <w:pStyle w:val="FirstParagraph"/>
        <w:keepNext/>
        <w:spacing w:line="280" w:lineRule="exact" w:before="120" w:after="80"/>
        <w:ind w:firstLine="0"/>
        <w:jc w:val="center"/>
      </w:pPr>
      <w:r>
        <w:rPr>
          <w:rFonts w:ascii="Times New Roman" w:hAnsi="Times New Roman" w:eastAsia="宋体"/>
          <w:b w:val="0"/>
          <w:sz w:val="21"/>
        </w:rPr>
        <w:t xml:space="preserve">表5-81 B/C类、负荷分散系数1.15的光伏装机情景比较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2919.04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5039.00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6161.42</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分布式电源装机渗透率由0.00增加到3.00，容载比由1.71变为2.33；公用主变总容量由400.00 MVA变为546.00 MVA。储能额定功率分别为3.30 MW和3.70 MW，评价期费用现值由1804.38万元变为6161.42万元。增长率固定，容载比分母保持一致，差异来自容量配置调整。</w:t>
      </w:r>
    </w:p>
    <w:p>
      <w:pPr>
        <w:pStyle w:val="2"/>
        <w:widowControl/>
        <w:spacing w:line="348" w:lineRule="exact" w:before="0" w:after="0"/>
        <w:ind w:firstLine="480"/>
        <w:jc w:val="both"/>
      </w:pPr>
      <w:r>
        <w:rPr>
          <w:rFonts w:ascii="Times New Roman" w:hAnsi="Times New Roman" w:eastAsia="方正仿宋_GBK"/>
          <w:b w:val="0"/>
          <w:sz w:val="24"/>
        </w:rPr>
        <w:t xml:space="preserve">各计算点按同一设备候选和经济评价方法进行比选。容量配置是否变化，取决于当前措施能否继续满足正常运行、主变停运和反向功率要求。既有设备仍有余量时，参数变化可以不增加主变容量；需要新增措施时，则同时比较增容、储能及联络建设的费用。</w:t>
      </w:r>
    </w:p>
    <w:p>
      <w:pPr>
        <w:pStyle w:val="2"/>
        <w:widowControl/>
        <w:spacing w:line="348" w:lineRule="exact"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5"/>
        <w:keepNext/>
        <w:numPr>
          <w:numId w:val="0"/>
        </w:numPr>
        <w:spacing w:line="390" w:lineRule="exact" w:before="160" w:after="120"/>
        <w:ind w:firstLine="0"/>
      </w:pPr>
      <w:bookmarkStart w:id="266" w:name="负荷增长容量储备与目标年容载比"/>
      <w:r>
        <w:rPr>
          <w:rFonts w:ascii="Times New Roman" w:hAnsi="Times New Roman" w:eastAsia="方正仿宋_GBK"/>
          <w:b/>
          <w:sz w:val="26"/>
        </w:rPr>
        <w:t xml:space="preserve">5.6.6 负荷增长、容量储备与目标年容载比</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同时影响目标年负荷和建设规模。基期设备一定时，负荷增长会消耗原有容量储备；当局部供电能力不足时，又会触发主变增容、扩建或储能配置。因此，目标年容载比与负荷增长率的关系由分母增长和分子扩建共同形成。不能仅凭容载比下降判断容量建设减少。</w:t>
      </w:r>
    </w:p>
    <w:p>
      <w:pPr>
        <w:pStyle w:val="2"/>
        <w:widowControl/>
        <w:spacing w:line="348" w:lineRule="exact" w:before="0" w:after="0"/>
        <w:ind w:firstLine="480"/>
        <w:jc w:val="both"/>
      </w:pPr>
      <w:r>
        <w:rPr>
          <w:rFonts w:ascii="Times New Roman" w:hAnsi="Times New Roman" w:eastAsia="方正仿宋_GBK"/>
          <w:b w:val="0"/>
          <w:sz w:val="24"/>
        </w:rPr>
        <w:t xml:space="preserve">本节固定分布式电源装机渗透率1.80、95%峰值持续时间3 h，线路采用架空为主，线路与储能均取基准价格，列出七种增长情景。年网供最大负荷按各类站群的基期负荷及四年增长关系计算，主变容量和储能功率采用对应寻优结果。各表同时列出容量与负荷，以说明比值变化的来源。</w:t>
      </w:r>
    </w:p>
    <w:p>
      <w:pPr>
        <w:pStyle w:val="7"/>
        <w:keepNext/>
        <w:numPr>
          <w:numId w:val="0"/>
        </w:numPr>
        <w:spacing w:line="360" w:lineRule="exact" w:before="160" w:after="120"/>
        <w:ind w:firstLine="0"/>
      </w:pPr>
      <w:bookmarkStart w:id="267" w:name="a类供电区域负荷分散系数1.00-1"/>
      <w:r>
        <w:rPr>
          <w:rFonts w:ascii="Times New Roman" w:hAnsi="Times New Roman" w:eastAsia="方正仿宋_GBK"/>
          <w:b/>
          <w:sz w:val="24"/>
        </w:rPr>
        <w:t xml:space="preserve">A类供电区域，负荷分散系数1.00</w:t>
      </w:r>
      <w:bookmarkEnd w:id="267"/>
    </w:p>
    <w:p>
      <w:pPr>
        <w:pStyle w:val="FirstParagraph"/>
        <w:keepNext/>
        <w:spacing w:line="280" w:lineRule="exact" w:before="120" w:after="80"/>
        <w:ind w:firstLine="0"/>
        <w:jc w:val="center"/>
      </w:pPr>
      <w:r>
        <w:rPr>
          <w:rFonts w:ascii="Times New Roman" w:hAnsi="Times New Roman" w:eastAsia="宋体"/>
          <w:b w:val="0"/>
          <w:sz w:val="21"/>
        </w:rPr>
        <w:t xml:space="preserve">表5-82 A类、负荷分散系数1.00的增长情景比较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513.00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1441.46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260.15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513.00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1540.57</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270.61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292.46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327.70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3122.31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340.12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613.00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4300.38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366.03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5680.29</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年最大净负荷平均增长率由0.00%提高至10.00%，年网供最大负荷由250.00 MW增至366.03 MW；公用主变总容量由513.00 MVA变为663.00 MVA，容载比由2.05变为1.81。评价期费用现值由1441.46万元变为5680.29万元。负荷增长与整台主变投运的变化幅度不同，容载比随两者共同变化。</w:t>
      </w:r>
    </w:p>
    <w:p>
      <w:pPr>
        <w:pStyle w:val="2"/>
        <w:widowControl/>
        <w:spacing w:line="348" w:lineRule="exact"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7"/>
        <w:keepNext/>
        <w:numPr>
          <w:numId w:val="0"/>
        </w:numPr>
        <w:spacing w:line="360" w:lineRule="exact" w:before="160" w:after="120"/>
        <w:ind w:firstLine="0"/>
      </w:pPr>
      <w:bookmarkStart w:id="268" w:name="a类供电区域负荷分散系数1.15-1"/>
      <w:r>
        <w:rPr>
          <w:rFonts w:ascii="Times New Roman" w:hAnsi="Times New Roman" w:eastAsia="方正仿宋_GBK"/>
          <w:b/>
          <w:sz w:val="24"/>
        </w:rPr>
        <w:t xml:space="preserve">A类供电区域，负荷分散系数1.15</w:t>
      </w:r>
      <w:bookmarkEnd w:id="268"/>
    </w:p>
    <w:p>
      <w:pPr>
        <w:pStyle w:val="FirstParagraph"/>
        <w:keepNext/>
        <w:spacing w:line="280" w:lineRule="exact" w:before="120" w:after="80"/>
        <w:ind w:firstLine="0"/>
        <w:jc w:val="center"/>
      </w:pPr>
      <w:r>
        <w:rPr>
          <w:rFonts w:ascii="Times New Roman" w:hAnsi="Times New Roman" w:eastAsia="宋体"/>
          <w:b w:val="0"/>
          <w:sz w:val="21"/>
        </w:rPr>
        <w:t xml:space="preserve">表5-83 A类、负荷分散系数1.15的增长情景比较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966.65</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260.15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1391.62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270.61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1971.85</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292.46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327.70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3363.97</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340.12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4502.21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366.03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5921.95</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年最大净负荷平均增长率由0.00%提高至10.00%，年网供最大负荷由250.00 MW增至366.03 MW；公用主变总容量由500.00 MVA变为663.00 MVA，容载比由2.00变为1.81。评价期费用现值由966.65万元变为5921.95万元。负荷增长与整台主变投运的变化幅度不同，容载比随两者共同变化。</w:t>
      </w:r>
    </w:p>
    <w:p>
      <w:pPr>
        <w:pStyle w:val="2"/>
        <w:widowControl/>
        <w:spacing w:line="348" w:lineRule="exact"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7"/>
        <w:keepNext/>
        <w:numPr>
          <w:numId w:val="0"/>
        </w:numPr>
        <w:spacing w:line="360" w:lineRule="exact" w:before="160" w:after="120"/>
        <w:ind w:firstLine="0"/>
      </w:pPr>
      <w:bookmarkStart w:id="269" w:name="bc类供电区域负荷分散系数1.00-1"/>
      <w:r>
        <w:rPr>
          <w:rFonts w:ascii="Times New Roman" w:hAnsi="Times New Roman" w:eastAsia="方正仿宋_GBK"/>
          <w:b/>
          <w:sz w:val="24"/>
        </w:rPr>
        <w:t xml:space="preserve">B/C类供电区域，负荷分散系数1.00</w:t>
      </w:r>
      <w:bookmarkEnd w:id="269"/>
    </w:p>
    <w:p>
      <w:pPr>
        <w:pStyle w:val="FirstParagraph"/>
        <w:keepNext/>
        <w:spacing w:line="280" w:lineRule="exact" w:before="120" w:after="80"/>
        <w:ind w:firstLine="0"/>
        <w:jc w:val="center"/>
      </w:pPr>
      <w:r>
        <w:rPr>
          <w:rFonts w:ascii="Times New Roman" w:hAnsi="Times New Roman" w:eastAsia="宋体"/>
          <w:b w:val="0"/>
          <w:sz w:val="21"/>
        </w:rPr>
        <w:t xml:space="preserve">表5-84 B/C类、负荷分散系数1.00的增长情景比较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1176.64</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208.12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1285.26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216.49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1540.57</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233.97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1661.40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262.16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1863.23</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272.10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3122.31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4381.38</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年最大净负荷平均增长率由0.00%提高至10.00%，年网供最大负荷由200.00 MW增至292.82 MW；公用主变总容量由410.00 MVA变为550.00 MVA，容载比由2.05变为1.88。评价期费用现值由1176.64万元变为4381.38万元。负荷增长与整台主变投运的变化幅度不同，容载比随两者共同变化。</w:t>
      </w:r>
    </w:p>
    <w:p>
      <w:pPr>
        <w:pStyle w:val="2"/>
        <w:widowControl/>
        <w:spacing w:line="348" w:lineRule="exact"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7"/>
        <w:keepNext/>
        <w:numPr>
          <w:numId w:val="0"/>
        </w:numPr>
        <w:spacing w:line="360" w:lineRule="exact" w:before="160" w:after="120"/>
        <w:ind w:firstLine="0"/>
      </w:pPr>
      <w:bookmarkStart w:id="270" w:name="bc类供电区域负荷分散系数1.15-1"/>
      <w:r>
        <w:rPr>
          <w:rFonts w:ascii="Times New Roman" w:hAnsi="Times New Roman" w:eastAsia="方正仿宋_GBK"/>
          <w:b/>
          <w:sz w:val="24"/>
        </w:rPr>
        <w:t xml:space="preserve">B/C类供电区域，负荷分散系数1.15</w:t>
      </w:r>
      <w:bookmarkEnd w:id="270"/>
    </w:p>
    <w:p>
      <w:pPr>
        <w:pStyle w:val="FirstParagraph"/>
        <w:keepNext/>
        <w:spacing w:line="280" w:lineRule="exact" w:before="120" w:after="80"/>
        <w:ind w:firstLine="0"/>
        <w:jc w:val="center"/>
      </w:pPr>
      <w:r>
        <w:rPr>
          <w:rFonts w:ascii="Times New Roman" w:hAnsi="Times New Roman" w:eastAsia="宋体"/>
          <w:b w:val="0"/>
          <w:sz w:val="21"/>
        </w:rPr>
        <w:t xml:space="preserve">表5-85 B/C类、负荷分散系数1.15的增长情景比较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845.82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208.12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1227.34</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216.49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1.89</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1780.80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233.97</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262.16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2225.73</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272.10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3363.97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4623.04</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年最大净负荷平均增长率由0.00%提高至10.00%，年网供最大负荷由200.00 MW增至292.82 MW；公用主变总容量由400.00 MVA变为550.00 MVA，容载比由2.00变为1.88。评价期费用现值由845.82万元变为4623.04万元。负荷增长与整台主变投运的变化幅度不同，容载比随两者共同变化。</w:t>
      </w:r>
    </w:p>
    <w:p>
      <w:pPr>
        <w:pStyle w:val="2"/>
        <w:widowControl/>
        <w:spacing w:line="348" w:lineRule="exact"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5"/>
        <w:keepNext/>
        <w:numPr>
          <w:numId w:val="0"/>
        </w:numPr>
        <w:spacing w:line="390" w:lineRule="exact" w:before="160" w:after="120"/>
        <w:ind w:firstLine="0"/>
      </w:pPr>
      <w:bookmarkStart w:id="271" w:name="峰值持续时间与储能配置变化"/>
      <w:r>
        <w:rPr>
          <w:rFonts w:ascii="Times New Roman" w:hAnsi="Times New Roman" w:eastAsia="方正仿宋_GBK"/>
          <w:b/>
          <w:sz w:val="26"/>
        </w:rPr>
        <w:t xml:space="preserve">5.6.7 峰值持续时间与储能配置变化</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储能需要同时满足功率和能量要求。对100 kW/215 kWh单柜设备，较短持续时间首先受到额定功率限制，持续时间延长后逐步转为能量限制。储能用于承担持续供电缺口时，所需柜数随持续时间增加；主变容量在相应运行条件下则不按储能能量消耗方式衰减。因此，持续时间改变了两类措施的经济替代关系。</w:t>
      </w:r>
    </w:p>
    <w:p>
      <w:pPr>
        <w:pStyle w:val="2"/>
        <w:widowControl/>
        <w:spacing w:line="348" w:lineRule="exact" w:before="0" w:after="0"/>
        <w:ind w:firstLine="480"/>
        <w:jc w:val="both"/>
      </w:pPr>
      <w:r>
        <w:rPr>
          <w:rFonts w:ascii="Times New Roman" w:hAnsi="Times New Roman" w:eastAsia="方正仿宋_GBK"/>
          <w:b w:val="0"/>
          <w:sz w:val="24"/>
        </w:rPr>
        <w:t xml:space="preserve">本节固定分布式电源装机渗透率1.80、年最大净负荷平均增长率4.00%，比较1、2、3、4和6 h情景。线路采用架空为主，线路和储能按基准价格计取。各表列出公用主变总容量、储能额定功率及额定能量，分析达到相同峰值功率要求时的设备组合变化。</w:t>
      </w:r>
    </w:p>
    <w:p>
      <w:pPr>
        <w:pStyle w:val="7"/>
        <w:keepNext/>
        <w:numPr>
          <w:numId w:val="0"/>
        </w:numPr>
        <w:spacing w:line="360" w:lineRule="exact" w:before="160" w:after="120"/>
        <w:ind w:firstLine="0"/>
      </w:pPr>
      <w:bookmarkStart w:id="272" w:name="a类供电区域负荷分散系数1.00-2"/>
      <w:r>
        <w:rPr>
          <w:rFonts w:ascii="Times New Roman" w:hAnsi="Times New Roman" w:eastAsia="方正仿宋_GBK"/>
          <w:b/>
          <w:sz w:val="24"/>
        </w:rPr>
        <w:t xml:space="preserve">A类供电区域，负荷分散系数1.00</w:t>
      </w:r>
      <w:bookmarkEnd w:id="272"/>
    </w:p>
    <w:p>
      <w:pPr>
        <w:pStyle w:val="FirstParagraph"/>
        <w:keepNext/>
        <w:spacing w:line="280" w:lineRule="exact" w:before="120" w:after="80"/>
        <w:ind w:firstLine="0"/>
        <w:jc w:val="center"/>
      </w:pPr>
      <w:r>
        <w:rPr>
          <w:rFonts w:ascii="Times New Roman" w:hAnsi="Times New Roman" w:eastAsia="宋体"/>
          <w:b w:val="0"/>
          <w:sz w:val="21"/>
        </w:rPr>
        <w:t xml:space="preserve">表5-86 A类、负荷分散系数1.00的持续时间情景比较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1742.40</w:t>
            </w:r>
          </w:p>
        </w:tc>
      </w:tr>
    </w:tbl>
    <w:p>
      <w:pPr>
        <w:pStyle w:val="2"/>
        <w:widowControl/>
        <w:spacing w:line="348" w:lineRule="exact" w:before="0" w:after="0"/>
        <w:ind w:firstLine="480"/>
        <w:jc w:val="both"/>
      </w:pPr>
      <w:r>
        <w:rPr>
          <w:rFonts w:ascii="Times New Roman" w:hAnsi="Times New Roman" w:eastAsia="方正仿宋_GBK"/>
          <w:b w:val="0"/>
          <w:sz w:val="24"/>
        </w:rPr>
        <w:t xml:space="preserve">95%峰值持续时间由1.00 h延长至6.00 h，容载比由1.88变为1.88，公用主变总容量由550.00 MVA变为550.00 MVA。储能额定能量由0.00 MWh变为0.00 MWh，评价期费用现值由1742.40万元变为1742.40万元。持续时间通过储能可持续功率影响配置；由主变与联络满足需求的条件可以保持相同容量。</w:t>
      </w:r>
    </w:p>
    <w:p>
      <w:pPr>
        <w:pStyle w:val="2"/>
        <w:widowControl/>
        <w:spacing w:line="348" w:lineRule="exact"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7"/>
        <w:keepNext/>
        <w:numPr>
          <w:numId w:val="0"/>
        </w:numPr>
        <w:spacing w:line="360" w:lineRule="exact" w:before="160" w:after="120"/>
        <w:ind w:firstLine="0"/>
      </w:pPr>
      <w:bookmarkStart w:id="273" w:name="a类供电区域负荷分散系数1.15-2"/>
      <w:r>
        <w:rPr>
          <w:rFonts w:ascii="Times New Roman" w:hAnsi="Times New Roman" w:eastAsia="方正仿宋_GBK"/>
          <w:b/>
          <w:sz w:val="24"/>
        </w:rPr>
        <w:t xml:space="preserve">A类供电区域，负荷分散系数1.15</w:t>
      </w:r>
      <w:bookmarkEnd w:id="273"/>
    </w:p>
    <w:p>
      <w:pPr>
        <w:pStyle w:val="FirstParagraph"/>
        <w:keepNext/>
        <w:spacing w:line="280" w:lineRule="exact" w:before="120" w:after="80"/>
        <w:ind w:firstLine="0"/>
        <w:jc w:val="center"/>
      </w:pPr>
      <w:r>
        <w:rPr>
          <w:rFonts w:ascii="Times New Roman" w:hAnsi="Times New Roman" w:eastAsia="宋体"/>
          <w:b w:val="0"/>
          <w:sz w:val="21"/>
        </w:rPr>
        <w:t xml:space="preserve">表5-87 A类、负荷分散系数1.15的持续时间情景比较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2104.89</w:t>
            </w:r>
          </w:p>
        </w:tc>
      </w:tr>
    </w:tbl>
    <w:p>
      <w:pPr>
        <w:pStyle w:val="2"/>
        <w:widowControl/>
        <w:spacing w:line="348" w:lineRule="exact" w:before="0" w:after="0"/>
        <w:ind w:firstLine="480"/>
        <w:jc w:val="both"/>
      </w:pPr>
      <w:r>
        <w:rPr>
          <w:rFonts w:ascii="Times New Roman" w:hAnsi="Times New Roman" w:eastAsia="方正仿宋_GBK"/>
          <w:b w:val="0"/>
          <w:sz w:val="24"/>
        </w:rPr>
        <w:t xml:space="preserve">95%峰值持续时间由1.00 h延长至6.00 h，容载比由1.88变为1.88，公用主变总容量由550.00 MVA变为550.00 MVA。储能额定能量由0.00 MWh变为0.00 MWh，评价期费用现值由2104.89万元变为2104.89万元。持续时间通过储能可持续功率影响配置；由主变与联络满足需求的条件可以保持相同容量。</w:t>
      </w:r>
    </w:p>
    <w:p>
      <w:pPr>
        <w:pStyle w:val="2"/>
        <w:widowControl/>
        <w:spacing w:line="348" w:lineRule="exact"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7"/>
        <w:keepNext/>
        <w:numPr>
          <w:numId w:val="0"/>
        </w:numPr>
        <w:spacing w:line="360" w:lineRule="exact" w:before="160" w:after="120"/>
        <w:ind w:firstLine="0"/>
      </w:pPr>
      <w:bookmarkStart w:id="274" w:name="bc类供电区域负荷分散系数1.00-2"/>
      <w:r>
        <w:rPr>
          <w:rFonts w:ascii="Times New Roman" w:hAnsi="Times New Roman" w:eastAsia="方正仿宋_GBK"/>
          <w:b/>
          <w:sz w:val="24"/>
        </w:rPr>
        <w:t xml:space="preserve">B/C类供电区域，负荷分散系数1.00</w:t>
      </w:r>
      <w:bookmarkEnd w:id="274"/>
    </w:p>
    <w:p>
      <w:pPr>
        <w:pStyle w:val="FirstParagraph"/>
        <w:keepNext/>
        <w:spacing w:line="280" w:lineRule="exact" w:before="120" w:after="80"/>
        <w:ind w:firstLine="0"/>
        <w:jc w:val="center"/>
      </w:pPr>
      <w:r>
        <w:rPr>
          <w:rFonts w:ascii="Times New Roman" w:hAnsi="Times New Roman" w:eastAsia="宋体"/>
          <w:b w:val="0"/>
          <w:sz w:val="21"/>
        </w:rPr>
        <w:t xml:space="preserve">表5-88 B/C类、负荷分散系数1.00的持续时间情景比较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1661.40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1661.40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1661.40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1661.40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1661.40</w:t>
            </w:r>
          </w:p>
        </w:tc>
      </w:tr>
    </w:tbl>
    <w:p>
      <w:pPr>
        <w:pStyle w:val="2"/>
        <w:widowControl/>
        <w:spacing w:line="348" w:lineRule="exact" w:before="0" w:after="0"/>
        <w:ind w:firstLine="480"/>
        <w:jc w:val="both"/>
      </w:pPr>
      <w:r>
        <w:rPr>
          <w:rFonts w:ascii="Times New Roman" w:hAnsi="Times New Roman" w:eastAsia="方正仿宋_GBK"/>
          <w:b w:val="0"/>
          <w:sz w:val="24"/>
        </w:rPr>
        <w:t xml:space="preserve">95%峰值持续时间由1.00 h延长至6.00 h，容载比由1.81变为1.81，公用主变总容量由423.00 MVA变为423.00 MVA。储能额定能量由0.00 MWh变为0.00 MWh，评价期费用现值由1661.40万元变为1661.40万元。持续时间通过储能可持续功率影响配置；由主变与联络满足需求的条件可以保持相同容量。</w:t>
      </w:r>
    </w:p>
    <w:p>
      <w:pPr>
        <w:pStyle w:val="2"/>
        <w:widowControl/>
        <w:spacing w:line="348" w:lineRule="exact"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7"/>
        <w:keepNext/>
        <w:numPr>
          <w:numId w:val="0"/>
        </w:numPr>
        <w:spacing w:line="360" w:lineRule="exact" w:before="160" w:after="120"/>
        <w:ind w:firstLine="0"/>
      </w:pPr>
      <w:bookmarkStart w:id="275" w:name="bc类供电区域负荷分散系数1.15-2"/>
      <w:r>
        <w:rPr>
          <w:rFonts w:ascii="Times New Roman" w:hAnsi="Times New Roman" w:eastAsia="方正仿宋_GBK"/>
          <w:b/>
          <w:sz w:val="24"/>
        </w:rPr>
        <w:t xml:space="preserve">B/C类供电区域，负荷分散系数1.15</w:t>
      </w:r>
      <w:bookmarkEnd w:id="275"/>
    </w:p>
    <w:p>
      <w:pPr>
        <w:pStyle w:val="FirstParagraph"/>
        <w:keepNext/>
        <w:spacing w:line="280" w:lineRule="exact" w:before="120" w:after="80"/>
        <w:ind w:firstLine="0"/>
        <w:jc w:val="center"/>
      </w:pPr>
      <w:r>
        <w:rPr>
          <w:rFonts w:ascii="Times New Roman" w:hAnsi="Times New Roman" w:eastAsia="宋体"/>
          <w:b w:val="0"/>
          <w:sz w:val="21"/>
        </w:rPr>
        <w:t xml:space="preserve">表5-89 B/C类、负荷分散系数1.15的持续时间情景比较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1984.06</w:t>
            </w:r>
          </w:p>
        </w:tc>
      </w:tr>
    </w:tbl>
    <w:p>
      <w:pPr>
        <w:pStyle w:val="2"/>
        <w:widowControl/>
        <w:spacing w:line="348" w:lineRule="exact" w:before="0" w:after="0"/>
        <w:ind w:firstLine="480"/>
        <w:jc w:val="both"/>
      </w:pPr>
      <w:r>
        <w:rPr>
          <w:rFonts w:ascii="Times New Roman" w:hAnsi="Times New Roman" w:eastAsia="方正仿宋_GBK"/>
          <w:b w:val="0"/>
          <w:sz w:val="24"/>
        </w:rPr>
        <w:t xml:space="preserve">95%峰值持续时间由1.00 h延长至6.00 h，容载比由1.92变为1.92，公用主变总容量由450.00 MVA变为450.00 MVA。储能额定能量由0.00 MWh变为0.00 MWh，评价期费用现值由1984.06万元变为1984.06万元。持续时间通过储能可持续功率影响配置；由主变与联络满足需求的条件可以保持相同容量。</w:t>
      </w:r>
    </w:p>
    <w:p>
      <w:pPr>
        <w:pStyle w:val="2"/>
        <w:widowControl/>
        <w:spacing w:line="348" w:lineRule="exact"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5"/>
        <w:keepNext/>
        <w:numPr>
          <w:numId w:val="0"/>
        </w:numPr>
        <w:spacing w:line="390" w:lineRule="exact" w:before="160" w:after="120"/>
        <w:ind w:firstLine="0"/>
      </w:pPr>
      <w:bookmarkStart w:id="276" w:name="主变与储能单位功率投资比的分类比较"/>
      <w:r>
        <w:rPr>
          <w:rFonts w:ascii="Times New Roman" w:hAnsi="Times New Roman" w:eastAsia="方正仿宋_GBK"/>
          <w:b/>
          <w:sz w:val="26"/>
        </w:rPr>
        <w:t xml:space="preserve">5.6.8 主变与储能单位功率投资比的分类比较</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储能采购价格变化会改变主变与储能单位功率投资比。在主变价格保持不变时，储能价格下降使该比值提高，表示储能相对于主变更便宜。本节固定分布式电源装机渗透率1.80、年最大净负荷平均增长率4.00%、95%峰值持续时间3 h，以架空为主线路基准价比较三档储能价格。价格倍数分别为0.50、1.00和1.25，技术能力及供电条件保持一致。</w:t>
      </w:r>
    </w:p>
    <w:p>
      <w:pPr>
        <w:pStyle w:val="2"/>
        <w:widowControl/>
        <w:spacing w:line="348" w:lineRule="exact" w:before="0" w:after="0"/>
        <w:ind w:firstLine="480"/>
        <w:jc w:val="both"/>
      </w:pPr>
      <w:r>
        <w:rPr>
          <w:rFonts w:ascii="Times New Roman" w:hAnsi="Times New Roman" w:eastAsia="方正仿宋_GBK"/>
          <w:b w:val="0"/>
          <w:sz w:val="24"/>
        </w:rPr>
        <w:t xml:space="preserve">价格分析需要同时观察容载比和储能规模。容载比相同的方案仍可能因储能柜数或站间负荷分配不同而具有不同费用；容载比变化则表示公用主变总容量发生调整。下表并列这些结果，以说明相对价格通过工程措施选择影响推荐区间的过程。</w:t>
      </w:r>
    </w:p>
    <w:p>
      <w:pPr>
        <w:pStyle w:val="7"/>
        <w:keepNext/>
        <w:numPr>
          <w:numId w:val="0"/>
        </w:numPr>
        <w:spacing w:line="360" w:lineRule="exact" w:before="160" w:after="120"/>
        <w:ind w:firstLine="0"/>
        <w:pageBreakBefore/>
      </w:pPr>
      <w:bookmarkStart w:id="277" w:name="a类供电区域负荷分散系数1.00-3"/>
      <w:r>
        <w:rPr>
          <w:rFonts w:ascii="Times New Roman" w:hAnsi="Times New Roman" w:eastAsia="方正仿宋_GBK"/>
          <w:b/>
          <w:sz w:val="24"/>
        </w:rPr>
        <w:t xml:space="preserve">A类供电区域，负荷分散系数1.00</w:t>
      </w:r>
      <w:bookmarkEnd w:id="277"/>
    </w:p>
    <w:p>
      <w:pPr>
        <w:pStyle w:val="FirstParagraph"/>
        <w:keepNext/>
        <w:spacing w:line="280" w:lineRule="exact" w:before="120" w:after="80"/>
        <w:ind w:firstLine="0"/>
        <w:jc w:val="center"/>
      </w:pPr>
      <w:r>
        <w:rPr>
          <w:rFonts w:ascii="Times New Roman" w:hAnsi="Times New Roman" w:eastAsia="宋体"/>
          <w:b w:val="0"/>
          <w:sz w:val="21"/>
        </w:rPr>
        <w:t xml:space="preserve">表5-90 A类、负荷分散系数1.00的储能投资比比较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1742.40</w:t>
            </w:r>
          </w:p>
        </w:tc>
      </w:tr>
    </w:tbl>
    <w:p>
      <w:pPr>
        <w:pStyle w:val="2"/>
        <w:widowControl/>
        <w:spacing w:line="348" w:lineRule="exact" w:before="0" w:after="0"/>
        <w:ind w:firstLine="480"/>
        <w:jc w:val="both"/>
      </w:pPr>
      <w:r>
        <w:rPr>
          <w:rFonts w:ascii="Times New Roman" w:hAnsi="Times New Roman" w:eastAsia="方正仿宋_GBK"/>
          <w:b w:val="0"/>
          <w:sz w:val="24"/>
        </w:rPr>
        <w:t xml:space="preserve">主变与储能单位功率投资比由0.05提高至0.12，容载比由1.88变为1.88，储能额定功率由0.00 MW变为0.00 MW。评价期费用现值由1742.40万元变为1742.40万元。相对价格变化首先影响所需储能的费用，是否调整主变容量还取决于局部容量缺口及持续时间。</w:t>
      </w:r>
    </w:p>
    <w:p>
      <w:pPr>
        <w:pStyle w:val="2"/>
        <w:widowControl/>
        <w:spacing w:line="348" w:lineRule="exact"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7"/>
        <w:keepNext/>
        <w:numPr>
          <w:numId w:val="0"/>
        </w:numPr>
        <w:spacing w:line="360" w:lineRule="exact" w:before="160" w:after="120"/>
        <w:ind w:firstLine="0"/>
      </w:pPr>
      <w:bookmarkStart w:id="278" w:name="a类供电区域负荷分散系数1.15-3"/>
      <w:r>
        <w:rPr>
          <w:rFonts w:ascii="Times New Roman" w:hAnsi="Times New Roman" w:eastAsia="方正仿宋_GBK"/>
          <w:b/>
          <w:sz w:val="24"/>
        </w:rPr>
        <w:t xml:space="preserve">A类供电区域，负荷分散系数1.15</w:t>
      </w:r>
      <w:bookmarkEnd w:id="278"/>
    </w:p>
    <w:p>
      <w:pPr>
        <w:pStyle w:val="FirstParagraph"/>
        <w:keepNext/>
        <w:spacing w:line="280" w:lineRule="exact" w:before="120" w:after="80"/>
        <w:ind w:firstLine="0"/>
        <w:jc w:val="center"/>
      </w:pPr>
      <w:r>
        <w:rPr>
          <w:rFonts w:ascii="Times New Roman" w:hAnsi="Times New Roman" w:eastAsia="宋体"/>
          <w:b w:val="0"/>
          <w:sz w:val="21"/>
        </w:rPr>
        <w:t xml:space="preserve">表5-91 A类、负荷分散系数1.15的储能投资比比较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2104.89</w:t>
            </w:r>
          </w:p>
        </w:tc>
      </w:tr>
    </w:tbl>
    <w:p>
      <w:pPr>
        <w:pStyle w:val="2"/>
        <w:widowControl/>
        <w:spacing w:line="348" w:lineRule="exact" w:before="0" w:after="0"/>
        <w:ind w:firstLine="480"/>
        <w:jc w:val="both"/>
      </w:pPr>
      <w:r>
        <w:rPr>
          <w:rFonts w:ascii="Times New Roman" w:hAnsi="Times New Roman" w:eastAsia="方正仿宋_GBK"/>
          <w:b w:val="0"/>
          <w:sz w:val="24"/>
        </w:rPr>
        <w:t xml:space="preserve">主变与储能单位功率投资比由0.05提高至0.12，容载比由1.88变为1.88，储能额定功率由0.00 MW变为0.00 MW。评价期费用现值由2104.89万元变为2104.89万元。相对价格变化首先影响所需储能的费用，是否调整主变容量还取决于局部容量缺口及持续时间。</w:t>
      </w:r>
    </w:p>
    <w:p>
      <w:pPr>
        <w:pStyle w:val="2"/>
        <w:widowControl/>
        <w:spacing w:line="348" w:lineRule="exact"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7"/>
        <w:keepNext/>
        <w:numPr>
          <w:numId w:val="0"/>
        </w:numPr>
        <w:spacing w:line="360" w:lineRule="exact" w:before="160" w:after="120"/>
        <w:ind w:firstLine="0"/>
        <w:pageBreakBefore/>
      </w:pPr>
      <w:bookmarkStart w:id="279" w:name="bc类供电区域负荷分散系数1.00-3"/>
      <w:r>
        <w:rPr>
          <w:rFonts w:ascii="Times New Roman" w:hAnsi="Times New Roman" w:eastAsia="方正仿宋_GBK"/>
          <w:b/>
          <w:sz w:val="24"/>
        </w:rPr>
        <w:t xml:space="preserve">B/C类供电区域，负荷分散系数1.00</w:t>
      </w:r>
      <w:bookmarkEnd w:id="279"/>
    </w:p>
    <w:p>
      <w:pPr>
        <w:pStyle w:val="FirstParagraph"/>
        <w:keepNext/>
        <w:spacing w:line="280" w:lineRule="exact" w:before="120" w:after="80"/>
        <w:ind w:firstLine="0"/>
        <w:jc w:val="center"/>
      </w:pPr>
      <w:r>
        <w:rPr>
          <w:rFonts w:ascii="Times New Roman" w:hAnsi="Times New Roman" w:eastAsia="宋体"/>
          <w:b w:val="0"/>
          <w:sz w:val="21"/>
        </w:rPr>
        <w:t xml:space="preserve">表5-92 B/C类、负荷分散系数1.00的储能投资比比较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1661.40</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1661.40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1661.40</w:t>
            </w:r>
          </w:p>
        </w:tc>
      </w:tr>
    </w:tbl>
    <w:p>
      <w:pPr>
        <w:pStyle w:val="2"/>
        <w:widowControl/>
        <w:spacing w:line="348" w:lineRule="exact" w:before="0" w:after="0"/>
        <w:ind w:firstLine="480"/>
        <w:jc w:val="both"/>
      </w:pPr>
      <w:r>
        <w:rPr>
          <w:rFonts w:ascii="Times New Roman" w:hAnsi="Times New Roman" w:eastAsia="方正仿宋_GBK"/>
          <w:b w:val="0"/>
          <w:sz w:val="24"/>
        </w:rPr>
        <w:t xml:space="preserve">主变与储能单位功率投资比由0.05提高至0.12，容载比由1.81变为1.81，储能额定功率由0.00 MW变为0.00 MW。评价期费用现值由1661.40万元变为1661.40万元。相对价格变化首先影响所需储能的费用，是否调整主变容量还取决于局部容量缺口及持续时间。</w:t>
      </w:r>
    </w:p>
    <w:p>
      <w:pPr>
        <w:pStyle w:val="2"/>
        <w:widowControl/>
        <w:spacing w:line="348" w:lineRule="exact"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7"/>
        <w:keepNext/>
        <w:numPr>
          <w:numId w:val="0"/>
        </w:numPr>
        <w:spacing w:line="360" w:lineRule="exact" w:before="160" w:after="120"/>
        <w:ind w:firstLine="0"/>
      </w:pPr>
      <w:bookmarkStart w:id="280" w:name="bc类供电区域负荷分散系数1.15-3"/>
      <w:r>
        <w:rPr>
          <w:rFonts w:ascii="Times New Roman" w:hAnsi="Times New Roman" w:eastAsia="方正仿宋_GBK"/>
          <w:b/>
          <w:sz w:val="24"/>
        </w:rPr>
        <w:t xml:space="preserve">B/C类供电区域，负荷分散系数1.15</w:t>
      </w:r>
      <w:bookmarkEnd w:id="280"/>
    </w:p>
    <w:p>
      <w:pPr>
        <w:pStyle w:val="FirstParagraph"/>
        <w:keepNext/>
        <w:spacing w:line="280" w:lineRule="exact" w:before="120" w:after="80"/>
        <w:ind w:firstLine="0"/>
        <w:jc w:val="center"/>
      </w:pPr>
      <w:r>
        <w:rPr>
          <w:rFonts w:ascii="Times New Roman" w:hAnsi="Times New Roman" w:eastAsia="宋体"/>
          <w:b w:val="0"/>
          <w:sz w:val="21"/>
        </w:rPr>
        <w:t xml:space="preserve">表5-93 B/C类、负荷分散系数1.15的储能投资比比较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1984.06</w:t>
            </w:r>
          </w:p>
        </w:tc>
      </w:tr>
    </w:tbl>
    <w:p>
      <w:pPr>
        <w:pStyle w:val="2"/>
        <w:widowControl/>
        <w:spacing w:line="348" w:lineRule="exact" w:before="0" w:after="0"/>
        <w:ind w:firstLine="480"/>
        <w:jc w:val="both"/>
      </w:pPr>
      <w:r>
        <w:rPr>
          <w:rFonts w:ascii="Times New Roman" w:hAnsi="Times New Roman" w:eastAsia="方正仿宋_GBK"/>
          <w:b w:val="0"/>
          <w:sz w:val="24"/>
        </w:rPr>
        <w:t xml:space="preserve">主变与储能单位功率投资比由0.05提高至0.12，容载比由1.92变为1.92，储能额定功率由0.00 MW变为0.00 MW。评价期费用现值由1984.06万元变为1984.06万元。相对价格变化首先影响所需储能的费用，是否调整主变容量还取决于局部容量缺口及持续时间。</w:t>
      </w:r>
    </w:p>
    <w:p>
      <w:pPr>
        <w:pStyle w:val="2"/>
        <w:widowControl/>
        <w:spacing w:line="348" w:lineRule="exact"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2"/>
        <w:widowControl/>
        <w:spacing w:line="348" w:lineRule="exact" w:before="0" w:after="0"/>
        <w:ind w:firstLine="480"/>
        <w:jc w:val="both"/>
      </w:pPr>
      <w:r>
        <w:rPr>
          <w:rFonts w:ascii="Times New Roman" w:hAnsi="Times New Roman" w:eastAsia="方正仿宋_GBK"/>
          <w:b w:val="0"/>
          <w:sz w:val="24"/>
        </w:rPr>
        <w:t xml:space="preserve">上述分类比较表明，主变与线路单位功率投资比、主变与储能单位功率投资比均应进入经济分析。前者在部分条件下改变新增联络与主变容量的组合，后者联系储能价格和可持续功率，两者共同影响方案费用。两类比值采用不同的物理分母，只有结合转供能力、峰值持续时间和站级容量约束，才能解释相应容载比变化。</w:t>
      </w:r>
    </w:p>
    <w:p>
      <w:pPr>
        <w:pStyle w:val="5"/>
        <w:keepNext/>
        <w:numPr>
          <w:numId w:val="0"/>
        </w:numPr>
        <w:spacing w:line="390" w:lineRule="exact" w:before="160" w:after="120"/>
        <w:ind w:firstLine="0"/>
      </w:pPr>
      <w:bookmarkStart w:id="281" w:name="分类推荐区间的宽度与取值差异"/>
      <w:r>
        <w:rPr>
          <w:rFonts w:ascii="Times New Roman" w:hAnsi="Times New Roman" w:eastAsia="方正仿宋_GBK"/>
          <w:b/>
          <w:sz w:val="26"/>
        </w:rPr>
        <w:t xml:space="preserve">5.6.9 分类推荐区间的宽度与取值差异</w:t>
      </w:r>
      <w:bookmarkEnd w:id="281"/>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的宽度反映同一分类内已计算容量配置的差异。供电区域类别和负荷分散系数确定后，分布式电源装机渗透率、增长水平及持续时间仍采用一定范围，因此每一行可包含多种主变与储能组合。按各行容载比最大值减去最小值，得到以下宽度统计。</w:t>
      </w:r>
    </w:p>
    <w:p>
      <w:pPr>
        <w:pStyle w:val="2"/>
        <w:keepNext/>
        <w:spacing w:line="280" w:lineRule="exact" w:before="120" w:after="80"/>
        <w:ind w:firstLine="0"/>
        <w:jc w:val="center"/>
      </w:pPr>
      <w:r>
        <w:rPr>
          <w:rFonts w:ascii="Times New Roman" w:hAnsi="Times New Roman" w:eastAsia="宋体"/>
          <w:b w:val="0"/>
          <w:sz w:val="21"/>
        </w:rPr>
        <w:t xml:space="preserve">表5-94 不同类别推荐区间的宽度统计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供电区域类别</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负荷分散系数</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线路类型</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区间数</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最小宽度</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宽度中位数</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最大宽度</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宽度不超过0.10的区间数</w:t>
            </w:r>
          </w:p>
        </w:tc>
      </w:tr>
      <w:tr>
        <w:trPr>
          <w:cantSplit/>
        </w:trPr>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17</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0.01</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0.31</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0.47</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1.15</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0.26</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B/C类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0.01</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0.36</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0.66</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B/C类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1.15</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架空为主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0.01</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0.31</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0.66</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电缆为主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0.29</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0.49</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1.15</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电缆为主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24</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B/C类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电缆为主</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0.01</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0.45</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0.66</w:t>
            </w:r>
          </w:p>
        </w:tc>
        <w:tc>
          <w:tcPr>
            <w:tcW w:type="dxa" w:w="1039"/>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0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w:t>
            </w:r>
          </w:p>
        </w:tc>
        <w:tc>
          <w:tcPr>
            <w:tcW w:type="dxa" w:w="10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0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w:t>
            </w:r>
          </w:p>
        </w:tc>
        <w:tc>
          <w:tcPr>
            <w:tcW w:type="dxa" w:w="10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0.43</w:t>
            </w:r>
          </w:p>
        </w:tc>
        <w:tc>
          <w:tcPr>
            <w:tcW w:type="dxa" w:w="10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0.64</w:t>
            </w:r>
          </w:p>
        </w:tc>
        <w:tc>
          <w:tcPr>
            <w:tcW w:type="dxa" w:w="10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注：按合并后推荐行统计，宽度采用未取整端点之差，单位MVA/MW。</w:t>
      </w:r>
    </w:p>
    <w:p>
      <w:pPr>
        <w:pStyle w:val="2"/>
        <w:widowControl/>
        <w:spacing w:line="348" w:lineRule="exact" w:before="0" w:after="0"/>
        <w:ind w:firstLine="480"/>
        <w:jc w:val="both"/>
      </w:pPr>
      <w:r>
        <w:rPr>
          <w:rFonts w:ascii="Times New Roman" w:hAnsi="Times New Roman" w:eastAsia="方正仿宋_GBK"/>
          <w:b w:val="0"/>
          <w:sz w:val="24"/>
        </w:rPr>
        <w:t xml:space="preserve">A类、负荷分散系数1.00条件下，架空为主归纳为17组，区间宽度中位数为0.31，其中3组不超过0.10；电缆为主归纳为12组，区间宽度中位数为0.29，其中1组不超过0.10。区间数量同时受参数引起的容量差异和相邻同区间合并影响，不宜仅按行数多少判断方案优劣。</w:t>
      </w:r>
    </w:p>
    <w:p>
      <w:pPr>
        <w:pStyle w:val="2"/>
        <w:widowControl/>
        <w:spacing w:line="348" w:lineRule="exact" w:before="0" w:after="0"/>
        <w:ind w:firstLine="480"/>
        <w:jc w:val="both"/>
      </w:pPr>
      <w:r>
        <w:rPr>
          <w:rFonts w:ascii="Times New Roman" w:hAnsi="Times New Roman" w:eastAsia="方正仿宋_GBK"/>
          <w:b w:val="0"/>
          <w:sz w:val="24"/>
        </w:rPr>
        <w:t xml:space="preserve">A类、负荷分散系数1.15条件下，架空为主归纳为22组，区间宽度中位数为0.26，其中2组不超过0.10；电缆为主归纳为24组，区间宽度中位数为0.20，其中1组不超过0.10。区间数量同时受参数引起的容量差异和相邻同区间合并影响，不宜仅按行数多少判断方案优劣。</w:t>
      </w:r>
    </w:p>
    <w:p>
      <w:pPr>
        <w:pStyle w:val="2"/>
        <w:widowControl/>
        <w:spacing w:line="348" w:lineRule="exact" w:before="0" w:after="0"/>
        <w:ind w:firstLine="480"/>
        <w:jc w:val="both"/>
      </w:pPr>
      <w:r>
        <w:rPr>
          <w:rFonts w:ascii="Times New Roman" w:hAnsi="Times New Roman" w:eastAsia="方正仿宋_GBK"/>
          <w:b w:val="0"/>
          <w:sz w:val="24"/>
        </w:rPr>
        <w:t xml:space="preserve">B/C类、负荷分散系数1.00条件下，架空为主归纳为24组，区间宽度中位数为0.36，其中4组不超过0.10；电缆为主归纳为20组，区间宽度中位数为0.45，其中3组不超过0.10。区间数量同时受参数引起的容量差异和相邻同区间合并影响，不宜仅按行数多少判断方案优劣。</w:t>
      </w:r>
    </w:p>
    <w:p>
      <w:pPr>
        <w:pStyle w:val="2"/>
        <w:widowControl/>
        <w:spacing w:line="348" w:lineRule="exact" w:before="0" w:after="0"/>
        <w:ind w:firstLine="480"/>
        <w:jc w:val="both"/>
      </w:pPr>
      <w:r>
        <w:rPr>
          <w:rFonts w:ascii="Times New Roman" w:hAnsi="Times New Roman" w:eastAsia="方正仿宋_GBK"/>
          <w:b w:val="0"/>
          <w:sz w:val="24"/>
        </w:rPr>
        <w:t xml:space="preserve">B/C类、负荷分散系数1.15条件下，架空为主归纳为30组，区间宽度中位数为0.31，其中4组不超过0.10；电缆为主归纳为37组，区间宽度中位数为0.43，其中2组不超过0.10。区间数量同时受参数引起的容量差异和相邻同区间合并影响，不宜仅按行数多少判断方案优劣。</w:t>
      </w:r>
    </w:p>
    <w:p>
      <w:pPr>
        <w:pStyle w:val="2"/>
        <w:widowControl/>
        <w:spacing w:line="348" w:lineRule="exact" w:before="0" w:after="0"/>
        <w:ind w:firstLine="480"/>
        <w:jc w:val="both"/>
      </w:pPr>
      <w:r>
        <w:rPr>
          <w:rFonts w:ascii="Times New Roman" w:hAnsi="Times New Roman" w:eastAsia="方正仿宋_GBK"/>
          <w:b w:val="0"/>
          <w:sz w:val="24"/>
        </w:rPr>
        <w:t xml:space="preserve">重复区间的合并以参数范围连续为前提。例如相邻的两段持续时间在其余条件相同时得到相同容载比区间，可以扩大持续时间范围后列为一行；若中间某一价格或增长条件出现不同配置，则继续分别列示。合并后每一行对应完整的参数组合，能够减少重复查阅，同时保留产生容量差异的条件。</w:t>
      </w:r>
    </w:p>
    <w:p>
      <w:pPr>
        <w:pStyle w:val="2"/>
        <w:widowControl/>
        <w:spacing w:line="348" w:lineRule="exact" w:before="0" w:after="0"/>
        <w:ind w:firstLine="480"/>
        <w:jc w:val="both"/>
      </w:pPr>
      <w:r>
        <w:rPr>
          <w:rFonts w:ascii="Times New Roman" w:hAnsi="Times New Roman" w:eastAsia="方正仿宋_GBK"/>
          <w:b w:val="0"/>
          <w:sz w:val="24"/>
        </w:rPr>
        <w:t xml:space="preserve">合并采用表内向外保留两位小数后的区间进行判断，再用全部原精度计算点重新确定端点。因此，显示相同但末位存在微小差异的结果可以集中列示，合并区间仍覆盖所有原始配置。工作簿保留每一行对应的计算点和参数范围，可以追溯设备规模及工程费用。</w:t>
      </w:r>
    </w:p>
    <w:p>
      <w:pPr>
        <w:pStyle w:val="2"/>
        <w:widowControl/>
        <w:spacing w:line="348" w:lineRule="exact" w:before="0" w:after="0"/>
        <w:ind w:firstLine="480"/>
        <w:jc w:val="both"/>
      </w:pPr>
      <w:r>
        <w:rPr>
          <w:rFonts w:ascii="Times New Roman" w:hAnsi="Times New Roman" w:eastAsia="方正仿宋_GBK"/>
          <w:b w:val="0"/>
          <w:sz w:val="24"/>
        </w:rPr>
        <w:t xml:space="preserve">线路造价影响新增联络与主变扩容之间的选择，但这种影响具有条件性。当既定建设组合在不同价格下仍具有费用优势时，推荐容载比可以保持相同；邻站余量不足时，增加联络也不能替代本地容量。推荐表对这些同结果条件作适度合并，对确实发生配置变化的价格条件单独保留。</w:t>
      </w:r>
    </w:p>
    <w:p>
      <w:pPr>
        <w:pStyle w:val="2"/>
        <w:widowControl/>
        <w:spacing w:line="348" w:lineRule="exact" w:before="0" w:after="0"/>
        <w:ind w:firstLine="480"/>
        <w:jc w:val="both"/>
      </w:pPr>
      <w:r>
        <w:rPr>
          <w:rFonts w:ascii="Times New Roman" w:hAnsi="Times New Roman" w:eastAsia="方正仿宋_GBK"/>
          <w:b w:val="0"/>
          <w:sz w:val="24"/>
        </w:rPr>
        <w:t xml:space="preserve">合并后共有186组推荐范围，原精度区间宽度中位数为0.35。各行仍保留对应技术经济情景的全部端点，较宽区间可结合片区已明确的装机、负荷和价格条件进一步定位。</w:t>
      </w:r>
    </w:p>
    <w:p>
      <w:bookmarkStart w:id="2082" w:name="h1082"/>
      <w:pPr>
        <w:pStyle w:val="4"/>
        <w:keepNext/>
        <w:numPr>
          <w:numId w:val="0"/>
        </w:numPr>
        <w:spacing w:line="480" w:lineRule="exact" w:before="160" w:after="120"/>
        <w:ind w:firstLine="0"/>
      </w:pPr>
      <w:bookmarkStart w:id="282" w:name="规划建议"/>
      <w:r>
        <w:rPr>
          <w:rFonts w:ascii="Times New Roman" w:hAnsi="Times New Roman" w:eastAsia="方正仿宋_GBK"/>
          <w:b/>
          <w:sz w:val="32"/>
        </w:rPr>
        <w:t xml:space="preserve">5.7 规划建议</w:t>
      </w:r>
      <w:bookmarkEnd w:id="282"/>
      <w:bookmarkEnd w:id="2082"/>
    </w:p>
    <w:p>
      <w:pPr>
        <w:pStyle w:val="5"/>
        <w:keepNext/>
        <w:numPr>
          <w:numId w:val="0"/>
        </w:numPr>
        <w:spacing w:line="390" w:lineRule="exact" w:before="160" w:after="120"/>
        <w:ind w:firstLine="0"/>
      </w:pPr>
      <w:bookmarkStart w:id="283" w:name="优先采用弹性指标确定规划范围"/>
      <w:r>
        <w:rPr>
          <w:rFonts w:ascii="Times New Roman" w:hAnsi="Times New Roman" w:eastAsia="方正仿宋_GBK"/>
          <w:b/>
          <w:sz w:val="26"/>
        </w:rPr>
        <w:t xml:space="preserve">5.7.1 优先采用弹性指标确定规划范围</w:t>
      </w:r>
      <w:bookmarkEnd w:id="283"/>
    </w:p>
    <w:p>
      <w:pPr>
        <w:pStyle w:val="FirstParagraph"/>
        <w:widowControl/>
        <w:spacing w:line="348" w:lineRule="exact" w:before="0" w:after="0"/>
        <w:ind w:firstLine="480"/>
        <w:jc w:val="both"/>
      </w:pPr>
      <w:r>
        <w:rPr>
          <w:rFonts w:ascii="Times New Roman" w:hAnsi="Times New Roman" w:eastAsia="方正仿宋_GBK"/>
          <w:b w:val="0"/>
          <w:sz w:val="24"/>
        </w:rPr>
        <w:t xml:space="preserve">两地区案例推荐采用弹性方案，规划第4年容载比平均约为2.20。该配置通过所列静态容量校核，评价期费用现值低于刚性方案。邳州侧重兼顾日间反向输送与晚间供电，市区侧重主变N-1后的供电能力及站间负荷分配，年度建设规模按第5.4节逐站结果确定。</w:t>
      </w:r>
    </w:p>
    <w:p>
      <w:pPr>
        <w:pStyle w:val="2"/>
        <w:widowControl/>
        <w:spacing w:line="348" w:lineRule="exact" w:before="0" w:after="0"/>
        <w:ind w:firstLine="480"/>
        <w:jc w:val="both"/>
      </w:pPr>
      <w:r>
        <w:rPr>
          <w:rFonts w:ascii="Times New Roman" w:hAnsi="Times New Roman" w:eastAsia="方正仿宋_GBK"/>
          <w:b w:val="0"/>
          <w:sz w:val="24"/>
        </w:rPr>
        <w:t xml:space="preserve">规划初期先统一区县与电压等级，计算年网供最大负荷、分布式电源装机渗透率和分布式电源电量渗透率，结合年最大净负荷平均增长率与95%峰值持续时间，选择相应分类表中的容载比推荐区间。再以实际初始资产、站间转供能力和价格进行方案比选。</w:t>
      </w:r>
    </w:p>
    <w:p>
      <w:pPr>
        <w:pStyle w:val="2"/>
        <w:widowControl/>
        <w:spacing w:line="348" w:lineRule="exact" w:before="0" w:after="0"/>
        <w:ind w:firstLine="480"/>
        <w:jc w:val="both"/>
      </w:pPr>
      <w:r>
        <w:rPr>
          <w:rFonts w:ascii="Times New Roman" w:hAnsi="Times New Roman" w:eastAsia="方正仿宋_GBK"/>
          <w:b w:val="0"/>
          <w:sz w:val="24"/>
        </w:rPr>
        <w:t xml:space="preserve">源荷条件相近的地区，可进一步按供电区域类别和负荷分散系数选取对应情景。分类推荐区间用于确定前期比选范围，具体容载比由满足技术条件的容量配置得到。</w:t>
      </w:r>
    </w:p>
    <w:p>
      <w:pPr>
        <w:pStyle w:val="5"/>
        <w:keepNext/>
        <w:numPr>
          <w:numId w:val="0"/>
        </w:numPr>
        <w:spacing w:line="390" w:lineRule="exact" w:before="160" w:after="120"/>
        <w:ind w:firstLine="0"/>
      </w:pPr>
      <w:bookmarkStart w:id="284" w:name="统筹增容配储与10-kv联络"/>
      <w:r>
        <w:rPr>
          <w:rFonts w:ascii="Times New Roman" w:hAnsi="Times New Roman" w:eastAsia="方正仿宋_GBK"/>
          <w:b/>
          <w:sz w:val="26"/>
        </w:rPr>
        <w:t xml:space="preserve">5.7.2 统筹增容、配储与10 kV联络</w:t>
      </w:r>
      <w:bookmarkEnd w:id="284"/>
    </w:p>
    <w:p>
      <w:pPr>
        <w:pStyle w:val="FirstParagraph"/>
        <w:widowControl/>
        <w:spacing w:line="348" w:lineRule="exact" w:before="0" w:after="0"/>
        <w:ind w:firstLine="480"/>
        <w:jc w:val="both"/>
      </w:pPr>
      <w:r>
        <w:rPr>
          <w:rFonts w:ascii="Times New Roman" w:hAnsi="Times New Roman" w:eastAsia="方正仿宋_GBK"/>
          <w:b w:val="0"/>
          <w:sz w:val="24"/>
        </w:rPr>
        <w:t xml:space="preserve">优先核定并利用既有站间转供能力，计算送受端调整后的负荷与容量余量。能力不足时，按新增联络项目提升转供率；再与主变增容及储能配置共同比较评价期费用。扩容选取受主变规格和预留位置约束，配储选取受95%峰值持续时间及可用能量约束。</w:t>
      </w:r>
    </w:p>
    <w:p>
      <w:pPr>
        <w:pStyle w:val="2"/>
        <w:widowControl/>
        <w:spacing w:line="348" w:lineRule="exact" w:before="0" w:after="0"/>
        <w:ind w:firstLine="480"/>
        <w:jc w:val="both"/>
      </w:pPr>
      <w:r>
        <w:rPr>
          <w:rFonts w:ascii="Times New Roman" w:hAnsi="Times New Roman" w:eastAsia="方正仿宋_GBK"/>
          <w:b w:val="0"/>
          <w:sz w:val="24"/>
        </w:rPr>
        <w:t xml:space="preserve">光伏较多的县域同时核对正向和反向容量。市区按供电安全任务分析重载站与承接站，依据本地光伏规模和线路资料核定初始转供率。区县内部转接保持总量，区域容载比按统一年网供最大负荷计算。</w:t>
      </w:r>
    </w:p>
    <w:p>
      <w:pPr>
        <w:pStyle w:val="5"/>
        <w:keepNext/>
        <w:numPr>
          <w:numId w:val="0"/>
        </w:numPr>
        <w:spacing w:line="390" w:lineRule="exact" w:before="160" w:after="120"/>
        <w:ind w:firstLine="0"/>
      </w:pPr>
      <w:bookmarkStart w:id="285" w:name="滚动更新参数与工程方案"/>
      <w:r>
        <w:rPr>
          <w:rFonts w:ascii="Times New Roman" w:hAnsi="Times New Roman" w:eastAsia="方正仿宋_GBK"/>
          <w:b/>
          <w:sz w:val="26"/>
        </w:rPr>
        <w:t xml:space="preserve">5.7.3 滚动更新参数与工程方案</w:t>
      </w:r>
      <w:bookmarkEnd w:id="285"/>
    </w:p>
    <w:p>
      <w:pPr>
        <w:pStyle w:val="FirstParagraph"/>
        <w:widowControl/>
        <w:spacing w:line="348" w:lineRule="exact" w:before="0" w:after="0"/>
        <w:ind w:firstLine="480"/>
        <w:jc w:val="both"/>
      </w:pPr>
      <w:r>
        <w:rPr>
          <w:rFonts w:ascii="Times New Roman" w:hAnsi="Times New Roman" w:eastAsia="方正仿宋_GBK"/>
          <w:b w:val="0"/>
          <w:sz w:val="24"/>
        </w:rPr>
        <w:t xml:space="preserve">取得新增设备台账、用户电量与实际线路资料后，更新相应参数与候选集合。主变、储能和线路价格按统一工程范围折算，使用相同现金流规则比较费用。负荷增长、光伏投产和峰段特征变化时，重新计算容量与负荷分配，滚动修订规划区间和建设时点。</w:t>
      </w:r>
    </w:p>
    <w:p>
      <w:pPr>
        <w:pStyle w:val="5"/>
        <w:keepNext/>
        <w:numPr>
          <w:numId w:val="0"/>
        </w:numPr>
        <w:spacing w:line="390" w:lineRule="exact" w:before="160" w:after="120"/>
        <w:ind w:firstLine="0"/>
      </w:pPr>
      <w:bookmarkStart w:id="286" w:name="相同源荷条件下的推荐区间选择"/>
      <w:r>
        <w:rPr>
          <w:rFonts w:ascii="Times New Roman" w:hAnsi="Times New Roman" w:eastAsia="方正仿宋_GBK"/>
          <w:b/>
          <w:sz w:val="26"/>
        </w:rPr>
        <w:t xml:space="preserve">5.7.4 相同源荷条件下的推荐区间选择</w:t>
      </w:r>
      <w:bookmarkEnd w:id="286"/>
    </w:p>
    <w:p>
      <w:pPr>
        <w:pStyle w:val="FirstParagraph"/>
        <w:widowControl/>
        <w:spacing w:line="348" w:lineRule="exact" w:before="0" w:after="0"/>
        <w:ind w:firstLine="480"/>
        <w:jc w:val="both"/>
      </w:pPr>
      <w:r>
        <w:rPr>
          <w:rFonts w:ascii="Times New Roman" w:hAnsi="Times New Roman" w:eastAsia="方正仿宋_GBK"/>
          <w:b w:val="0"/>
          <w:sz w:val="24"/>
        </w:rPr>
        <w:t xml:space="preserve">以分布式电源装机渗透率1.00～2.00、年最大净负荷平均增长率大于2.00%至7.00%、95%峰值持续时间1～3 h为例，选取3 h参考条件下主变与储能单位功率投资比大于0.05至0.08，架空为主线路对应主变与线路单位功率投资比0.84～1.40。按供电区域类别和负荷分散系数细分后的结果如下。</w:t>
      </w:r>
    </w:p>
    <w:p>
      <w:pPr>
        <w:pStyle w:val="2"/>
        <w:keepNext/>
        <w:spacing w:line="280" w:lineRule="exact" w:before="120" w:after="80"/>
        <w:ind w:firstLine="0"/>
        <w:jc w:val="center"/>
      </w:pPr>
      <w:r>
        <w:rPr>
          <w:rFonts w:ascii="Times New Roman" w:hAnsi="Times New Roman" w:eastAsia="宋体"/>
          <w:b w:val="0"/>
          <w:sz w:val="21"/>
        </w:rPr>
        <w:t xml:space="preserve">表5-95 相同源荷与经济条件下的分类推荐示例</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供电区域类别</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负荷分散系数</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A类</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1.15</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B/C类</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2771"/>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bl>
    <w:p>
      <w:pPr>
        <w:pStyle w:val="2"/>
        <w:widowControl/>
        <w:spacing w:line="348" w:lineRule="exact" w:before="0" w:after="0"/>
        <w:ind w:firstLine="480"/>
        <w:jc w:val="both"/>
      </w:pPr>
      <w:r>
        <w:rPr>
          <w:rFonts w:ascii="Times New Roman" w:hAnsi="Times New Roman" w:eastAsia="方正仿宋_GBK"/>
          <w:b w:val="0"/>
          <w:sz w:val="24"/>
        </w:rPr>
        <w:t xml:space="preserve">这些条件的源荷范围和相对工程价格相同，推荐区间仍有差异，反映了站群设备规格、既有转供条件与各站负荷峰值关系的共同影响。实际片区可以先按供电区域类别定位，再按负荷分散系数选择相应组别。系数与已列情景不一致时，将相邻情景作为比选参照，并按实际站级负荷形成具体容量配置。</w:t>
      </w:r>
    </w:p>
    <w:p>
      <w:pPr>
        <w:pStyle w:val="2"/>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推荐区间与地区年网供最大负荷结合，可得到区域主变容量的初步范围。例如年网供最大负荷1000.00 MW时，容载比每变化0.10，对应公用主变总容量变化100.00 MVA。这一数量关系说明，小幅比值差异在较大区域内也会对应明确的设备规模。容量分配仍应按各站正反向负荷和主变N-1条件安排，不能只按区域总量平均分配。</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有多组设备组合。对具备扩建位置且停运后剩余容量不足的站，增加主变台数可能较有利；对已有较大主变但峰值缺口较短的站，储能可能补充局部需求；对邻站余量较大且联络条件较好的站，负荷转接能够减少本站新增容量。区域推荐值应与逐站措施一并形成，便于解释容量储备的来源和投资用途。</w:t>
      </w:r>
    </w:p>
    <w:p>
      <w:pPr>
        <w:pStyle w:val="5"/>
        <w:keepNext/>
        <w:numPr>
          <w:numId w:val="0"/>
        </w:numPr>
        <w:spacing w:line="390" w:lineRule="exact" w:before="160" w:after="120"/>
        <w:ind w:firstLine="0"/>
      </w:pPr>
      <w:bookmarkStart w:id="287" w:name="邳州与市区建设措施的综合比较"/>
      <w:r>
        <w:rPr>
          <w:rFonts w:ascii="Times New Roman" w:hAnsi="Times New Roman" w:eastAsia="方正仿宋_GBK"/>
          <w:b/>
          <w:sz w:val="26"/>
        </w:rPr>
        <w:t xml:space="preserve">5.7.5 邳州与市区建设措施的综合比较</w:t>
      </w:r>
      <w:bookmarkEnd w:id="287"/>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邳州弹性方案四年新购主变容量960.50 MVA，较刚性方案682.00 MVA增加278.50 MVA，扩建主变项目由6项增加到11项；目标年储能额定功率由253.10 MW降至3.30 MW。两类方案新增联络均为13项，说明该案例主要通过主变与储能组合调整降低费用，联络建设规模保持一致。主变新增投资对应持续在役容量，储能减少则降低了成套设备及后续运维支出。</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市区弹性方案四年新购主变容量526.00 MVA，较刚性方案289.00 MVA增加237.00 MVA，扩建主变项目由1项增加到8项；目标年储能额定功率由250.00 MW降至2.90 MW。新增联络由0项增加到3项，表明市区在增加主变容量的同时，采用少量联络项目改善站间配置。新增联络与主变扩建共同作用，不能把费用变化全部归因于单一设备。</w:t>
      </w:r>
    </w:p>
    <w:p>
      <w:pPr>
        <w:pStyle w:val="2"/>
        <w:widowControl/>
        <w:spacing w:line="348" w:lineRule="exact" w:before="0" w:after="0"/>
        <w:ind w:firstLine="480"/>
        <w:jc w:val="both"/>
      </w:pPr>
      <w:r>
        <w:rPr>
          <w:rFonts w:ascii="Times New Roman" w:hAnsi="Times New Roman" w:eastAsia="方正仿宋_GBK"/>
          <w:b w:val="0"/>
          <w:sz w:val="24"/>
        </w:rPr>
        <w:t xml:space="preserve">两地区弹性方案储能功率均降至较小规模，但主变容量的站间分配并不相同。部分站承担更多转入负荷，部分站通过转出负荷减少本站需求，另有站点保持原有主变容量。区域容载比提高表示总容量储备增加，并不要求每一座站都增加容量。逐站分析列示了这种差异，使区域指标能够对应具体供电任务。</w:t>
      </w:r>
    </w:p>
    <w:p>
      <w:pPr>
        <w:pStyle w:val="2"/>
        <w:widowControl/>
        <w:spacing w:line="348" w:lineRule="exact" w:before="0" w:after="0"/>
        <w:ind w:firstLine="480"/>
        <w:jc w:val="both"/>
      </w:pPr>
      <w:r>
        <w:rPr>
          <w:rFonts w:ascii="Times New Roman" w:hAnsi="Times New Roman" w:eastAsia="方正仿宋_GBK"/>
          <w:b w:val="0"/>
          <w:sz w:val="24"/>
        </w:rPr>
        <w:t xml:space="preserve">费用现值比较中，邳州刚性与弹性方案分别为86143.38万元和29227.32万元，降低66.07%；市区分别为73047.96万元和18432.29万元，降低74.77%。两地区的绝对费用规模与样本负荷、建设项目数量及储能需求有关。相对降幅用于比较本地区两类方案，区域之间则还应结合设备规模和工程类型分析，避免只按降幅大小判断规划水平。</w:t>
      </w:r>
    </w:p>
    <w:p>
      <w:pPr>
        <w:pStyle w:val="2"/>
        <w:widowControl/>
        <w:spacing w:line="348" w:lineRule="exact" w:before="0" w:after="0"/>
        <w:ind w:firstLine="480"/>
        <w:jc w:val="both"/>
      </w:pPr>
      <w:r>
        <w:rPr>
          <w:rFonts w:ascii="Times New Roman" w:hAnsi="Times New Roman" w:eastAsia="方正仿宋_GBK"/>
          <w:b w:val="0"/>
          <w:sz w:val="24"/>
        </w:rPr>
        <w:t xml:space="preserve">从年度建设看，邳州弹性方案第1年主变净增441.50 MVA，此后每年仍有容量建设；市区第1年净增373.00 MVA，第3年没有新增主变容量，主要利用已有设备和负荷转接满足增长。邳州较快的负荷发展对应持续建设需求，市区较低的增长水平则允许部分年份利用既有储备。建设节奏与当地负荷发展共同决定年度容载比变化。</w:t>
      </w:r>
    </w:p>
    <w:p>
      <w:pPr>
        <w:pStyle w:val="2"/>
        <w:widowControl/>
        <w:spacing w:line="348" w:lineRule="exact" w:before="0" w:after="0"/>
        <w:ind w:firstLine="480"/>
        <w:jc w:val="both"/>
      </w:pPr>
      <w:r>
        <w:rPr>
          <w:rFonts w:ascii="Times New Roman" w:hAnsi="Times New Roman" w:eastAsia="方正仿宋_GBK"/>
          <w:b w:val="0"/>
          <w:sz w:val="24"/>
        </w:rPr>
        <w:t xml:space="preserve">采用弹性指标后，规划评价应同时关注主变容量是否满足当年需求、设备规格是否能够实施、储能是否具有相应持续时间的功率和能量，以及新增工程费用是否合理。推荐区间提供容量比选范围，年度措施和逐站结果给出具体建设内容，两者结合形成</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的研究建议。</w:t>
      </w:r>
    </w:p>
    <w:p>
      <w:bookmarkStart w:id="2105" w:name="h1105"/>
      <w:pPr>
        <w:pStyle w:val="3"/>
        <w:keepNext/>
        <w:pageBreakBefore/>
        <w:numPr>
          <w:numId w:val="0"/>
        </w:numPr>
        <w:spacing w:line="540" w:lineRule="exact" w:before="0" w:after="120"/>
        <w:ind w:firstLine="0"/>
      </w:pPr>
      <w:bookmarkStart w:id="288" w:name="第六章-结论与建议"/>
      <w:r>
        <w:rPr>
          <w:rFonts w:ascii="Times New Roman" w:hAnsi="Times New Roman" w:eastAsia="方正仿宋_GBK"/>
          <w:b/>
          <w:sz w:val="36"/>
        </w:rPr>
        <w:t xml:space="preserve">第六章 结论与建议</w:t>
      </w:r>
      <w:bookmarkEnd w:id="288"/>
      <w:bookmarkEnd w:id="2105"/>
    </w:p>
    <w:p>
      <w:pPr>
        <w:pStyle w:val="FirstParagraph"/>
        <w:widowControl/>
        <w:spacing w:line="348" w:lineRule="exact"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kV联络的联合寻优。在两地区刚性与弹性方案对比基础上，进一步拓展源荷及经济参数，形成弹性容载比推荐区间及适用条件，供不同片区比选。</w:t>
      </w:r>
    </w:p>
    <w:p>
      <w:bookmarkStart w:id="2107" w:name="h1107"/>
      <w:pPr>
        <w:pStyle w:val="4"/>
        <w:keepNext/>
        <w:numPr>
          <w:numId w:val="0"/>
        </w:numPr>
        <w:spacing w:line="480" w:lineRule="exact" w:before="160" w:after="120"/>
        <w:ind w:firstLine="0"/>
      </w:pPr>
      <w:bookmarkStart w:id="289" w:name="主要研究结论"/>
      <w:r>
        <w:rPr>
          <w:rFonts w:ascii="Times New Roman" w:hAnsi="Times New Roman" w:eastAsia="方正仿宋_GBK"/>
          <w:b/>
          <w:sz w:val="32"/>
        </w:rPr>
        <w:t xml:space="preserve">6.1 主要研究结论</w:t>
      </w:r>
      <w:bookmarkEnd w:id="289"/>
      <w:bookmarkEnd w:id="2107"/>
    </w:p>
    <w:p>
      <w:pPr>
        <w:pStyle w:val="5"/>
        <w:keepNext/>
        <w:numPr>
          <w:numId w:val="0"/>
        </w:numPr>
        <w:spacing w:line="390" w:lineRule="exact" w:before="160" w:after="120"/>
        <w:ind w:firstLine="0"/>
      </w:pPr>
      <w:bookmarkStart w:id="290" w:name="容载比选取需要同时考虑区域负荷与站级双向需求"/>
      <w:r>
        <w:rPr>
          <w:rFonts w:ascii="Times New Roman" w:hAnsi="Times New Roman" w:eastAsia="方正仿宋_GBK"/>
          <w:b/>
          <w:sz w:val="26"/>
        </w:rPr>
        <w:t xml:space="preserve">6.1.1 容载比选取需要同时考虑区域负荷与站级双向需求</w:t>
      </w:r>
      <w:bookmarkEnd w:id="290"/>
    </w:p>
    <w:p>
      <w:pPr>
        <w:pStyle w:val="FirstParagraph"/>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2"/>
        <w:widowControl/>
        <w:spacing w:line="348" w:lineRule="exact" w:before="0" w:after="0"/>
        <w:ind w:firstLine="480"/>
        <w:jc w:val="both"/>
      </w:pPr>
      <w:r>
        <w:rPr>
          <w:rFonts w:ascii="Times New Roman" w:hAnsi="Times New Roman" w:eastAsia="方正仿宋_GBK"/>
          <w:b w:val="0"/>
          <w:sz w:val="24"/>
        </w:rPr>
        <w:t xml:space="preserve">结合装机统计与典型源荷场景，邳州2025年分布式电源装机渗透率为1.63，分布式电源电量渗透率为40.28%；市区相应估计值为0.32和8.69%。邳州的规划分析需要重视本地负荷与光伏出力的配合及反向容量需求，市区则主要结合正向负荷分布和A类供电安全条件配置容量。片区源荷及设备结构的差异，应落实为相应技术约束和建设方案。</w:t>
      </w:r>
    </w:p>
    <w:p>
      <w:pPr>
        <w:pStyle w:val="5"/>
        <w:keepNext/>
        <w:numPr>
          <w:numId w:val="0"/>
        </w:numPr>
        <w:spacing w:line="390" w:lineRule="exact" w:before="160" w:after="120"/>
        <w:ind w:firstLine="0"/>
      </w:pPr>
      <w:bookmarkStart w:id="291" w:name="本案例中弹性方案增加主变容量降低新增措施费用"/>
      <w:r>
        <w:rPr>
          <w:rFonts w:ascii="Times New Roman" w:hAnsi="Times New Roman" w:eastAsia="方正仿宋_GBK"/>
          <w:b/>
          <w:sz w:val="26"/>
        </w:rPr>
        <w:t xml:space="preserve">6.1.2 本案例中弹性方案增加主变容量，降低新增措施费用</w:t>
      </w:r>
      <w:bookmarkEnd w:id="291"/>
    </w:p>
    <w:p>
      <w:pPr>
        <w:pStyle w:val="FirstParagraph"/>
        <w:widowControl/>
        <w:spacing w:line="348" w:lineRule="exact" w:before="0" w:after="0"/>
        <w:ind w:firstLine="480"/>
        <w:jc w:val="both"/>
      </w:pPr>
      <w:r>
        <w:rPr>
          <w:rFonts w:ascii="Times New Roman" w:hAnsi="Times New Roman" w:eastAsia="方正仿宋_GBK"/>
          <w:b w:val="0"/>
          <w:sz w:val="24"/>
        </w:rPr>
        <w:t xml:space="preserve">刚性与弹性方案在同一区县共用容载比2.00的仿真起点，并采用相同负荷发展、候选措施和工程价格。后续各年均校核正常运行、主变N-1、设备持续在役和转供能力。刚性方案受2.00上限约束，部分站点需要配置较大规模储能以满足主变N-1工况；弹性方案适当增加主变容量，提高剩余主变供电能力，减少相应储能投资和维护费用。</w:t>
      </w:r>
    </w:p>
    <w:p>
      <w:pPr>
        <w:pStyle w:val="2"/>
        <w:widowControl/>
        <w:spacing w:line="348" w:lineRule="exact" w:before="0" w:after="0"/>
        <w:ind w:firstLine="480"/>
        <w:jc w:val="both"/>
      </w:pPr>
      <w:r>
        <w:rPr>
          <w:rFonts w:ascii="Times New Roman" w:hAnsi="Times New Roman" w:eastAsia="方正仿宋_GBK"/>
          <w:b w:val="0"/>
          <w:sz w:val="24"/>
        </w:rPr>
        <w:t xml:space="preserve">两地区刚性方案新增措施评价期费用现值合计159191.34万元，弹性方案为47659.61万元，降低70.06%。规划第4年，刚性方案容载比为1.95～1.97，弹性方案平均约为2.20；弹性方案邳州储能为3.30 MW/7.09 MWh，市区为2.90 MW/6.23 MWh。费用按2021年末折现，汇总至2041年的新增建设与固定运维支出。结果表明，在本案例的负荷发展及工程价格条件下，增加主变容量能够减少相应储能需求，降低综合支出。</w:t>
      </w:r>
    </w:p>
    <w:p>
      <w:pPr>
        <w:pStyle w:val="5"/>
        <w:keepNext/>
        <w:numPr>
          <w:numId w:val="0"/>
        </w:numPr>
        <w:spacing w:line="390" w:lineRule="exact" w:before="160" w:after="120"/>
        <w:ind w:firstLine="0"/>
      </w:pPr>
      <w:bookmarkStart w:id="292"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92"/>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市区初始站间转供率按50.00%设定，邳州依据局部馈线资料测算为28.29%，并应用于县域站群。既有能力利用按零新增建设投资计取，能力不足时通过新建联络提高转供率。新增联络与主变、储能共同参与费用比较，实际转接量由送端可转负荷、受端容量和工程费用共同确定。</w:t>
      </w:r>
    </w:p>
    <w:p>
      <w:pPr>
        <w:pStyle w:val="5"/>
        <w:keepNext/>
        <w:numPr>
          <w:numId w:val="0"/>
        </w:numPr>
        <w:spacing w:line="390" w:lineRule="exact" w:before="160" w:after="120"/>
        <w:ind w:firstLine="0"/>
      </w:pPr>
      <w:bookmarkStart w:id="293" w:name="容载比取值随源荷水平负荷增长及储能配置条件变化"/>
      <w:r>
        <w:rPr>
          <w:rFonts w:ascii="Times New Roman" w:hAnsi="Times New Roman" w:eastAsia="方正仿宋_GBK"/>
          <w:b/>
          <w:sz w:val="26"/>
        </w:rPr>
        <w:t xml:space="preserve">6.1.4 容载比取值随源荷水平、负荷增长及储能配置条件变化</w:t>
      </w:r>
      <w:bookmarkEnd w:id="293"/>
    </w:p>
    <w:p>
      <w:pPr>
        <w:pStyle w:val="FirstParagraph"/>
        <w:widowControl/>
        <w:spacing w:line="348" w:lineRule="exact" w:before="0" w:after="0"/>
        <w:ind w:firstLine="480"/>
        <w:jc w:val="both"/>
      </w:pPr>
      <w:r>
        <w:rPr>
          <w:rFonts w:ascii="Times New Roman" w:hAnsi="Times New Roman" w:eastAsia="方正仿宋_GBK"/>
          <w:b w:val="0"/>
          <w:sz w:val="24"/>
        </w:rPr>
        <w:t xml:space="preserve">参数分析显示，源荷比由0.00增至3.00时，容载比平均增加0.20；年最大净负荷平均增长率由0.00%增至10.00%时，容载比平均变化为－0.24。前者反映光伏反向输送对容量配置的影响，后者同时包含负荷增长对容量需求和容载比分母的作用。95%峰值持续时间由1 h延长至6 h，19.17%的配对情景发生容载比变化；储能价格由基准的0.50倍提高至1.25倍，相应比例为17.93%。这些差异说明，源荷规模相近的片区仍需结合峰值持续时间与储能经济性确定容量配置。</w:t>
      </w:r>
    </w:p>
    <w:p>
      <w:pPr>
        <w:pStyle w:val="2"/>
        <w:widowControl/>
        <w:spacing w:line="348" w:lineRule="exact" w:before="0" w:after="0"/>
        <w:ind w:firstLine="480"/>
        <w:jc w:val="both"/>
      </w:pPr>
      <w:r>
        <w:rPr>
          <w:rFonts w:ascii="Times New Roman" w:hAnsi="Times New Roman" w:eastAsia="方正仿宋_GBK"/>
          <w:b w:val="0"/>
          <w:sz w:val="24"/>
        </w:rPr>
        <w:t xml:space="preserve">线路类型与价格变化主要影响费用。在本次参数范围内，架空为主改为电缆为主，费用现值平均增加543.74万元，容载比保持不变。研究据此按源荷比、负荷增长和储能经济条件归纳容载比取值，并分别列示线路条件；供电区域类别与负荷分散系数用于进一步区分片区。</w:t>
      </w:r>
    </w:p>
    <w:p>
      <w:bookmarkStart w:id="2120" w:name="h1120"/>
      <w:pPr>
        <w:pStyle w:val="4"/>
        <w:keepNext/>
        <w:numPr>
          <w:numId w:val="0"/>
        </w:numPr>
        <w:spacing w:line="480" w:lineRule="exact" w:before="160" w:after="120"/>
        <w:ind w:firstLine="0"/>
      </w:pPr>
      <w:bookmarkStart w:id="294" w:name="规划应用建议"/>
      <w:r>
        <w:rPr>
          <w:rFonts w:ascii="Times New Roman" w:hAnsi="Times New Roman" w:eastAsia="方正仿宋_GBK"/>
          <w:b/>
          <w:sz w:val="32"/>
        </w:rPr>
        <w:t xml:space="preserve">6.2 规划应用建议</w:t>
      </w:r>
      <w:bookmarkEnd w:id="294"/>
      <w:bookmarkEnd w:id="2120"/>
    </w:p>
    <w:p>
      <w:pPr>
        <w:pStyle w:val="5"/>
        <w:keepNext/>
        <w:numPr>
          <w:numId w:val="0"/>
        </w:numPr>
        <w:spacing w:line="390" w:lineRule="exact" w:before="160" w:after="120"/>
        <w:ind w:firstLine="0"/>
      </w:pPr>
      <w:bookmarkStart w:id="295" w:name="按片区参数选择推荐区间并以实际设备确定建设方案"/>
      <w:r>
        <w:rPr>
          <w:rFonts w:ascii="Times New Roman" w:hAnsi="Times New Roman" w:eastAsia="方正仿宋_GBK"/>
          <w:b/>
          <w:sz w:val="26"/>
        </w:rPr>
        <w:t xml:space="preserve">6.2.1 按片区参数选择推荐区间，并以实际设备确定建设方案</w:t>
      </w:r>
      <w:bookmarkEnd w:id="295"/>
    </w:p>
    <w:p>
      <w:pPr>
        <w:pStyle w:val="FirstParagraph"/>
        <w:widowControl/>
        <w:spacing w:line="348" w:lineRule="exact" w:before="0" w:after="0"/>
        <w:ind w:firstLine="480"/>
        <w:jc w:val="both"/>
      </w:pPr>
      <w:r>
        <w:rPr>
          <w:rFonts w:ascii="Times New Roman" w:hAnsi="Times New Roman" w:eastAsia="方正仿宋_GBK"/>
          <w:b w:val="0"/>
          <w:sz w:val="24"/>
        </w:rPr>
        <w:t xml:space="preserve">两地区案例第4年推荐容载比平均约为2.20，具体设备配置与建设时序见第五章。实际规划先核定同电压等级公用主变容量与年网供最大负荷，结合分布式电源装机渗透率、分布式电源电量渗透率及年最大净负荷平均增长率识别源荷条件，再按峰值持续时间和成本条件匹配第五章矩阵，进一步核对供电区域类别与负荷分散系数。按匹配的源荷条件比较容量配置及评价期费用，确定片区推荐值。</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96" w:name="统筹既有转供能力主变建设和储能配置"/>
      <w:r>
        <w:rPr>
          <w:rFonts w:ascii="Times New Roman" w:hAnsi="Times New Roman" w:eastAsia="方正仿宋_GBK"/>
          <w:b/>
          <w:sz w:val="26"/>
        </w:rPr>
        <w:t xml:space="preserve">6.2.2 统筹既有转供能力、主变建设和储能配置</w:t>
      </w:r>
      <w:bookmarkEnd w:id="296"/>
    </w:p>
    <w:p>
      <w:pPr>
        <w:pStyle w:val="FirstParagraph"/>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2"/>
        <w:widowControl/>
        <w:spacing w:line="348" w:lineRule="exact" w:before="0" w:after="0"/>
        <w:ind w:firstLine="480"/>
        <w:jc w:val="both"/>
      </w:pPr>
      <w:r>
        <w:rPr>
          <w:rFonts w:ascii="Times New Roman" w:hAnsi="Times New Roman" w:eastAsia="方正仿宋_GBK"/>
          <w:b w:val="0"/>
          <w:sz w:val="24"/>
        </w:rPr>
        <w:t xml:space="preserve">光伏规模较大的县域，在送端正向需求降低的同时核对反向输送；负荷密集城区，重点校核重载站和承接站的主变N-1供电能力。储能按对应连续峰段初步确定功率和能量，并在工程设计中核定实际可用能力，主变建设按允许规格及扩建条件确定容量，联络按两端能力落实可转负荷。</w:t>
      </w:r>
    </w:p>
    <w:p>
      <w:pPr>
        <w:pStyle w:val="5"/>
        <w:keepNext/>
        <w:numPr>
          <w:numId w:val="0"/>
        </w:numPr>
        <w:spacing w:line="390" w:lineRule="exact" w:before="160" w:after="120"/>
        <w:ind w:firstLine="0"/>
      </w:pPr>
      <w:bookmarkStart w:id="297" w:name="随源荷发展和工程条件滚动更新规划"/>
      <w:r>
        <w:rPr>
          <w:rFonts w:ascii="Times New Roman" w:hAnsi="Times New Roman" w:eastAsia="方正仿宋_GBK"/>
          <w:b/>
          <w:sz w:val="26"/>
        </w:rPr>
        <w:t xml:space="preserve">6.2.3 随源荷发展和工程条件滚动更新规划</w:t>
      </w:r>
      <w:bookmarkEnd w:id="297"/>
    </w:p>
    <w:p>
      <w:pPr>
        <w:pStyle w:val="FirstParagraph"/>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bookmarkStart w:id="2130" w:name="h1130"/>
      <w:pPr>
        <w:pStyle w:val="4"/>
        <w:keepNext/>
        <w:numPr>
          <w:numId w:val="0"/>
        </w:numPr>
        <w:spacing w:line="480" w:lineRule="exact" w:before="160" w:after="120"/>
        <w:ind w:firstLine="0"/>
      </w:pPr>
      <w:bookmarkStart w:id="298" w:name="后续研究方向"/>
      <w:r>
        <w:rPr>
          <w:rFonts w:ascii="Times New Roman" w:hAnsi="Times New Roman" w:eastAsia="方正仿宋_GBK"/>
          <w:b/>
          <w:sz w:val="32"/>
        </w:rPr>
        <w:t xml:space="preserve">6.3 后续研究方向</w:t>
      </w:r>
      <w:bookmarkEnd w:id="298"/>
      <w:bookmarkEnd w:id="2130"/>
    </w:p>
    <w:p>
      <w:pPr>
        <w:pStyle w:val="5"/>
        <w:keepNext/>
        <w:numPr>
          <w:numId w:val="0"/>
        </w:numPr>
        <w:spacing w:line="390" w:lineRule="exact" w:before="160" w:after="120"/>
        <w:ind w:firstLine="0"/>
      </w:pPr>
      <w:bookmarkStart w:id="299" w:name="深化储能运行与实际网络校核"/>
      <w:r>
        <w:rPr>
          <w:rFonts w:ascii="Times New Roman" w:hAnsi="Times New Roman" w:eastAsia="方正仿宋_GBK"/>
          <w:b/>
          <w:sz w:val="26"/>
        </w:rPr>
        <w:t xml:space="preserve">6.3.1 深化储能运行与实际网络校核</w:t>
      </w:r>
      <w:bookmarkEnd w:id="299"/>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退出期间的实际功率缺口积分确定能量需求，并分别核定正向放电和反向充电所需的荷电状态。结合保证可用能量、充放电效率及故障恢复时间，检查连续多日支撑条件。将等效联络方案落实到实际馈线和开关位置，把转接量绑定到具体通道，继续分析线路允许容量、电压及保护配合。</w:t>
      </w:r>
    </w:p>
    <w:p>
      <w:pPr>
        <w:pStyle w:val="5"/>
        <w:keepNext/>
        <w:numPr>
          <w:numId w:val="0"/>
        </w:numPr>
        <w:spacing w:line="390" w:lineRule="exact" w:before="160" w:after="120"/>
        <w:ind w:firstLine="0"/>
      </w:pPr>
      <w:bookmarkStart w:id="300" w:name="拓展片区结构和经济参数"/>
      <w:r>
        <w:rPr>
          <w:rFonts w:ascii="Times New Roman" w:hAnsi="Times New Roman" w:eastAsia="方正仿宋_GBK"/>
          <w:b/>
          <w:sz w:val="26"/>
        </w:rPr>
        <w:t xml:space="preserve">6.3.2 拓展片区结构和经济参数</w:t>
      </w:r>
      <w:bookmarkEnd w:id="300"/>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bookmarkStart w:id="2135" w:name="h1135"/>
      <w:pPr>
        <w:pStyle w:val="3"/>
        <w:keepNext/>
        <w:pageBreakBefore/>
        <w:numPr>
          <w:numId w:val="0"/>
        </w:numPr>
        <w:spacing w:line="540" w:lineRule="exact" w:before="0" w:after="120"/>
        <w:ind w:firstLine="0"/>
      </w:pPr>
      <w:bookmarkStart w:id="301" w:name="参考文献"/>
      <w:r>
        <w:rPr>
          <w:rFonts w:ascii="Times New Roman" w:hAnsi="Times New Roman" w:eastAsia="方正仿宋_GBK"/>
          <w:b/>
          <w:sz w:val="36"/>
        </w:rPr>
        <w:t xml:space="preserve">参考文献</w:t>
      </w:r>
      <w:bookmarkEnd w:id="301"/>
      <w:bookmarkEnd w:id="2135"/>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[88] National Institute of Standards and Technology. Dataplot: Rank Correlation Independence Test[EB/OL]. [2026-10-07]. https://www.itl.nist.gov/div898/software/dataplot/refman1/auxillar/rankcorr.htm.</w:t>
      </w:r>
    </w:p>
    <w:p>
      <w:pPr>
        <w:pStyle w:val="2"/>
        <w:widowControl/>
        <w:spacing w:line="320" w:lineRule="exact" w:before="0" w:after="80"/>
        <w:ind w:firstLine="0"/>
        <w:jc w:val="left"/>
      </w:pPr>
      <w:r>
        <w:rPr>
          <w:rFonts w:ascii="Times New Roman" w:hAnsi="Times New Roman" w:eastAsia="方正仿宋_GBK"/>
          <w:b w:val="0"/>
          <w:sz w:val="21"/>
        </w:rPr>
        <w:t xml:space="preserve">[89]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[90]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[91]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[92]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[93]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[94]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[95]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0" Type="http://schemas.openxmlformats.org/officeDocument/2006/relationships/image" Target="media/rId190.png"/><Relationship Id="rId98" Type="http://schemas.openxmlformats.org/officeDocument/2006/relationships/image" Target="media/rId98.png"/><Relationship Id="rId111" Type="http://schemas.openxmlformats.org/officeDocument/2006/relationships/image" Target="media/rId111.png"/><Relationship Id="rId130" Type="http://schemas.openxmlformats.org/officeDocument/2006/relationships/image" Target="media/rId130.png"/><Relationship Id="rId114" Type="http://schemas.openxmlformats.org/officeDocument/2006/relationships/image" Target="media/rId114.png"/><Relationship Id="rId192" Type="http://schemas.openxmlformats.org/officeDocument/2006/relationships/image" Target="media/rId192.png"/><Relationship Id="rId109" Type="http://schemas.openxmlformats.org/officeDocument/2006/relationships/image" Target="media/rId109.png"/><Relationship Id="rId193" Type="http://schemas.openxmlformats.org/officeDocument/2006/relationships/image" Target="media/rId193.png"/><Relationship Id="rId119" Type="http://schemas.openxmlformats.org/officeDocument/2006/relationships/image" Target="media/rId119.png"/><Relationship Id="rId128" Type="http://schemas.openxmlformats.org/officeDocument/2006/relationships/image" Target="media/rId128.png"/><Relationship Id="rId259" Type="http://schemas.openxmlformats.org/officeDocument/2006/relationships/image" Target="media/rId259.png"/><Relationship Id="rId103" Type="http://schemas.openxmlformats.org/officeDocument/2006/relationships/image" Target="media/rId103.png"/><Relationship Id="rId157" Type="http://schemas.openxmlformats.org/officeDocument/2006/relationships/image" Target="media/rId157.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146</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2026-10-07T23:42:48Z</dcterms:created>
  <dcterms:modified xsi:type="dcterms:W3CDTF">2026-10-07T23:42:48Z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