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60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62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64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69</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69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73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77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79</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83</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83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86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88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90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148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152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169</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171</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171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172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173</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174</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为历史分析阶段，采用实际年度统计资料分析负荷发展、光伏装机和设备运行特征。2026—2035年为预测规划阶段，负荷和光伏分别按区域负荷预测、全市光伏装机预测相对2025年的比例缩放，站点空间分布沿用基准模板。110 kV电网规划预测峰值按2025年同范围统计峰值及区域负荷预测增长比例确定。</w:t>
      </w:r>
    </w:p>
    <w:p>
      <w:pPr>
        <w:pStyle w:val="2"/>
        <w:widowControl/>
        <w:spacing w:line="348" w:lineRule="exact" w:before="0" w:after="0"/>
        <w:ind w:firstLine="480"/>
        <w:jc w:val="both"/>
      </w:pPr>
      <w:r>
        <w:rPr>
          <w:rFonts w:ascii="Times New Roman" w:hAnsi="Times New Roman" w:eastAsia="方正仿宋_GBK"/>
          <w:b w:val="0"/>
          <w:sz w:val="24"/>
        </w:rPr>
        <w:t xml:space="preserve">地区案例以2021年实际地区主变容量为共同起点，市区和邳州分别为3113.50 MVA、2027.00 MVA，基期负荷取同年实际统计值。2022—2035年承接上年在役设备，结合当年源荷和运行约束，逐年联合比选主变增容、储能配置和10 kV联络。各地区的刚性、弹性方案采用相同起点、源荷和工程价格。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经济评价以2021年末为折现基准，评价截止于2041年，各年新增设备按实际投运年份计入现金流。主变、线路和储能的寿命、运维率采用第四章列明的研究参数[10,13,14]。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commentRangeStart w:id="0"/>
      <w:r>
        <w:rPr>
          <w:rFonts w:ascii="Times New Roman" w:hAnsi="Times New Roman" w:eastAsia="方正仿宋_GBK"/>
          <w:b w:val="0"/>
          <w:sz w:val="24"/>
        </w:rPr>
        <w:t xml:space="preserve">其中，Zhenyu Zhu等学者对铜芯电缆、架空导线及铝合金电缆进行寿命费用评价，费用包括投资、运行维护、故障及报废，并以实际10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commentRangeEnd w:id="0"/>
      <w:r>
        <w:commentReference w:id="0"/>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6" w:name="h366"/>
      <w:bookmarkStart w:id="108" w:name="主变负载率与双向净负荷"/>
      <w:r>
        <w:rPr>
          <w:rFonts w:ascii="Times New Roman" w:hAnsi="Times New Roman" w:eastAsia="方正仿宋_GBK"/>
          <w:b/>
          <w:sz w:val="32"/>
        </w:rPr>
        <w:t xml:space="preserve">3.4 主变负载率与双向净负荷</w:t>
      </w:r>
      <w:bookmarkEnd w:id="108"/>
      <w:bookmarkEnd w:id="1366"/>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commentRangeStart w:id="1"/>
            <w:r>
              <w:rPr>
                <w:rFonts w:ascii="Times New Roman" w:hAnsi="Times New Roman" w:eastAsia="宋体"/>
                <w:b/>
                <w:sz w:val="18"/>
              </w:rPr>
              <w:t>110 kV变电站</w:t>
            </w:r>
            <w:commentRangeEnd w:id="1"/>
            <w:r>
              <w:commentReference w:id="1"/>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commentRangeStart w:id="2"/>
            <w:r>
              <w:rPr>
                <w:rFonts w:ascii="Times New Roman" w:hAnsi="Times New Roman" w:eastAsia="宋体"/>
                <w:b w:val="0"/>
                <w:sz w:val="18"/>
              </w:rPr>
              <w:t>八义集变</w:t>
            </w:r>
            <w:commentRangeEnd w:id="2"/>
            <w:r>
              <w:commentReference w:id="2"/>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2"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2"/>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commentRangeStart w:id="3"/>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commentRangeEnd w:id="3"/>
      <w:r>
        <w:commentReference w:id="3"/>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5"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5"/>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新增联络单项参考能力以墩振线23—24杆拟设分段点下游的可转供区段为测算对象。根据已有配电变压器资料，该区段配电变压器额定容量合计占全馈线已识别总容量的90.97%。以该馈线2025年最大有功负荷8.23 MW为计算依据，按上述容量比例估算，区段负荷为7.49 MW。新增路径按550 A允许电流及0.95功率因数折算的有功容量为9.05 MW，因此取区段负荷7.49 MW作为单项新增联络的参考转供能力。</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f>
                      <m:fPr>
                        <m:type m:val="bar"/>
                      </m:fPr>
                      <m:num>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num>
                      <m:den>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5845</m:t>
                        </m:r>
                      </m:num>
                      <m:den>
                        <m:r>
                          <m:rPr>
                            <m:nor m:val="1"/>
                          </m:rPr>
                          <w:rPr>
                            <w:rFonts w:ascii="Times New Roman" w:hAnsi="Times New Roman" w:cs="Times New Roman" w:eastAsia="方正仿宋_GBK"/>
                            <w:i w:val="0"/>
                            <w:iCs w:val="0"/>
                          </w:rPr>
                          <m:t>6425</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U</m:t>
                        </m:r>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num>
                      <m:den>
                        <m:r>
                          <m:rPr>
                            <m:nor m:val="1"/>
                          </m:rPr>
                          <w:rPr>
                            <w:rFonts w:ascii="Times New Roman" w:hAnsi="Times New Roman" w:cs="Times New Roman" w:eastAsia="方正仿宋_GBK"/>
                            <w:i w:val="0"/>
                            <w:iCs w:val="0"/>
                          </w:rPr>
                          <m:t>1000</m:t>
                        </m:r>
                      </m:den>
                    </m:f>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num>
                      <m:den>
                        <m:r>
                          <m:rPr>
                            <m:nor m:val="1"/>
                          </m:rPr>
                          <w:rPr>
                            <w:rFonts w:ascii="Times New Roman" w:hAnsi="Times New Roman" w:cs="Times New Roman" w:eastAsia="方正仿宋_GBK"/>
                            <w:i w:val="0"/>
                            <w:iCs w:val="0"/>
                          </w:rPr>
                          <m:t>1000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9.05</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为2025年全馈线最大有功负荷，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为估算的区段合计负荷，单位MW；</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分别为该区段及全馈线已识别的配电变压器额定容量合计，单位kVA；</w:t>
      </w:r>
      <m:oMath>
        <m:r>
          <m:rPr>
            <m:nor m:val="1"/>
          </m:rPr>
          <w:rPr>
            <w:rFonts w:ascii="Times New Roman" w:hAnsi="Times New Roman" w:cs="Times New Roman" w:eastAsia="方正仿宋_GBK"/>
            <w:i w:val="1"/>
            <w:iCs w:val="1"/>
          </w:rPr>
          <m:t>U</m:t>
        </m:r>
      </m:oMath>
      <w:r>
        <w:rPr>
          <w:rFonts w:ascii="Times New Roman" w:hAnsi="Times New Roman" w:eastAsia="方正仿宋_GBK"/>
          <w:b w:val="0"/>
          <w:sz w:val="24"/>
        </w:rPr>
        <w:t xml:space="preserve">为线电压，取10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为新增路径的研究允许电流，取550 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8" w:name="h458"/>
      <w:bookmarkStart w:id="133" w:name="站级负载率与配置需求"/>
      <w:r>
        <w:rPr>
          <w:rFonts w:ascii="Times New Roman" w:hAnsi="Times New Roman" w:eastAsia="方正仿宋_GBK"/>
          <w:b/>
          <w:sz w:val="32"/>
        </w:rPr>
        <w:t xml:space="preserve">3.7 站级负载率与配置需求</w:t>
      </w:r>
      <w:bookmarkEnd w:id="133"/>
      <w:bookmarkEnd w:id="1458"/>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4" w:name="h474"/>
      <w:bookmarkStart w:id="141" w:name="运行特征的综合分析"/>
      <w:r>
        <w:rPr>
          <w:rFonts w:ascii="Times New Roman" w:hAnsi="Times New Roman" w:eastAsia="方正仿宋_GBK"/>
          <w:b/>
          <w:sz w:val="32"/>
        </w:rPr>
        <w:t xml:space="preserve">3.8 运行特征的综合分析</w:t>
      </w:r>
      <w:bookmarkEnd w:id="141"/>
      <w:bookmarkEnd w:id="1474"/>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commentRangeStart w:id="4"/>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MW，系数为1.11。两地区样本为1.00、1.10、1.15三个推广节点提供参照，其中1.15为本研究情景范围的上端。站间峰值越不同步，系数还可能高于1.15，实际取值应由同范围同期曲线计算。</w:t>
      </w:r>
      <w:commentRangeEnd w:id="4"/>
      <w:r>
        <w:commentReference w:id="4"/>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2"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2"/>
    </w:p>
    <w:p>
      <w:pPr>
        <w:pStyle w:val="4"/>
        <w:keepNext/>
        <w:numPr>
          <w:numId w:val="0"/>
        </w:numPr>
        <w:spacing w:line="480" w:lineRule="exact" w:before="160" w:after="120"/>
        <w:ind w:firstLine="0"/>
      </w:pPr>
      <w:bookmarkStart w:id="1503"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3"/>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5" w:name="h515"/>
      <w:bookmarkStart w:id="153" w:name="主变工程成本系数"/>
      <w:r>
        <w:rPr>
          <w:rFonts w:ascii="Times New Roman" w:hAnsi="Times New Roman" w:eastAsia="方正仿宋_GBK"/>
          <w:b/>
          <w:sz w:val="32"/>
        </w:rPr>
        <w:t xml:space="preserve">4.2 主变工程成本系数</w:t>
      </w:r>
      <w:bookmarkEnd w:id="153"/>
      <w:bookmarkEnd w:id="1515"/>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40" w:name="h540"/>
      <w:bookmarkStart w:id="160" w:name="kv联络工程费用"/>
      <w:r>
        <w:rPr>
          <w:rFonts w:ascii="Times New Roman" w:hAnsi="Times New Roman" w:eastAsia="方正仿宋_GBK"/>
          <w:b/>
          <w:sz w:val="32"/>
        </w:rPr>
        <w:t xml:space="preserve">4.3 10 kV联络工程费用</w:t>
      </w:r>
      <w:bookmarkEnd w:id="160"/>
      <w:bookmarkEnd w:id="1540"/>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commentRangeStart w:id="5"/>
      <w:r>
        <w:rPr>
          <w:rFonts w:ascii="Times New Roman" w:hAnsi="Times New Roman" w:eastAsia="方正仿宋_GBK"/>
          <w:b w:val="0"/>
          <w:sz w:val="24"/>
        </w:rPr>
        <w:t xml:space="preserve">新增联络能力的取值依据邳州局部六条10 kV馈线的结构化资料、联络关系及区段明细。先按开关位置识别可切换区段，再核对区段负荷、线路允许电流和接收侧余量。墩振线23—24杆下游区段的2025年压力场景负荷汇总为7.49 MW，作为新增独立接收馈线的候选转移规模，低于按允许电流及0.95功率因数折算的有功容量9.05 MW，计算过程见第3.6.2节。7.49 MW是该区段场景计算的参考规模，实际可转功率还受送受端馈线、路径共享和邻站主变余量共同限制。模型按具体送受端设置候选联络通道，既有工程不重复计原建设费，新增联络按投运年计费。</w:t>
      </w:r>
      <w:commentRangeEnd w:id="5"/>
      <w:r>
        <w:commentReference w:id="5"/>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4" w:name="h554"/>
      <w:bookmarkStart w:id="165" w:name="储能投资模型"/>
      <w:r>
        <w:rPr>
          <w:rFonts w:ascii="Times New Roman" w:hAnsi="Times New Roman" w:eastAsia="方正仿宋_GBK"/>
          <w:b/>
          <w:sz w:val="32"/>
        </w:rPr>
        <w:t xml:space="preserve">4.4 储能投资模型</w:t>
      </w:r>
      <w:bookmarkEnd w:id="165"/>
      <w:bookmarkEnd w:id="1554"/>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3"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3"/>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90" w:name="h590"/>
      <w:bookmarkStart w:id="177" w:name="现金流现值计算"/>
      <w:r>
        <w:rPr>
          <w:rFonts w:ascii="Times New Roman" w:hAnsi="Times New Roman" w:eastAsia="方正仿宋_GBK"/>
          <w:b/>
          <w:sz w:val="32"/>
        </w:rPr>
        <w:t xml:space="preserve">4.6 现金流现值计算</w:t>
      </w:r>
      <w:bookmarkEnd w:id="177"/>
      <w:bookmarkEnd w:id="1590"/>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9"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9"/>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1" w:name="h621"/>
      <w:bookmarkStart w:id="186" w:name="寻优问题与共同起点"/>
      <w:r>
        <w:rPr>
          <w:rFonts w:ascii="Times New Roman" w:hAnsi="Times New Roman" w:eastAsia="方正仿宋_GBK"/>
          <w:b/>
          <w:sz w:val="32"/>
        </w:rPr>
        <w:t xml:space="preserve">5.1 寻优问题与共同起点</w:t>
      </w:r>
      <w:bookmarkEnd w:id="186"/>
      <w:bookmarkEnd w:id="1621"/>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commentRangeStart w:id="9"/>
      <w:r>
        <w:rPr>
          <w:rFonts w:ascii="Times New Roman" w:hAnsi="Times New Roman" w:eastAsia="宋体"/>
          <w:b w:val="0"/>
          <w:sz w:val="21"/>
        </w:rPr>
        <w:t xml:space="preserve">表5-1 两地区共同基期及规划年度</w:t>
      </w:r>
      <w:commentRangeEnd w:id="9"/>
      <w:r>
        <w:commentReference w:id="9"/>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2025年沿用站级小时样本。2026—2035年未来源荷按区域负荷预测及全市光伏装机相对2025年的比例缩放，站点空间分配继承基准模板。历史回算与未来预测均保留所采用的补值，年度规划峰值继续使用同范围年度统计及其预测外推值。</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4"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4"/>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为投运状态，既有联络取1。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4" w:name="h664"/>
      <w:bookmarkStart w:id="196" w:name="约束条件与求解流程"/>
      <w:r>
        <w:rPr>
          <w:rFonts w:ascii="Times New Roman" w:hAnsi="Times New Roman" w:eastAsia="方正仿宋_GBK"/>
          <w:b/>
          <w:sz w:val="32"/>
        </w:rPr>
        <w:t xml:space="preserve">5.3 约束条件与求解流程</w:t>
      </w:r>
      <w:bookmarkEnd w:id="196"/>
      <w:bookmarkEnd w:id="1664"/>
    </w:p>
    <w:p>
      <w:pPr>
        <w:pStyle w:val="5"/>
        <w:keepNext/>
        <w:numPr>
          <w:numId w:val="0"/>
        </w:numPr>
        <w:spacing w:line="390" w:lineRule="exact" w:before="160" w:after="120"/>
        <w:ind w:firstLine="0"/>
      </w:pPr>
      <w:commentRangeStart w:id="6"/>
      <w:bookmarkStart w:id="197" w:name="供电安全及供电能力约束"/>
      <w:r>
        <w:rPr>
          <w:rFonts w:ascii="Times New Roman" w:hAnsi="Times New Roman" w:eastAsia="方正仿宋_GBK"/>
          <w:b/>
          <w:sz w:val="26"/>
        </w:rPr>
        <w:t xml:space="preserve">5.3.1 供电安全及供电能力约束</w:t>
      </w:r>
      <w:bookmarkEnd w:id="197"/>
      <w:commentRangeEnd w:id="6"/>
      <w:r>
        <w:commentReference w:id="6"/>
      </w:r>
    </w:p>
    <w:p>
      <w:pPr>
        <w:pStyle w:val="FirstParagraph"/>
        <w:widowControl/>
        <w:spacing w:line="348" w:lineRule="exact" w:before="0" w:after="0"/>
        <w:ind w:firstLine="480"/>
        <w:jc w:val="both"/>
      </w:pPr>
      <w:commentRangeStart w:id="7"/>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commentRangeEnd w:id="7"/>
      <w:r>
        <w:commentReference w:id="7"/>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计算结果按年度设备承接、容量非减、区段功率平衡、既有转供上限、共享馈线余量及接收站主变容量逐项复核，再以负荷转供方案回代各年8760小时正常与故障工况。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9" w:name="h679"/>
      <w:bookmarkStart w:id="200" w:name="寻优结果"/>
      <w:r>
        <w:rPr>
          <w:rFonts w:ascii="Times New Roman" w:hAnsi="Times New Roman" w:eastAsia="方正仿宋_GBK"/>
          <w:b/>
          <w:sz w:val="32"/>
        </w:rPr>
        <w:t xml:space="preserve">5.4 寻优结果</w:t>
      </w:r>
      <w:bookmarkEnd w:id="200"/>
      <w:bookmarkEnd w:id="1679"/>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commentRangeStart w:id="8"/>
      <w:r>
        <w:rPr>
          <w:rFonts w:ascii="Times New Roman" w:hAnsi="Times New Roman" w:eastAsia="宋体"/>
          <w:b w:val="0"/>
          <w:sz w:val="21"/>
        </w:rPr>
        <w:t xml:space="preserve">表5-4 邳州逐年容量及措施</w:t>
      </w:r>
      <w:commentRangeEnd w:id="8"/>
      <w:r>
        <w:commentReference w:id="8"/>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逐站表格列示2021年基期及2025、2030、2035年代表年度设备配置，转接量对应同小时区域正向峰值的正常运行转供方案。全年校核保留所有8760小时，主变N-1按本站最大单台扣除，事故追加只切换故障站原属区段。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MW。该小时按采用的负荷转供方案，本站转出-13.00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MW。该小时按采用的负荷转供方案，本站转出-6.11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MW。该小时按采用的负荷转供方案，本站转出-29.12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MW。该小时按采用的负荷转供方案，本站转出51.87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MW。该小时按采用的负荷转供方案，本站转出-30.23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MW。该小时按采用的负荷转供方案，本站转出73.33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MW。该小时按采用的负荷转供方案，本站转出-11.85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MW。该小时按采用的负荷转供方案，本站转出17.96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MW。该小时按采用的负荷转供方案，本站转出29.50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MW。该小时按采用的负荷转供方案，本站转出-33.87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MW。该小时按采用的负荷转供方案，本站转出-17.00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MW。该小时按采用的负荷转供方案，本站转出-26.89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MW。该小时按采用的负荷转供方案，本站转出-16.67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MW。该小时按采用的负荷转供方案，本站转出44.00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MW。该小时按采用的负荷转供方案，本站转出-28.20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MW。该小时按采用的负荷转供方案，本站转出-15.12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MW。该小时按采用的负荷转供方案，本站转出0.00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MW。该小时按采用的负荷转供方案，本站转出-30.98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MW。该小时按采用的负荷转供方案，本站转出8.98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MW。该小时按采用的负荷转供方案，本站转出73.94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MW。该小时按采用的负荷转供方案，本站转出61.67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MW。该小时按采用的负荷转供方案，本站转出47.40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MW。该小时按采用的负荷转供方案，本站转出45.30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MW。该小时按采用的负荷转供方案，本站转出21.68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MW。该小时按采用的负荷转供方案，本站转出19.73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MW。该小时按采用的负荷转供方案，本站转出39.95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MW。该小时按采用的负荷转供方案，本站转出49.90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MW。该小时按采用的负荷转供方案，本站转出25.93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MW。该小时按采用的负荷转供方案，本站转出13.52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MW。该小时按采用的负荷转供方案，本站转出0.00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MW。该小时按采用的负荷转供方案，本站转出47.88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MW。该小时按采用的负荷转供方案，本站转出0.00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MW。该小时按采用的负荷转供方案，本站转出0.00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MW。该小时按采用的负荷转供方案，本站转出84.93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MW。该小时按采用的负荷转供方案，本站转出59.43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MW。该小时按采用的负荷转供方案，本站转出87.57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MW。该小时按采用的负荷转供方案，本站转出73.03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MW。该小时按采用的负荷转供方案，本站转出111.27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MW。该小时按采用的负荷转供方案，本站转出3.76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MW。该小时按采用的负荷转供方案，本站转出39.66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MW。该小时按采用的负荷转供方案，本站转出23.84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MW。该小时按采用的负荷转供方案，本站转出7.99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负荷转供方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4"/>
        <w:keepNext/>
        <w:numPr>
          <w:numId w:val="0"/>
        </w:numPr>
        <w:spacing w:line="480" w:lineRule="exact" w:before="160" w:after="120"/>
        <w:ind w:firstLine="0"/>
      </w:pPr>
      <w:bookmarkStart w:id="2033" w:name="h1033"/>
      <w:bookmarkStart w:id="265" w:name="措施作用与工程衔接"/>
      <w:r>
        <w:rPr>
          <w:rFonts w:ascii="Times New Roman" w:hAnsi="Times New Roman" w:eastAsia="方正仿宋_GBK"/>
          <w:b/>
          <w:sz w:val="32"/>
        </w:rPr>
        <w:t xml:space="preserve">5.5 措施作用与工程衔接</w:t>
      </w:r>
      <w:bookmarkEnd w:id="265"/>
      <w:bookmarkEnd w:id="2033"/>
    </w:p>
    <w:p>
      <w:pPr>
        <w:pStyle w:val="5"/>
        <w:keepNext/>
        <w:numPr>
          <w:numId w:val="0"/>
        </w:numPr>
        <w:spacing w:line="390" w:lineRule="exact" w:before="160" w:after="120"/>
        <w:ind w:firstLine="0"/>
      </w:pPr>
      <w:bookmarkStart w:id="266" w:name="逐年负荷转接与站间任务"/>
      <w:r>
        <w:rPr>
          <w:rFonts w:ascii="Times New Roman" w:hAnsi="Times New Roman" w:eastAsia="方正仿宋_GBK"/>
          <w:b/>
          <w:sz w:val="26"/>
        </w:rPr>
        <w:t xml:space="preserve">5.5.1 逐年负荷转接与站间任务</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7" w:name="主变储能与联络的共同作用"/>
      <w:r>
        <w:rPr>
          <w:rFonts w:ascii="Times New Roman" w:hAnsi="Times New Roman" w:eastAsia="方正仿宋_GBK"/>
          <w:b/>
          <w:sz w:val="26"/>
        </w:rPr>
        <w:t xml:space="preserve">5.5.2 主变、储能与联络的共同作用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MW，均未新增储能。该站两类方案的差异表现为故障后剩余主变能力，具体正反向转接任务由各年度负荷转供方案确定。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兴塘变2035年两方案的N-1剩余主变能力</w:t>
      </w:r>
    </w:p>
    <w:p>
      <w:pPr>
        <w:pStyle w:val="5"/>
        <w:keepNext/>
        <w:numPr>
          <w:numId w:val="0"/>
        </w:numPr>
        <w:spacing w:line="390" w:lineRule="exact" w:before="160" w:after="120"/>
        <w:ind w:firstLine="0"/>
      </w:pPr>
      <w:bookmarkStart w:id="269" w:name="储能支撑与必要转供量"/>
      <w:r>
        <w:rPr>
          <w:rFonts w:ascii="Times New Roman" w:hAnsi="Times New Roman" w:eastAsia="方正仿宋_GBK"/>
          <w:b/>
          <w:sz w:val="26"/>
        </w:rPr>
        <w:t xml:space="preserve">5.5.3 储能支撑与必要转供量</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表5-61 代表年度正常及N-1工况的最大转接功率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正常既有联络/MW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N-1既有联络/MW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注：按正常运行和主变N-1时的负荷转供方案回代8760小时，分别列出各列最大值。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按各年度正常运行和主变N-1时的负荷转供方案，回代各年8760小时源荷，分别汇总两种工况中的转接峰值。转接总量与既有联络转接量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55" w:name="h1055"/>
      <w:bookmarkStart w:id="270" w:name="五参数推广矩阵"/>
      <w:r>
        <w:rPr>
          <w:rFonts w:ascii="Times New Roman" w:hAnsi="Times New Roman" w:eastAsia="方正仿宋_GBK"/>
          <w:b/>
          <w:sz w:val="32"/>
        </w:rPr>
        <w:t xml:space="preserve">5.6 五参数推广矩阵</w:t>
      </w:r>
      <w:bookmarkEnd w:id="270"/>
      <w:bookmarkEnd w:id="2055"/>
    </w:p>
    <w:p>
      <w:pPr>
        <w:pStyle w:val="5"/>
        <w:keepNext/>
        <w:numPr>
          <w:numId w:val="0"/>
        </w:numPr>
        <w:spacing w:line="390" w:lineRule="exact" w:before="160" w:after="120"/>
        <w:ind w:firstLine="0"/>
      </w:pPr>
      <w:bookmarkStart w:id="271" w:name="参数组织与推广模型"/>
      <w:r>
        <w:rPr>
          <w:rFonts w:ascii="Times New Roman" w:hAnsi="Times New Roman" w:eastAsia="方正仿宋_GBK"/>
          <w:b/>
          <w:sz w:val="26"/>
        </w:rPr>
        <w:t xml:space="preserve">5.6.1 参数组织与推广模型</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表5-62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72" w:name="矩阵结果与查表方法"/>
      <w:r>
        <w:rPr>
          <w:rFonts w:ascii="Times New Roman" w:hAnsi="Times New Roman" w:eastAsia="方正仿宋_GBK"/>
          <w:b/>
          <w:sz w:val="26"/>
        </w:rPr>
        <w:t xml:space="preserve">5.6.2 矩阵结果与查表方法</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同一行以各转供档可行配置的容载比下界作为分档界值，首档上界取该档最大值，后续各档上界与前一档下界相接，形成连续的规划推荐带；下界相同的档位保留相同定值。推荐带用于初步容量比选，具体设备仍需按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commentRangeStart w:id="10"/>
      <w:r>
        <w:rPr>
          <w:rFonts w:ascii="Times New Roman" w:hAnsi="Times New Roman" w:eastAsia="宋体"/>
          <w:b w:val="0"/>
          <w:sz w:val="21"/>
        </w:rPr>
        <w:t xml:space="preserve">表5-63 电缆长度占比≤10%、负荷分散系数1.00的容载比分档建议矩阵</w:t>
      </w:r>
      <w:commentRangeEnd w:id="10"/>
      <w:r>
        <w:commentReference w:id="10"/>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表5-64 电缆长度占比≤10%、负荷分散系数1.10的容载比分档建议矩阵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电缆长度占比&gt;30%、负荷分散系数1.00的容载比分档建议矩阵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电缆长度占比&gt;30%、负荷分散系数1.10的容载比分档建议矩阵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1.10、年最大净负荷平均增长率&gt;7%、装机渗透率(1,2]这一行为例，初始转供率四档的推荐带依次为1.91～2.09、1.76～1.91、1.50～1.76、1.36～1.50，相邻档共用1.91、1.76、1.50三个分界值。较强转供条件对应较低的本地容量推荐范围。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带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图中端点采用上述分档界值，读取推荐带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73"/>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电缆长度占比&gt;30%、负荷分散系数1.10下的矩阵端点</w:t>
      </w:r>
    </w:p>
    <w:p>
      <w:pPr>
        <w:pStyle w:val="5"/>
        <w:keepNext/>
        <w:numPr>
          <w:numId w:val="0"/>
        </w:numPr>
        <w:spacing w:line="390" w:lineRule="exact" w:before="160" w:after="120"/>
        <w:ind w:firstLine="0"/>
      </w:pPr>
      <w:bookmarkStart w:id="274" w:name="参数关联对应的设备变化"/>
      <w:r>
        <w:rPr>
          <w:rFonts w:ascii="Times New Roman" w:hAnsi="Times New Roman" w:eastAsia="方正仿宋_GBK"/>
          <w:b/>
          <w:sz w:val="26"/>
        </w:rPr>
        <w:t xml:space="preserve">5.6.3 参数关联对应的设备变化</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6" w:name="固定源荷条件下的转供序列"/>
      <w:r>
        <w:rPr>
          <w:rFonts w:ascii="Times New Roman" w:hAnsi="Times New Roman" w:eastAsia="方正仿宋_GBK"/>
          <w:b/>
          <w:sz w:val="26"/>
        </w:rPr>
        <w:t xml:space="preserve">5.6.4 固定源荷条件下的转供序列</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容量下界划定首尾相接的四档容载比推荐带，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表5-72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1.86～1.96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1.43～1.86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1.26～1.31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1.33～1.35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1.25～1.33</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注：两组均采用电缆长度占比50%和五站设备重新选配条件；按第5.6.2节的相邻档共用界值方法划定推荐带。</w:t>
      </w:r>
    </w:p>
    <w:p>
      <w:pPr>
        <w:pStyle w:val="2"/>
        <w:keepNext/>
        <w:spacing w:line="280" w:lineRule="exact" w:before="120" w:after="80"/>
        <w:ind w:firstLine="0"/>
        <w:jc w:val="center"/>
      </w:pPr>
      <w:r>
        <w:rPr>
          <w:rFonts w:ascii="Times New Roman" w:hAnsi="Times New Roman" w:eastAsia="宋体"/>
          <w:b w:val="0"/>
          <w:sz w:val="21"/>
        </w:rPr>
        <w:t xml:space="preserve">表5-73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表5-74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8" w:name="装机渗透率与双向容量需求"/>
      <w:r>
        <w:rPr>
          <w:rFonts w:ascii="Times New Roman" w:hAnsi="Times New Roman" w:eastAsia="方正仿宋_GBK"/>
          <w:b/>
          <w:sz w:val="26"/>
        </w:rPr>
        <w:t xml:space="preserve">5.6.5 装机渗透率与双向容量需求</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表5-75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完整装机渗透率序列对应的主变与储能配置</w:t>
      </w:r>
    </w:p>
    <w:p>
      <w:pPr>
        <w:pStyle w:val="5"/>
        <w:keepNext/>
        <w:numPr>
          <w:numId w:val="0"/>
        </w:numPr>
        <w:spacing w:line="390" w:lineRule="exact" w:before="160" w:after="120"/>
        <w:ind w:firstLine="0"/>
      </w:pPr>
      <w:bookmarkStart w:id="280" w:name="年最大净负荷平均增长率与容量储备消耗"/>
      <w:r>
        <w:rPr>
          <w:rFonts w:ascii="Times New Roman" w:hAnsi="Times New Roman" w:eastAsia="方正仿宋_GBK"/>
          <w:b/>
          <w:sz w:val="26"/>
        </w:rPr>
        <w:t xml:space="preserve">5.6.6 年最大净负荷平均增长率与容量储备消耗</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表5-76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年最大净负荷平均增长率与规划负荷、容量及容载比</w:t>
      </w:r>
    </w:p>
    <w:p>
      <w:pPr>
        <w:pStyle w:val="5"/>
        <w:keepNext/>
        <w:numPr>
          <w:numId w:val="0"/>
        </w:numPr>
        <w:spacing w:line="390" w:lineRule="exact" w:before="160" w:after="120"/>
        <w:ind w:firstLine="0"/>
      </w:pPr>
      <w:bookmarkStart w:id="282" w:name="电缆长度占比与联络主变替代"/>
      <w:r>
        <w:rPr>
          <w:rFonts w:ascii="Times New Roman" w:hAnsi="Times New Roman" w:eastAsia="方正仿宋_GBK"/>
          <w:b/>
          <w:sz w:val="26"/>
        </w:rPr>
        <w:t xml:space="preserve">5.6.7 电缆长度占比与联络、主变替代</w:t>
      </w:r>
      <w:bookmarkEnd w:id="28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表5-77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4" w:name="负荷分散系数与局部高峰承载"/>
      <w:r>
        <w:rPr>
          <w:rFonts w:ascii="Times New Roman" w:hAnsi="Times New Roman" w:eastAsia="方正仿宋_GBK"/>
          <w:b/>
          <w:sz w:val="26"/>
        </w:rPr>
        <w:t xml:space="preserve">5.6.8 负荷分散系数与局部高峰承载</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表5-78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24142.90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31153.91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bl>
    <w:p>
      <w:pPr>
        <w:pStyle w:val="2"/>
        <w:widowControl/>
        <w:spacing w:line="348" w:lineRule="exact" w:before="0" w:after="0"/>
        <w:ind w:firstLine="480"/>
        <w:jc w:val="both"/>
      </w:pPr>
      <w:r>
        <w:rPr>
          <w:rFonts w:ascii="Times New Roman" w:hAnsi="Times New Roman" w:eastAsia="方正仿宋_GBK"/>
          <w:b w:val="0"/>
          <w:sz w:val="24"/>
        </w:rPr>
        <w:t xml:space="preserve">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5"/>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矩阵分别列示三个分散系数定值，将局部高峰条件保留到查表结果。片区应用以同范围站级峰值及区域同时峰值核定该参数，再结合站间支援条件选择容量和配套措施。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30" w:name="h1130"/>
      <w:bookmarkStart w:id="286" w:name="规划建议"/>
      <w:r>
        <w:rPr>
          <w:rFonts w:ascii="Times New Roman" w:hAnsi="Times New Roman" w:eastAsia="方正仿宋_GBK"/>
          <w:b/>
          <w:sz w:val="32"/>
        </w:rPr>
        <w:t xml:space="preserve">5.7 规划建议</w:t>
      </w:r>
      <w:bookmarkEnd w:id="286"/>
      <w:bookmarkEnd w:id="2130"/>
    </w:p>
    <w:p>
      <w:pPr>
        <w:pStyle w:val="5"/>
        <w:keepNext/>
        <w:numPr>
          <w:numId w:val="0"/>
        </w:numPr>
        <w:spacing w:line="390" w:lineRule="exact" w:before="160" w:after="120"/>
        <w:ind w:firstLine="0"/>
      </w:pPr>
      <w:bookmarkStart w:id="287" w:name="按源荷条件和网络能力选取容量"/>
      <w:r>
        <w:rPr>
          <w:rFonts w:ascii="Times New Roman" w:hAnsi="Times New Roman" w:eastAsia="方正仿宋_GBK"/>
          <w:b/>
          <w:sz w:val="26"/>
        </w:rPr>
        <w:t xml:space="preserve">5.7.1 按源荷条件和网络能力选取容量</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8" w:name="统筹主变储能及联络建设"/>
      <w:r>
        <w:rPr>
          <w:rFonts w:ascii="Times New Roman" w:hAnsi="Times New Roman" w:eastAsia="方正仿宋_GBK"/>
          <w:b/>
          <w:sz w:val="26"/>
        </w:rPr>
        <w:t xml:space="preserve">5.7.2 统筹主变、储能及联络建设</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9" w:name="保留参数区间滚动更新计算依据"/>
      <w:r>
        <w:rPr>
          <w:rFonts w:ascii="Times New Roman" w:hAnsi="Times New Roman" w:eastAsia="方正仿宋_GBK"/>
          <w:b/>
          <w:sz w:val="26"/>
        </w:rPr>
        <w:t xml:space="preserve">5.7.3 保留参数区间，滚动更新计算依据</w:t>
      </w:r>
      <w:bookmarkEnd w:id="289"/>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90" w:name="推荐区间与具体设备的衔接"/>
      <w:r>
        <w:rPr>
          <w:rFonts w:ascii="Times New Roman" w:hAnsi="Times New Roman" w:eastAsia="方正仿宋_GBK"/>
          <w:b/>
          <w:sz w:val="26"/>
        </w:rPr>
        <w:t xml:space="preserve">5.7.4 推荐区间与具体设备的衔接</w:t>
      </w:r>
      <w:bookmarkEnd w:id="290"/>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91" w:name="邳州与市区建设措施的综合比较"/>
      <w:r>
        <w:rPr>
          <w:rFonts w:ascii="Times New Roman" w:hAnsi="Times New Roman" w:eastAsia="方正仿宋_GBK"/>
          <w:b/>
          <w:sz w:val="26"/>
        </w:rPr>
        <w:t xml:space="preserve">5.7.5 邳州与市区建设措施的综合比较</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正常运行和主变N-1时的负荷转供方案分别在各年度内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44" w:name="h1144"/>
      <w:bookmarkStart w:id="292" w:name="第六章-结论与建议"/>
      <w:r>
        <w:rPr>
          <w:rFonts w:ascii="Times New Roman" w:hAnsi="Times New Roman" w:eastAsia="方正仿宋_GBK"/>
          <w:b/>
          <w:sz w:val="36"/>
        </w:rPr>
        <w:t xml:space="preserve">第六章 结论与建议</w:t>
      </w:r>
      <w:bookmarkEnd w:id="292"/>
      <w:bookmarkEnd w:id="2144"/>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46" w:name="h1146"/>
      <w:bookmarkStart w:id="293" w:name="主要研究结论"/>
      <w:r>
        <w:rPr>
          <w:rFonts w:ascii="Times New Roman" w:hAnsi="Times New Roman" w:eastAsia="方正仿宋_GBK"/>
          <w:b/>
          <w:sz w:val="32"/>
        </w:rPr>
        <w:t xml:space="preserve">6.1 主要研究结论</w:t>
      </w:r>
      <w:bookmarkEnd w:id="293"/>
      <w:bookmarkEnd w:id="2146"/>
    </w:p>
    <w:p>
      <w:pPr>
        <w:pStyle w:val="5"/>
        <w:keepNext/>
        <w:numPr>
          <w:numId w:val="0"/>
        </w:numPr>
        <w:spacing w:line="390" w:lineRule="exact" w:before="160" w:after="120"/>
        <w:ind w:firstLine="0"/>
      </w:pPr>
      <w:bookmarkStart w:id="294" w:name="容载比与局部容量压力应结合分析"/>
      <w:r>
        <w:rPr>
          <w:rFonts w:ascii="Times New Roman" w:hAnsi="Times New Roman" w:eastAsia="方正仿宋_GBK"/>
          <w:b/>
          <w:sz w:val="26"/>
        </w:rPr>
        <w:t xml:space="preserve">6.1.1 容载比与局部容量压力应结合分析</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5" w:name="弹性容量配置降低了所设条件下的方案费用"/>
      <w:r>
        <w:rPr>
          <w:rFonts w:ascii="Times New Roman" w:hAnsi="Times New Roman" w:eastAsia="方正仿宋_GBK"/>
          <w:b/>
          <w:sz w:val="26"/>
        </w:rPr>
        <w:t xml:space="preserve">6.1.2 弹性容量配置降低了所设条件下的方案费用</w:t>
      </w:r>
      <w:bookmarkEnd w:id="295"/>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6"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当前模型将转接功率绑定具体馈线和站间候选，既有联络不重复计建设费用，新增联络按投运年计费。共用馈线的联络共用可转负荷和接收余量，邻站主变同时通过容量校核。</w:t>
      </w:r>
    </w:p>
    <w:p>
      <w:pPr>
        <w:pStyle w:val="5"/>
        <w:keepNext/>
        <w:numPr>
          <w:numId w:val="0"/>
        </w:numPr>
        <w:spacing w:line="390" w:lineRule="exact" w:before="160" w:after="120"/>
        <w:ind w:firstLine="0"/>
      </w:pPr>
      <w:bookmarkStart w:id="297" w:name="两层相关分析确定五项推广参数"/>
      <w:r>
        <w:rPr>
          <w:rFonts w:ascii="Times New Roman" w:hAnsi="Times New Roman" w:eastAsia="方正仿宋_GBK"/>
          <w:b/>
          <w:sz w:val="26"/>
        </w:rPr>
        <w:t xml:space="preserve">6.1.4 两层相关分析确定五项推广参数</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同一行按各转供档容量下界划定首尾相接的规划推荐带。另以两组设备重新选配的典型源荷条件分析18个细节点及8个转供区间，四档推荐带逐档衔接，细节点保留实际设备组合的平台和局部回升。查表后按实际站级缺口及可实施措施确定设备方案。</w:t>
      </w:r>
    </w:p>
    <w:p>
      <w:pPr>
        <w:pStyle w:val="4"/>
        <w:keepNext/>
        <w:numPr>
          <w:numId w:val="0"/>
        </w:numPr>
        <w:spacing w:line="480" w:lineRule="exact" w:before="160" w:after="120"/>
        <w:ind w:firstLine="0"/>
      </w:pPr>
      <w:bookmarkStart w:id="2160" w:name="h1160"/>
      <w:bookmarkStart w:id="298" w:name="规划应用建议"/>
      <w:r>
        <w:rPr>
          <w:rFonts w:ascii="Times New Roman" w:hAnsi="Times New Roman" w:eastAsia="方正仿宋_GBK"/>
          <w:b/>
          <w:sz w:val="32"/>
        </w:rPr>
        <w:t xml:space="preserve">6.2 规划应用建议</w:t>
      </w:r>
      <w:bookmarkEnd w:id="298"/>
      <w:bookmarkEnd w:id="2160"/>
    </w:p>
    <w:p>
      <w:pPr>
        <w:pStyle w:val="5"/>
        <w:keepNext/>
        <w:numPr>
          <w:numId w:val="0"/>
        </w:numPr>
        <w:spacing w:line="390" w:lineRule="exact" w:before="160" w:after="120"/>
        <w:ind w:firstLine="0"/>
      </w:pPr>
      <w:bookmarkStart w:id="299" w:name="按输入区间查表再落实设备方案"/>
      <w:r>
        <w:rPr>
          <w:rFonts w:ascii="Times New Roman" w:hAnsi="Times New Roman" w:eastAsia="方正仿宋_GBK"/>
          <w:b/>
          <w:sz w:val="26"/>
        </w:rPr>
        <w:t xml:space="preserve">6.2.1 按输入区间查表，再落实设备方案</w:t>
      </w:r>
      <w:bookmarkEnd w:id="299"/>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300" w:name="核实分区转供能力与储能支撑条件"/>
      <w:r>
        <w:rPr>
          <w:rFonts w:ascii="Times New Roman" w:hAnsi="Times New Roman" w:eastAsia="方正仿宋_GBK"/>
          <w:b/>
          <w:sz w:val="26"/>
        </w:rPr>
        <w:t xml:space="preserve">6.2.2 核实分区转供能力与储能支撑条件</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301" w:name="随数据和工程条件更新结果"/>
      <w:r>
        <w:rPr>
          <w:rFonts w:ascii="Times New Roman" w:hAnsi="Times New Roman" w:eastAsia="方正仿宋_GBK"/>
          <w:b/>
          <w:sz w:val="26"/>
        </w:rPr>
        <w:t xml:space="preserve">6.2.3 随数据和工程条件更新结果</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72" w:name="h1172"/>
      <w:bookmarkStart w:id="302" w:name="后续研究方向"/>
      <w:r>
        <w:rPr>
          <w:rFonts w:ascii="Times New Roman" w:hAnsi="Times New Roman" w:eastAsia="方正仿宋_GBK"/>
          <w:b/>
          <w:sz w:val="32"/>
        </w:rPr>
        <w:t xml:space="preserve">6.3 后续研究方向</w:t>
      </w:r>
      <w:bookmarkEnd w:id="302"/>
      <w:bookmarkEnd w:id="2172"/>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3" w:name="深化储能运行与实际网络校核"/>
      <w:r>
        <w:rPr>
          <w:rFonts w:ascii="Times New Roman" w:hAnsi="Times New Roman" w:eastAsia="方正仿宋_GBK"/>
          <w:b/>
          <w:sz w:val="26"/>
        </w:rPr>
        <w:t xml:space="preserve">6.3.1 深化储能运行与实际网络校核</w:t>
      </w:r>
      <w:bookmarkEnd w:id="303"/>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4" w:name="拓展片区结构和经济参数"/>
      <w:r>
        <w:rPr>
          <w:rFonts w:ascii="Times New Roman" w:hAnsi="Times New Roman" w:eastAsia="方正仿宋_GBK"/>
          <w:b/>
          <w:sz w:val="26"/>
        </w:rPr>
        <w:t xml:space="preserve">6.3.2 拓展片区结构和经济参数</w:t>
      </w:r>
      <w:bookmarkEnd w:id="304"/>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78" w:name="h1178"/>
      <w:bookmarkStart w:id="305" w:name="参考文献"/>
      <w:r>
        <w:rPr>
          <w:rFonts w:ascii="Times New Roman" w:hAnsi="Times New Roman" w:eastAsia="方正仿宋_GBK"/>
          <w:b/>
          <w:sz w:val="36"/>
        </w:rPr>
        <w:t xml:space="preserve">参考文献</w:t>
      </w:r>
      <w:bookmarkEnd w:id="305"/>
      <w:bookmarkEnd w:id="2178"/>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16:00Z" w:initials="">
    <w:p w14:paraId="045BA0AE">
      <w:pPr>
        <w:pStyle w:val="15"/>
        <w:rPr>
          <w:rFonts w:hint="eastAsia" w:eastAsia="方正仿宋_GBK"/>
          <w:lang w:eastAsia="zh"/>
        </w:rPr>
      </w:pPr>
      <w:bookmarkStart w:id="292" w:name="_T987764788_233911019"/>
      <w:r>
        <w:rPr>
          <w:rFonts w:hint="eastAsia"/>
          <w:lang w:eastAsia="zh"/>
        </w:rPr>
        <w:t>这是谁</w:t>
      </w:r>
    </w:p>
    <w:bookmarkEnd w:id="292"/>
  </w:comment>
  <w:comment w:id="1" w:author="白日梦想家" w:date="2026-10-17T18:19:15Z" w:initials="">
    <w:p w14:paraId="343737BF">
      <w:pPr>
        <w:pStyle w:val="15"/>
        <w:rPr>
          <w:rFonts w:hint="eastAsia" w:eastAsia="方正仿宋_GBK"/>
          <w:lang w:eastAsia="zh"/>
        </w:rPr>
      </w:pPr>
      <w:bookmarkStart w:id="293" w:name="_T814036390_233911019"/>
      <w:r>
        <w:rPr>
          <w:rFonts w:hint="eastAsia"/>
          <w:lang w:eastAsia="zh"/>
        </w:rPr>
        <w:t>是否都是110kV变电站，如果研究的只有110变电站，第一行，就写110kV变电站，表中不要再出现110kV的字样。</w:t>
      </w:r>
    </w:p>
    <w:bookmarkEnd w:id="293"/>
  </w:comment>
  <w:comment w:id="2" w:author="白日梦想家" w:date="2026-10-17T18:19:31Z" w:initials="">
    <w:p w14:paraId="2C0803F5">
      <w:pPr>
        <w:pStyle w:val="15"/>
        <w:rPr>
          <w:rFonts w:hint="eastAsia" w:eastAsia="方正仿宋_GBK"/>
          <w:lang w:eastAsia="zh"/>
        </w:rPr>
      </w:pPr>
      <w:bookmarkStart w:id="294" w:name="_T1655517830_233911019"/>
      <w:r>
        <w:rPr>
          <w:rFonts w:hint="eastAsia"/>
          <w:lang w:eastAsia="zh"/>
        </w:rPr>
        <w:t>有没有35kV的</w:t>
      </w:r>
    </w:p>
    <w:bookmarkEnd w:id="294"/>
  </w:comment>
  <w:comment w:id="3" w:author="白日梦想家" w:date="2026-10-17T18:21:55Z" w:initials="">
    <w:p w14:paraId="29616F1F">
      <w:pPr>
        <w:pStyle w:val="15"/>
        <w:rPr>
          <w:rFonts w:hint="eastAsia" w:eastAsia="方正仿宋_GBK"/>
          <w:lang w:eastAsia="zh"/>
        </w:rPr>
      </w:pPr>
      <w:bookmarkStart w:id="295" w:name="_T449487791_233911019"/>
      <w:r>
        <w:rPr>
          <w:rFonts w:hint="eastAsia"/>
          <w:lang w:eastAsia="zh"/>
        </w:rPr>
        <w:t>这十三项候选是否囊括了参考文献中提到的影响容载比的指标</w:t>
      </w:r>
    </w:p>
    <w:bookmarkEnd w:id="295"/>
  </w:comment>
  <w:comment w:id="4" w:author="白日梦想家" w:date="2026-10-17T18:29:49Z" w:initials="">
    <w:p w14:paraId="3805279A">
      <w:pPr>
        <w:pStyle w:val="15"/>
        <w:rPr>
          <w:rFonts w:hint="eastAsia" w:eastAsia="方正仿宋_GBK"/>
          <w:lang w:eastAsia="zh"/>
        </w:rPr>
      </w:pPr>
      <w:bookmarkStart w:id="296" w:name="_T1948223348_233911019"/>
      <w:r>
        <w:rPr>
          <w:rFonts w:hint="eastAsia"/>
          <w:lang w:eastAsia="zh"/>
        </w:rPr>
        <w:t>负荷分散系数取1是否合理，显示是否存在可能取到1.15以上？</w:t>
      </w:r>
    </w:p>
    <w:bookmarkEnd w:id="296"/>
  </w:comment>
  <w:comment w:id="5" w:author="白日梦想家" w:date="2026-10-17T18:35:47Z" w:initials="">
    <w:p w14:paraId="4E658D44">
      <w:pPr>
        <w:pStyle w:val="15"/>
        <w:rPr>
          <w:rFonts w:hint="eastAsia" w:eastAsia="方正仿宋_GBK"/>
          <w:lang w:eastAsia="zh"/>
        </w:rPr>
      </w:pPr>
      <w:bookmarkStart w:id="297" w:name="_T51724931_233911019"/>
      <w:r>
        <w:rPr>
          <w:rFonts w:hint="eastAsia"/>
          <w:lang w:eastAsia="zh"/>
        </w:rPr>
        <w:t>新增1回10kV线路的供电能力是怎么得来的？</w:t>
      </w:r>
    </w:p>
    <w:bookmarkEnd w:id="297"/>
  </w:comment>
  <w:comment w:id="6" w:author="白日梦想家" w:date="2026-10-17T18:54:16Z" w:initials="">
    <w:p w14:paraId="589CAF3E">
      <w:pPr>
        <w:pStyle w:val="15"/>
        <w:rPr>
          <w:rFonts w:hint="eastAsia" w:eastAsia="方正仿宋_GBK"/>
          <w:lang w:eastAsia="zh"/>
        </w:rPr>
      </w:pPr>
      <w:bookmarkStart w:id="298" w:name="_T1821941005_233911019"/>
      <w:r>
        <w:rPr>
          <w:rFonts w:hint="eastAsia"/>
          <w:lang w:eastAsia="zh"/>
        </w:rPr>
        <w:t>标题改为：供电安全及供电能力约束</w:t>
      </w:r>
    </w:p>
    <w:bookmarkEnd w:id="298"/>
  </w:comment>
  <w:comment w:id="7" w:author="白日梦想家" w:date="2026-10-17T18:02:18Z" w:initials="">
    <w:p w14:paraId="1E10FD32">
      <w:pPr>
        <w:pStyle w:val="15"/>
        <w:rPr>
          <w:rFonts w:hint="default" w:eastAsia="方正仿宋_GBK"/>
          <w:lang w:eastAsia="zh"/>
        </w:rPr>
      </w:pPr>
      <w:bookmarkStart w:id="291" w:name="_T472772365_233911019"/>
      <w:r>
        <w:rPr>
          <w:rFonts w:hint="default"/>
          <w:lang w:eastAsia="zh"/>
        </w:rPr>
        <w:t>正常运行，主变不超过80%；N-1，剩余主变不超过130%</w:t>
      </w:r>
    </w:p>
    <w:bookmarkEnd w:id="291"/>
  </w:comment>
  <w:comment w:id="8" w:author="白日梦想家" w:date="2026-10-17T18:46:40Z" w:initials="">
    <w:p w14:paraId="641D9167">
      <w:pPr>
        <w:pStyle w:val="15"/>
        <w:rPr>
          <w:rFonts w:hint="eastAsia" w:eastAsia="方正仿宋_GBK"/>
          <w:lang w:eastAsia="zh"/>
        </w:rPr>
      </w:pPr>
      <w:bookmarkStart w:id="299" w:name="_T2098182985_233911019"/>
      <w:r>
        <w:rPr>
          <w:rFonts w:hint="eastAsia"/>
          <w:lang w:eastAsia="zh"/>
        </w:rPr>
        <w:t>为什么不把2021年的数据放出来，2021年不是基期年吗</w:t>
      </w:r>
    </w:p>
    <w:bookmarkEnd w:id="299"/>
  </w:comment>
  <w:comment w:id="9" w:author="白日梦想家" w:date="2026-10-17T18:50:28Z" w:initials="">
    <w:p w14:paraId="219532EC">
      <w:pPr>
        <w:pStyle w:val="15"/>
        <w:rPr>
          <w:rFonts w:hint="eastAsia" w:eastAsia="方正仿宋_GBK"/>
          <w:lang w:eastAsia="zh"/>
        </w:rPr>
      </w:pPr>
      <w:bookmarkStart w:id="300"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300"/>
  </w:comment>
  <w:comment w:id="10" w:author="白日梦想家" w:date="2026-10-17T19:08:06Z" w:initials="">
    <w:p w14:paraId="388AC0F3">
      <w:pPr>
        <w:pStyle w:val="15"/>
        <w:rPr>
          <w:rFonts w:hint="eastAsia" w:eastAsia="方正仿宋_GBK"/>
          <w:lang w:eastAsia="zh"/>
        </w:rPr>
      </w:pPr>
      <w:bookmarkStart w:id="301"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30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589CAF3E" w15:done="0"/>
  <w15:commentEx w15:paraId="1E10FD32" w15:done="0"/>
  <w15:commentEx w15:paraId="641D9167" w15:done="0"/>
  <w15:commentEx w15:paraId="219532EC" w15:done="0"/>
  <w15:commentEx w15:paraId="388AC0F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 Id="rId286" Type="http://schemas.microsoft.com/office/2011/relationships/people" Target="people.xml"/><Relationship Id="rId287"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179</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2026-10-18T15:05:06Z</dcterms:created>
  <dcterms:modified xsi:type="dcterms:W3CDTF">2026-10-18T15:05:06Z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