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A。485 A对应视在容量8.40 MVA，新增联络的工程计算限值取8.00 MVA，按0.95功率因数折算有功上限为7.60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7.60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为新增联络的工程视在容量限值，取8.00 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新增联络能力的取值依据邳州10 kV线路允许电流、联络关系及区段明细。工程计算限值取8.00 MVA，按0.95功率因数折算有功上限为7.60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2035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17" w:name="h1033"/>
      <w:bookmarkStart w:id="262" w:name="措施作用与工程衔接"/>
      <w:r>
        <w:rPr>
          <w:rFonts w:ascii="Times New Roman" w:hAnsi="Times New Roman" w:eastAsia="方正仿宋_GBK"/>
          <w:b/>
          <w:sz w:val="32"/>
        </w:rPr>
        <w:t xml:space="preserve">5.5 措施作用与工程衔接</w:t>
      </w:r>
      <w:bookmarkEnd w:id="262"/>
      <w:bookmarkEnd w:id="2017"/>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39" w:name="h1055"/>
      <w:bookmarkStart w:id="267" w:name="五参数推广矩阵"/>
      <w:r>
        <w:rPr>
          <w:rFonts w:ascii="Times New Roman" w:hAnsi="Times New Roman" w:eastAsia="方正仿宋_GBK"/>
          <w:b/>
          <w:sz w:val="32"/>
        </w:rPr>
        <w:t xml:space="preserve">5.6 五参数推广矩阵</w:t>
      </w:r>
      <w:bookmarkEnd w:id="267"/>
      <w:bookmarkEnd w:id="2039"/>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km；工程限值8.00 MVA，区段有效转供7.49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宽度统一为0.20，中心取最接近该代表值的0.05网格值。窗口随各单元的代表容量水平移动，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1.60～1.80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2.50～2.70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2.70～2.90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1.40～1.60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2.40～2.60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2.15～2.35</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1.90～2.10、1.85～2.05、1.55～1.75、1.50～1.70。各窗口宽度相同，位置反映相应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88"/>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1.85～2.05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1.55～1.75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注：两组均采用电缆长度占比50%和五站设备重新选配条件；按第5.6.2节的固定宽度窗口方法归纳。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1.05—1.25、间隔0.02的11个节点。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29580.26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30644.74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31445.83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32792.73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35089.06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36131.81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37759.70</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注：同列多个参数节点表示所列设备规模及费用相同。</w:t>
      </w:r>
    </w:p>
    <w:p>
      <w:pPr>
        <w:pStyle w:val="2"/>
        <w:widowControl/>
        <w:spacing w:line="348" w:lineRule="exact" w:before="0" w:after="0"/>
        <w:ind w:firstLine="480"/>
        <w:jc w:val="both"/>
      </w:pPr>
      <w:r>
        <w:rPr>
          <w:rFonts w:ascii="Times New Roman" w:hAnsi="Times New Roman" w:eastAsia="方正仿宋_GBK"/>
          <w:b w:val="0"/>
          <w:sz w:val="24"/>
        </w:rPr>
        <w:t xml:space="preserve">主变补强发生在1.07和1.15两个节点，分别增加50.00 MVA和34.00 MVA。新增联络相应由9项减少至3项，站内容量与配储共同替代部分联络支援。分散系数达到1.21时，主变容量保持820.00 MVA，新增联络由3项增加至10项，网络支援承担新增局部高峰任务。1.21—1.25三个节点采用相同设备规模，容载比与费用形成平台。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9"/>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从1.05至1.25，储能额定功率由80.90 MW调整至115.30 MW，容载比由2.25调整至2.50。主变、储能及线路费用现值的差额分别为2015.69万元、7473.09万元、120.83万元，合计9609.61万元。费用增量主要来自储能配置增加。</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2" w:name="h1130"/>
      <w:bookmarkStart w:id="283" w:name="规划建议"/>
      <w:r>
        <w:rPr>
          <w:rFonts w:ascii="Times New Roman" w:hAnsi="Times New Roman" w:eastAsia="方正仿宋_GBK"/>
          <w:b/>
          <w:sz w:val="32"/>
        </w:rPr>
        <w:t xml:space="preserve">5.7 规划建议</w:t>
      </w:r>
      <w:bookmarkEnd w:id="283"/>
      <w:bookmarkEnd w:id="2112"/>
    </w:p>
    <w:p>
      <w:pPr>
        <w:pStyle w:val="5"/>
        <w:keepNext/>
        <w:numPr>
          <w:numId w:val="0"/>
        </w:numPr>
        <w:spacing w:line="390" w:lineRule="exact" w:before="160" w:after="120"/>
        <w:ind w:firstLine="0"/>
      </w:pPr>
      <w:bookmarkStart w:id="284" w:name="按源荷条件和网络能力选取容量"/>
      <w:r>
        <w:rPr>
          <w:rFonts w:ascii="Times New Roman" w:hAnsi="Times New Roman" w:eastAsia="方正仿宋_GBK"/>
          <w:b/>
          <w:sz w:val="26"/>
        </w:rPr>
        <w:t xml:space="preserve">5.7.1 按源荷条件和网络能力选取容量</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5" w:name="统筹主变储能及联络建设"/>
      <w:r>
        <w:rPr>
          <w:rFonts w:ascii="Times New Roman" w:hAnsi="Times New Roman" w:eastAsia="方正仿宋_GBK"/>
          <w:b/>
          <w:sz w:val="26"/>
        </w:rPr>
        <w:t xml:space="preserve">5.7.2 统筹主变、储能及联络建设</w:t>
      </w:r>
      <w:bookmarkEnd w:id="28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6" w:name="保留参数区间滚动更新计算依据"/>
      <w:r>
        <w:rPr>
          <w:rFonts w:ascii="Times New Roman" w:hAnsi="Times New Roman" w:eastAsia="方正仿宋_GBK"/>
          <w:b/>
          <w:sz w:val="26"/>
        </w:rPr>
        <w:t xml:space="preserve">5.7.3 保留参数区间，滚动更新计算依据</w:t>
      </w:r>
      <w:bookmarkEnd w:id="286"/>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87" w:name="推荐区间与具体设备的衔接"/>
      <w:r>
        <w:rPr>
          <w:rFonts w:ascii="Times New Roman" w:hAnsi="Times New Roman" w:eastAsia="方正仿宋_GBK"/>
          <w:b/>
          <w:sz w:val="26"/>
        </w:rPr>
        <w:t xml:space="preserve">5.7.4 推荐区间与具体设备的衔接</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88" w:name="邳州与市区建设措施的综合比较"/>
      <w:r>
        <w:rPr>
          <w:rFonts w:ascii="Times New Roman" w:hAnsi="Times New Roman" w:eastAsia="方正仿宋_GBK"/>
          <w:b/>
          <w:sz w:val="26"/>
        </w:rPr>
        <w:t xml:space="preserve">5.7.5 邳州与市区建设措施的综合比较</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26" w:name="h1144"/>
      <w:bookmarkStart w:id="289" w:name="第六章-结论与建议"/>
      <w:r>
        <w:rPr>
          <w:rFonts w:ascii="Times New Roman" w:hAnsi="Times New Roman" w:eastAsia="方正仿宋_GBK"/>
          <w:b/>
          <w:sz w:val="36"/>
        </w:rPr>
        <w:t xml:space="preserve">第六章 结论与建议</w:t>
      </w:r>
      <w:bookmarkEnd w:id="289"/>
      <w:bookmarkEnd w:id="2126"/>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28" w:name="h1146"/>
      <w:bookmarkStart w:id="290" w:name="主要研究结论"/>
      <w:r>
        <w:rPr>
          <w:rFonts w:ascii="Times New Roman" w:hAnsi="Times New Roman" w:eastAsia="方正仿宋_GBK"/>
          <w:b/>
          <w:sz w:val="32"/>
        </w:rPr>
        <w:t xml:space="preserve">6.1 主要研究结论</w:t>
      </w:r>
      <w:bookmarkEnd w:id="290"/>
      <w:bookmarkEnd w:id="2128"/>
    </w:p>
    <w:p>
      <w:pPr>
        <w:pStyle w:val="5"/>
        <w:keepNext/>
        <w:numPr>
          <w:numId w:val="0"/>
        </w:numPr>
        <w:spacing w:line="390" w:lineRule="exact" w:before="160" w:after="120"/>
        <w:ind w:firstLine="0"/>
      </w:pPr>
      <w:bookmarkStart w:id="291" w:name="容载比与局部容量压力应结合分析"/>
      <w:r>
        <w:rPr>
          <w:rFonts w:ascii="Times New Roman" w:hAnsi="Times New Roman" w:eastAsia="方正仿宋_GBK"/>
          <w:b/>
          <w:sz w:val="26"/>
        </w:rPr>
        <w:t xml:space="preserve">6.1.1 容载比与局部容量压力应结合分析</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2" w:name="弹性容量配置降低了所设条件下的方案费用"/>
      <w:r>
        <w:rPr>
          <w:rFonts w:ascii="Times New Roman" w:hAnsi="Times New Roman" w:eastAsia="方正仿宋_GBK"/>
          <w:b/>
          <w:sz w:val="26"/>
        </w:rPr>
        <w:t xml:space="preserve">6.1.2 弹性容量配置降低了所设条件下的方案费用</w:t>
      </w:r>
      <w:bookmarkEnd w:id="29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3"/>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4" w:name="两层相关分析确定五项推广参数"/>
      <w:r>
        <w:rPr>
          <w:rFonts w:ascii="Times New Roman" w:hAnsi="Times New Roman" w:eastAsia="方正仿宋_GBK"/>
          <w:b/>
          <w:sz w:val="26"/>
        </w:rPr>
        <w:t xml:space="preserve">6.1.4 两层相关分析确定五项推广参数</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中位代表节点定位宽度0.20的推荐窗口，按0.05步长随条件移动。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42" w:name="h1160"/>
      <w:bookmarkStart w:id="295" w:name="规划应用建议"/>
      <w:r>
        <w:rPr>
          <w:rFonts w:ascii="Times New Roman" w:hAnsi="Times New Roman" w:eastAsia="方正仿宋_GBK"/>
          <w:b/>
          <w:sz w:val="32"/>
        </w:rPr>
        <w:t xml:space="preserve">6.2 规划应用建议</w:t>
      </w:r>
      <w:bookmarkEnd w:id="295"/>
      <w:bookmarkEnd w:id="2142"/>
    </w:p>
    <w:p>
      <w:pPr>
        <w:pStyle w:val="5"/>
        <w:keepNext/>
        <w:numPr>
          <w:numId w:val="0"/>
        </w:numPr>
        <w:spacing w:line="390" w:lineRule="exact" w:before="160" w:after="120"/>
        <w:ind w:firstLine="0"/>
      </w:pPr>
      <w:bookmarkStart w:id="296" w:name="按输入区间查表再落实设备方案"/>
      <w:r>
        <w:rPr>
          <w:rFonts w:ascii="Times New Roman" w:hAnsi="Times New Roman" w:eastAsia="方正仿宋_GBK"/>
          <w:b/>
          <w:sz w:val="26"/>
        </w:rPr>
        <w:t xml:space="preserve">6.2.1 按输入区间查表，再落实设备方案</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97" w:name="核实分区转供能力与储能支撑条件"/>
      <w:r>
        <w:rPr>
          <w:rFonts w:ascii="Times New Roman" w:hAnsi="Times New Roman" w:eastAsia="方正仿宋_GBK"/>
          <w:b/>
          <w:sz w:val="26"/>
        </w:rPr>
        <w:t xml:space="preserve">6.2.2 核实分区转供能力与储能支撑条件</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98" w:name="随数据和工程条件更新结果"/>
      <w:r>
        <w:rPr>
          <w:rFonts w:ascii="Times New Roman" w:hAnsi="Times New Roman" w:eastAsia="方正仿宋_GBK"/>
          <w:b/>
          <w:sz w:val="26"/>
        </w:rPr>
        <w:t xml:space="preserve">6.2.3 随数据和工程条件更新结果</w:t>
      </w:r>
      <w:bookmarkEnd w:id="298"/>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54" w:name="h1172"/>
      <w:bookmarkStart w:id="299" w:name="后续研究方向"/>
      <w:r>
        <w:rPr>
          <w:rFonts w:ascii="Times New Roman" w:hAnsi="Times New Roman" w:eastAsia="方正仿宋_GBK"/>
          <w:b/>
          <w:sz w:val="32"/>
        </w:rPr>
        <w:t xml:space="preserve">6.3 后续研究方向</w:t>
      </w:r>
      <w:bookmarkEnd w:id="299"/>
      <w:bookmarkEnd w:id="2154"/>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0" w:name="深化储能运行与实际网络校核"/>
      <w:r>
        <w:rPr>
          <w:rFonts w:ascii="Times New Roman" w:hAnsi="Times New Roman" w:eastAsia="方正仿宋_GBK"/>
          <w:b/>
          <w:sz w:val="26"/>
        </w:rPr>
        <w:t xml:space="preserve">6.3.1 深化储能运行与实际网络校核</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1" w:name="拓展片区结构和经济参数"/>
      <w:r>
        <w:rPr>
          <w:rFonts w:ascii="Times New Roman" w:hAnsi="Times New Roman" w:eastAsia="方正仿宋_GBK"/>
          <w:b/>
          <w:sz w:val="26"/>
        </w:rPr>
        <w:t xml:space="preserve">6.3.2 拓展片区结构和经济参数</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0" w:name="h1178"/>
      <w:bookmarkStart w:id="302" w:name="参考文献"/>
      <w:r>
        <w:rPr>
          <w:rFonts w:ascii="Times New Roman" w:hAnsi="Times New Roman" w:eastAsia="方正仿宋_GBK"/>
          <w:b/>
          <w:sz w:val="36"/>
        </w:rPr>
        <w:t xml:space="preserve">参考文献</w:t>
      </w:r>
      <w:bookmarkEnd w:id="302"/>
      <w:bookmarkEnd w:id="2160"/>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 Id="rId288" Type="http://schemas.openxmlformats.org/officeDocument/2006/relationships/image" Target="media/update_e554ef04804998fcd1e1.png"/><Relationship Id="rId289" Type="http://schemas.openxmlformats.org/officeDocument/2006/relationships/image" Target="media/update_af35ad3987af612a5e9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2026-10-19T15:09:07Z</dcterms:created>
  <dcterms:modified xsi:type="dcterms:W3CDTF">2026-10-19T15:09:07Z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