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
    <w:p/>
    <w:p/>
    <w:p>
      <w:pPr>
        <w:spacing w:before="0" w:after="360" w:line="640" w:lineRule="exact"/>
        <w:jc w:val="center"/>
        <w:ind w:firstLine="0" w:firstLineChars="0"/>
      </w:pPr>
      <w:r>
        <w:rPr>
          <w:rFonts w:ascii="Times New Roman" w:hAnsi="Times New Roman" w:eastAsia="黑体"/>
          <w:b/>
          <w:sz w:val="44"/>
        </w:rPr>
        <w:t>国网徐州公司徐州地区分布式新能源高渗透率地区110kV电网容载比弹性指标优化研究</w:t>
      </w:r>
    </w:p>
    <w:p>
      <w:pPr>
        <w:spacing w:before="0" w:after="0" w:line="640" w:lineRule="exact"/>
        <w:jc w:val="center"/>
        <w:ind w:firstLine="0" w:firstLineChars="0"/>
      </w:pPr>
      <w:r>
        <w:rPr>
          <w:rFonts w:ascii="Times New Roman" w:hAnsi="Times New Roman" w:eastAsia="黑体"/>
          <w:b/>
          <w:sz w:val="44"/>
        </w:rPr>
        <w:t>研究报告</w:t>
      </w:r>
    </w:p>
    <w:p>
      <w:pPr>
        <w:spacing w:before="5000" w:after="0" w:line="580" w:lineRule="exact"/>
        <w:jc w:val="center"/>
        <w:ind w:firstLine="0" w:firstLineChars="0"/>
      </w:pPr>
      <w:r>
        <w:rPr>
          <w:rFonts w:ascii="Times New Roman" w:hAnsi="Times New Roman" w:eastAsia="宋体"/>
          <w:b/>
          <w:sz w:val="32"/>
        </w:rPr>
        <w:t>国网徐州供电公司</w:t>
      </w:r>
    </w:p>
    <w:p>
      <w:pPr>
        <w:spacing w:before="0" w:after="0" w:line="580" w:lineRule="exact"/>
        <w:jc w:val="center"/>
        <w:ind w:firstLine="0" w:firstLineChars="0"/>
      </w:pPr>
      <w:r>
        <w:rPr>
          <w:rFonts w:ascii="Times New Roman" w:hAnsi="Times New Roman" w:eastAsia="宋体"/>
          <w:b/>
          <w:sz w:val="32"/>
        </w:rPr>
        <w:t>2026年9月</w:t>
      </w:r>
    </w:p>
    <w:p>
      <w:r>
        <w:br w:type="page"/>
      </w:r>
    </w:p>
    <w:p>
      <w:pPr>
        <w:spacing w:before="0" w:after="360" w:line="560" w:lineRule="exact"/>
        <w:jc w:val="center"/>
        <w:ind w:firstLine="0" w:firstLineChars="0"/>
      </w:pPr>
      <w:r>
        <w:rPr>
          <w:rFonts w:ascii="Times New Roman" w:hAnsi="Times New Roman" w:eastAsia="黑体"/>
          <w:b/>
          <w:sz w:val="36"/>
        </w:rPr>
        <w:t>目  录</w:t>
      </w:r>
    </w:p>
    <w:p>
      <w:pPr>
        <w:pStyle w:val="19"/>
        <w:jc w:val="left"/>
        <w:spacing w:before="0" w:after="0" w:line="560" w:lineRule="exact"/>
        <w:ind w:firstLine="0" w:firstLineChars="0" w:left="0"/>
        <w:tabs>
          <w:tab w:val="right" w:leader="dot" w:pos="8200"/>
        </w:tabs>
      </w:pPr>
      <w:r>
        <w:rPr>
          <w:rFonts w:ascii="Times New Roman" w:hAnsi="Times New Roman" w:eastAsia="仿宋_GB2312"/>
          <w:b/>
          <w:sz w:val="28"/>
        </w:rPr>
        <w:t>第一章 绪论</w:t>
      </w:r>
      <w:r>
        <w:rPr>
          <w:rFonts w:ascii="Times New Roman" w:hAnsi="Times New Roman" w:eastAsia="仿宋_GB2312"/>
          <w:b w:val="0"/>
          <w:sz w:val="28"/>
        </w:rPr>
        <w:tab/>
      </w:r>
      <w:r>
        <w:fldChar w:fldCharType="begin" w:dirty="true"/>
        <w:instrText xml:space="preserve"> PAGEREF _TocReport0001 \h </w:instrText>
        <w:fldChar w:fldCharType="separate"/>
      </w:r>
      <w:r>
        <w:rPr>
          <w:rFonts w:ascii="Times New Roman" w:hAnsi="Times New Roman" w:eastAsia="仿宋_GB2312"/>
          <w:b w:val="0"/>
          <w:sz w:val="28"/>
        </w:rPr>
        <w:t>1</w:t>
      </w:r>
      <w:r>
        <w:fldChar w:fldCharType="end"/>
      </w:r>
    </w:p>
    <w:p>
      <w:pPr>
        <w:pStyle w:val="20"/>
        <w:jc w:val="left"/>
        <w:spacing w:before="0" w:after="0" w:line="560" w:lineRule="exact"/>
        <w:ind w:firstLine="0" w:firstLineChars="0" w:left="420"/>
        <w:tabs>
          <w:tab w:val="right" w:leader="dot" w:pos="8200"/>
        </w:tabs>
      </w:pPr>
      <w:r>
        <w:rPr>
          <w:rFonts w:ascii="Times New Roman" w:hAnsi="Times New Roman" w:eastAsia="仿宋_GB2312"/>
          <w:b w:val="0"/>
          <w:sz w:val="28"/>
        </w:rPr>
        <w:t>1.1 研究背景与意义</w:t>
      </w:r>
      <w:r>
        <w:rPr>
          <w:rFonts w:ascii="Times New Roman" w:hAnsi="Times New Roman" w:eastAsia="仿宋_GB2312"/>
          <w:b w:val="0"/>
          <w:sz w:val="28"/>
        </w:rPr>
        <w:tab/>
      </w:r>
      <w:r>
        <w:fldChar w:fldCharType="begin" w:dirty="true"/>
        <w:instrText xml:space="preserve"> PAGEREF _TocReport0002 \h </w:instrText>
        <w:fldChar w:fldCharType="separate"/>
      </w:r>
      <w:r>
        <w:rPr>
          <w:rFonts w:ascii="Times New Roman" w:hAnsi="Times New Roman" w:eastAsia="仿宋_GB2312"/>
          <w:b w:val="0"/>
          <w:sz w:val="28"/>
        </w:rPr>
        <w:t>1</w:t>
      </w:r>
      <w:r>
        <w:fldChar w:fldCharType="end"/>
      </w:r>
    </w:p>
    <w:p>
      <w:pPr>
        <w:pStyle w:val="20"/>
        <w:jc w:val="left"/>
        <w:spacing w:before="0" w:after="0" w:line="560" w:lineRule="exact"/>
        <w:ind w:firstLine="0" w:firstLineChars="0" w:left="420"/>
        <w:tabs>
          <w:tab w:val="right" w:leader="dot" w:pos="8200"/>
        </w:tabs>
      </w:pPr>
      <w:r>
        <w:rPr>
          <w:rFonts w:ascii="Times New Roman" w:hAnsi="Times New Roman" w:eastAsia="仿宋_GB2312"/>
          <w:b w:val="0"/>
          <w:sz w:val="28"/>
        </w:rPr>
        <w:t>1.2 研究范围与对象</w:t>
      </w:r>
      <w:r>
        <w:rPr>
          <w:rFonts w:ascii="Times New Roman" w:hAnsi="Times New Roman" w:eastAsia="仿宋_GB2312"/>
          <w:b w:val="0"/>
          <w:sz w:val="28"/>
        </w:rPr>
        <w:tab/>
      </w:r>
      <w:r>
        <w:fldChar w:fldCharType="begin" w:dirty="true"/>
        <w:instrText xml:space="preserve"> PAGEREF _TocReport0003 \h </w:instrText>
        <w:fldChar w:fldCharType="separate"/>
      </w:r>
      <w:r>
        <w:rPr>
          <w:rFonts w:ascii="Times New Roman" w:hAnsi="Times New Roman" w:eastAsia="仿宋_GB2312"/>
          <w:b w:val="0"/>
          <w:sz w:val="28"/>
        </w:rPr>
        <w:t>4</w:t>
      </w:r>
      <w:r>
        <w:fldChar w:fldCharType="end"/>
      </w:r>
    </w:p>
    <w:p>
      <w:pPr>
        <w:pStyle w:val="20"/>
        <w:jc w:val="left"/>
        <w:spacing w:before="0" w:after="0" w:line="560" w:lineRule="exact"/>
        <w:ind w:firstLine="0" w:firstLineChars="0" w:left="420"/>
        <w:tabs>
          <w:tab w:val="right" w:leader="dot" w:pos="8200"/>
        </w:tabs>
      </w:pPr>
      <w:r>
        <w:rPr>
          <w:rFonts w:ascii="Times New Roman" w:hAnsi="Times New Roman" w:eastAsia="仿宋_GB2312"/>
          <w:b w:val="0"/>
          <w:sz w:val="28"/>
        </w:rPr>
        <w:t>1.3 研究目标与内容</w:t>
      </w:r>
      <w:r>
        <w:rPr>
          <w:rFonts w:ascii="Times New Roman" w:hAnsi="Times New Roman" w:eastAsia="仿宋_GB2312"/>
          <w:b w:val="0"/>
          <w:sz w:val="28"/>
        </w:rPr>
        <w:tab/>
      </w:r>
      <w:r>
        <w:fldChar w:fldCharType="begin" w:dirty="true"/>
        <w:instrText xml:space="preserve"> PAGEREF _TocReport0004 \h </w:instrText>
        <w:fldChar w:fldCharType="separate"/>
      </w:r>
      <w:r>
        <w:rPr>
          <w:rFonts w:ascii="Times New Roman" w:hAnsi="Times New Roman" w:eastAsia="仿宋_GB2312"/>
          <w:b w:val="0"/>
          <w:sz w:val="28"/>
        </w:rPr>
        <w:t>6</w:t>
      </w:r>
      <w:r>
        <w:fldChar w:fldCharType="end"/>
      </w:r>
    </w:p>
    <w:p>
      <w:pPr>
        <w:pStyle w:val="20"/>
        <w:jc w:val="left"/>
        <w:spacing w:before="0" w:after="0" w:line="560" w:lineRule="exact"/>
        <w:ind w:firstLine="0" w:firstLineChars="0" w:left="420"/>
        <w:tabs>
          <w:tab w:val="right" w:leader="dot" w:pos="8200"/>
        </w:tabs>
      </w:pPr>
      <w:r>
        <w:rPr>
          <w:rFonts w:ascii="Times New Roman" w:hAnsi="Times New Roman" w:eastAsia="仿宋_GB2312"/>
          <w:b w:val="0"/>
          <w:sz w:val="28"/>
        </w:rPr>
        <w:t>1.4 研究方法与技术路线</w:t>
      </w:r>
      <w:r>
        <w:rPr>
          <w:rFonts w:ascii="Times New Roman" w:hAnsi="Times New Roman" w:eastAsia="仿宋_GB2312"/>
          <w:b w:val="0"/>
          <w:sz w:val="28"/>
        </w:rPr>
        <w:tab/>
      </w:r>
      <w:r>
        <w:fldChar w:fldCharType="begin" w:dirty="true"/>
        <w:instrText xml:space="preserve"> PAGEREF _TocReport0005 \h </w:instrText>
        <w:fldChar w:fldCharType="separate"/>
      </w:r>
      <w:r>
        <w:rPr>
          <w:rFonts w:ascii="Times New Roman" w:hAnsi="Times New Roman" w:eastAsia="仿宋_GB2312"/>
          <w:b w:val="0"/>
          <w:sz w:val="28"/>
        </w:rPr>
        <w:t>8</w:t>
      </w:r>
      <w:r>
        <w:fldChar w:fldCharType="end"/>
      </w:r>
    </w:p>
    <w:p>
      <w:pPr>
        <w:pStyle w:val="19"/>
        <w:jc w:val="left"/>
        <w:spacing w:before="0" w:after="0" w:line="560" w:lineRule="exact"/>
        <w:ind w:firstLine="0" w:firstLineChars="0" w:left="0"/>
        <w:tabs>
          <w:tab w:val="right" w:leader="dot" w:pos="8200"/>
        </w:tabs>
      </w:pPr>
      <w:r>
        <w:rPr>
          <w:rFonts w:ascii="Times New Roman" w:hAnsi="Times New Roman" w:eastAsia="仿宋_GB2312"/>
          <w:b/>
          <w:sz w:val="28"/>
        </w:rPr>
        <w:t>第二章 文献综述与理论基础</w:t>
      </w:r>
      <w:r>
        <w:rPr>
          <w:rFonts w:ascii="Times New Roman" w:hAnsi="Times New Roman" w:eastAsia="仿宋_GB2312"/>
          <w:b w:val="0"/>
          <w:sz w:val="28"/>
        </w:rPr>
        <w:tab/>
      </w:r>
      <w:r>
        <w:fldChar w:fldCharType="begin" w:dirty="true"/>
        <w:instrText xml:space="preserve"> PAGEREF _TocReport0006 \h </w:instrText>
        <w:fldChar w:fldCharType="separate"/>
      </w:r>
      <w:r>
        <w:rPr>
          <w:rFonts w:ascii="Times New Roman" w:hAnsi="Times New Roman" w:eastAsia="仿宋_GB2312"/>
          <w:b w:val="0"/>
          <w:sz w:val="28"/>
        </w:rPr>
        <w:t>12</w:t>
      </w:r>
      <w:r>
        <w:fldChar w:fldCharType="end"/>
      </w:r>
    </w:p>
    <w:p>
      <w:pPr>
        <w:pStyle w:val="20"/>
        <w:jc w:val="left"/>
        <w:spacing w:before="0" w:after="0" w:line="560" w:lineRule="exact"/>
        <w:ind w:firstLine="0" w:firstLineChars="0" w:left="420"/>
        <w:tabs>
          <w:tab w:val="right" w:leader="dot" w:pos="8200"/>
        </w:tabs>
      </w:pPr>
      <w:r>
        <w:rPr>
          <w:rFonts w:ascii="Times New Roman" w:hAnsi="Times New Roman" w:eastAsia="仿宋_GB2312"/>
          <w:b w:val="0"/>
          <w:sz w:val="28"/>
        </w:rPr>
        <w:t>2.1 国内外研究现状</w:t>
      </w:r>
      <w:r>
        <w:rPr>
          <w:rFonts w:ascii="Times New Roman" w:hAnsi="Times New Roman" w:eastAsia="仿宋_GB2312"/>
          <w:b w:val="0"/>
          <w:sz w:val="28"/>
        </w:rPr>
        <w:tab/>
      </w:r>
      <w:r>
        <w:fldChar w:fldCharType="begin" w:dirty="true"/>
        <w:instrText xml:space="preserve"> PAGEREF _TocReport0007 \h </w:instrText>
        <w:fldChar w:fldCharType="separate"/>
      </w:r>
      <w:r>
        <w:rPr>
          <w:rFonts w:ascii="Times New Roman" w:hAnsi="Times New Roman" w:eastAsia="仿宋_GB2312"/>
          <w:b w:val="0"/>
          <w:sz w:val="28"/>
        </w:rPr>
        <w:t>12</w:t>
      </w:r>
      <w:r>
        <w:fldChar w:fldCharType="end"/>
      </w:r>
    </w:p>
    <w:p>
      <w:pPr>
        <w:pStyle w:val="20"/>
        <w:jc w:val="left"/>
        <w:spacing w:before="0" w:after="0" w:line="560" w:lineRule="exact"/>
        <w:ind w:firstLine="0" w:firstLineChars="0" w:left="420"/>
        <w:tabs>
          <w:tab w:val="right" w:leader="dot" w:pos="8200"/>
        </w:tabs>
      </w:pPr>
      <w:r>
        <w:rPr>
          <w:rFonts w:ascii="Times New Roman" w:hAnsi="Times New Roman" w:eastAsia="仿宋_GB2312"/>
          <w:b w:val="0"/>
          <w:sz w:val="28"/>
        </w:rPr>
        <w:t>2.2 核心概念与理论基础</w:t>
      </w:r>
      <w:r>
        <w:rPr>
          <w:rFonts w:ascii="Times New Roman" w:hAnsi="Times New Roman" w:eastAsia="仿宋_GB2312"/>
          <w:b w:val="0"/>
          <w:sz w:val="28"/>
        </w:rPr>
        <w:tab/>
      </w:r>
      <w:r>
        <w:fldChar w:fldCharType="begin" w:dirty="true"/>
        <w:instrText xml:space="preserve"> PAGEREF _TocReport0008 \h </w:instrText>
        <w:fldChar w:fldCharType="separate"/>
      </w:r>
      <w:r>
        <w:rPr>
          <w:rFonts w:ascii="Times New Roman" w:hAnsi="Times New Roman" w:eastAsia="仿宋_GB2312"/>
          <w:b w:val="0"/>
          <w:sz w:val="28"/>
        </w:rPr>
        <w:t>20</w:t>
      </w:r>
      <w:r>
        <w:fldChar w:fldCharType="end"/>
      </w:r>
    </w:p>
    <w:p>
      <w:pPr>
        <w:pStyle w:val="19"/>
        <w:jc w:val="left"/>
        <w:spacing w:before="0" w:after="0" w:line="560" w:lineRule="exact"/>
        <w:ind w:firstLine="0" w:firstLineChars="0" w:left="0"/>
        <w:tabs>
          <w:tab w:val="right" w:leader="dot" w:pos="8200"/>
        </w:tabs>
      </w:pPr>
      <w:r>
        <w:rPr>
          <w:rFonts w:ascii="Times New Roman" w:hAnsi="Times New Roman" w:eastAsia="仿宋_GB2312"/>
          <w:b/>
          <w:sz w:val="28"/>
        </w:rPr>
        <w:t>第三章 徐州典型地区“新能源—电网”运行特征分析</w:t>
      </w:r>
      <w:r>
        <w:rPr>
          <w:rFonts w:ascii="Times New Roman" w:hAnsi="Times New Roman" w:eastAsia="仿宋_GB2312"/>
          <w:b w:val="0"/>
          <w:sz w:val="28"/>
        </w:rPr>
        <w:tab/>
      </w:r>
      <w:r>
        <w:fldChar w:fldCharType="begin" w:dirty="true"/>
        <w:instrText xml:space="preserve"> PAGEREF _TocReport0009 \h </w:instrText>
        <w:fldChar w:fldCharType="separate"/>
      </w:r>
      <w:r>
        <w:rPr>
          <w:rFonts w:ascii="Times New Roman" w:hAnsi="Times New Roman" w:eastAsia="仿宋_GB2312"/>
          <w:b w:val="0"/>
          <w:sz w:val="28"/>
        </w:rPr>
        <w:t>27</w:t>
      </w:r>
      <w:r>
        <w:fldChar w:fldCharType="end"/>
      </w:r>
    </w:p>
    <w:p>
      <w:pPr>
        <w:pStyle w:val="20"/>
        <w:jc w:val="left"/>
        <w:spacing w:before="0" w:after="0" w:line="560" w:lineRule="exact"/>
        <w:ind w:firstLine="0" w:firstLineChars="0" w:left="420"/>
        <w:tabs>
          <w:tab w:val="right" w:leader="dot" w:pos="8200"/>
        </w:tabs>
      </w:pPr>
      <w:r>
        <w:rPr>
          <w:rFonts w:ascii="Times New Roman" w:hAnsi="Times New Roman" w:eastAsia="仿宋_GB2312"/>
          <w:b w:val="0"/>
          <w:sz w:val="28"/>
        </w:rPr>
        <w:t>3.1 徐州新能源发展与电力负荷概况</w:t>
      </w:r>
      <w:r>
        <w:rPr>
          <w:rFonts w:ascii="Times New Roman" w:hAnsi="Times New Roman" w:eastAsia="仿宋_GB2312"/>
          <w:b w:val="0"/>
          <w:sz w:val="28"/>
        </w:rPr>
        <w:tab/>
      </w:r>
      <w:r>
        <w:fldChar w:fldCharType="begin" w:dirty="true"/>
        <w:instrText xml:space="preserve"> PAGEREF _TocReport0010 \h </w:instrText>
        <w:fldChar w:fldCharType="separate"/>
      </w:r>
      <w:r>
        <w:rPr>
          <w:rFonts w:ascii="Times New Roman" w:hAnsi="Times New Roman" w:eastAsia="仿宋_GB2312"/>
          <w:b w:val="0"/>
          <w:sz w:val="28"/>
        </w:rPr>
        <w:t>27</w:t>
      </w:r>
      <w:r>
        <w:fldChar w:fldCharType="end"/>
      </w:r>
    </w:p>
    <w:p>
      <w:pPr>
        <w:pStyle w:val="20"/>
        <w:jc w:val="left"/>
        <w:spacing w:before="0" w:after="0" w:line="560" w:lineRule="exact"/>
        <w:ind w:firstLine="0" w:firstLineChars="0" w:left="420"/>
        <w:tabs>
          <w:tab w:val="right" w:leader="dot" w:pos="8200"/>
        </w:tabs>
      </w:pPr>
      <w:r>
        <w:rPr>
          <w:rFonts w:ascii="Times New Roman" w:hAnsi="Times New Roman" w:eastAsia="仿宋_GB2312"/>
          <w:b w:val="0"/>
          <w:sz w:val="28"/>
        </w:rPr>
        <w:t>3.2 主变负载率多工况统计分析</w:t>
      </w:r>
      <w:r>
        <w:rPr>
          <w:rFonts w:ascii="Times New Roman" w:hAnsi="Times New Roman" w:eastAsia="仿宋_GB2312"/>
          <w:b w:val="0"/>
          <w:sz w:val="28"/>
        </w:rPr>
        <w:tab/>
      </w:r>
      <w:r>
        <w:fldChar w:fldCharType="begin" w:dirty="true"/>
        <w:instrText xml:space="preserve"> PAGEREF _TocReport0011 \h </w:instrText>
        <w:fldChar w:fldCharType="separate"/>
      </w:r>
      <w:r>
        <w:rPr>
          <w:rFonts w:ascii="Times New Roman" w:hAnsi="Times New Roman" w:eastAsia="仿宋_GB2312"/>
          <w:b w:val="0"/>
          <w:sz w:val="28"/>
        </w:rPr>
        <w:t>32</w:t>
      </w:r>
      <w:r>
        <w:fldChar w:fldCharType="end"/>
      </w:r>
    </w:p>
    <w:p>
      <w:pPr>
        <w:pStyle w:val="20"/>
        <w:jc w:val="left"/>
        <w:spacing w:before="0" w:after="0" w:line="560" w:lineRule="exact"/>
        <w:ind w:firstLine="0" w:firstLineChars="0" w:left="420"/>
        <w:tabs>
          <w:tab w:val="right" w:leader="dot" w:pos="8200"/>
        </w:tabs>
      </w:pPr>
      <w:r>
        <w:rPr>
          <w:rFonts w:ascii="Times New Roman" w:hAnsi="Times New Roman" w:eastAsia="仿宋_GB2312"/>
          <w:b w:val="0"/>
          <w:sz w:val="28"/>
        </w:rPr>
        <w:t>3.3 源荷比、电量渗透率与容载比的关联规律</w:t>
      </w:r>
      <w:r>
        <w:rPr>
          <w:rFonts w:ascii="Times New Roman" w:hAnsi="Times New Roman" w:eastAsia="仿宋_GB2312"/>
          <w:b w:val="0"/>
          <w:sz w:val="28"/>
        </w:rPr>
        <w:tab/>
      </w:r>
      <w:r>
        <w:fldChar w:fldCharType="begin" w:dirty="true"/>
        <w:instrText xml:space="preserve"> PAGEREF _TocReport0012 \h </w:instrText>
        <w:fldChar w:fldCharType="separate"/>
      </w:r>
      <w:r>
        <w:rPr>
          <w:rFonts w:ascii="Times New Roman" w:hAnsi="Times New Roman" w:eastAsia="仿宋_GB2312"/>
          <w:b w:val="0"/>
          <w:sz w:val="28"/>
        </w:rPr>
        <w:t>36</w:t>
      </w:r>
      <w:r>
        <w:fldChar w:fldCharType="end"/>
      </w:r>
    </w:p>
    <w:p>
      <w:pPr>
        <w:pStyle w:val="20"/>
        <w:jc w:val="left"/>
        <w:spacing w:before="0" w:after="0" w:line="560" w:lineRule="exact"/>
        <w:ind w:firstLine="0" w:firstLineChars="0" w:left="420"/>
        <w:tabs>
          <w:tab w:val="right" w:leader="dot" w:pos="8200"/>
        </w:tabs>
      </w:pPr>
      <w:r>
        <w:rPr>
          <w:rFonts w:ascii="Times New Roman" w:hAnsi="Times New Roman" w:eastAsia="仿宋_GB2312"/>
          <w:b w:val="0"/>
          <w:sz w:val="28"/>
        </w:rPr>
        <w:t>3.4 “新能源渗透水平—电网运行状态”数据库的构建</w:t>
      </w:r>
      <w:r>
        <w:rPr>
          <w:rFonts w:ascii="Times New Roman" w:hAnsi="Times New Roman" w:eastAsia="仿宋_GB2312"/>
          <w:b w:val="0"/>
          <w:sz w:val="28"/>
        </w:rPr>
        <w:tab/>
      </w:r>
      <w:r>
        <w:fldChar w:fldCharType="begin" w:dirty="true"/>
        <w:instrText xml:space="preserve"> PAGEREF _TocReport0013 \h </w:instrText>
        <w:fldChar w:fldCharType="separate"/>
      </w:r>
      <w:r>
        <w:rPr>
          <w:rFonts w:ascii="Times New Roman" w:hAnsi="Times New Roman" w:eastAsia="仿宋_GB2312"/>
          <w:b w:val="0"/>
          <w:sz w:val="28"/>
        </w:rPr>
        <w:t>39</w:t>
      </w:r>
      <w:r>
        <w:fldChar w:fldCharType="end"/>
      </w:r>
    </w:p>
    <w:p>
      <w:pPr>
        <w:pStyle w:val="19"/>
        <w:jc w:val="left"/>
        <w:spacing w:before="0" w:after="0" w:line="560" w:lineRule="exact"/>
        <w:ind w:firstLine="0" w:firstLineChars="0" w:left="0"/>
        <w:tabs>
          <w:tab w:val="right" w:leader="dot" w:pos="8200"/>
        </w:tabs>
      </w:pPr>
      <w:r>
        <w:rPr>
          <w:rFonts w:ascii="Times New Roman" w:hAnsi="Times New Roman" w:eastAsia="仿宋_GB2312"/>
          <w:b/>
          <w:sz w:val="28"/>
        </w:rPr>
        <w:t>第四章 基于实际工程的电网建设成本模型</w:t>
      </w:r>
      <w:r>
        <w:rPr>
          <w:rFonts w:ascii="Times New Roman" w:hAnsi="Times New Roman" w:eastAsia="仿宋_GB2312"/>
          <w:b w:val="0"/>
          <w:sz w:val="28"/>
        </w:rPr>
        <w:tab/>
      </w:r>
      <w:r>
        <w:fldChar w:fldCharType="begin" w:dirty="true"/>
        <w:instrText xml:space="preserve"> PAGEREF _TocReport0014 \h </w:instrText>
        <w:fldChar w:fldCharType="separate"/>
      </w:r>
      <w:r>
        <w:rPr>
          <w:rFonts w:ascii="Times New Roman" w:hAnsi="Times New Roman" w:eastAsia="仿宋_GB2312"/>
          <w:b w:val="0"/>
          <w:sz w:val="28"/>
        </w:rPr>
        <w:t>43</w:t>
      </w:r>
      <w:r>
        <w:fldChar w:fldCharType="end"/>
      </w:r>
    </w:p>
    <w:p>
      <w:pPr>
        <w:pStyle w:val="20"/>
        <w:jc w:val="left"/>
        <w:spacing w:before="0" w:after="0" w:line="560" w:lineRule="exact"/>
        <w:ind w:firstLine="0" w:firstLineChars="0" w:left="420"/>
        <w:tabs>
          <w:tab w:val="right" w:leader="dot" w:pos="8200"/>
        </w:tabs>
      </w:pPr>
      <w:r>
        <w:rPr>
          <w:rFonts w:ascii="Times New Roman" w:hAnsi="Times New Roman" w:eastAsia="仿宋_GB2312"/>
          <w:b w:val="0"/>
          <w:sz w:val="28"/>
        </w:rPr>
        <w:t>4.1 分布式新能源配套工程成本数据收集与处理</w:t>
      </w:r>
      <w:r>
        <w:rPr>
          <w:rFonts w:ascii="Times New Roman" w:hAnsi="Times New Roman" w:eastAsia="仿宋_GB2312"/>
          <w:b w:val="0"/>
          <w:sz w:val="28"/>
        </w:rPr>
        <w:tab/>
      </w:r>
      <w:r>
        <w:fldChar w:fldCharType="begin" w:dirty="true"/>
        <w:instrText xml:space="preserve"> PAGEREF _TocReport0015 \h </w:instrText>
        <w:fldChar w:fldCharType="separate"/>
      </w:r>
      <w:r>
        <w:rPr>
          <w:rFonts w:ascii="Times New Roman" w:hAnsi="Times New Roman" w:eastAsia="仿宋_GB2312"/>
          <w:b w:val="0"/>
          <w:sz w:val="28"/>
        </w:rPr>
        <w:t>43</w:t>
      </w:r>
      <w:r>
        <w:fldChar w:fldCharType="end"/>
      </w:r>
    </w:p>
    <w:p>
      <w:pPr>
        <w:pStyle w:val="20"/>
        <w:jc w:val="left"/>
        <w:spacing w:before="0" w:after="0" w:line="560" w:lineRule="exact"/>
        <w:ind w:firstLine="0" w:firstLineChars="0" w:left="420"/>
        <w:tabs>
          <w:tab w:val="right" w:leader="dot" w:pos="8200"/>
        </w:tabs>
      </w:pPr>
      <w:r>
        <w:rPr>
          <w:rFonts w:ascii="Times New Roman" w:hAnsi="Times New Roman" w:eastAsia="仿宋_GB2312"/>
          <w:b w:val="0"/>
          <w:sz w:val="28"/>
        </w:rPr>
        <w:t>4.2 成本驱动因子识别与参数化模型建立</w:t>
      </w:r>
      <w:r>
        <w:rPr>
          <w:rFonts w:ascii="Times New Roman" w:hAnsi="Times New Roman" w:eastAsia="仿宋_GB2312"/>
          <w:b w:val="0"/>
          <w:sz w:val="28"/>
        </w:rPr>
        <w:tab/>
      </w:r>
      <w:r>
        <w:fldChar w:fldCharType="begin" w:dirty="true"/>
        <w:instrText xml:space="preserve"> PAGEREF _TocReport0016 \h </w:instrText>
        <w:fldChar w:fldCharType="separate"/>
      </w:r>
      <w:r>
        <w:rPr>
          <w:rFonts w:ascii="Times New Roman" w:hAnsi="Times New Roman" w:eastAsia="仿宋_GB2312"/>
          <w:b w:val="0"/>
          <w:sz w:val="28"/>
        </w:rPr>
        <w:t>44</w:t>
      </w:r>
      <w:r>
        <w:fldChar w:fldCharType="end"/>
      </w:r>
    </w:p>
    <w:p>
      <w:pPr>
        <w:pStyle w:val="20"/>
        <w:jc w:val="left"/>
        <w:spacing w:before="0" w:after="0" w:line="560" w:lineRule="exact"/>
        <w:ind w:firstLine="0" w:firstLineChars="0" w:left="420"/>
        <w:tabs>
          <w:tab w:val="right" w:leader="dot" w:pos="8200"/>
        </w:tabs>
      </w:pPr>
      <w:r>
        <w:rPr>
          <w:rFonts w:ascii="Times New Roman" w:hAnsi="Times New Roman" w:eastAsia="仿宋_GB2312"/>
          <w:b w:val="0"/>
          <w:sz w:val="28"/>
        </w:rPr>
        <w:t>4.3 共同资产基线与严格控制模型</w:t>
      </w:r>
      <w:r>
        <w:rPr>
          <w:rFonts w:ascii="Times New Roman" w:hAnsi="Times New Roman" w:eastAsia="仿宋_GB2312"/>
          <w:b w:val="0"/>
          <w:sz w:val="28"/>
        </w:rPr>
        <w:tab/>
      </w:r>
      <w:r>
        <w:fldChar w:fldCharType="begin" w:dirty="true"/>
        <w:instrText xml:space="preserve"> PAGEREF _TocReport0017 \h </w:instrText>
        <w:fldChar w:fldCharType="separate"/>
      </w:r>
      <w:r>
        <w:rPr>
          <w:rFonts w:ascii="Times New Roman" w:hAnsi="Times New Roman" w:eastAsia="仿宋_GB2312"/>
          <w:b w:val="0"/>
          <w:sz w:val="28"/>
        </w:rPr>
        <w:t>45</w:t>
      </w:r>
      <w:r>
        <w:fldChar w:fldCharType="end"/>
      </w:r>
    </w:p>
    <w:p>
      <w:pPr>
        <w:pStyle w:val="20"/>
        <w:jc w:val="left"/>
        <w:spacing w:before="0" w:after="0" w:line="560" w:lineRule="exact"/>
        <w:ind w:firstLine="0" w:firstLineChars="0" w:left="420"/>
        <w:tabs>
          <w:tab w:val="right" w:leader="dot" w:pos="8200"/>
        </w:tabs>
      </w:pPr>
      <w:r>
        <w:rPr>
          <w:rFonts w:ascii="Times New Roman" w:hAnsi="Times New Roman" w:eastAsia="仿宋_GB2312"/>
          <w:b w:val="0"/>
          <w:sz w:val="28"/>
        </w:rPr>
        <w:t>4.4 物理触发原因与正式方案结果</w:t>
      </w:r>
      <w:r>
        <w:rPr>
          <w:rFonts w:ascii="Times New Roman" w:hAnsi="Times New Roman" w:eastAsia="仿宋_GB2312"/>
          <w:b w:val="0"/>
          <w:sz w:val="28"/>
        </w:rPr>
        <w:tab/>
      </w:r>
      <w:r>
        <w:fldChar w:fldCharType="begin" w:dirty="true"/>
        <w:instrText xml:space="preserve"> PAGEREF _TocReport0018 \h </w:instrText>
        <w:fldChar w:fldCharType="separate"/>
      </w:r>
      <w:r>
        <w:rPr>
          <w:rFonts w:ascii="Times New Roman" w:hAnsi="Times New Roman" w:eastAsia="仿宋_GB2312"/>
          <w:b w:val="0"/>
          <w:sz w:val="28"/>
        </w:rPr>
        <w:t>46</w:t>
      </w:r>
      <w:r>
        <w:fldChar w:fldCharType="end"/>
      </w:r>
    </w:p>
    <w:p>
      <w:pPr>
        <w:pStyle w:val="20"/>
        <w:jc w:val="left"/>
        <w:spacing w:before="0" w:after="0" w:line="560" w:lineRule="exact"/>
        <w:ind w:firstLine="0" w:firstLineChars="0" w:left="420"/>
        <w:tabs>
          <w:tab w:val="right" w:leader="dot" w:pos="8200"/>
        </w:tabs>
      </w:pPr>
      <w:r>
        <w:rPr>
          <w:rFonts w:ascii="Times New Roman" w:hAnsi="Times New Roman" w:eastAsia="仿宋_GB2312"/>
          <w:b w:val="0"/>
          <w:sz w:val="28"/>
        </w:rPr>
        <w:t>4.5 容载比上限弹性扫描与经济释放阈值</w:t>
      </w:r>
      <w:r>
        <w:rPr>
          <w:rFonts w:ascii="Times New Roman" w:hAnsi="Times New Roman" w:eastAsia="仿宋_GB2312"/>
          <w:b w:val="0"/>
          <w:sz w:val="28"/>
        </w:rPr>
        <w:tab/>
      </w:r>
      <w:r>
        <w:fldChar w:fldCharType="begin" w:dirty="true"/>
        <w:instrText xml:space="preserve"> PAGEREF _TocReport0019 \h </w:instrText>
        <w:fldChar w:fldCharType="separate"/>
      </w:r>
      <w:r>
        <w:rPr>
          <w:rFonts w:ascii="Times New Roman" w:hAnsi="Times New Roman" w:eastAsia="仿宋_GB2312"/>
          <w:b w:val="0"/>
          <w:sz w:val="28"/>
        </w:rPr>
        <w:t>47</w:t>
      </w:r>
      <w:r>
        <w:fldChar w:fldCharType="end"/>
      </w:r>
    </w:p>
    <w:p>
      <w:pPr>
        <w:pStyle w:val="20"/>
        <w:jc w:val="left"/>
        <w:spacing w:before="0" w:after="0" w:line="560" w:lineRule="exact"/>
        <w:ind w:firstLine="0" w:firstLineChars="0" w:left="420"/>
        <w:tabs>
          <w:tab w:val="right" w:leader="dot" w:pos="8200"/>
        </w:tabs>
      </w:pPr>
      <w:r>
        <w:rPr>
          <w:rFonts w:ascii="Times New Roman" w:hAnsi="Times New Roman" w:eastAsia="仿宋_GB2312"/>
          <w:b w:val="0"/>
          <w:sz w:val="28"/>
        </w:rPr>
        <w:t>4.6 35 kV 辅助层结果</w:t>
      </w:r>
      <w:r>
        <w:rPr>
          <w:rFonts w:ascii="Times New Roman" w:hAnsi="Times New Roman" w:eastAsia="仿宋_GB2312"/>
          <w:b w:val="0"/>
          <w:sz w:val="28"/>
        </w:rPr>
        <w:tab/>
      </w:r>
      <w:r>
        <w:fldChar w:fldCharType="begin" w:dirty="true"/>
        <w:instrText xml:space="preserve"> PAGEREF _TocReport0020 \h </w:instrText>
        <w:fldChar w:fldCharType="separate"/>
      </w:r>
      <w:r>
        <w:rPr>
          <w:rFonts w:ascii="Times New Roman" w:hAnsi="Times New Roman" w:eastAsia="仿宋_GB2312"/>
          <w:b w:val="0"/>
          <w:sz w:val="28"/>
        </w:rPr>
        <w:t>50</w:t>
      </w:r>
      <w:r>
        <w:fldChar w:fldCharType="end"/>
      </w:r>
    </w:p>
    <w:p>
      <w:pPr>
        <w:pStyle w:val="20"/>
        <w:jc w:val="left"/>
        <w:spacing w:before="0" w:after="0" w:line="560" w:lineRule="exact"/>
        <w:ind w:firstLine="0" w:firstLineChars="0" w:left="420"/>
        <w:tabs>
          <w:tab w:val="right" w:leader="dot" w:pos="8200"/>
        </w:tabs>
      </w:pPr>
      <w:r>
        <w:rPr>
          <w:rFonts w:ascii="Times New Roman" w:hAnsi="Times New Roman" w:eastAsia="仿宋_GB2312"/>
          <w:b w:val="0"/>
          <w:sz w:val="28"/>
        </w:rPr>
        <w:t>4.7 本章小结</w:t>
      </w:r>
      <w:r>
        <w:rPr>
          <w:rFonts w:ascii="Times New Roman" w:hAnsi="Times New Roman" w:eastAsia="仿宋_GB2312"/>
          <w:b w:val="0"/>
          <w:sz w:val="28"/>
        </w:rPr>
        <w:tab/>
      </w:r>
      <w:r>
        <w:fldChar w:fldCharType="begin" w:dirty="true"/>
        <w:instrText xml:space="preserve"> PAGEREF _TocReport0021 \h </w:instrText>
        <w:fldChar w:fldCharType="separate"/>
      </w:r>
      <w:r>
        <w:rPr>
          <w:rFonts w:ascii="Times New Roman" w:hAnsi="Times New Roman" w:eastAsia="仿宋_GB2312"/>
          <w:b w:val="0"/>
          <w:sz w:val="28"/>
        </w:rPr>
        <w:t>50</w:t>
      </w:r>
      <w:r>
        <w:fldChar w:fldCharType="end"/>
      </w:r>
    </w:p>
    <w:p>
      <w:pPr>
        <w:pStyle w:val="19"/>
        <w:jc w:val="left"/>
        <w:spacing w:before="0" w:after="0" w:line="560" w:lineRule="exact"/>
        <w:ind w:firstLine="0" w:firstLineChars="0" w:left="0"/>
        <w:tabs>
          <w:tab w:val="right" w:leader="dot" w:pos="8200"/>
        </w:tabs>
      </w:pPr>
      <w:r>
        <w:rPr>
          <w:rFonts w:ascii="Times New Roman" w:hAnsi="Times New Roman" w:eastAsia="仿宋_GB2312"/>
          <w:b/>
          <w:sz w:val="28"/>
        </w:rPr>
        <w:t>第五章 “一片一策”弹性容载比规划建议</w:t>
      </w:r>
      <w:r>
        <w:rPr>
          <w:rFonts w:ascii="Times New Roman" w:hAnsi="Times New Roman" w:eastAsia="仿宋_GB2312"/>
          <w:b w:val="0"/>
          <w:sz w:val="28"/>
        </w:rPr>
        <w:tab/>
      </w:r>
      <w:r>
        <w:fldChar w:fldCharType="begin" w:dirty="true"/>
        <w:instrText xml:space="preserve"> PAGEREF _TocReport0022 \h </w:instrText>
        <w:fldChar w:fldCharType="separate"/>
      </w:r>
      <w:r>
        <w:rPr>
          <w:rFonts w:ascii="Times New Roman" w:hAnsi="Times New Roman" w:eastAsia="仿宋_GB2312"/>
          <w:b w:val="0"/>
          <w:sz w:val="28"/>
        </w:rPr>
        <w:t>52</w:t>
      </w:r>
      <w:r>
        <w:fldChar w:fldCharType="end"/>
      </w:r>
    </w:p>
    <w:p>
      <w:pPr>
        <w:pStyle w:val="20"/>
        <w:jc w:val="left"/>
        <w:spacing w:before="0" w:after="0" w:line="560" w:lineRule="exact"/>
        <w:ind w:firstLine="0" w:firstLineChars="0" w:left="420"/>
        <w:tabs>
          <w:tab w:val="right" w:leader="dot" w:pos="8200"/>
        </w:tabs>
      </w:pPr>
      <w:r>
        <w:rPr>
          <w:rFonts w:ascii="Times New Roman" w:hAnsi="Times New Roman" w:eastAsia="仿宋_GB2312"/>
          <w:b w:val="0"/>
          <w:sz w:val="28"/>
        </w:rPr>
        <w:t>5.1 总体思路</w:t>
      </w:r>
      <w:r>
        <w:rPr>
          <w:rFonts w:ascii="Times New Roman" w:hAnsi="Times New Roman" w:eastAsia="仿宋_GB2312"/>
          <w:b w:val="0"/>
          <w:sz w:val="28"/>
        </w:rPr>
        <w:tab/>
      </w:r>
      <w:r>
        <w:fldChar w:fldCharType="begin" w:dirty="true"/>
        <w:instrText xml:space="preserve"> PAGEREF _TocReport0023 \h </w:instrText>
        <w:fldChar w:fldCharType="separate"/>
      </w:r>
      <w:r>
        <w:rPr>
          <w:rFonts w:ascii="Times New Roman" w:hAnsi="Times New Roman" w:eastAsia="仿宋_GB2312"/>
          <w:b w:val="0"/>
          <w:sz w:val="28"/>
        </w:rPr>
        <w:t>52</w:t>
      </w:r>
      <w:r>
        <w:fldChar w:fldCharType="end"/>
      </w:r>
    </w:p>
    <w:p>
      <w:pPr>
        <w:pStyle w:val="20"/>
        <w:jc w:val="left"/>
        <w:spacing w:before="0" w:after="0" w:line="560" w:lineRule="exact"/>
        <w:ind w:firstLine="0" w:firstLineChars="0" w:left="420"/>
        <w:tabs>
          <w:tab w:val="right" w:leader="dot" w:pos="8200"/>
        </w:tabs>
      </w:pPr>
      <w:r>
        <w:rPr>
          <w:rFonts w:ascii="Times New Roman" w:hAnsi="Times New Roman" w:eastAsia="仿宋_GB2312"/>
          <w:b w:val="0"/>
          <w:sz w:val="28"/>
        </w:rPr>
        <w:t>5.2 评价指标与判定链条</w:t>
      </w:r>
      <w:r>
        <w:rPr>
          <w:rFonts w:ascii="Times New Roman" w:hAnsi="Times New Roman" w:eastAsia="仿宋_GB2312"/>
          <w:b w:val="0"/>
          <w:sz w:val="28"/>
        </w:rPr>
        <w:tab/>
      </w:r>
      <w:r>
        <w:fldChar w:fldCharType="begin" w:dirty="true"/>
        <w:instrText xml:space="preserve"> PAGEREF _TocReport0024 \h </w:instrText>
        <w:fldChar w:fldCharType="separate"/>
      </w:r>
      <w:r>
        <w:rPr>
          <w:rFonts w:ascii="Times New Roman" w:hAnsi="Times New Roman" w:eastAsia="仿宋_GB2312"/>
          <w:b w:val="0"/>
          <w:sz w:val="28"/>
        </w:rPr>
        <w:t>52</w:t>
      </w:r>
      <w:r>
        <w:fldChar w:fldCharType="end"/>
      </w:r>
    </w:p>
    <w:p>
      <w:pPr>
        <w:pStyle w:val="20"/>
        <w:jc w:val="left"/>
        <w:spacing w:before="0" w:after="0" w:line="560" w:lineRule="exact"/>
        <w:ind w:firstLine="0" w:firstLineChars="0" w:left="420"/>
        <w:tabs>
          <w:tab w:val="right" w:leader="dot" w:pos="8200"/>
        </w:tabs>
      </w:pPr>
      <w:r>
        <w:rPr>
          <w:rFonts w:ascii="Times New Roman" w:hAnsi="Times New Roman" w:eastAsia="仿宋_GB2312"/>
          <w:b w:val="0"/>
          <w:sz w:val="28"/>
        </w:rPr>
        <w:t>5.3 片区分类及规划建议</w:t>
      </w:r>
      <w:r>
        <w:rPr>
          <w:rFonts w:ascii="Times New Roman" w:hAnsi="Times New Roman" w:eastAsia="仿宋_GB2312"/>
          <w:b w:val="0"/>
          <w:sz w:val="28"/>
        </w:rPr>
        <w:tab/>
      </w:r>
      <w:r>
        <w:fldChar w:fldCharType="begin" w:dirty="true"/>
        <w:instrText xml:space="preserve"> PAGEREF _TocReport0025 \h </w:instrText>
        <w:fldChar w:fldCharType="separate"/>
      </w:r>
      <w:r>
        <w:rPr>
          <w:rFonts w:ascii="Times New Roman" w:hAnsi="Times New Roman" w:eastAsia="仿宋_GB2312"/>
          <w:b w:val="0"/>
          <w:sz w:val="28"/>
        </w:rPr>
        <w:t>53</w:t>
      </w:r>
      <w:r>
        <w:fldChar w:fldCharType="end"/>
      </w:r>
    </w:p>
    <w:p>
      <w:pPr>
        <w:pStyle w:val="20"/>
        <w:jc w:val="left"/>
        <w:spacing w:before="0" w:after="0" w:line="560" w:lineRule="exact"/>
        <w:ind w:firstLine="0" w:firstLineChars="0" w:left="420"/>
        <w:tabs>
          <w:tab w:val="right" w:leader="dot" w:pos="8200"/>
        </w:tabs>
      </w:pPr>
      <w:r>
        <w:rPr>
          <w:rFonts w:ascii="Times New Roman" w:hAnsi="Times New Roman" w:eastAsia="仿宋_GB2312"/>
          <w:b w:val="0"/>
          <w:sz w:val="28"/>
        </w:rPr>
        <w:t>5.4 35 kV 辅助层建议</w:t>
      </w:r>
      <w:r>
        <w:rPr>
          <w:rFonts w:ascii="Times New Roman" w:hAnsi="Times New Roman" w:eastAsia="仿宋_GB2312"/>
          <w:b w:val="0"/>
          <w:sz w:val="28"/>
        </w:rPr>
        <w:tab/>
      </w:r>
      <w:r>
        <w:fldChar w:fldCharType="begin" w:dirty="true"/>
        <w:instrText xml:space="preserve"> PAGEREF _TocReport0026 \h </w:instrText>
        <w:fldChar w:fldCharType="separate"/>
      </w:r>
      <w:r>
        <w:rPr>
          <w:rFonts w:ascii="Times New Roman" w:hAnsi="Times New Roman" w:eastAsia="仿宋_GB2312"/>
          <w:b w:val="0"/>
          <w:sz w:val="28"/>
        </w:rPr>
        <w:t>56</w:t>
      </w:r>
      <w:r>
        <w:fldChar w:fldCharType="end"/>
      </w:r>
    </w:p>
    <w:p>
      <w:pPr>
        <w:pStyle w:val="20"/>
        <w:jc w:val="left"/>
        <w:spacing w:before="0" w:after="0" w:line="560" w:lineRule="exact"/>
        <w:ind w:firstLine="0" w:firstLineChars="0" w:left="420"/>
        <w:tabs>
          <w:tab w:val="right" w:leader="dot" w:pos="8200"/>
        </w:tabs>
      </w:pPr>
      <w:r>
        <w:rPr>
          <w:rFonts w:ascii="Times New Roman" w:hAnsi="Times New Roman" w:eastAsia="仿宋_GB2312"/>
          <w:b w:val="0"/>
          <w:sz w:val="28"/>
        </w:rPr>
        <w:t>5.5 本章小结</w:t>
      </w:r>
      <w:r>
        <w:rPr>
          <w:rFonts w:ascii="Times New Roman" w:hAnsi="Times New Roman" w:eastAsia="仿宋_GB2312"/>
          <w:b w:val="0"/>
          <w:sz w:val="28"/>
        </w:rPr>
        <w:tab/>
      </w:r>
      <w:r>
        <w:fldChar w:fldCharType="begin" w:dirty="true"/>
        <w:instrText xml:space="preserve"> PAGEREF _TocReport0027 \h </w:instrText>
        <w:fldChar w:fldCharType="separate"/>
      </w:r>
      <w:r>
        <w:rPr>
          <w:rFonts w:ascii="Times New Roman" w:hAnsi="Times New Roman" w:eastAsia="仿宋_GB2312"/>
          <w:b w:val="0"/>
          <w:sz w:val="28"/>
        </w:rPr>
        <w:t>56</w:t>
      </w:r>
      <w:r>
        <w:fldChar w:fldCharType="end"/>
      </w:r>
    </w:p>
    <w:p>
      <w:pPr>
        <w:pStyle w:val="19"/>
        <w:jc w:val="left"/>
        <w:spacing w:before="0" w:after="0" w:line="560" w:lineRule="exact"/>
        <w:ind w:firstLine="0" w:firstLineChars="0" w:left="0"/>
        <w:tabs>
          <w:tab w:val="right" w:leader="dot" w:pos="8200"/>
        </w:tabs>
      </w:pPr>
      <w:r>
        <w:rPr>
          <w:rFonts w:ascii="Times New Roman" w:hAnsi="Times New Roman" w:eastAsia="仿宋_GB2312"/>
          <w:b/>
          <w:sz w:val="28"/>
        </w:rPr>
        <w:t>第六章 典型案例验证</w:t>
      </w:r>
      <w:r>
        <w:rPr>
          <w:rFonts w:ascii="Times New Roman" w:hAnsi="Times New Roman" w:eastAsia="仿宋_GB2312"/>
          <w:b w:val="0"/>
          <w:sz w:val="28"/>
        </w:rPr>
        <w:tab/>
      </w:r>
      <w:r>
        <w:fldChar w:fldCharType="begin" w:dirty="true"/>
        <w:instrText xml:space="preserve"> PAGEREF _TocReport0028 \h </w:instrText>
        <w:fldChar w:fldCharType="separate"/>
      </w:r>
      <w:r>
        <w:rPr>
          <w:rFonts w:ascii="Times New Roman" w:hAnsi="Times New Roman" w:eastAsia="仿宋_GB2312"/>
          <w:b w:val="0"/>
          <w:sz w:val="28"/>
        </w:rPr>
        <w:t>57</w:t>
      </w:r>
      <w:r>
        <w:fldChar w:fldCharType="end"/>
      </w:r>
    </w:p>
    <w:p>
      <w:pPr>
        <w:pStyle w:val="20"/>
        <w:jc w:val="left"/>
        <w:spacing w:before="0" w:after="0" w:line="560" w:lineRule="exact"/>
        <w:ind w:firstLine="0" w:firstLineChars="0" w:left="420"/>
        <w:tabs>
          <w:tab w:val="right" w:leader="dot" w:pos="8200"/>
        </w:tabs>
      </w:pPr>
      <w:r>
        <w:rPr>
          <w:rFonts w:ascii="Times New Roman" w:hAnsi="Times New Roman" w:eastAsia="仿宋_GB2312"/>
          <w:b w:val="0"/>
          <w:sz w:val="28"/>
        </w:rPr>
        <w:t>6.1 QX-00005 片区数据与年度状态复核</w:t>
      </w:r>
      <w:r>
        <w:rPr>
          <w:rFonts w:ascii="Times New Roman" w:hAnsi="Times New Roman" w:eastAsia="仿宋_GB2312"/>
          <w:b w:val="0"/>
          <w:sz w:val="28"/>
        </w:rPr>
        <w:tab/>
      </w:r>
      <w:r>
        <w:fldChar w:fldCharType="begin" w:dirty="true"/>
        <w:instrText xml:space="preserve"> PAGEREF _TocReport0029 \h </w:instrText>
        <w:fldChar w:fldCharType="separate"/>
      </w:r>
      <w:r>
        <w:rPr>
          <w:rFonts w:ascii="Times New Roman" w:hAnsi="Times New Roman" w:eastAsia="仿宋_GB2312"/>
          <w:b w:val="0"/>
          <w:sz w:val="28"/>
        </w:rPr>
        <w:t>57</w:t>
      </w:r>
      <w:r>
        <w:fldChar w:fldCharType="end"/>
      </w:r>
    </w:p>
    <w:p>
      <w:pPr>
        <w:pStyle w:val="20"/>
        <w:jc w:val="left"/>
        <w:spacing w:before="0" w:after="0" w:line="560" w:lineRule="exact"/>
        <w:ind w:firstLine="0" w:firstLineChars="0" w:left="420"/>
        <w:tabs>
          <w:tab w:val="right" w:leader="dot" w:pos="8200"/>
        </w:tabs>
      </w:pPr>
      <w:r>
        <w:rPr>
          <w:rFonts w:ascii="Times New Roman" w:hAnsi="Times New Roman" w:eastAsia="仿宋_GB2312"/>
          <w:b w:val="0"/>
          <w:sz w:val="28"/>
        </w:rPr>
        <w:t>6.2 两条优化方案的结果对照</w:t>
      </w:r>
      <w:r>
        <w:rPr>
          <w:rFonts w:ascii="Times New Roman" w:hAnsi="Times New Roman" w:eastAsia="仿宋_GB2312"/>
          <w:b w:val="0"/>
          <w:sz w:val="28"/>
        </w:rPr>
        <w:tab/>
      </w:r>
      <w:r>
        <w:fldChar w:fldCharType="begin" w:dirty="true"/>
        <w:instrText xml:space="preserve"> PAGEREF _TocReport0030 \h </w:instrText>
        <w:fldChar w:fldCharType="separate"/>
      </w:r>
      <w:r>
        <w:rPr>
          <w:rFonts w:ascii="Times New Roman" w:hAnsi="Times New Roman" w:eastAsia="仿宋_GB2312"/>
          <w:b w:val="0"/>
          <w:sz w:val="28"/>
        </w:rPr>
        <w:t>57</w:t>
      </w:r>
      <w:r>
        <w:fldChar w:fldCharType="end"/>
      </w:r>
    </w:p>
    <w:p>
      <w:pPr>
        <w:pStyle w:val="20"/>
        <w:jc w:val="left"/>
        <w:spacing w:before="0" w:after="0" w:line="560" w:lineRule="exact"/>
        <w:ind w:firstLine="0" w:firstLineChars="0" w:left="420"/>
        <w:tabs>
          <w:tab w:val="right" w:leader="dot" w:pos="8200"/>
        </w:tabs>
      </w:pPr>
      <w:r>
        <w:rPr>
          <w:rFonts w:ascii="Times New Roman" w:hAnsi="Times New Roman" w:eastAsia="仿宋_GB2312"/>
          <w:b w:val="0"/>
          <w:sz w:val="28"/>
        </w:rPr>
        <w:t>6.3 储能 8760 h 连续 SOC 校核</w:t>
      </w:r>
      <w:r>
        <w:rPr>
          <w:rFonts w:ascii="Times New Roman" w:hAnsi="Times New Roman" w:eastAsia="仿宋_GB2312"/>
          <w:b w:val="0"/>
          <w:sz w:val="28"/>
        </w:rPr>
        <w:tab/>
      </w:r>
      <w:r>
        <w:fldChar w:fldCharType="begin" w:dirty="true"/>
        <w:instrText xml:space="preserve"> PAGEREF _TocReport0031 \h </w:instrText>
        <w:fldChar w:fldCharType="separate"/>
      </w:r>
      <w:r>
        <w:rPr>
          <w:rFonts w:ascii="Times New Roman" w:hAnsi="Times New Roman" w:eastAsia="仿宋_GB2312"/>
          <w:b w:val="0"/>
          <w:sz w:val="28"/>
        </w:rPr>
        <w:t>58</w:t>
      </w:r>
      <w:r>
        <w:fldChar w:fldCharType="end"/>
      </w:r>
    </w:p>
    <w:p>
      <w:pPr>
        <w:pStyle w:val="20"/>
        <w:jc w:val="left"/>
        <w:spacing w:before="0" w:after="0" w:line="560" w:lineRule="exact"/>
        <w:ind w:firstLine="0" w:firstLineChars="0" w:left="420"/>
        <w:tabs>
          <w:tab w:val="right" w:leader="dot" w:pos="8200"/>
        </w:tabs>
      </w:pPr>
      <w:r>
        <w:rPr>
          <w:rFonts w:ascii="Times New Roman" w:hAnsi="Times New Roman" w:eastAsia="仿宋_GB2312"/>
          <w:b w:val="0"/>
          <w:sz w:val="28"/>
        </w:rPr>
        <w:t>6.4 10 kV 局部联络案例验证</w:t>
      </w:r>
      <w:r>
        <w:rPr>
          <w:rFonts w:ascii="Times New Roman" w:hAnsi="Times New Roman" w:eastAsia="仿宋_GB2312"/>
          <w:b w:val="0"/>
          <w:sz w:val="28"/>
        </w:rPr>
        <w:tab/>
      </w:r>
      <w:r>
        <w:fldChar w:fldCharType="begin" w:dirty="true"/>
        <w:instrText xml:space="preserve"> PAGEREF _TocReport0032 \h </w:instrText>
        <w:fldChar w:fldCharType="separate"/>
      </w:r>
      <w:r>
        <w:rPr>
          <w:rFonts w:ascii="Times New Roman" w:hAnsi="Times New Roman" w:eastAsia="仿宋_GB2312"/>
          <w:b w:val="0"/>
          <w:sz w:val="28"/>
        </w:rPr>
        <w:t>60</w:t>
      </w:r>
      <w:r>
        <w:fldChar w:fldCharType="end"/>
      </w:r>
    </w:p>
    <w:p>
      <w:pPr>
        <w:pStyle w:val="20"/>
        <w:jc w:val="left"/>
        <w:spacing w:before="0" w:after="0" w:line="560" w:lineRule="exact"/>
        <w:ind w:firstLine="0" w:firstLineChars="0" w:left="420"/>
        <w:tabs>
          <w:tab w:val="right" w:leader="dot" w:pos="8200"/>
        </w:tabs>
      </w:pPr>
      <w:r>
        <w:rPr>
          <w:rFonts w:ascii="Times New Roman" w:hAnsi="Times New Roman" w:eastAsia="仿宋_GB2312"/>
          <w:b w:val="0"/>
          <w:sz w:val="28"/>
        </w:rPr>
        <w:t>6.5 方法有效性与适用范围</w:t>
      </w:r>
      <w:r>
        <w:rPr>
          <w:rFonts w:ascii="Times New Roman" w:hAnsi="Times New Roman" w:eastAsia="仿宋_GB2312"/>
          <w:b w:val="0"/>
          <w:sz w:val="28"/>
        </w:rPr>
        <w:tab/>
      </w:r>
      <w:r>
        <w:fldChar w:fldCharType="begin" w:dirty="true"/>
        <w:instrText xml:space="preserve"> PAGEREF _TocReport0033 \h </w:instrText>
        <w:fldChar w:fldCharType="separate"/>
      </w:r>
      <w:r>
        <w:rPr>
          <w:rFonts w:ascii="Times New Roman" w:hAnsi="Times New Roman" w:eastAsia="仿宋_GB2312"/>
          <w:b w:val="0"/>
          <w:sz w:val="28"/>
        </w:rPr>
        <w:t>61</w:t>
      </w:r>
      <w:r>
        <w:fldChar w:fldCharType="end"/>
      </w:r>
    </w:p>
    <w:p>
      <w:pPr>
        <w:pStyle w:val="20"/>
        <w:jc w:val="left"/>
        <w:spacing w:before="0" w:after="0" w:line="560" w:lineRule="exact"/>
        <w:ind w:firstLine="0" w:firstLineChars="0" w:left="420"/>
        <w:tabs>
          <w:tab w:val="right" w:leader="dot" w:pos="8200"/>
        </w:tabs>
      </w:pPr>
      <w:r>
        <w:rPr>
          <w:rFonts w:ascii="Times New Roman" w:hAnsi="Times New Roman" w:eastAsia="仿宋_GB2312"/>
          <w:b w:val="0"/>
          <w:sz w:val="28"/>
        </w:rPr>
        <w:t>6.6 本章小结</w:t>
      </w:r>
      <w:r>
        <w:rPr>
          <w:rFonts w:ascii="Times New Roman" w:hAnsi="Times New Roman" w:eastAsia="仿宋_GB2312"/>
          <w:b w:val="0"/>
          <w:sz w:val="28"/>
        </w:rPr>
        <w:tab/>
      </w:r>
      <w:r>
        <w:fldChar w:fldCharType="begin" w:dirty="true"/>
        <w:instrText xml:space="preserve"> PAGEREF _TocReport0034 \h </w:instrText>
        <w:fldChar w:fldCharType="separate"/>
      </w:r>
      <w:r>
        <w:rPr>
          <w:rFonts w:ascii="Times New Roman" w:hAnsi="Times New Roman" w:eastAsia="仿宋_GB2312"/>
          <w:b w:val="0"/>
          <w:sz w:val="28"/>
        </w:rPr>
        <w:t>61</w:t>
      </w:r>
      <w:r>
        <w:fldChar w:fldCharType="end"/>
      </w:r>
    </w:p>
    <w:p>
      <w:pPr>
        <w:pStyle w:val="19"/>
        <w:jc w:val="left"/>
        <w:spacing w:before="0" w:after="0" w:line="560" w:lineRule="exact"/>
        <w:ind w:firstLine="0" w:firstLineChars="0" w:left="0"/>
        <w:tabs>
          <w:tab w:val="right" w:leader="dot" w:pos="8200"/>
        </w:tabs>
      </w:pPr>
      <w:r>
        <w:rPr>
          <w:rFonts w:ascii="Times New Roman" w:hAnsi="Times New Roman" w:eastAsia="仿宋_GB2312"/>
          <w:b/>
          <w:sz w:val="28"/>
        </w:rPr>
        <w:t>第七章 结论与展望</w:t>
      </w:r>
      <w:r>
        <w:rPr>
          <w:rFonts w:ascii="Times New Roman" w:hAnsi="Times New Roman" w:eastAsia="仿宋_GB2312"/>
          <w:b w:val="0"/>
          <w:sz w:val="28"/>
        </w:rPr>
        <w:tab/>
      </w:r>
      <w:r>
        <w:fldChar w:fldCharType="begin" w:dirty="true"/>
        <w:instrText xml:space="preserve"> PAGEREF _TocReport0035 \h </w:instrText>
        <w:fldChar w:fldCharType="separate"/>
      </w:r>
      <w:r>
        <w:rPr>
          <w:rFonts w:ascii="Times New Roman" w:hAnsi="Times New Roman" w:eastAsia="仿宋_GB2312"/>
          <w:b w:val="0"/>
          <w:sz w:val="28"/>
        </w:rPr>
        <w:t>63</w:t>
      </w:r>
      <w:r>
        <w:fldChar w:fldCharType="end"/>
      </w:r>
    </w:p>
    <w:p>
      <w:pPr>
        <w:pStyle w:val="20"/>
        <w:jc w:val="left"/>
        <w:spacing w:before="0" w:after="0" w:line="560" w:lineRule="exact"/>
        <w:ind w:firstLine="0" w:firstLineChars="0" w:left="420"/>
        <w:tabs>
          <w:tab w:val="right" w:leader="dot" w:pos="8200"/>
        </w:tabs>
      </w:pPr>
      <w:r>
        <w:rPr>
          <w:rFonts w:ascii="Times New Roman" w:hAnsi="Times New Roman" w:eastAsia="仿宋_GB2312"/>
          <w:b w:val="0"/>
          <w:sz w:val="28"/>
        </w:rPr>
        <w:t>7.1 主要结论</w:t>
      </w:r>
      <w:r>
        <w:rPr>
          <w:rFonts w:ascii="Times New Roman" w:hAnsi="Times New Roman" w:eastAsia="仿宋_GB2312"/>
          <w:b w:val="0"/>
          <w:sz w:val="28"/>
        </w:rPr>
        <w:tab/>
      </w:r>
      <w:r>
        <w:fldChar w:fldCharType="begin" w:dirty="true"/>
        <w:instrText xml:space="preserve"> PAGEREF _TocReport0036 \h </w:instrText>
        <w:fldChar w:fldCharType="separate"/>
      </w:r>
      <w:r>
        <w:rPr>
          <w:rFonts w:ascii="Times New Roman" w:hAnsi="Times New Roman" w:eastAsia="仿宋_GB2312"/>
          <w:b w:val="0"/>
          <w:sz w:val="28"/>
        </w:rPr>
        <w:t>63</w:t>
      </w:r>
      <w:r>
        <w:fldChar w:fldCharType="end"/>
      </w:r>
    </w:p>
    <w:p>
      <w:pPr>
        <w:pStyle w:val="20"/>
        <w:jc w:val="left"/>
        <w:spacing w:before="0" w:after="0" w:line="560" w:lineRule="exact"/>
        <w:ind w:firstLine="0" w:firstLineChars="0" w:left="420"/>
        <w:tabs>
          <w:tab w:val="right" w:leader="dot" w:pos="8200"/>
        </w:tabs>
      </w:pPr>
      <w:r>
        <w:rPr>
          <w:rFonts w:ascii="Times New Roman" w:hAnsi="Times New Roman" w:eastAsia="仿宋_GB2312"/>
          <w:b w:val="0"/>
          <w:sz w:val="28"/>
        </w:rPr>
        <w:t>7.2 研究限制与后续工作</w:t>
      </w:r>
      <w:r>
        <w:rPr>
          <w:rFonts w:ascii="Times New Roman" w:hAnsi="Times New Roman" w:eastAsia="仿宋_GB2312"/>
          <w:b w:val="0"/>
          <w:sz w:val="28"/>
        </w:rPr>
        <w:tab/>
      </w:r>
      <w:r>
        <w:fldChar w:fldCharType="begin" w:dirty="true"/>
        <w:instrText xml:space="preserve"> PAGEREF _TocReport0037 \h </w:instrText>
        <w:fldChar w:fldCharType="separate"/>
      </w:r>
      <w:r>
        <w:rPr>
          <w:rFonts w:ascii="Times New Roman" w:hAnsi="Times New Roman" w:eastAsia="仿宋_GB2312"/>
          <w:b w:val="0"/>
          <w:sz w:val="28"/>
        </w:rPr>
        <w:t>65</w:t>
      </w:r>
      <w:r>
        <w:fldChar w:fldCharType="end"/>
      </w:r>
    </w:p>
    <w:p>
      <w:pPr>
        <w:pStyle w:val="19"/>
        <w:jc w:val="left"/>
        <w:spacing w:before="0" w:after="0" w:line="560" w:lineRule="exact"/>
        <w:ind w:firstLine="0" w:firstLineChars="0" w:left="0"/>
        <w:tabs>
          <w:tab w:val="right" w:leader="dot" w:pos="8200"/>
        </w:tabs>
      </w:pPr>
      <w:r>
        <w:rPr>
          <w:rFonts w:ascii="Times New Roman" w:hAnsi="Times New Roman" w:eastAsia="仿宋_GB2312"/>
          <w:b/>
          <w:sz w:val="28"/>
        </w:rPr>
        <w:t>参考文献</w:t>
      </w:r>
      <w:r>
        <w:rPr>
          <w:rFonts w:ascii="Times New Roman" w:hAnsi="Times New Roman" w:eastAsia="仿宋_GB2312"/>
          <w:b w:val="0"/>
          <w:sz w:val="28"/>
        </w:rPr>
        <w:tab/>
      </w:r>
      <w:r>
        <w:fldChar w:fldCharType="begin" w:dirty="true"/>
        <w:instrText xml:space="preserve"> PAGEREF _TocReport0038 \h </w:instrText>
        <w:fldChar w:fldCharType="separate"/>
      </w:r>
      <w:r>
        <w:rPr>
          <w:rFonts w:ascii="Times New Roman" w:hAnsi="Times New Roman" w:eastAsia="仿宋_GB2312"/>
          <w:b w:val="0"/>
          <w:sz w:val="28"/>
        </w:rPr>
        <w:t>67</w:t>
      </w:r>
      <w:r>
        <w:fldChar w:fldCharType="end"/>
      </w:r>
    </w:p>
    <w:p>
      <w:pPr>
        <w:sectPr>
          <w:footerReference w:type="default" r:id="rId23"/>
          <w:pgSz w:w="11906" w:h="16838"/>
          <w:pgMar w:top="1440" w:right="1797" w:bottom="1440" w:left="1797" w:header="851" w:footer="992" w:gutter="0"/>
          <w:pgNumType w:fmt="numberInDash" w:start="1"/>
          <w:cols w:space="425" w:num="1"/>
          <w:docGrid w:linePitch="435" w:charSpace="0"/>
        </w:sectPr>
      </w:pPr>
    </w:p>
    <w:p>
      <w:pPr>
        <w:pStyle w:val="2"/>
        <w:pageBreakBefore w:val="0"/>
        <w:jc w:val="left"/>
      </w:pPr>
      <w:bookmarkStart w:id="1" w:name="_TocReport0001"/>
      <w:r>
        <w:rPr>
          <w:rFonts w:ascii="Times New Roman" w:hAnsi="Times New Roman" w:eastAsia="仿宋_GB2312"/>
          <w:b/>
          <w:sz w:val="36"/>
        </w:rPr>
        <w:t>第一章 绪论</w:t>
      </w:r>
      <w:bookmarkEnd w:id="1"/>
    </w:p>
    <w:p>
      <w:pPr>
        <w:pStyle w:val="3"/>
        <w:pageBreakBefore w:val="0"/>
        <w:jc w:val="left"/>
      </w:pPr>
      <w:bookmarkStart w:id="2" w:name="_TocReport0002"/>
      <w:r>
        <w:rPr>
          <w:rFonts w:ascii="Times New Roman" w:hAnsi="Times New Roman" w:eastAsia="仿宋_GB2312"/>
          <w:b/>
          <w:sz w:val="28"/>
        </w:rPr>
        <w:t>1.1 研究背景与意义</w:t>
      </w:r>
      <w:bookmarkEnd w:id="2"/>
    </w:p>
    <w:p>
      <w:pPr>
        <w:spacing w:before="0" w:after="0" w:line="560" w:lineRule="exact"/>
        <w:jc w:val="both"/>
        <w:ind w:firstLineChars="200" w:firstLine="200"/>
      </w:pPr>
      <w:r>
        <w:rPr>
          <w:rFonts w:ascii="Times New Roman" w:hAnsi="Times New Roman" w:eastAsia="仿宋_GB2312"/>
          <w:b w:val="0"/>
          <w:sz w:val="28"/>
        </w:rPr>
        <w:t>碳达峰、碳中和目标和新型电力系统建设持续推进，我国新能源已经进入大规模、高比例发展阶段。分布式光伏建设周期短、接入层级低、靠近负荷侧，是能源绿色低碳转型的重要组成部分。国家能源局发布的并网运行情况显示，截至 2025 年底，全国分布式光伏累计并网容量已达到较大规模[1]。《关于新形势下配电网高质量发展的指导意见》《加快构建新型电力系统行动方案（2024—2027 年）》和《配电网高质量发展行动实施方案（2024—2027 年）》均提出提升配电网对分布式新能源和多元负荷的承载能力，强化源网荷储协同，提高电网规划建设的精准性和投资效益[2-4]。配电网规划由此增加了一项任务：在满足负荷增长需要的同时，还要适应新能源出力变化引起的潮流重构和运行边界变化。</w:t>
      </w:r>
    </w:p>
    <w:p>
      <w:pPr>
        <w:spacing w:before="0" w:after="0" w:line="560" w:lineRule="exact"/>
        <w:jc w:val="both"/>
        <w:ind w:firstLineChars="200" w:firstLine="200"/>
      </w:pPr>
      <w:r>
        <w:rPr>
          <w:rFonts w:ascii="Times New Roman" w:hAnsi="Times New Roman" w:eastAsia="仿宋_GB2312"/>
          <w:b w:val="0"/>
          <w:sz w:val="28"/>
        </w:rPr>
        <w:t>江苏省用能密度较高、分布式光伏发展较快，各地区产业结构、城乡负荷形态和新能源资源条件并不相同。徐州地处江苏北部，县域面积较大，工业、农业和城乡居民负荷并存，分布式光伏接入在空间上呈现一定的集聚特征。部分县域或高压供电分区已出现午间净负荷下降、局部时段反向送电增加、正反向功率快速转换等现象。与传统单向供电模式相比，这类运行形态不再由单一负荷高峰决定：在负荷集中增长时段，主变仍需承担由上级电网向负荷侧供电的正向功率；在光伏出力较大而本地用电需求较低的时段，分布式电源可能经主变向上级电网反送；在天气变化或光伏出力爬坡、回落时段，主变潮流方向及负载水平还可能在较短时间内发生变化。</w:t>
      </w:r>
    </w:p>
    <w:p>
      <w:pPr>
        <w:spacing w:before="0" w:after="0" w:line="560" w:lineRule="exact"/>
        <w:jc w:val="both"/>
        <w:ind w:firstLineChars="200" w:firstLine="200"/>
      </w:pPr>
      <w:r>
        <w:rPr>
          <w:rFonts w:ascii="Times New Roman" w:hAnsi="Times New Roman" w:eastAsia="仿宋_GB2312"/>
          <w:b w:val="0"/>
          <w:sz w:val="28"/>
        </w:rPr>
        <w:t>同一片区由此面临两类性质不同的约束。区域负荷处于高峰时，要判断主变容量、运行方式和网络转供能力能否满足正向供电；新能源高出力而本地负荷较低时，则要判断主变及相关网络能否安全承受反向功率。两类约束未必在同一时刻出现，也可能落在不同设备上。正向负荷不高，不等于反向承载一定充足；出现较大反向功率，也不能据此认定正向容量配置过多。高渗透率地区的规划分析需要回答三个实际问题：负荷高峰需要多少容量，反向送电由哪些设备承受，不同措施在多年尺度上是否经济。</w:t>
      </w:r>
    </w:p>
    <w:p>
      <w:pPr>
        <w:spacing w:before="0" w:after="0" w:line="560" w:lineRule="exact"/>
        <w:jc w:val="both"/>
        <w:ind w:firstLineChars="200" w:firstLine="200"/>
      </w:pPr>
      <w:r>
        <w:rPr>
          <w:rFonts w:ascii="Times New Roman" w:hAnsi="Times New Roman" w:eastAsia="仿宋_GB2312"/>
          <w:b w:val="0"/>
          <w:sz w:val="28"/>
        </w:rPr>
        <w:t>容载比是我国配电网规划中衡量变电容量配置水平的重要宏观指标。按照 DL/T 5729—2023《配电网规划设计技术导则》，某一电压等级容载比反映规划区域公用变压器总容量与最大负荷之间的配置关系，具体取值需要综合考虑负荷增长、供电安全和转供能力[5]。该指标计算简明、便于开展地区间比较，在传统负荷主导的规划条件下具有较强的工程适用性。但是，容载比本质上侧重正向容量充裕度，不能单独刻画反向潮流持续时间、设备反向承载能力、新能源出力波动以及储能等灵活资源的时序作用。DL/T 2041—2025《分布式电源接入电力系统承载力评估导则》则从系统级和设备级对分布式电源承载能力进行分析，为设备容量、电压、反向功率和调节资源校核提供了依据[6]。因此，在分布式新能源高渗透条件下，容载比和承载力应分别计算、相互校核，不能用其中一个指标替代另一个指标。</w:t>
      </w:r>
    </w:p>
    <w:p>
      <w:pPr>
        <w:spacing w:before="0" w:after="0" w:line="560" w:lineRule="exact"/>
        <w:jc w:val="both"/>
        <w:ind w:firstLineChars="200" w:firstLine="200"/>
      </w:pPr>
      <w:r>
        <w:rPr>
          <w:rFonts w:ascii="Times New Roman" w:hAnsi="Times New Roman" w:eastAsia="仿宋_GB2312"/>
          <w:b w:val="0"/>
          <w:sz w:val="28"/>
        </w:rPr>
        <w:t>从规划实践看，单纯追求较低容载比可能通过提前扩建形成较大的容量裕度，但也可能增加投资和设备闲置；单纯提高容载比虽然能够推迟部分建设，却可能压缩正向供电裕度，并加大故障转供和负荷增长不确定性带来的风险。对于新能源占比较高的地区，还存在另一种容易混淆的情形：容载比较高并不必然意味着需要扩建，容载比较低也不必然意味着具备充分的反向承载能力。措施是否触发，应当由正向容量缺口、反向承载缺口、运行方式和网络压力等可验证的物理条件决定，而不能只依据容载比是否超过某一数值作出判断。</w:t>
      </w:r>
    </w:p>
    <w:p>
      <w:pPr>
        <w:spacing w:before="0" w:after="0" w:line="560" w:lineRule="exact"/>
        <w:jc w:val="both"/>
        <w:ind w:firstLineChars="200" w:firstLine="200"/>
      </w:pPr>
      <w:r>
        <w:rPr>
          <w:rFonts w:ascii="Times New Roman" w:hAnsi="Times New Roman" w:eastAsia="仿宋_GB2312"/>
          <w:b w:val="0"/>
          <w:sz w:val="28"/>
        </w:rPr>
        <w:t>不同规划措施的作用机理和成本发生方式也不相同。主变扩建、替换或减容改变的是离散设备容量；网架加强主要改善站间转供和网络压力；储能通过受约束的充放电改变局部时序功率；运行方式调整和局部联络措施则改变功率分布。若只比较一次建设投资，难以反映措施投运年份、设备使用年限和多年在役状态对经济性的影响。为保证不同方案可比，本研究以 2021 年实际状态为共同基准，将 2021 年既有资产视为共同沉没成本，统一按 2025 年价格评价 2022—2025 年新增措施，并以“累计年化成本”作为单目标经济指标，即计算决策期内累计在役等效年成本。这一处理能够把“何时建设、建设何种离散容量、在役多少年”纳入同一比较口径，也避免将缺少依据的损耗、残值或未知实际成本写入结果。</w:t>
      </w:r>
    </w:p>
    <w:p>
      <w:pPr>
        <w:spacing w:before="0" w:after="0" w:line="560" w:lineRule="exact"/>
        <w:jc w:val="both"/>
        <w:ind w:firstLineChars="200" w:firstLine="200"/>
      </w:pPr>
      <w:r>
        <w:rPr>
          <w:rFonts w:ascii="Times New Roman" w:hAnsi="Times New Roman" w:eastAsia="仿宋_GB2312"/>
          <w:b w:val="0"/>
          <w:sz w:val="28"/>
        </w:rPr>
        <w:t>本研究据此选取徐州典型地区 110 kV 电网作为主要对象，同时对 35 kV 电网分层分析。在统一物理约束、候选措施和成本口径下，报告比较实际发展事实、不限制容载比的成本优化，以及以 2021 年实际在役资产为起点、在规划期新增容量上执行容载比控制的严格优化（仅作用于 110 kV 正式层）。2021 年既有容量作为存量资产保留，不因后续容载比要求反向改造；严格方案的控制对象是 2022—2025 年新增容量。这里的“弹性”不放松供电安全、设备容量或电能质量要求，其含义是在物理红线内，根据片区源荷特征、正反向缺口、网络条件和经济代价，识别容载比控制的合理边界。</w:t>
      </w:r>
    </w:p>
    <w:p>
      <w:pPr>
        <w:spacing w:before="0" w:after="0" w:line="560" w:lineRule="exact"/>
        <w:jc w:val="both"/>
        <w:ind w:firstLineChars="200" w:firstLine="200"/>
      </w:pPr>
      <w:r>
        <w:rPr>
          <w:rFonts w:ascii="Times New Roman" w:hAnsi="Times New Roman" w:eastAsia="仿宋_GB2312"/>
          <w:b w:val="0"/>
          <w:sz w:val="28"/>
        </w:rPr>
        <w:t>本研究将正式容载比的正向同步口径与设备级反向承载校核并列设置，避免正反向功率混用造成指标失真；年度总量基准数据、设备范围、时序方向和质量标记也在同一数据链条中衔接。建立这两层基础后，再以统一口径比较弹性优化方案与严格优化方案，量化容载比控制要求增加的经济代价。研究结论可用于支撑徐州各片区的差异化规划，而不是给出脱离片区条件的统一取值。</w:t>
      </w:r>
    </w:p>
    <w:p>
      <w:pPr>
        <w:pStyle w:val="3"/>
        <w:pageBreakBefore w:val="0"/>
        <w:jc w:val="left"/>
      </w:pPr>
      <w:bookmarkStart w:id="3" w:name="_TocReport0003"/>
      <w:r>
        <w:rPr>
          <w:rFonts w:ascii="Times New Roman" w:hAnsi="Times New Roman" w:eastAsia="仿宋_GB2312"/>
          <w:b/>
          <w:sz w:val="28"/>
        </w:rPr>
        <w:t>1.2 研究范围与对象</w:t>
      </w:r>
      <w:bookmarkEnd w:id="3"/>
    </w:p>
    <w:p>
      <w:pPr>
        <w:spacing w:before="0" w:after="0" w:line="560" w:lineRule="exact"/>
        <w:jc w:val="both"/>
        <w:ind w:firstLineChars="200" w:firstLine="200"/>
      </w:pPr>
      <w:r>
        <w:rPr>
          <w:rFonts w:ascii="Times New Roman" w:hAnsi="Times New Roman" w:eastAsia="仿宋_GB2312"/>
          <w:b w:val="0"/>
          <w:sz w:val="28"/>
        </w:rPr>
        <w:t>本研究属于面向规划方法和投资决策的专题研究，研究对象为徐州地区分布式新能源占比较高、运行特征具有代表性的县域或高压供电分区。空间上以八个片区为年度总量分析单元，进一步选取逐时数据、设备映射和年度资产范围较完整的典型片区开展主变多工况分析。为保持规划指标与运行数据的一致性，片区边界、站点归属和设备电压等级均采用项目标准化关系，不以任意划定的小区域替代正式统计单元。</w:t>
      </w:r>
    </w:p>
    <w:p>
      <w:pPr>
        <w:spacing w:before="0" w:after="0" w:line="560" w:lineRule="exact"/>
        <w:jc w:val="both"/>
        <w:ind w:firstLineChars="200" w:firstLine="200"/>
      </w:pPr>
      <w:r>
        <w:rPr>
          <w:rFonts w:ascii="Times New Roman" w:hAnsi="Times New Roman" w:eastAsia="仿宋_GB2312"/>
          <w:b w:val="0"/>
          <w:sz w:val="28"/>
        </w:rPr>
        <w:t>电压层级方面，110 kV 与 35 kV 分开建模、分开聚合、分开输出。110 kV 层形成八片区正式分析结果，35 kV 层形成对应的辅助分析结果。两类电压等级的变电容量、同步峰值、光伏容量和成本均不得跨电压相加。10 kV 网络不纳入主体模型的全县联络优化；仅在后续具备父级映射、同步转移量、候选完整性和独立审批条件时，才可将现有联络切分或新建联络线路作为局部案例回接优化方案。局部案例只能改变站间负荷分布，不能改变片区总功率或造成重复治理、重复计费。</w:t>
      </w:r>
    </w:p>
    <w:p>
      <w:pPr>
        <w:spacing w:before="0" w:after="0" w:line="560" w:lineRule="exact"/>
        <w:jc w:val="both"/>
        <w:ind w:firstLineChars="200" w:firstLine="200"/>
      </w:pPr>
      <w:r>
        <w:rPr>
          <w:rFonts w:ascii="Times New Roman" w:hAnsi="Times New Roman" w:eastAsia="仿宋_GB2312"/>
          <w:b w:val="0"/>
          <w:sz w:val="28"/>
        </w:rPr>
        <w:t>时间范围方面，以 2021 年实际状态作为方案比较的共同基准，以 2022—2025 年作为决策期。2021 年既有资产不计入增量成本；本轮优化只采用当前实际资产候选集中已获数据支撑的扩建和储能措施，主政策模型不为满足 Rcap 生成减容或退役动作。年度历史状态以官方片区容量、同步正向峰值和容载比为总量基准数据，不以 2025 年在役设备表按投运年份回溯的结果替代实际历史资产；尚未闭合的实际设备动作不作成本量化。逐时运行分析只在年度在役设备清单、设备映射审批和数据质量校核均满足要求的范围内形成正式结论。</w:t>
      </w:r>
    </w:p>
    <w:p>
      <w:pPr>
        <w:spacing w:before="0" w:after="0" w:line="560" w:lineRule="exact"/>
        <w:jc w:val="both"/>
        <w:ind w:firstLineChars="200" w:firstLine="200"/>
      </w:pPr>
      <w:r>
        <w:rPr>
          <w:rFonts w:ascii="Times New Roman" w:hAnsi="Times New Roman" w:eastAsia="仿宋_GB2312"/>
          <w:b w:val="0"/>
          <w:sz w:val="28"/>
        </w:rPr>
        <w:t>指标范围方面，正式容载比仅采用同一电压等级的公用变压器总容量与该方案、该年度、同步、正向最大净负荷之比。源主变负荷按净负荷解释，不再次扣减现状光伏；各优化方案应根据自身干预后的净负荷重新计算正向峰值和容载比。反向峰值、反向持续时间和反向承载力单独统计，不把正向与反向峰值取大后称为正式容载比。设备级反向承载力依据设备运行方式计算，分列或单台主变与并列主变组分别采用相应校核规则。</w:t>
      </w:r>
    </w:p>
    <w:p>
      <w:pPr>
        <w:spacing w:before="0" w:after="0" w:line="560" w:lineRule="exact"/>
        <w:jc w:val="both"/>
        <w:ind w:firstLineChars="200" w:firstLine="200"/>
      </w:pPr>
      <w:r>
        <w:rPr>
          <w:rFonts w:ascii="Times New Roman" w:hAnsi="Times New Roman" w:eastAsia="仿宋_GB2312"/>
          <w:b w:val="0"/>
          <w:sz w:val="28"/>
        </w:rPr>
        <w:t>物理边界方面，措施触发依据为正向容量缺口、反向承载缺口、运行方式和网络压力，容载比大于 2.0 本身不自动触发扩建或储能。储能充电只能吸收本时段原本存在的反向功率，不得跨越零点制造正向峰值以降低容载比；储能放电只能服务本地正向负荷，不得形成反送或无约束套利。扩建和储能均从可追溯的离散候选中选择，动作实施后必须重新通过正向容量、反向承载、运行方式和网络压力检查。主体模型不设置弃光决策，物理不可行时明确标记为不可行。</w:t>
      </w:r>
    </w:p>
    <w:p>
      <w:pPr>
        <w:spacing w:before="0" w:after="0" w:line="560" w:lineRule="exact"/>
        <w:jc w:val="both"/>
        <w:ind w:firstLineChars="200" w:firstLine="200"/>
      </w:pPr>
      <w:r>
        <w:rPr>
          <w:rFonts w:ascii="Times New Roman" w:hAnsi="Times New Roman" w:eastAsia="仿宋_GB2312"/>
          <w:b w:val="0"/>
          <w:sz w:val="28"/>
        </w:rPr>
        <w:t>安全分析方面，本研究结合设备容量和网络连接关系开展内部 N-1 容量网络压力筛查，用于识别候选措施可能引起的供电压力变化。由于部分对象缺少开展精确潮流所需的完整阻抗、运行方式和边界条件，本研究不以该筛查替代具体工程的 AC/DC 潮流、短路电流、继电保护、电压质量和接入系统专题论证。报告提出的规划建议属于方法研究和方案比较结论，具体项目实施前仍需按现行规程完成相应设计审查。</w:t>
      </w:r>
    </w:p>
    <w:p>
      <w:pPr>
        <w:spacing w:before="0" w:after="0" w:line="560" w:lineRule="exact"/>
        <w:jc w:val="both"/>
        <w:ind w:firstLineChars="200" w:firstLine="200"/>
      </w:pPr>
      <w:r>
        <w:rPr>
          <w:rFonts w:ascii="Times New Roman" w:hAnsi="Times New Roman" w:eastAsia="仿宋_GB2312"/>
          <w:b w:val="0"/>
          <w:sz w:val="28"/>
        </w:rPr>
        <w:t>表 1-1 汇总了本研究的主要边界。</w:t>
      </w:r>
    </w:p>
    <w:p>
      <w:pPr>
        <w:pStyle w:val="12"/>
        <w:keepNext/>
        <w:spacing w:before="120" w:after="60" w:line="400" w:lineRule="exact"/>
        <w:jc w:val="center"/>
        <w:ind w:firstLine="0" w:firstLineChars="0"/>
      </w:pPr>
      <w:r>
        <w:rPr>
          <w:rFonts w:ascii="Times New Roman" w:hAnsi="Times New Roman" w:eastAsia="仿宋_GB2312"/>
          <w:b w:val="0"/>
          <w:sz w:val="24"/>
        </w:rPr>
        <w:t>表 1-1 研究对象与边界</w:t>
      </w:r>
    </w:p>
    <w:tbl>
      <w:tblPr>
        <w:tblW w:type="auto" w:w="0"/>
        <w:tblLayout w:type="autofi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771"/>
        <w:gridCol w:w="2771"/>
        <w:gridCol w:w="2771"/>
      </w:tblGrid>
      <w:tr>
        <w:trPr>
          <w:cantSplit/>
          <w:tblHeader w:val="true"/>
        </w:trPr>
        <w:tc>
          <w:tcPr>
            <w:tcW w:type="dxa" w:w="2771"/>
            <w:vAlign w:val="center"/>
          </w:tcPr>
          <w:p>
            <w:pPr>
              <w:pStyle w:val="97"/>
              <w:jc w:val="center"/>
              <w:spacing w:before="0" w:after="0" w:line="360" w:lineRule="exact"/>
              <w:ind w:firstLine="0" w:firstLineChars="0"/>
            </w:pPr>
            <w:r>
              <w:rPr>
                <w:rFonts w:ascii="Times New Roman" w:hAnsi="Times New Roman" w:eastAsia="仿宋_GB2312"/>
                <w:b/>
                <w:sz w:val="24"/>
              </w:rPr>
              <w:t>维度</w:t>
            </w:r>
          </w:p>
        </w:tc>
        <w:tc>
          <w:tcPr>
            <w:tcW w:type="dxa" w:w="2771"/>
            <w:vAlign w:val="center"/>
          </w:tcPr>
          <w:p>
            <w:pPr>
              <w:pStyle w:val="97"/>
              <w:jc w:val="center"/>
              <w:spacing w:before="0" w:after="0" w:line="360" w:lineRule="exact"/>
              <w:ind w:firstLine="0" w:firstLineChars="0"/>
            </w:pPr>
            <w:r>
              <w:rPr>
                <w:rFonts w:ascii="Times New Roman" w:hAnsi="Times New Roman" w:eastAsia="仿宋_GB2312"/>
                <w:b/>
                <w:sz w:val="24"/>
              </w:rPr>
              <w:t>研究范围</w:t>
            </w:r>
          </w:p>
        </w:tc>
        <w:tc>
          <w:tcPr>
            <w:tcW w:type="dxa" w:w="2771"/>
            <w:vAlign w:val="center"/>
          </w:tcPr>
          <w:p>
            <w:pPr>
              <w:pStyle w:val="97"/>
              <w:jc w:val="center"/>
              <w:spacing w:before="0" w:after="0" w:line="360" w:lineRule="exact"/>
              <w:ind w:firstLine="0" w:firstLineChars="0"/>
            </w:pPr>
            <w:r>
              <w:rPr>
                <w:rFonts w:ascii="Times New Roman" w:hAnsi="Times New Roman" w:eastAsia="仿宋_GB2312"/>
                <w:b/>
                <w:sz w:val="24"/>
              </w:rPr>
              <w:t>主要限制</w:t>
            </w:r>
          </w:p>
        </w:tc>
      </w:tr>
      <w:tr>
        <w:trPr>
          <w:cantSplit/>
        </w:trPr>
        <w:tc>
          <w:tcPr>
            <w:tcW w:type="dxa" w:w="2771"/>
            <w:vAlign w:val="center"/>
          </w:tcPr>
          <w:p>
            <w:pPr>
              <w:pStyle w:val="97"/>
              <w:jc w:val="left"/>
              <w:spacing w:before="0" w:after="0" w:line="360" w:lineRule="exact"/>
              <w:ind w:firstLine="0" w:firstLineChars="0"/>
            </w:pPr>
            <w:r>
              <w:rPr>
                <w:rFonts w:ascii="Times New Roman" w:hAnsi="Times New Roman" w:eastAsia="仿宋_GB2312"/>
                <w:b w:val="0"/>
                <w:sz w:val="24"/>
              </w:rPr>
              <w:t>空间范围</w:t>
            </w:r>
          </w:p>
        </w:tc>
        <w:tc>
          <w:tcPr>
            <w:tcW w:type="dxa" w:w="2771"/>
            <w:vAlign w:val="center"/>
          </w:tcPr>
          <w:p>
            <w:pPr>
              <w:pStyle w:val="97"/>
              <w:jc w:val="center"/>
              <w:spacing w:before="0" w:after="0" w:line="360" w:lineRule="exact"/>
              <w:ind w:firstLine="0" w:firstLineChars="0"/>
            </w:pPr>
            <w:r>
              <w:rPr>
                <w:rFonts w:ascii="Times New Roman" w:hAnsi="Times New Roman" w:eastAsia="仿宋_GB2312"/>
                <w:b w:val="0"/>
                <w:sz w:val="24"/>
              </w:rPr>
              <w:t>徐州八片区及数据条件完整的典型片区</w:t>
            </w:r>
          </w:p>
        </w:tc>
        <w:tc>
          <w:tcPr>
            <w:tcW w:type="dxa" w:w="2771"/>
            <w:vAlign w:val="center"/>
          </w:tcPr>
          <w:p>
            <w:pPr>
              <w:pStyle w:val="97"/>
              <w:jc w:val="center"/>
              <w:spacing w:before="0" w:after="0" w:line="360" w:lineRule="exact"/>
              <w:ind w:firstLine="0" w:firstLineChars="0"/>
            </w:pPr>
            <w:r>
              <w:rPr>
                <w:rFonts w:ascii="Times New Roman" w:hAnsi="Times New Roman" w:eastAsia="仿宋_GB2312"/>
                <w:b w:val="0"/>
                <w:sz w:val="24"/>
              </w:rPr>
              <w:t>正式统计采用项目统一片区边界</w:t>
            </w:r>
          </w:p>
        </w:tc>
      </w:tr>
      <w:tr>
        <w:trPr>
          <w:cantSplit/>
        </w:trPr>
        <w:tc>
          <w:tcPr>
            <w:tcW w:type="dxa" w:w="2771"/>
            <w:vAlign w:val="center"/>
          </w:tcPr>
          <w:p>
            <w:pPr>
              <w:pStyle w:val="97"/>
              <w:jc w:val="left"/>
              <w:spacing w:before="0" w:after="0" w:line="360" w:lineRule="exact"/>
              <w:ind w:firstLine="0" w:firstLineChars="0"/>
            </w:pPr>
            <w:r>
              <w:rPr>
                <w:rFonts w:ascii="Times New Roman" w:hAnsi="Times New Roman" w:eastAsia="仿宋_GB2312"/>
                <w:b w:val="0"/>
                <w:sz w:val="24"/>
              </w:rPr>
              <w:t>电压范围</w:t>
            </w:r>
          </w:p>
        </w:tc>
        <w:tc>
          <w:tcPr>
            <w:tcW w:type="dxa" w:w="2771"/>
            <w:vAlign w:val="center"/>
          </w:tcPr>
          <w:p>
            <w:pPr>
              <w:pStyle w:val="97"/>
              <w:jc w:val="center"/>
              <w:spacing w:before="0" w:after="0" w:line="360" w:lineRule="exact"/>
              <w:ind w:firstLine="0" w:firstLineChars="0"/>
            </w:pPr>
            <w:r>
              <w:rPr>
                <w:rFonts w:ascii="Times New Roman" w:hAnsi="Times New Roman" w:eastAsia="仿宋_GB2312"/>
                <w:b w:val="0"/>
                <w:sz w:val="24"/>
              </w:rPr>
              <w:t>110 kV 正式分析、35 kV 辅助分析</w:t>
            </w:r>
          </w:p>
        </w:tc>
        <w:tc>
          <w:tcPr>
            <w:tcW w:type="dxa" w:w="2771"/>
            <w:vAlign w:val="center"/>
          </w:tcPr>
          <w:p>
            <w:pPr>
              <w:pStyle w:val="97"/>
              <w:jc w:val="center"/>
              <w:spacing w:before="0" w:after="0" w:line="360" w:lineRule="exact"/>
              <w:ind w:firstLine="0" w:firstLineChars="0"/>
            </w:pPr>
            <w:r>
              <w:rPr>
                <w:rFonts w:ascii="Times New Roman" w:hAnsi="Times New Roman" w:eastAsia="仿宋_GB2312"/>
                <w:b w:val="0"/>
                <w:sz w:val="24"/>
              </w:rPr>
              <w:t>两个电压等级分开计算和输出</w:t>
            </w:r>
          </w:p>
        </w:tc>
      </w:tr>
      <w:tr>
        <w:trPr>
          <w:cantSplit/>
        </w:trPr>
        <w:tc>
          <w:tcPr>
            <w:tcW w:type="dxa" w:w="2771"/>
            <w:vAlign w:val="center"/>
          </w:tcPr>
          <w:p>
            <w:pPr>
              <w:pStyle w:val="97"/>
              <w:jc w:val="left"/>
              <w:spacing w:before="0" w:after="0" w:line="360" w:lineRule="exact"/>
              <w:ind w:firstLine="0" w:firstLineChars="0"/>
            </w:pPr>
            <w:r>
              <w:rPr>
                <w:rFonts w:ascii="Times New Roman" w:hAnsi="Times New Roman" w:eastAsia="仿宋_GB2312"/>
                <w:b w:val="0"/>
                <w:sz w:val="24"/>
              </w:rPr>
              <w:t>时间范围</w:t>
            </w:r>
          </w:p>
        </w:tc>
        <w:tc>
          <w:tcPr>
            <w:tcW w:type="dxa" w:w="2771"/>
            <w:vAlign w:val="center"/>
          </w:tcPr>
          <w:p>
            <w:pPr>
              <w:pStyle w:val="97"/>
              <w:jc w:val="center"/>
              <w:spacing w:before="0" w:after="0" w:line="360" w:lineRule="exact"/>
              <w:ind w:firstLine="0" w:firstLineChars="0"/>
            </w:pPr>
            <w:r>
              <w:rPr>
                <w:rFonts w:ascii="Times New Roman" w:hAnsi="Times New Roman" w:eastAsia="仿宋_GB2312"/>
                <w:b w:val="0"/>
                <w:sz w:val="24"/>
              </w:rPr>
              <w:t>2021 年共同基准，2022—2025 年决策期</w:t>
            </w:r>
          </w:p>
        </w:tc>
        <w:tc>
          <w:tcPr>
            <w:tcW w:type="dxa" w:w="2771"/>
            <w:vAlign w:val="center"/>
          </w:tcPr>
          <w:p>
            <w:pPr>
              <w:pStyle w:val="97"/>
              <w:jc w:val="center"/>
              <w:spacing w:before="0" w:after="0" w:line="360" w:lineRule="exact"/>
              <w:ind w:firstLine="0" w:firstLineChars="0"/>
            </w:pPr>
            <w:r>
              <w:rPr>
                <w:rFonts w:ascii="Times New Roman" w:hAnsi="Times New Roman" w:eastAsia="仿宋_GB2312"/>
                <w:b w:val="0"/>
                <w:sz w:val="24"/>
              </w:rPr>
              <w:t>2021 年既有资产为共同沉没成本</w:t>
            </w:r>
          </w:p>
        </w:tc>
      </w:tr>
      <w:tr>
        <w:trPr>
          <w:cantSplit/>
        </w:trPr>
        <w:tc>
          <w:tcPr>
            <w:tcW w:type="dxa" w:w="2771"/>
            <w:vAlign w:val="center"/>
          </w:tcPr>
          <w:p>
            <w:pPr>
              <w:pStyle w:val="97"/>
              <w:jc w:val="left"/>
              <w:spacing w:before="0" w:after="0" w:line="360" w:lineRule="exact"/>
              <w:ind w:firstLine="0" w:firstLineChars="0"/>
            </w:pPr>
            <w:r>
              <w:rPr>
                <w:rFonts w:ascii="Times New Roman" w:hAnsi="Times New Roman" w:eastAsia="仿宋_GB2312"/>
                <w:b w:val="0"/>
                <w:sz w:val="24"/>
              </w:rPr>
              <w:t>运行指标</w:t>
            </w:r>
          </w:p>
        </w:tc>
        <w:tc>
          <w:tcPr>
            <w:tcW w:type="dxa" w:w="2771"/>
            <w:vAlign w:val="center"/>
          </w:tcPr>
          <w:p>
            <w:pPr>
              <w:pStyle w:val="97"/>
              <w:jc w:val="center"/>
              <w:spacing w:before="0" w:after="0" w:line="360" w:lineRule="exact"/>
              <w:ind w:firstLine="0" w:firstLineChars="0"/>
            </w:pPr>
            <w:r>
              <w:rPr>
                <w:rFonts w:ascii="Times New Roman" w:hAnsi="Times New Roman" w:eastAsia="仿宋_GB2312"/>
                <w:b w:val="0"/>
                <w:sz w:val="24"/>
              </w:rPr>
              <w:t>同步正向峰值、正式容载比、反向峰值、反向承载及缺口</w:t>
            </w:r>
          </w:p>
        </w:tc>
        <w:tc>
          <w:tcPr>
            <w:tcW w:type="dxa" w:w="2771"/>
            <w:vAlign w:val="center"/>
          </w:tcPr>
          <w:p>
            <w:pPr>
              <w:pStyle w:val="97"/>
              <w:jc w:val="center"/>
              <w:spacing w:before="0" w:after="0" w:line="360" w:lineRule="exact"/>
              <w:ind w:firstLine="0" w:firstLineChars="0"/>
            </w:pPr>
            <w:r>
              <w:rPr>
                <w:rFonts w:ascii="Times New Roman" w:hAnsi="Times New Roman" w:eastAsia="仿宋_GB2312"/>
                <w:b w:val="0"/>
                <w:sz w:val="24"/>
              </w:rPr>
              <w:t>正反向指标分列，不混用分母</w:t>
            </w:r>
          </w:p>
        </w:tc>
      </w:tr>
      <w:tr>
        <w:trPr>
          <w:cantSplit/>
        </w:trPr>
        <w:tc>
          <w:tcPr>
            <w:tcW w:type="dxa" w:w="2771"/>
            <w:vAlign w:val="center"/>
          </w:tcPr>
          <w:p>
            <w:pPr>
              <w:pStyle w:val="97"/>
              <w:jc w:val="left"/>
              <w:spacing w:before="0" w:after="0" w:line="360" w:lineRule="exact"/>
              <w:ind w:firstLine="0" w:firstLineChars="0"/>
            </w:pPr>
            <w:r>
              <w:rPr>
                <w:rFonts w:ascii="Times New Roman" w:hAnsi="Times New Roman" w:eastAsia="仿宋_GB2312"/>
                <w:b w:val="0"/>
                <w:sz w:val="24"/>
              </w:rPr>
              <w:t>措施范围</w:t>
            </w:r>
          </w:p>
        </w:tc>
        <w:tc>
          <w:tcPr>
            <w:tcW w:type="dxa" w:w="2771"/>
            <w:vAlign w:val="center"/>
          </w:tcPr>
          <w:p>
            <w:pPr>
              <w:pStyle w:val="97"/>
              <w:jc w:val="center"/>
              <w:spacing w:before="0" w:after="0" w:line="360" w:lineRule="exact"/>
              <w:ind w:firstLine="0" w:firstLineChars="0"/>
            </w:pPr>
            <w:r>
              <w:rPr>
                <w:rFonts w:ascii="Times New Roman" w:hAnsi="Times New Roman" w:eastAsia="仿宋_GB2312"/>
                <w:b w:val="0"/>
                <w:sz w:val="24"/>
              </w:rPr>
              <w:t>离散扩建、减容、替换、退役、储能及经批准的局部措施</w:t>
            </w:r>
          </w:p>
        </w:tc>
        <w:tc>
          <w:tcPr>
            <w:tcW w:type="dxa" w:w="2771"/>
            <w:vAlign w:val="center"/>
          </w:tcPr>
          <w:p>
            <w:pPr>
              <w:pStyle w:val="97"/>
              <w:jc w:val="center"/>
              <w:spacing w:before="0" w:after="0" w:line="360" w:lineRule="exact"/>
              <w:ind w:firstLine="0" w:firstLineChars="0"/>
            </w:pPr>
            <w:r>
              <w:rPr>
                <w:rFonts w:ascii="Times New Roman" w:hAnsi="Times New Roman" w:eastAsia="仿宋_GB2312"/>
                <w:b w:val="0"/>
                <w:sz w:val="24"/>
              </w:rPr>
              <w:t>措施必须可追溯并通过物理校核</w:t>
            </w:r>
          </w:p>
        </w:tc>
      </w:tr>
      <w:tr>
        <w:trPr>
          <w:cantSplit/>
        </w:trPr>
        <w:tc>
          <w:tcPr>
            <w:tcW w:type="dxa" w:w="2771"/>
            <w:vAlign w:val="center"/>
          </w:tcPr>
          <w:p>
            <w:pPr>
              <w:pStyle w:val="97"/>
              <w:jc w:val="left"/>
              <w:spacing w:before="0" w:after="0" w:line="360" w:lineRule="exact"/>
              <w:ind w:firstLine="0" w:firstLineChars="0"/>
            </w:pPr>
            <w:r>
              <w:rPr>
                <w:rFonts w:ascii="Times New Roman" w:hAnsi="Times New Roman" w:eastAsia="仿宋_GB2312"/>
                <w:b w:val="0"/>
                <w:sz w:val="24"/>
              </w:rPr>
              <w:t>网络分析</w:t>
            </w:r>
          </w:p>
        </w:tc>
        <w:tc>
          <w:tcPr>
            <w:tcW w:type="dxa" w:w="2771"/>
            <w:vAlign w:val="center"/>
          </w:tcPr>
          <w:p>
            <w:pPr>
              <w:pStyle w:val="97"/>
              <w:jc w:val="center"/>
              <w:spacing w:before="0" w:after="0" w:line="360" w:lineRule="exact"/>
              <w:ind w:firstLine="0" w:firstLineChars="0"/>
            </w:pPr>
            <w:r>
              <w:rPr>
                <w:rFonts w:ascii="Times New Roman" w:hAnsi="Times New Roman" w:eastAsia="仿宋_GB2312"/>
                <w:b w:val="0"/>
                <w:sz w:val="24"/>
              </w:rPr>
              <w:t>设备容量与内部 N-1 网络压力筛查</w:t>
            </w:r>
          </w:p>
        </w:tc>
        <w:tc>
          <w:tcPr>
            <w:tcW w:type="dxa" w:w="2771"/>
            <w:vAlign w:val="center"/>
          </w:tcPr>
          <w:p>
            <w:pPr>
              <w:pStyle w:val="97"/>
              <w:jc w:val="center"/>
              <w:spacing w:before="0" w:after="0" w:line="360" w:lineRule="exact"/>
              <w:ind w:firstLine="0" w:firstLineChars="0"/>
            </w:pPr>
            <w:r>
              <w:rPr>
                <w:rFonts w:ascii="Times New Roman" w:hAnsi="Times New Roman" w:eastAsia="仿宋_GB2312"/>
                <w:b w:val="0"/>
                <w:sz w:val="24"/>
              </w:rPr>
              <w:t>不宣称完成精确 AC/DC 潮流</w:t>
            </w:r>
          </w:p>
        </w:tc>
      </w:tr>
      <w:tr>
        <w:trPr>
          <w:cantSplit/>
        </w:trPr>
        <w:tc>
          <w:tcPr>
            <w:tcW w:type="dxa" w:w="2771"/>
            <w:vAlign w:val="center"/>
          </w:tcPr>
          <w:p>
            <w:pPr>
              <w:pStyle w:val="97"/>
              <w:jc w:val="left"/>
              <w:spacing w:before="0" w:after="0" w:line="360" w:lineRule="exact"/>
              <w:ind w:firstLine="0" w:firstLineChars="0"/>
            </w:pPr>
            <w:r>
              <w:rPr>
                <w:rFonts w:ascii="Times New Roman" w:hAnsi="Times New Roman" w:eastAsia="仿宋_GB2312"/>
                <w:b w:val="0"/>
                <w:sz w:val="24"/>
              </w:rPr>
              <w:t>经济评价</w:t>
            </w:r>
          </w:p>
        </w:tc>
        <w:tc>
          <w:tcPr>
            <w:tcW w:type="dxa" w:w="2771"/>
            <w:vAlign w:val="center"/>
          </w:tcPr>
          <w:p>
            <w:pPr>
              <w:pStyle w:val="97"/>
              <w:jc w:val="center"/>
              <w:spacing w:before="0" w:after="0" w:line="360" w:lineRule="exact"/>
              <w:ind w:firstLine="0" w:firstLineChars="0"/>
            </w:pPr>
            <w:r>
              <w:rPr>
                <w:rFonts w:ascii="Times New Roman" w:hAnsi="Times New Roman" w:eastAsia="仿宋_GB2312"/>
                <w:b w:val="0"/>
                <w:sz w:val="24"/>
              </w:rPr>
              <w:t>2022—2025 年累计年化成本</w:t>
            </w:r>
          </w:p>
        </w:tc>
        <w:tc>
          <w:tcPr>
            <w:tcW w:type="dxa" w:w="2771"/>
            <w:vAlign w:val="center"/>
          </w:tcPr>
          <w:p>
            <w:pPr>
              <w:pStyle w:val="97"/>
              <w:jc w:val="center"/>
              <w:spacing w:before="0" w:after="0" w:line="360" w:lineRule="exact"/>
              <w:ind w:firstLine="0" w:firstLineChars="0"/>
            </w:pPr>
            <w:r>
              <w:rPr>
                <w:rFonts w:ascii="Times New Roman" w:hAnsi="Times New Roman" w:eastAsia="仿宋_GB2312"/>
                <w:b w:val="0"/>
                <w:sz w:val="24"/>
              </w:rPr>
              <w:t>统一采用 2025 年价格，未知成本不写 0</w:t>
            </w:r>
          </w:p>
        </w:tc>
      </w:tr>
    </w:tbl>
    <w:p>
      <w:pPr>
        <w:pStyle w:val="3"/>
        <w:pageBreakBefore w:val="0"/>
        <w:jc w:val="left"/>
      </w:pPr>
      <w:bookmarkStart w:id="4" w:name="_TocReport0004"/>
      <w:r>
        <w:rPr>
          <w:rFonts w:ascii="Times New Roman" w:hAnsi="Times New Roman" w:eastAsia="仿宋_GB2312"/>
          <w:b/>
          <w:sz w:val="28"/>
        </w:rPr>
        <w:t>1.3 研究目标与内容</w:t>
      </w:r>
      <w:bookmarkEnd w:id="4"/>
    </w:p>
    <w:p>
      <w:pPr>
        <w:spacing w:before="0" w:after="0" w:line="560" w:lineRule="exact"/>
        <w:jc w:val="both"/>
        <w:ind w:firstLineChars="200" w:firstLine="200"/>
      </w:pPr>
      <w:r>
        <w:rPr>
          <w:rFonts w:ascii="Times New Roman" w:hAnsi="Times New Roman" w:eastAsia="仿宋_GB2312"/>
          <w:b w:val="0"/>
          <w:sz w:val="28"/>
        </w:rPr>
        <w:t>本研究的总体目标是：依托徐州 2021—2025 年年度状态和可用逐时运行数据，构建能够同时反映正向容量配置、反向承载约束和多年建设成本的规划分析框架，比较严格控制容载比与允许容载比在物理可行范围内弹性变化的经济技术差异，为不同片区形成差异化容载比建议和配套措施提供依据。</w:t>
      </w:r>
    </w:p>
    <w:p>
      <w:pPr>
        <w:spacing w:before="0" w:after="0" w:line="560" w:lineRule="exact"/>
        <w:jc w:val="both"/>
        <w:ind w:firstLineChars="200" w:firstLine="200"/>
      </w:pPr>
      <w:r>
        <w:rPr>
          <w:rFonts w:ascii="Times New Roman" w:hAnsi="Times New Roman" w:eastAsia="仿宋_GB2312"/>
          <w:b w:val="0"/>
          <w:sz w:val="28"/>
        </w:rPr>
        <w:t>围绕总体目标，设置以下四项具体目标。</w:t>
      </w:r>
    </w:p>
    <w:p>
      <w:pPr>
        <w:spacing w:before="0" w:after="0" w:line="560" w:lineRule="exact"/>
        <w:jc w:val="both"/>
        <w:ind w:firstLineChars="200" w:firstLine="200"/>
      </w:pPr>
      <w:r>
        <w:rPr>
          <w:rFonts w:ascii="Times New Roman" w:hAnsi="Times New Roman" w:eastAsia="仿宋_GB2312"/>
          <w:b w:val="0"/>
          <w:sz w:val="28"/>
        </w:rPr>
        <w:t>第一，建立口径统一、来源可追溯的“新能源渗透水平—电网运行状态”数据库。数据库覆盖片区、站点、主变、线路和光伏等基础对象，连接年度容量与同步峰值、逐时净负荷、设备运行方向、资产范围、数据质量和证据等级，为指标计算与模型输入提供统一数据基础。</w:t>
      </w:r>
    </w:p>
    <w:p>
      <w:pPr>
        <w:spacing w:before="0" w:after="0" w:line="560" w:lineRule="exact"/>
        <w:jc w:val="both"/>
        <w:ind w:firstLineChars="200" w:firstLine="200"/>
      </w:pPr>
      <w:r>
        <w:rPr>
          <w:rFonts w:ascii="Times New Roman" w:hAnsi="Times New Roman" w:eastAsia="仿宋_GB2312"/>
          <w:b w:val="0"/>
          <w:sz w:val="28"/>
        </w:rPr>
        <w:t>第二，识别高渗透率地区主变多工况运行特征。通过年度基准数据和逐时数据，分别分析正向供电、低负荷、反向送电及正反向转换工况，揭示源荷变化对同步正向峰值、正式容载比、反向功率和设备承载的不同作用，避免以单一峰值或单一指标概括复杂运行状态。</w:t>
      </w:r>
    </w:p>
    <w:p>
      <w:pPr>
        <w:spacing w:before="0" w:after="0" w:line="560" w:lineRule="exact"/>
        <w:jc w:val="both"/>
        <w:ind w:firstLineChars="200" w:firstLine="200"/>
      </w:pPr>
      <w:r>
        <w:rPr>
          <w:rFonts w:ascii="Times New Roman" w:hAnsi="Times New Roman" w:eastAsia="仿宋_GB2312"/>
          <w:b w:val="0"/>
          <w:sz w:val="28"/>
        </w:rPr>
        <w:t>第三，构建统一口径的多年方案比较方法。研究设置实际发展情况、弹性优化方案和严格优化方案三类正式方案。实际发展情况用于描述 2021—2025 年已发生的资产和运行事实，不参与最优排名；两条优化方案均从 2021 年实际在役资产起步，在物理约束、候选措施和成本边界内寻求累计年化成本最小。严格优化方案不追溯改造存量容量，自 2022 年起仅对 110 kV 规划期新增容量施加容载比不超过 2.0 的政策控制。两个方案在同一实际资产基线上表征不同规划规则的演进成本；容载比上限弹性扫描用于识别控制要求开始释放经济代价的阈值。以 2×P2021 构造的状态不进入正式规划基线。</w:t>
      </w:r>
    </w:p>
    <w:p>
      <w:pPr>
        <w:spacing w:before="0" w:after="0" w:line="560" w:lineRule="exact"/>
        <w:jc w:val="both"/>
        <w:ind w:firstLineChars="200" w:firstLine="200"/>
      </w:pPr>
      <w:r>
        <w:rPr>
          <w:rFonts w:ascii="Times New Roman" w:hAnsi="Times New Roman" w:eastAsia="仿宋_GB2312"/>
          <w:b w:val="0"/>
          <w:sz w:val="28"/>
        </w:rPr>
        <w:t>第四，形成差异化规划分析基础。在满足正向容量、反向承载、运行方式和网络压力等约束的前提下，综合年度运行轨迹、措施组合和敏感性分析结果，提炼不同片区的主要矛盾，形成容载比推荐区间及配套技术措施的证据基础。推荐区间不机械取若干年度独立最优值的最小值和最大值，而应来自弹性优化方案的成本最小可行结果、容载比上限弹性扫描前沿近优带及其经验证的敏感性结果。</w:t>
      </w:r>
    </w:p>
    <w:p>
      <w:pPr>
        <w:spacing w:before="0" w:after="0" w:line="560" w:lineRule="exact"/>
        <w:jc w:val="both"/>
        <w:ind w:firstLineChars="200" w:firstLine="200"/>
      </w:pPr>
      <w:r>
        <w:rPr>
          <w:rFonts w:ascii="Times New Roman" w:hAnsi="Times New Roman" w:eastAsia="仿宋_GB2312"/>
          <w:b w:val="0"/>
          <w:sz w:val="28"/>
        </w:rPr>
        <w:t>按照开题报告确定的目录，本研究报告共分七章。第一章阐述研究背景、研究边界、研究目标和技术路线；第二章梳理国内外研究进展并界定核心概念；第三章分析徐州典型地区新能源与负荷发展、主变多工况运行特征和指标关联，构建基础数据库；第四章建立基于实际工程的电网建设成本模型；第五章结合模型结果提出“一片一策”规划建议；第六章开展典型案例验证；第七章形成结论与展望。</w:t>
      </w:r>
    </w:p>
    <w:p>
      <w:pPr>
        <w:pStyle w:val="3"/>
        <w:pageBreakBefore w:val="0"/>
        <w:jc w:val="left"/>
      </w:pPr>
      <w:bookmarkStart w:id="5" w:name="_TocReport0005"/>
      <w:r>
        <w:rPr>
          <w:rFonts w:ascii="Times New Roman" w:hAnsi="Times New Roman" w:eastAsia="仿宋_GB2312"/>
          <w:b/>
          <w:sz w:val="28"/>
        </w:rPr>
        <w:t>1.4 研究方法与技术路线</w:t>
      </w:r>
      <w:bookmarkEnd w:id="5"/>
    </w:p>
    <w:p>
      <w:pPr>
        <w:spacing w:before="0" w:after="0" w:line="560" w:lineRule="exact"/>
        <w:jc w:val="both"/>
        <w:ind w:firstLineChars="200" w:firstLine="200"/>
      </w:pPr>
      <w:r>
        <w:rPr>
          <w:rFonts w:ascii="Times New Roman" w:hAnsi="Times New Roman" w:eastAsia="仿宋_GB2312"/>
          <w:b w:val="0"/>
          <w:sz w:val="28"/>
        </w:rPr>
        <w:t>本研究综合采用规范分析、数据标准化、时序统计、物理约束校核、多年度方案优化和工程经济评价等方法。各方法并非相互独立，而是围绕“数据可追溯—指标可解释—约束可验证—成本可比较”逐层衔接。</w:t>
      </w:r>
    </w:p>
    <w:p>
      <w:pPr>
        <w:spacing w:before="0" w:after="0" w:line="560" w:lineRule="exact"/>
        <w:jc w:val="both"/>
        <w:ind w:firstLineChars="200" w:firstLine="200"/>
      </w:pPr>
      <w:r>
        <w:rPr>
          <w:rFonts w:ascii="Times New Roman" w:hAnsi="Times New Roman" w:eastAsia="仿宋_GB2312"/>
          <w:b w:val="0"/>
          <w:sz w:val="28"/>
        </w:rPr>
        <w:t>（1）规范分析法。系统梳理新型电力系统、配电网高质量发展、分布式光伏管理以及配电网规划设计等政策和标准，明确容载比、承载力、供电安全和电压层级的适用范围。对于标准推荐值、项目比较约束和设备物理红线分别表述，避免将推荐区间等同于普遍强制边界。</w:t>
      </w:r>
    </w:p>
    <w:p>
      <w:pPr>
        <w:spacing w:before="0" w:after="0" w:line="560" w:lineRule="exact"/>
        <w:jc w:val="both"/>
        <w:ind w:firstLineChars="200" w:firstLine="200"/>
      </w:pPr>
      <w:r>
        <w:rPr>
          <w:rFonts w:ascii="Times New Roman" w:hAnsi="Times New Roman" w:eastAsia="仿宋_GB2312"/>
          <w:b w:val="0"/>
          <w:sz w:val="28"/>
        </w:rPr>
        <w:t>（2）数据标准化与证据追溯法。对片区、站点、主变、线路、光伏和工程措施建立唯一对象关系，按年度状态和逐时运行两类时间粒度组织数据。派生数据保留来源、版本、转换规则、场景和质量标记，对映射冲突、异常值、年度范围差异和跨年快照分别记录处理规则，使报告中的统计结果能够追溯到精确数据源。</w:t>
      </w:r>
    </w:p>
    <w:p>
      <w:pPr>
        <w:spacing w:before="0" w:after="0" w:line="560" w:lineRule="exact"/>
        <w:jc w:val="both"/>
        <w:ind w:firstLineChars="200" w:firstLine="200"/>
      </w:pPr>
      <w:r>
        <w:rPr>
          <w:rFonts w:ascii="Times New Roman" w:hAnsi="Times New Roman" w:eastAsia="仿宋_GB2312"/>
          <w:b w:val="0"/>
          <w:sz w:val="28"/>
        </w:rPr>
        <w:t>（3）同步时序统计法。对同一片区、同一电压等级、同一时刻的主变净负荷进行同步聚合，在此基础上计算年度正向最大净负荷和正式容载比；同时单列反向峰值、反向持续时间和负载率分布。该方法避免把不同站点在不同时刻出现的静态极值相加后冒充片区同步峰值。</w:t>
      </w:r>
    </w:p>
    <w:p>
      <w:pPr>
        <w:spacing w:before="0" w:after="0" w:line="560" w:lineRule="exact"/>
        <w:jc w:val="both"/>
        <w:ind w:firstLineChars="200" w:firstLine="200"/>
      </w:pPr>
      <w:r>
        <w:rPr>
          <w:rFonts w:ascii="Times New Roman" w:hAnsi="Times New Roman" w:eastAsia="仿宋_GB2312"/>
          <w:b w:val="0"/>
          <w:sz w:val="28"/>
        </w:rPr>
        <w:t>（4）设备级正反向缺口分析法。正向侧依据主变容量、运行方式和负荷峰值判断容量缺口；反向侧依据单台、分列或并列组的设备条件计算反向承载能力。容量缺口与反向承载缺口分别形成措施触发原因。减容、扩容、替换和储能等候选措施在实施后重新进行正向、反向和网络压力检查。</w:t>
      </w:r>
    </w:p>
    <w:p>
      <w:pPr>
        <w:spacing w:before="0" w:after="0" w:line="560" w:lineRule="exact"/>
        <w:jc w:val="both"/>
        <w:ind w:firstLineChars="200" w:firstLine="200"/>
      </w:pPr>
      <w:r>
        <w:rPr>
          <w:rFonts w:ascii="Times New Roman" w:hAnsi="Times New Roman" w:eastAsia="仿宋_GB2312"/>
          <w:b w:val="0"/>
          <w:sz w:val="28"/>
        </w:rPr>
        <w:t>（5）多年度方案比较法。以 2021 年实际在役资产为共同起点，对 2022—2025 年逐年决策和在役状态进行连续追踪。弹性优化方案与严格优化方案采用相同的候选、物理约束、成本库和求解精度；严格优化方案不重构既有资产，只对规划期新增容量执行 110 kV 容载比控制。两条优化方案具有相同的实际资产基线，因而在两者均可行时可以直接比较累计在役等效年成本；容载比上限弹性扫描进一步识别收紧控制要求的经济释放阈值。以 2×P2021 构造的标准化状态仅用于反事实或敏感性分析，不作为正式规划起点。</w:t>
      </w:r>
    </w:p>
    <w:p>
      <w:pPr>
        <w:spacing w:before="0" w:after="0" w:line="560" w:lineRule="exact"/>
        <w:jc w:val="both"/>
        <w:ind w:firstLineChars="200" w:firstLine="200"/>
      </w:pPr>
      <w:r>
        <w:rPr>
          <w:rFonts w:ascii="Times New Roman" w:hAnsi="Times New Roman" w:eastAsia="仿宋_GB2312"/>
          <w:b w:val="0"/>
          <w:sz w:val="28"/>
        </w:rPr>
        <w:t>（6）工程经济评价法。将离散工程措施按统一 2025 年价格计价，根据投运年份折算其在决策期内的在役等效年成本，同时输出年度投资、年度在役等效年成本、累计投资和累计年化成本。经济评价不以缺少证据的项目填补成本项，也不把共同基准资产重复计入增量成本。</w:t>
      </w:r>
    </w:p>
    <w:p>
      <w:pPr>
        <w:spacing w:before="0" w:after="0" w:line="560" w:lineRule="exact"/>
        <w:jc w:val="both"/>
        <w:ind w:firstLineChars="200" w:firstLine="200"/>
      </w:pPr>
      <w:r>
        <w:rPr>
          <w:rFonts w:ascii="Times New Roman" w:hAnsi="Times New Roman" w:eastAsia="仿宋_GB2312"/>
          <w:b w:val="0"/>
          <w:sz w:val="28"/>
        </w:rPr>
        <w:t>（7）敏感性与案例验证法。在正式结果基础上，对关键成本、源荷情景、时长参数和措施边界开展敏感性分析，判断推荐区间对主要假设的稳定程度。具备完整映射和候选条件的局部 10 kV 联络案例独立接入、独立审批、独立验证，不具备条件的对象保留为问题台账，不据此阻断其他片区研究。</w:t>
      </w:r>
    </w:p>
    <w:p>
      <w:pPr>
        <w:spacing w:before="0" w:after="0" w:line="560" w:lineRule="exact"/>
        <w:jc w:val="both"/>
        <w:ind w:firstLineChars="200" w:firstLine="200"/>
      </w:pPr>
      <w:r>
        <w:rPr>
          <w:rFonts w:ascii="Times New Roman" w:hAnsi="Times New Roman" w:eastAsia="仿宋_GB2312"/>
          <w:b w:val="0"/>
          <w:sz w:val="28"/>
        </w:rPr>
        <w:t>本研究技术路线如图 1-1 所示。研究从规范、数据和证据准备起步，在识别片区年度状态和典型片区多工况运行特征后，校核正向容量、反向承载和网络压力，并据此形成可追溯的离散措施候选。多年度方案比较采用统一成本口径，推荐结论还需经过敏感性分析和典型案例验证。</w:t>
      </w:r>
    </w:p>
    <w:p>
      <w:pPr>
        <w:pStyle w:val="38"/>
        <w:jc w:val="center"/>
        <w:ind w:firstLine="0" w:firstLineChars="0"/>
      </w:pPr>
      <w:r>
        <w:drawing>
          <wp:inline xmlns:a="http://schemas.openxmlformats.org/drawingml/2006/main" xmlns:pic="http://schemas.openxmlformats.org/drawingml/2006/picture">
            <wp:extent cx="4968000" cy="2837639"/>
            <wp:docPr id="1" name="Picture 1"/>
            <wp:cNvGraphicFramePr>
              <a:graphicFrameLocks noChangeAspect="1"/>
            </wp:cNvGraphicFramePr>
            <a:graphic>
              <a:graphicData uri="http://schemas.openxmlformats.org/drawingml/2006/picture">
                <pic:pic>
                  <pic:nvPicPr>
                    <pic:cNvPr id="0" name="图1-1_研究技术路线.png"/>
                    <pic:cNvPicPr/>
                  </pic:nvPicPr>
                  <pic:blipFill>
                    <a:blip r:embed="rId13"/>
                    <a:stretch>
                      <a:fillRect/>
                    </a:stretch>
                  </pic:blipFill>
                  <pic:spPr>
                    <a:xfrm>
                      <a:off x="0" y="0"/>
                      <a:ext cx="4968000" cy="2837639"/>
                    </a:xfrm>
                    <a:prstGeom prst="rect"/>
                  </pic:spPr>
                </pic:pic>
              </a:graphicData>
            </a:graphic>
          </wp:inline>
        </w:drawing>
      </w:r>
    </w:p>
    <w:p>
      <w:pPr>
        <w:pStyle w:val="12"/>
        <w:keepNext w:val="0"/>
        <w:spacing w:before="0" w:after="120" w:line="400" w:lineRule="exact"/>
        <w:jc w:val="center"/>
        <w:ind w:firstLine="0" w:firstLineChars="0"/>
      </w:pPr>
      <w:r>
        <w:rPr>
          <w:rFonts w:ascii="Times New Roman" w:hAnsi="Times New Roman" w:eastAsia="仿宋_GB2312"/>
          <w:b w:val="0"/>
          <w:sz w:val="24"/>
        </w:rPr>
        <w:t>图 1-1 研究技术路线</w:t>
      </w:r>
    </w:p>
    <w:p>
      <w:pPr>
        <w:spacing w:before="0" w:after="0" w:line="560" w:lineRule="exact"/>
        <w:jc w:val="both"/>
        <w:ind w:firstLineChars="200" w:firstLine="200"/>
      </w:pPr>
      <w:r>
        <w:rPr>
          <w:rFonts w:ascii="Times New Roman" w:hAnsi="Times New Roman" w:eastAsia="仿宋_GB2312"/>
          <w:b w:val="0"/>
          <w:sz w:val="28"/>
        </w:rPr>
        <w:t>这一路线将正式容载比限定为正向容量配置指标，将反向承载力作为独立物理约束，并通过同口径方案比较把安全要求与经济代价联系起来。第二章梳理相关研究进展和理论依据，第三章说明徐州实际数据呈现的运行特征及数据库构建方法。</w:t>
      </w:r>
    </w:p>
    <w:p>
      <w:pPr>
        <w:pStyle w:val="2"/>
        <w:pageBreakBefore/>
        <w:jc w:val="left"/>
      </w:pPr>
      <w:bookmarkStart w:id="6" w:name="_TocReport0006"/>
      <w:r>
        <w:rPr>
          <w:rFonts w:ascii="Times New Roman" w:hAnsi="Times New Roman" w:eastAsia="仿宋_GB2312"/>
          <w:b/>
          <w:sz w:val="36"/>
        </w:rPr>
        <w:t>第二章 文献综述与理论基础</w:t>
      </w:r>
      <w:bookmarkEnd w:id="6"/>
    </w:p>
    <w:p>
      <w:pPr>
        <w:pStyle w:val="3"/>
        <w:pageBreakBefore w:val="0"/>
        <w:jc w:val="left"/>
      </w:pPr>
      <w:bookmarkStart w:id="7" w:name="_TocReport0007"/>
      <w:r>
        <w:rPr>
          <w:rFonts w:ascii="Times New Roman" w:hAnsi="Times New Roman" w:eastAsia="仿宋_GB2312"/>
          <w:b/>
          <w:sz w:val="28"/>
        </w:rPr>
        <w:t>2.1 国内外研究现状</w:t>
      </w:r>
      <w:bookmarkEnd w:id="7"/>
    </w:p>
    <w:p>
      <w:pPr>
        <w:spacing w:before="0" w:after="0" w:line="560" w:lineRule="exact"/>
        <w:jc w:val="both"/>
        <w:ind w:firstLineChars="200" w:firstLine="200"/>
      </w:pPr>
      <w:r>
        <w:rPr>
          <w:rFonts w:ascii="Times New Roman" w:hAnsi="Times New Roman" w:eastAsia="仿宋_GB2312"/>
          <w:b w:val="0"/>
          <w:sz w:val="28"/>
        </w:rPr>
        <w:t>容载比、最大供电能力和分布式电源承载力分别描述容量配置、供电能力和新能源接纳边界。分布式光伏接入规模增加以后，相关研究由静态断面逐步延伸至时序运行、不确定性评估、灵活资源配置和全寿命周期经济比较。受电网结构、规划制度和指标体系差异影响，国外文献主要围绕 Hosting Capacity、主动配电网和灵活性资源展开，国内研究则更重视容载比、最大供电能力、主配协同和工程规划评价。下文据此梳理两类研究脉络，并分析其对徐州 110 kV 电网的适用性。</w:t>
      </w:r>
    </w:p>
    <w:p>
      <w:pPr>
        <w:pStyle w:val="4"/>
        <w:pageBreakBefore w:val="0"/>
        <w:jc w:val="left"/>
      </w:pPr>
      <w:r>
        <w:rPr>
          <w:rFonts w:ascii="Times New Roman" w:hAnsi="Times New Roman" w:eastAsia="仿宋_GB2312"/>
          <w:b/>
          <w:sz w:val="28"/>
        </w:rPr>
        <w:t>2.1.1 国外研究现状</w:t>
      </w:r>
    </w:p>
    <w:p>
      <w:pPr>
        <w:spacing w:before="0" w:after="0" w:line="560" w:lineRule="exact"/>
        <w:jc w:val="both"/>
        <w:ind w:firstLineChars="200" w:firstLine="200"/>
      </w:pPr>
      <w:r>
        <w:rPr>
          <w:rFonts w:ascii="Times New Roman" w:hAnsi="Times New Roman" w:eastAsia="仿宋_GB2312"/>
          <w:b w:val="0"/>
          <w:sz w:val="28"/>
        </w:rPr>
        <w:t>国外对分布式电源接纳能力的研究通常以 Hosting Capacity 为核心，即在不违反设备容量、电压质量、保护配合和运行安全等约束的条件下，配电网能够接纳的分布式电源规模。早期研究多采用确定性最不利断面，通过逐步增加分布式电源容量识别首个越限约束。这种方法结构清晰、计算量相对较小，适合开展接入边界的初步判断，但其结果对负荷断面、光伏出力假设和接入位置较为敏感，难以充分反映新能源与负荷在时间上的非同步性。</w:t>
      </w:r>
    </w:p>
    <w:p>
      <w:pPr>
        <w:spacing w:before="0" w:after="0" w:line="560" w:lineRule="exact"/>
        <w:jc w:val="both"/>
        <w:ind w:firstLineChars="200" w:firstLine="200"/>
      </w:pPr>
      <w:r>
        <w:rPr>
          <w:rFonts w:ascii="Times New Roman" w:hAnsi="Times New Roman" w:eastAsia="仿宋_GB2312"/>
          <w:b w:val="0"/>
          <w:sz w:val="28"/>
        </w:rPr>
        <w:t>随着智能量测和时序数据条件改善，承载力研究逐步转向多时段和不确定性分析。Lin 等在考虑源荷不确定性和主动管理的条件下计算配电网光伏承载力，说明有载调压、无功调节和主动功率控制等措施能够改变原有静态承载边界[7]。Chen 等将源荷不确定性纳入光伏承载力评估，强调不同随机场景对电压和设备约束触发概率的影响[8]。Liu 等进一步综合多类不确定因素开展承载力评估，反映出由单一确定值向区间或风险水平表达的发展趋势[9]。这类研究的共同特点是把“可接入容量”视为与场景、控制方式和风险容忍程度相关的量，而不是脱离运行条件的固定常数。</w:t>
      </w:r>
    </w:p>
    <w:p>
      <w:pPr>
        <w:spacing w:before="0" w:after="0" w:line="560" w:lineRule="exact"/>
        <w:jc w:val="both"/>
        <w:ind w:firstLineChars="200" w:firstLine="200"/>
      </w:pPr>
      <w:r>
        <w:rPr>
          <w:rFonts w:ascii="Times New Roman" w:hAnsi="Times New Roman" w:eastAsia="仿宋_GB2312"/>
          <w:b w:val="0"/>
          <w:sz w:val="28"/>
        </w:rPr>
        <w:t>高渗透率光伏对配电设备和净负荷形态的影响，是国外研究的另一重点。Majeed 和 Nwulu 分析了光伏接入低压网络后反向功率对配电变压器的影响，指出反向潮流可能改变设备负载和热状态，传统只关注正向峰值的运行认知需要相应调整[10]。Hou 等提出高光伏渗透电力系统的概率“鸭形曲线”概念，揭示午间净负荷下凹和晚间爬坡压力在不同场景下的变化[11]。Xie 等针对光伏反向功率引起的过电压现象及抑制策略开展研究，说明反向功率、线路参数、电压调节和接入位置之间具有耦合关系[12]。上述成果表明，高渗透率场景下既要关注峰值大小，也要关注潮流方向、持续时间和快速转换；但这些研究多集中于中低压馈线或配电变压器层级，不能直接替代高压分区的变电容量规划分析。</w:t>
      </w:r>
    </w:p>
    <w:p>
      <w:pPr>
        <w:spacing w:before="0" w:after="0" w:line="560" w:lineRule="exact"/>
        <w:jc w:val="both"/>
        <w:ind w:firstLineChars="200" w:firstLine="200"/>
      </w:pPr>
      <w:r>
        <w:rPr>
          <w:rFonts w:ascii="Times New Roman" w:hAnsi="Times New Roman" w:eastAsia="仿宋_GB2312"/>
          <w:b w:val="0"/>
          <w:sz w:val="28"/>
        </w:rPr>
        <w:t>在提升承载力的措施方面，研究重点已由单一扩建逐步转向网架、储能、柔性互联和运行控制的协同。Wang 等提出柔性配电网多资源动态协同规划方法，通过统筹网络重构、柔性设备和分布式资源，提高系统在不同场景下的适应能力[13]。Martínez 等研究分布式电池储能在持续负荷增长情景下延缓配电网增容的作用，表明储能是否优于传统网架增强取决于负荷增长、利用时长和成本条件[14]。Holweger 等从经济性角度比较分布式灵活性和网络加固，指出灵活资源能够在部分场景中推迟建设，但其优势存在明显的参数适用范围[15]。Matthiss 等对高光伏配电网中的储能选址定容进行研究，进一步说明储能作用与局部光伏出力、负荷曲线及网络位置密切相关[16]。</w:t>
      </w:r>
    </w:p>
    <w:p>
      <w:pPr>
        <w:spacing w:before="0" w:after="0" w:line="560" w:lineRule="exact"/>
        <w:jc w:val="both"/>
        <w:ind w:firstLineChars="200" w:firstLine="200"/>
      </w:pPr>
      <w:r>
        <w:rPr>
          <w:rFonts w:ascii="Times New Roman" w:hAnsi="Times New Roman" w:eastAsia="仿宋_GB2312"/>
          <w:b w:val="0"/>
          <w:sz w:val="28"/>
        </w:rPr>
        <w:t>对本项目而言，规划措施的有效性必须结合时序功率和设备位置判断，储能功率、网络容量和柔性资源不能作为无条件替代的同质变量。网架与储能的比较还应采用一致的约束和成本基准，单个算例给出的经济阈值不宜直接移植到徐州工程。本项目进一步限定储能的作用范围：充电只吸收本时段已有的反向功率，放电只服务本地正向负荷，不考虑无约束能量套利。</w:t>
      </w:r>
    </w:p>
    <w:p>
      <w:pPr>
        <w:spacing w:before="0" w:after="0" w:line="560" w:lineRule="exact"/>
        <w:jc w:val="both"/>
        <w:ind w:firstLineChars="200" w:firstLine="200"/>
      </w:pPr>
      <w:r>
        <w:rPr>
          <w:rFonts w:ascii="Times New Roman" w:hAnsi="Times New Roman" w:eastAsia="仿宋_GB2312"/>
          <w:b w:val="0"/>
          <w:sz w:val="28"/>
        </w:rPr>
        <w:t>全寿命周期经济评价也逐渐成为国外配电网规划的重要组成部分。Xu 等将分布式储能的寿命周期成本纳入规划，体现了投资、寿命、运维和更换等因素对配置结果的共同影响[17]。Huang 等在新能源条件下研究变电站容量规划，说明容量选择需要统筹建设投资、供电需求和新能源作用[18]。Zeng 等采用经济寿命区间方法分析输电线路全寿命周期成本，强调评价年限、折现和更新规则对不同方案可比性的影响[19]。相较只比较初始投资，寿命周期方法更能反映建设时序和在役年限，但前提是各项成本具有统一的价格基准、明确的数据来源和一致的计算范围。</w:t>
      </w:r>
    </w:p>
    <w:p>
      <w:pPr>
        <w:spacing w:before="0" w:after="0" w:line="560" w:lineRule="exact"/>
        <w:jc w:val="both"/>
        <w:ind w:firstLineChars="200" w:firstLine="200"/>
      </w:pPr>
      <w:r>
        <w:rPr>
          <w:rFonts w:ascii="Times New Roman" w:hAnsi="Times New Roman" w:eastAsia="仿宋_GB2312"/>
          <w:b w:val="0"/>
          <w:sz w:val="28"/>
        </w:rPr>
        <w:t>国外研究已形成“承载边界评估—高渗透运行特征—灵活资源提升—寿命周期经济比较”的方法链条，时序、不确定性和多资源协同是其主要特点。多数研究对象仍是中低压馈线、配电变压器或标准测试系统，也缺少我国规划实践中常用的容载比指标。徐州 110 kV 电网可以借鉴其时序分析和同基准经济比较方法，但不宜直接套用具体阈值或算例结论。</w:t>
      </w:r>
    </w:p>
    <w:p>
      <w:pPr>
        <w:pStyle w:val="4"/>
        <w:pageBreakBefore w:val="0"/>
        <w:jc w:val="left"/>
      </w:pPr>
      <w:r>
        <w:rPr>
          <w:rFonts w:ascii="Times New Roman" w:hAnsi="Times New Roman" w:eastAsia="仿宋_GB2312"/>
          <w:b/>
          <w:sz w:val="28"/>
        </w:rPr>
        <w:t>2.1.2 国内研究现状</w:t>
      </w:r>
    </w:p>
    <w:p>
      <w:pPr>
        <w:spacing w:before="0" w:after="0" w:line="560" w:lineRule="exact"/>
        <w:jc w:val="both"/>
        <w:ind w:firstLineChars="200" w:firstLine="200"/>
      </w:pPr>
      <w:r>
        <w:rPr>
          <w:rFonts w:ascii="Times New Roman" w:hAnsi="Times New Roman" w:eastAsia="仿宋_GB2312"/>
          <w:b w:val="0"/>
          <w:sz w:val="28"/>
        </w:rPr>
        <w:t>国内配电网容量规划长期以容载比为重要宏观指标，并围绕网络结构、负荷增长和供电可靠性形成了较丰富的理论成果。肖峻等量化分析变电容载比与下一级中压配电网络之间的关系，指出中压联络和负载转移能力会影响上一级变电容量需求[20]。陈浩等研究多电压等级配电网最优容载比计算方法，将容量配置置于多层级技术经济关系中考察[21]。王凯亮等进一步讨论多电压等级电网协同规划下的容载比优化配置，反映出容载比取值由单一经验范围向多层级协调发展的趋势[22]。相关结论说明，容载比不能脱离下级网络结构和供电能力单独评价；数值相同的容载比，在不同网架条件下可能对应不同的安全裕度。</w:t>
      </w:r>
    </w:p>
    <w:p>
      <w:pPr>
        <w:spacing w:before="0" w:after="0" w:line="560" w:lineRule="exact"/>
        <w:jc w:val="both"/>
        <w:ind w:firstLineChars="200" w:firstLine="200"/>
      </w:pPr>
      <w:r>
        <w:rPr>
          <w:rFonts w:ascii="Times New Roman" w:hAnsi="Times New Roman" w:eastAsia="仿宋_GB2312"/>
          <w:b w:val="0"/>
          <w:sz w:val="28"/>
        </w:rPr>
        <w:t>在指标精细化方面，刘文霞等提出基于容载比色带的区域配电网充裕性分析方法，通过分区、分级表达容量配置状态，提高了宏观指标的辨识能力[23]。刘炜彬等面向精细化规划研究容载比参数优化，将地区发展、负荷特征和经济性纳入指标选取[24]。相关成果推动容载比由“单值判断”向“区间分析、分类应用”发展，为差异化规划提供了方法基础。但需要注意，区间或色带仍属于容量配置状态的表达方式，不能替代对设备过载、反向功率和电压问题的专项校核；不同研究给出的分级阈值也应结合其样本和适用条件使用。</w:t>
      </w:r>
    </w:p>
    <w:p>
      <w:pPr>
        <w:spacing w:before="0" w:after="0" w:line="560" w:lineRule="exact"/>
        <w:jc w:val="both"/>
        <w:ind w:firstLineChars="200" w:firstLine="200"/>
      </w:pPr>
      <w:r>
        <w:rPr>
          <w:rFonts w:ascii="Times New Roman" w:hAnsi="Times New Roman" w:eastAsia="仿宋_GB2312"/>
          <w:b w:val="0"/>
          <w:sz w:val="28"/>
        </w:rPr>
        <w:t>最大供电能力研究从网络拓扑和 N-1 安全约束出发，补充了容载比难以直接表达实际转供能力的不足。马雨欣、林凌雪提出面向精准规划的最大供电能力评估方法，并将分布式电源场景纳入供电能力计算[25]。这类研究关注的是在给定网络结构、运行方式和安全约束下可以持续供应的最大负荷，其结果与线路容量、站间联络、主变组合和负载均衡程度密切相关。对高压分区而言，TSC 和网络转供能力能够解释“容量相同但供电能力不同”的原因，也能为判断局部减容或扩建是否会加大网络压力提供辅助依据。</w:t>
      </w:r>
    </w:p>
    <w:p>
      <w:pPr>
        <w:spacing w:before="0" w:after="0" w:line="560" w:lineRule="exact"/>
        <w:jc w:val="both"/>
        <w:ind w:firstLineChars="200" w:firstLine="200"/>
      </w:pPr>
      <w:r>
        <w:rPr>
          <w:rFonts w:ascii="Times New Roman" w:hAnsi="Times New Roman" w:eastAsia="仿宋_GB2312"/>
          <w:b w:val="0"/>
          <w:sz w:val="28"/>
        </w:rPr>
        <w:t>随着分布式光伏规模增长，国内研究逐步形成从确定性承载力到主配协同、概率和区间评估的研究体系。王守相等考虑多供电层级耦合，对中低压配电网分布式光伏承载力进行一体化精细评估，强调不同层级约束之间的传导关系[26]。王方敏等从风险抑制角度开展分布式光伏承载力概率评估，将不确定性和风险水平纳入结果表达[27]。宋钰等构建分布式光伏接入配电网的安全经济承载力评估方法，把安全约束与措施经济性联系起来[28]；李敬如等进一步考虑主配协同条件下的安全经济承载力计算，说明上级变电层和下级网络需要在统一场景下协调分析[29]。徐非非等采用区间方法处理源荷不确定性，为数据不完全或场景变化条件下的承载力表达提供了参考[30]。</w:t>
      </w:r>
    </w:p>
    <w:p>
      <w:pPr>
        <w:spacing w:before="0" w:after="0" w:line="560" w:lineRule="exact"/>
        <w:jc w:val="both"/>
        <w:ind w:firstLineChars="200" w:firstLine="200"/>
      </w:pPr>
      <w:r>
        <w:rPr>
          <w:rFonts w:ascii="Times New Roman" w:hAnsi="Times New Roman" w:eastAsia="仿宋_GB2312"/>
          <w:b w:val="0"/>
          <w:sz w:val="28"/>
        </w:rPr>
        <w:t>承载力研究与容载比研究关注的侧重点不同。容载比主要回答正向最大负荷条件下变电容量配置是否充足，承载力主要回答新增或现有分布式电源在设备和运行约束下能够达到何种水平。二者相互关联，却不能替代。高渗透率地区只看容载比，容易遗漏光伏大发时段的反向承载问题；只看分布式电源承载力，又不能直接回答负荷高峰和故障转供条件下的容量配置问题。本项目将正式容载比、正向容量缺口、反向峰值和设备级反向承载缺口分列计算，再在措施决策层衔接。</w:t>
      </w:r>
    </w:p>
    <w:p>
      <w:pPr>
        <w:spacing w:before="0" w:after="0" w:line="560" w:lineRule="exact"/>
        <w:jc w:val="both"/>
        <w:ind w:firstLineChars="200" w:firstLine="200"/>
      </w:pPr>
      <w:r>
        <w:rPr>
          <w:rFonts w:ascii="Times New Roman" w:hAnsi="Times New Roman" w:eastAsia="仿宋_GB2312"/>
          <w:b w:val="0"/>
          <w:sz w:val="28"/>
        </w:rPr>
        <w:t>在源网荷储协同和灵活资源配置方面，龚锐等研究储能优化配置对配电网综合承载水平的提升作用，表明储能配置需要兼顾位置、容量和运行场景[31]。梁志峰等针对高比例分布式光伏条件下的主配网运行风险及防控策略开展研究，强调多层级风险识别和协同控制[32]。黄海泉等总结新型配电网分布式储能方案与配置方法，指出储能可参与削峰、吸收局部富余功率和提供调节，但其经济性受到利用率、寿命和场景约束[33]。贺春光等研究多电压等级配电网柔性互联装置协同规划，体现了柔性互联在负荷转移和资源协调中的作用[34]。徐峰亮等从运行灵活性角度研究中压配电系统源—网—储协同扩展规划，乐健等则通过随机场景开展配电网源网储协同规划[35-36]。这些成果说明，高渗透率地区的规划应由单一设备扩建转向多措施组合，但各类措施必须在明确的物理边界内比较。</w:t>
      </w:r>
    </w:p>
    <w:p>
      <w:pPr>
        <w:spacing w:before="0" w:after="0" w:line="560" w:lineRule="exact"/>
        <w:jc w:val="both"/>
        <w:ind w:firstLineChars="200" w:firstLine="200"/>
      </w:pPr>
      <w:r>
        <w:rPr>
          <w:rFonts w:ascii="Times New Roman" w:hAnsi="Times New Roman" w:eastAsia="仿宋_GB2312"/>
          <w:b w:val="0"/>
          <w:sz w:val="28"/>
        </w:rPr>
        <w:t>江苏电网负荷和新能源具有较强的区域特征。龚玺等对江苏电网负荷变化特征进行研究，指出地区产业、季节和气象条件会共同影响负荷曲线[37]。在徐州等分布式光伏增长较快的地区，午间光伏出力可能降低由上级电网供给的净负荷，而夏冬高负荷时段和晚峰仍可能形成正向容量压力。因此，不能预设“春秋必然反送、夏冬必然重载”等固定规律，而应使用实际时序数据识别不同年份、季节和典型日的运行特征。吕达夫关于源荷不确定性条件下承载能力的研究也说明，源荷关系的变化会导致接纳边界和风险水平发生变化[38]。</w:t>
      </w:r>
    </w:p>
    <w:p>
      <w:pPr>
        <w:spacing w:before="0" w:after="0" w:line="560" w:lineRule="exact"/>
        <w:jc w:val="both"/>
        <w:ind w:firstLineChars="200" w:firstLine="200"/>
      </w:pPr>
      <w:r>
        <w:rPr>
          <w:rFonts w:ascii="Times New Roman" w:hAnsi="Times New Roman" w:eastAsia="仿宋_GB2312"/>
          <w:b w:val="0"/>
          <w:sz w:val="28"/>
        </w:rPr>
        <w:t>在规划经济评价方面，国内研究已经从一次投资比较拓展到全生命周期投入产出和精准投资。张全等提出基于全生命周期投入产出效益的电网规划精准投资方法，强调建设成本与长期效益的统一[39]。何凯等从全成本电价角度开展电网规划方案评价与优选，将不同成本项目纳入一致比较框架[40]。武小琳等研究输变电工程造价自动计算，为工程规模与造价数据的结构化关联提供了思路[41]。黄碧斌等在高渗透率分布式光伏优化规划中考虑电网改造，反映出新能源规划结果与网架投资之间的相互作用[42]。本项目据此采用实际工程造价和离散候选，并按措施投运年份核算多年在役成本。</w:t>
      </w:r>
    </w:p>
    <w:p>
      <w:pPr>
        <w:spacing w:before="0" w:after="0" w:line="560" w:lineRule="exact"/>
        <w:jc w:val="both"/>
        <w:ind w:firstLineChars="200" w:firstLine="200"/>
      </w:pPr>
      <w:r>
        <w:rPr>
          <w:rFonts w:ascii="Times New Roman" w:hAnsi="Times New Roman" w:eastAsia="仿宋_GB2312"/>
          <w:b w:val="0"/>
          <w:sz w:val="28"/>
        </w:rPr>
        <w:t>在差异化规划和综合评价方面，罗宁等采用 AHP-CRITIC 组合赋权与可拓模型开展配电网综合评价，体现了主客观信息结合的评价思路[43]。谢天祥等提出基于数据驱动的配电网“三级弹性”精准规划方法，说明容量指标可以结合区域功能和发展条件进行分类管理[44]。陈璨等研究分布式光伏边界渗透率的快速定位和消纳方案择优，强调先识别约束边界、再进行措施选择[45]。孙东磊等对多层级配电网分布式新能源最大消纳空间进行分解测算，体现了跨层级指标分解的重要性[46]。金勇等针对高压配电网负荷转供建立分层优化模型，为分析网络转供和功能单元间协同提供了依据[47]。</w:t>
      </w:r>
    </w:p>
    <w:p>
      <w:pPr>
        <w:spacing w:before="0" w:after="0" w:line="560" w:lineRule="exact"/>
        <w:jc w:val="both"/>
        <w:ind w:firstLineChars="200" w:firstLine="200"/>
      </w:pPr>
      <w:r>
        <w:rPr>
          <w:rFonts w:ascii="Times New Roman" w:hAnsi="Times New Roman" w:eastAsia="仿宋_GB2312"/>
          <w:b w:val="0"/>
          <w:sz w:val="28"/>
        </w:rPr>
        <w:t>从国内研究总体进展看，容载比、最大供电能力、分布式电源承载力、源网荷储协同和工程经济评价均已形成相对成熟的方法。其突出优势是与我国配电网规划制度、网络层级和工程实践结合紧密，具备较好的落地基础；现有不足主要表现为各研究线之间仍存在一定分离，部分承载力和协同规划算例集中于中低压网络或标准测试系统，针对地方 110 kV 高压分区的多年度、逐时、设备级实证相对较少。</w:t>
      </w:r>
    </w:p>
    <w:p>
      <w:pPr>
        <w:pStyle w:val="4"/>
        <w:pageBreakBefore w:val="0"/>
        <w:jc w:val="left"/>
      </w:pPr>
      <w:r>
        <w:rPr>
          <w:rFonts w:ascii="Times New Roman" w:hAnsi="Times New Roman" w:eastAsia="仿宋_GB2312"/>
          <w:b/>
          <w:sz w:val="28"/>
        </w:rPr>
        <w:t>2.1.3 研究现状评述</w:t>
      </w:r>
    </w:p>
    <w:p>
      <w:pPr>
        <w:spacing w:before="0" w:after="0" w:line="560" w:lineRule="exact"/>
        <w:jc w:val="both"/>
        <w:ind w:firstLineChars="200" w:firstLine="200"/>
      </w:pPr>
      <w:r>
        <w:rPr>
          <w:rFonts w:ascii="Times New Roman" w:hAnsi="Times New Roman" w:eastAsia="仿宋_GB2312"/>
          <w:b w:val="0"/>
          <w:sz w:val="28"/>
        </w:rPr>
        <w:t>国内外研究的演变路径较为清晰：评价对象由单一最不利断面转向多时段、概率和风险场景，研究结果也由固定上限发展为与场景、控制方式相关的可行边界；规划手段由单一扩建转向网架、储能、柔性互联和运行方式的组合，位置、时长和实际利用程度开始进入措施比较；经济评价则由初始投资延伸到全寿命周期或等效年成本，统一价格基准和建设时序成为方案可比的前提。</w:t>
      </w:r>
    </w:p>
    <w:p>
      <w:pPr>
        <w:spacing w:before="0" w:after="0" w:line="560" w:lineRule="exact"/>
        <w:jc w:val="both"/>
        <w:ind w:firstLineChars="200" w:firstLine="200"/>
      </w:pPr>
      <w:r>
        <w:rPr>
          <w:rFonts w:ascii="Times New Roman" w:hAnsi="Times New Roman" w:eastAsia="仿宋_GB2312"/>
          <w:b w:val="0"/>
          <w:sz w:val="28"/>
        </w:rPr>
        <w:t>现有成果为本研究奠定了较充分的理论基础，但与徐州项目的工程问题相比，仍存在三个需要进一步研究的方面。</w:t>
      </w:r>
    </w:p>
    <w:p>
      <w:pPr>
        <w:spacing w:before="0" w:after="0" w:line="560" w:lineRule="exact"/>
        <w:jc w:val="both"/>
        <w:ind w:firstLineChars="200" w:firstLine="200"/>
      </w:pPr>
      <w:r>
        <w:rPr>
          <w:rFonts w:ascii="Times New Roman" w:hAnsi="Times New Roman" w:eastAsia="仿宋_GB2312"/>
          <w:b w:val="0"/>
          <w:sz w:val="28"/>
        </w:rPr>
        <w:t>地方 110 kV 高压分区的实证研究仍然偏少。国外承载力研究和国内主动配电网研究多以中低压馈线、配电变压器或标准测试系统为对象，其网络边界、设备组合和数据条件与县域 110 kV 变电层存在差异。徐州项目既要使用年度片区基准数据，也要使用设备级逐时证据，其中还涉及年度资产范围、同步峰值和反向功率方向等工程数据问题。</w:t>
      </w:r>
    </w:p>
    <w:p>
      <w:pPr>
        <w:spacing w:before="0" w:after="0" w:line="560" w:lineRule="exact"/>
        <w:jc w:val="both"/>
        <w:ind w:firstLineChars="200" w:firstLine="200"/>
      </w:pPr>
      <w:r>
        <w:rPr>
          <w:rFonts w:ascii="Times New Roman" w:hAnsi="Times New Roman" w:eastAsia="仿宋_GB2312"/>
          <w:b w:val="0"/>
          <w:sz w:val="28"/>
        </w:rPr>
        <w:t>正向容载比和反向承载力在同一决策框架中的分工也不够清楚。既有容载比研究侧重容量充裕度，承载力研究侧重新能源接入边界，两类指标虽有联系，但计算分母、物理含义和约束对象不同。简单合并正反向峰值，或者以容载比高低代替反向承载校核，都会掩盖实际约束。本研究采用“正式容载比—正向缺口—反向峰值—设备级反向缺口”的分列指标体系处理这一问题。</w:t>
      </w:r>
    </w:p>
    <w:p>
      <w:pPr>
        <w:spacing w:before="0" w:after="0" w:line="560" w:lineRule="exact"/>
        <w:jc w:val="both"/>
        <w:ind w:firstLineChars="200" w:firstLine="200"/>
      </w:pPr>
      <w:r>
        <w:rPr>
          <w:rFonts w:ascii="Times New Roman" w:hAnsi="Times New Roman" w:eastAsia="仿宋_GB2312"/>
          <w:b w:val="0"/>
          <w:sz w:val="28"/>
        </w:rPr>
        <w:t>严格约束的经济代价尚缺少基于真实多年度数据和工程成本的充分量化。已有文献证明灵活资源可能延缓网架建设，但经济边界对负荷增长、光伏时序、工程价格和设备候选高度敏感。本研究使用相同的候选、物理约束、成本库和求解精度，通过容载比上限自 1.5 至 3.0 的弹性扫描与无上限对照，把严格控制要求的经济代价从其他因素中分离出来。</w:t>
      </w:r>
    </w:p>
    <w:p>
      <w:pPr>
        <w:spacing w:before="0" w:after="0" w:line="560" w:lineRule="exact"/>
        <w:jc w:val="both"/>
        <w:ind w:firstLineChars="200" w:firstLine="200"/>
      </w:pPr>
      <w:r>
        <w:rPr>
          <w:rFonts w:ascii="Times New Roman" w:hAnsi="Times New Roman" w:eastAsia="仿宋_GB2312"/>
          <w:b w:val="0"/>
          <w:sz w:val="28"/>
        </w:rPr>
        <w:t>因此，本研究不是另行提出一套替代现行标准的容载比定义，而是在现有规划指标和承载力理论基础上，利用徐州实际数据构建正向、反向和经济性相互衔接的工程分析框架。其研究重点在于口径统一、证据闭合和方案可比，而不是追求脱离工程边界的复杂算法或单一数学最优值。</w:t>
      </w:r>
    </w:p>
    <w:p>
      <w:pPr>
        <w:pStyle w:val="3"/>
        <w:pageBreakBefore w:val="0"/>
        <w:jc w:val="left"/>
      </w:pPr>
      <w:bookmarkStart w:id="8" w:name="_TocReport0008"/>
      <w:r>
        <w:rPr>
          <w:rFonts w:ascii="Times New Roman" w:hAnsi="Times New Roman" w:eastAsia="仿宋_GB2312"/>
          <w:b/>
          <w:sz w:val="28"/>
        </w:rPr>
        <w:t>2.2 核心概念与理论基础</w:t>
      </w:r>
      <w:bookmarkEnd w:id="8"/>
    </w:p>
    <w:p>
      <w:pPr>
        <w:pStyle w:val="4"/>
        <w:pageBreakBefore w:val="0"/>
        <w:jc w:val="left"/>
      </w:pPr>
      <w:r>
        <w:rPr>
          <w:rFonts w:ascii="Times New Roman" w:hAnsi="Times New Roman" w:eastAsia="仿宋_GB2312"/>
          <w:b/>
          <w:sz w:val="28"/>
        </w:rPr>
        <w:t>2.2.1 容载比</w:t>
      </w:r>
    </w:p>
    <w:p>
      <w:pPr>
        <w:spacing w:before="0" w:after="0" w:line="560" w:lineRule="exact"/>
        <w:jc w:val="both"/>
        <w:ind w:firstLineChars="200" w:firstLine="200"/>
      </w:pPr>
      <w:r>
        <w:rPr>
          <w:rFonts w:ascii="Times New Roman" w:hAnsi="Times New Roman" w:eastAsia="仿宋_GB2312"/>
          <w:b w:val="0"/>
          <w:sz w:val="28"/>
        </w:rPr>
        <w:t>容载比用于表征规划区域某一电压等级公用变电容量与最大负荷之间的配置关系。设年度为 y、电压等级为 v，则本研究正式容载比记为：</w:t>
      </w:r>
    </w:p>
    <w:p>
      <w:pPr>
        <w:spacing w:before="0" w:after="0" w:line="560" w:lineRule="exact"/>
        <w:jc w:val="center"/>
        <w:ind w:firstLine="0" w:firstLineChars="0"/>
      </w:pPr>
      <w:r>
        <w:rPr>
          <w:rFonts w:ascii="Times New Roman" w:hAnsi="Times New Roman" w:eastAsia="仿宋_GB2312"/>
          <w:b w:val="0"/>
          <w:sz w:val="28"/>
        </w:rPr>
        <w:t>R(y,v) = S(y,v) / P⁺max(y,v)</w:t>
      </w:r>
    </w:p>
    <w:p>
      <w:pPr>
        <w:spacing w:before="0" w:after="0" w:line="560" w:lineRule="exact"/>
        <w:jc w:val="both"/>
        <w:ind w:firstLineChars="200" w:firstLine="200"/>
      </w:pPr>
      <w:r>
        <w:rPr>
          <w:rFonts w:ascii="Times New Roman" w:hAnsi="Times New Roman" w:eastAsia="仿宋_GB2312"/>
          <w:b w:val="0"/>
          <w:sz w:val="28"/>
        </w:rPr>
        <w:t>式中：S(y,v) 为年度 y、同一电压等级 v 的公用变压器在役总容量，单位为 MVA；P⁺max(y,v) 为该年度、同一电压等级下同步正向最大净负荷，单位为 MW。由于规划阶段通常近似按功率因数和容量口径进行统计，报告沿用行业规划中容载比的无量纲表达。具体工程设计仍应结合无功、电压和设备额定条件进行校核。后续章节比较不同规划方案时，分别按各方案干预后的容量与净负荷代入同一公式计算，不在指标定义中引入方案下标。</w:t>
      </w:r>
    </w:p>
    <w:p>
      <w:pPr>
        <w:spacing w:before="0" w:after="0" w:line="560" w:lineRule="exact"/>
        <w:jc w:val="both"/>
        <w:ind w:firstLineChars="200" w:firstLine="200"/>
      </w:pPr>
      <w:r>
        <w:rPr>
          <w:rFonts w:ascii="Times New Roman" w:hAnsi="Times New Roman" w:eastAsia="仿宋_GB2312"/>
          <w:b w:val="0"/>
          <w:sz w:val="28"/>
        </w:rPr>
        <w:t>“同步”是正式容载比计算的重要条件。片区最大正向净负荷应先将同一时刻、同一电压等级、属于同一片区的设备净负荷进行聚合，再在全年时序中取正向最大值；不能把各站或各主变在不同时间出现的静态极值相加。采用同步峰值能够反映片区在真实运行时刻对上级电网的最大正向需求，也能避免由于峰值错时而高估分母。</w:t>
      </w:r>
    </w:p>
    <w:p>
      <w:pPr>
        <w:spacing w:before="0" w:after="0" w:line="560" w:lineRule="exact"/>
        <w:jc w:val="both"/>
        <w:ind w:firstLineChars="200" w:firstLine="200"/>
      </w:pPr>
      <w:r>
        <w:rPr>
          <w:rFonts w:ascii="Times New Roman" w:hAnsi="Times New Roman" w:eastAsia="仿宋_GB2312"/>
          <w:b w:val="0"/>
          <w:sz w:val="28"/>
        </w:rPr>
        <w:t>“正向”体现了容载比与反向承载力的分工。正式容载比分母只采用由上级电网向负荷侧供电的最大正向净负荷，反向峰值不参与取大或替换。源主变负荷已经按净负荷解释，不再重复扣减现状光伏；当储能、局部转供或其他措施改变净负荷时，各方案应基于干预后的时序重新计算正向峰值和容载比，不能沿用统一的干预前固定分母。</w:t>
      </w:r>
    </w:p>
    <w:p>
      <w:pPr>
        <w:spacing w:before="0" w:after="0" w:line="560" w:lineRule="exact"/>
        <w:jc w:val="both"/>
        <w:ind w:firstLineChars="200" w:firstLine="200"/>
      </w:pPr>
      <w:r>
        <w:rPr>
          <w:rFonts w:ascii="Times New Roman" w:hAnsi="Times New Roman" w:eastAsia="仿宋_GB2312"/>
          <w:b w:val="0"/>
          <w:sz w:val="28"/>
        </w:rPr>
        <w:t>DL/T 5729—2023 给出了 110～35 kV 电网规划容载比的推荐考虑方式，并要求结合负荷增长、供电安全和转供能力确定具体取值[5]。本研究将 2.0 作为严格优化方案自 2022 年起逐年的附加比较约束，而不是把它解释为所有片区共同的设备物理上限。容载比超过 2.0 也不自动触发措施；是否扩建、减容、替换或配置储能，取决于正向容量、反向承载、运行方式和网络压力检查结果。</w:t>
      </w:r>
    </w:p>
    <w:p>
      <w:pPr>
        <w:pStyle w:val="4"/>
        <w:pageBreakBefore w:val="0"/>
        <w:jc w:val="left"/>
      </w:pPr>
      <w:r>
        <w:rPr>
          <w:rFonts w:ascii="Times New Roman" w:hAnsi="Times New Roman" w:eastAsia="仿宋_GB2312"/>
          <w:b/>
          <w:sz w:val="28"/>
        </w:rPr>
        <w:t>2.2.2 源荷比与电量渗透率</w:t>
      </w:r>
    </w:p>
    <w:p>
      <w:pPr>
        <w:spacing w:before="0" w:after="0" w:line="560" w:lineRule="exact"/>
        <w:jc w:val="both"/>
        <w:ind w:firstLineChars="200" w:firstLine="200"/>
      </w:pPr>
      <w:r>
        <w:rPr>
          <w:rFonts w:ascii="Times New Roman" w:hAnsi="Times New Roman" w:eastAsia="仿宋_GB2312"/>
          <w:b w:val="0"/>
          <w:sz w:val="28"/>
        </w:rPr>
        <w:t>源荷比反映研究单元内新能源装机规模与负荷规模的相对关系。若以分布式新能源装机容量 C_RE 与同期最大负荷 P_L,max 表示，则源荷比可写为：</w:t>
      </w:r>
    </w:p>
    <w:p>
      <w:pPr>
        <w:spacing w:before="0" w:after="0" w:line="560" w:lineRule="exact"/>
        <w:jc w:val="center"/>
        <w:ind w:firstLine="0" w:firstLineChars="0"/>
      </w:pPr>
      <w:r>
        <w:rPr>
          <w:rFonts w:ascii="Times New Roman" w:hAnsi="Times New Roman" w:eastAsia="仿宋_GB2312"/>
          <w:b w:val="0"/>
          <w:sz w:val="28"/>
        </w:rPr>
        <w:t>K_SL = C_RE / P_L,max</w:t>
      </w:r>
    </w:p>
    <w:p>
      <w:pPr>
        <w:spacing w:before="0" w:after="0" w:line="560" w:lineRule="exact"/>
        <w:jc w:val="both"/>
        <w:ind w:firstLineChars="200" w:firstLine="200"/>
      </w:pPr>
      <w:r>
        <w:rPr>
          <w:rFonts w:ascii="Times New Roman" w:hAnsi="Times New Roman" w:eastAsia="仿宋_GB2312"/>
          <w:b w:val="0"/>
          <w:sz w:val="28"/>
        </w:rPr>
        <w:t>源荷比较高，说明新能源装机相对于负荷规模较大，午间低负荷时段出现反向功率的可能性通常随之增加，但该指标本身不包含新能源出力曲线、负荷时序和接入位置，不能直接等同于反向峰值或设备越限概率。</w:t>
      </w:r>
    </w:p>
    <w:p>
      <w:pPr>
        <w:spacing w:before="0" w:after="0" w:line="560" w:lineRule="exact"/>
        <w:jc w:val="both"/>
        <w:ind w:firstLineChars="200" w:firstLine="200"/>
      </w:pPr>
      <w:r>
        <w:rPr>
          <w:rFonts w:ascii="Times New Roman" w:hAnsi="Times New Roman" w:eastAsia="仿宋_GB2312"/>
          <w:b w:val="0"/>
          <w:sz w:val="28"/>
        </w:rPr>
        <w:t>电量渗透率反映年度尺度上新能源发电量占同期用电量的比例。设年度新能源发电量为 E_RE、同期用电量为 E_L，则电量渗透率为：</w:t>
      </w:r>
    </w:p>
    <w:p>
      <w:pPr>
        <w:spacing w:before="0" w:after="0" w:line="560" w:lineRule="exact"/>
        <w:jc w:val="center"/>
        <w:ind w:firstLine="0" w:firstLineChars="0"/>
      </w:pPr>
      <w:r>
        <w:rPr>
          <w:rFonts w:ascii="Times New Roman" w:hAnsi="Times New Roman" w:eastAsia="仿宋_GB2312"/>
          <w:b w:val="0"/>
          <w:sz w:val="28"/>
        </w:rPr>
        <w:t>K_E = E_RE / E_L</w:t>
      </w:r>
    </w:p>
    <w:p>
      <w:pPr>
        <w:spacing w:before="0" w:after="0" w:line="560" w:lineRule="exact"/>
        <w:jc w:val="both"/>
        <w:ind w:firstLineChars="200" w:firstLine="200"/>
      </w:pPr>
      <w:r>
        <w:rPr>
          <w:rFonts w:ascii="Times New Roman" w:hAnsi="Times New Roman" w:eastAsia="仿宋_GB2312"/>
          <w:b w:val="0"/>
          <w:sz w:val="28"/>
        </w:rPr>
        <w:t>源荷比属于容量口径，电量渗透率属于电量口径。两个地区即使具有相同源荷比，也可能因光伏利用小时数、负荷曲线和空间分布不同而具有不同电量渗透率；同样的电量渗透率也可能对应不同的瞬时反向峰值。因而，两项指标适合用于描述新能源发展水平，不作为正式容载比或承载力校核的替代条件。在同年度装机、发电量和负荷数据不能闭合时，只进行机制性和相对特征分析，不计算缺乏同口径依据的精确相关系数。</w:t>
      </w:r>
    </w:p>
    <w:p>
      <w:pPr>
        <w:pStyle w:val="4"/>
        <w:pageBreakBefore w:val="0"/>
        <w:jc w:val="left"/>
      </w:pPr>
      <w:r>
        <w:rPr>
          <w:rFonts w:ascii="Times New Roman" w:hAnsi="Times New Roman" w:eastAsia="仿宋_GB2312"/>
          <w:b/>
          <w:sz w:val="28"/>
        </w:rPr>
        <w:t>2.2.3 分布式电源承载力</w:t>
      </w:r>
    </w:p>
    <w:p>
      <w:pPr>
        <w:spacing w:before="0" w:after="0" w:line="560" w:lineRule="exact"/>
        <w:jc w:val="both"/>
        <w:ind w:firstLineChars="200" w:firstLine="200"/>
      </w:pPr>
      <w:r>
        <w:rPr>
          <w:rFonts w:ascii="Times New Roman" w:hAnsi="Times New Roman" w:eastAsia="仿宋_GB2312"/>
          <w:b w:val="0"/>
          <w:sz w:val="28"/>
        </w:rPr>
        <w:t>分布式电源承载力是指在给定网络结构、运行方式、负荷与电源场景以及调节资源条件下，电网在不违反相关技术约束时可接纳的分布式电源水平。DL/T 2041—2025 从系统级和设备级规定了承载力评估要求[6]。系统级分析关注研究区域总体供需、运行边界和新能源利用条件，设备级分析则进一步校核主变、线路、电压和具体接入设备的约束。</w:t>
      </w:r>
    </w:p>
    <w:p>
      <w:pPr>
        <w:spacing w:before="0" w:after="0" w:line="560" w:lineRule="exact"/>
        <w:jc w:val="both"/>
        <w:ind w:firstLineChars="200" w:firstLine="200"/>
      </w:pPr>
      <w:r>
        <w:rPr>
          <w:rFonts w:ascii="Times New Roman" w:hAnsi="Times New Roman" w:eastAsia="仿宋_GB2312"/>
          <w:b w:val="0"/>
          <w:sz w:val="28"/>
        </w:rPr>
        <w:t>承载力不是单一设备额定容量的简单剩余量。新能源接入位置、设备并列或分列运行方式、负荷与出力的同步关系以及储能等调节措施，均可能改变承载边界。本研究重点关注设备级反向承载：对于分列或单台主变，按规定的设备容量比例校核；对于并列主变组，还需考虑最大单台退出后剩余容量形成的约束。反向承载力和正式容载比分别对应反向功率和正向容量配置，二者在指标表中分列显示。</w:t>
      </w:r>
    </w:p>
    <w:p>
      <w:pPr>
        <w:spacing w:before="0" w:after="0" w:line="560" w:lineRule="exact"/>
        <w:jc w:val="both"/>
        <w:ind w:firstLineChars="200" w:firstLine="200"/>
      </w:pPr>
      <w:r>
        <w:rPr>
          <w:rFonts w:ascii="Times New Roman" w:hAnsi="Times New Roman" w:eastAsia="仿宋_GB2312"/>
          <w:b w:val="0"/>
          <w:sz w:val="28"/>
        </w:rPr>
        <w:t>主体模型不设置弃光变量，也不通过无约束削减新能源出力使不可行方案变为可行。若某一年度、某一方案在给定候选措施下仍不能消除正向或反向缺口，则明确标记为物理不可行。这样的处理能够保证承载力结果反映设备和候选措施的真实边界，而不是由未批准的动作类型改变研究问题。</w:t>
      </w:r>
    </w:p>
    <w:p>
      <w:pPr>
        <w:pStyle w:val="4"/>
        <w:pageBreakBefore w:val="0"/>
        <w:jc w:val="left"/>
      </w:pPr>
      <w:r>
        <w:rPr>
          <w:rFonts w:ascii="Times New Roman" w:hAnsi="Times New Roman" w:eastAsia="仿宋_GB2312"/>
          <w:b/>
          <w:sz w:val="28"/>
        </w:rPr>
        <w:t>2.2.4 最大供电能力与网络转供能力</w:t>
      </w:r>
    </w:p>
    <w:p>
      <w:pPr>
        <w:spacing w:before="0" w:after="0" w:line="560" w:lineRule="exact"/>
        <w:jc w:val="both"/>
        <w:ind w:firstLineChars="200" w:firstLine="200"/>
      </w:pPr>
      <w:r>
        <w:rPr>
          <w:rFonts w:ascii="Times New Roman" w:hAnsi="Times New Roman" w:eastAsia="仿宋_GB2312"/>
          <w:b w:val="0"/>
          <w:sz w:val="28"/>
        </w:rPr>
        <w:t>最大供电能力（Total Supply Capability，TSC）通常指配电网在满足 N-1 等安全约束条件下能够持续供应的最大负荷。与容载比相比，TSC 更直接地考虑网络拓扑、线路容量、主变组合和故障后的负荷转移，因此能够反映“装机容量相同、实际供电能力不同”的情况[20,25]。网络转供能力则表示相邻变电站或供电分区在既定联络和运行方式下相互转移负荷的能力，是影响 TSC 和容量共享的重要因素。</w:t>
      </w:r>
    </w:p>
    <w:p>
      <w:pPr>
        <w:spacing w:before="0" w:after="0" w:line="560" w:lineRule="exact"/>
        <w:jc w:val="both"/>
        <w:ind w:firstLineChars="200" w:firstLine="200"/>
      </w:pPr>
      <w:r>
        <w:rPr>
          <w:rFonts w:ascii="Times New Roman" w:hAnsi="Times New Roman" w:eastAsia="仿宋_GB2312"/>
          <w:b w:val="0"/>
          <w:sz w:val="28"/>
        </w:rPr>
        <w:t>对本研究而言，TSC 和转供能力主要用于解释容量配置及开展网络压力检查，而不另行构造与正式容载比竞争的主指标。110 kV 网络根据现有线路连接、设备容量和内部 N-1 条件开展容量压力筛查，判断候选措施是否将负荷压力转移至其他设备。35 kV 网络单独分析，不与 110 kV 容量直接相加。只有父级映射、同步转移量和离散候选完整时，才允许跨层联合枚举，以防止同一缺口在不同层级被重复治理。</w:t>
      </w:r>
    </w:p>
    <w:p>
      <w:pPr>
        <w:spacing w:before="0" w:after="0" w:line="560" w:lineRule="exact"/>
        <w:jc w:val="both"/>
        <w:ind w:firstLineChars="200" w:firstLine="200"/>
      </w:pPr>
      <w:r>
        <w:rPr>
          <w:rFonts w:ascii="Times New Roman" w:hAnsi="Times New Roman" w:eastAsia="仿宋_GB2312"/>
          <w:b w:val="0"/>
          <w:sz w:val="28"/>
        </w:rPr>
        <w:t>由于本项目部分对象缺少精确潮流所需的完整阻抗和运行边界，容量网络压力筛查不能表述为完整 AC/DC 潮流。其作用是排除明显不满足容量和 N-1 条件的方案，并为后续工程专题论证识别重点对象。具体项目实施仍需结合潮流、电压、短路电流、保护和电能质量进行详细校核。</w:t>
      </w:r>
    </w:p>
    <w:p>
      <w:pPr>
        <w:pStyle w:val="4"/>
        <w:pageBreakBefore w:val="0"/>
        <w:jc w:val="left"/>
      </w:pPr>
      <w:r>
        <w:rPr>
          <w:rFonts w:ascii="Times New Roman" w:hAnsi="Times New Roman" w:eastAsia="仿宋_GB2312"/>
          <w:b/>
          <w:sz w:val="28"/>
        </w:rPr>
        <w:t>2.2.5 全寿命周期成本与等效年成本</w:t>
      </w:r>
    </w:p>
    <w:p>
      <w:pPr>
        <w:spacing w:before="0" w:after="0" w:line="560" w:lineRule="exact"/>
        <w:jc w:val="both"/>
        <w:ind w:firstLineChars="200" w:firstLine="200"/>
      </w:pPr>
      <w:r>
        <w:rPr>
          <w:rFonts w:ascii="Times New Roman" w:hAnsi="Times New Roman" w:eastAsia="仿宋_GB2312"/>
          <w:b w:val="0"/>
          <w:sz w:val="28"/>
        </w:rPr>
        <w:t>全寿命周期成本（Life Cycle Cost，LCC）用于汇总规划方案在建设、运行、维护、更新和处置阶段发生的经济代价。其一般形式可表示为初始投资、后续更新投资、运行维护费用和其他可核验成本的现值之和，并根据明确规则扣除期末残值。LCC 的优势是能够把寿命不同、建设时点不同的措施置于统一评价期内比较，避免仅以初始投资判断长期经济性[17,19,39-40]。</w:t>
      </w:r>
    </w:p>
    <w:p>
      <w:pPr>
        <w:spacing w:before="0" w:after="0" w:line="560" w:lineRule="exact"/>
        <w:jc w:val="both"/>
        <w:ind w:firstLineChars="200" w:firstLine="200"/>
      </w:pPr>
      <w:r>
        <w:rPr>
          <w:rFonts w:ascii="Times New Roman" w:hAnsi="Times New Roman" w:eastAsia="仿宋_GB2312"/>
          <w:b w:val="0"/>
          <w:sz w:val="28"/>
        </w:rPr>
        <w:t>等效年成本（Equivalent Annual Cost，EAC）是将一次性投资及其寿命周期成本折算为等额年费用的方法。在给定折现率 i 和经济寿命 n 时，常用资本回收因子为：</w:t>
      </w:r>
    </w:p>
    <w:p>
      <w:pPr>
        <w:spacing w:before="0" w:after="0" w:line="560" w:lineRule="exact"/>
        <w:jc w:val="center"/>
        <w:ind w:firstLine="0" w:firstLineChars="0"/>
      </w:pPr>
      <w:r>
        <w:rPr>
          <w:rFonts w:ascii="Times New Roman" w:hAnsi="Times New Roman" w:eastAsia="仿宋_GB2312"/>
          <w:b w:val="0"/>
          <w:sz w:val="28"/>
        </w:rPr>
        <w:t>CRF(i,n) = i(1+i)ⁿ / [(1+i)ⁿ - 1]</w:t>
      </w:r>
    </w:p>
    <w:p>
      <w:pPr>
        <w:spacing w:before="0" w:after="0" w:line="560" w:lineRule="exact"/>
        <w:jc w:val="both"/>
        <w:ind w:firstLineChars="200" w:firstLine="200"/>
      </w:pPr>
      <w:r>
        <w:rPr>
          <w:rFonts w:ascii="Times New Roman" w:hAnsi="Times New Roman" w:eastAsia="仿宋_GB2312"/>
          <w:b w:val="0"/>
          <w:sz w:val="28"/>
        </w:rPr>
        <w:t>若某项措施的可计价资本成本为 CAPEX，则其年度等效成本可表示为 CAPEX × CRF(i,n)，再按该措施在决策期内的实际在役年份计入年度在役 EAC。对于不同年份投运的措施，这一处理能够体现建设时序对累计成本的影响。</w:t>
      </w:r>
    </w:p>
    <w:p>
      <w:pPr>
        <w:spacing w:before="0" w:after="0" w:line="560" w:lineRule="exact"/>
        <w:jc w:val="both"/>
        <w:ind w:firstLineChars="200" w:firstLine="200"/>
      </w:pPr>
      <w:r>
        <w:rPr>
          <w:rFonts w:ascii="Times New Roman" w:hAnsi="Times New Roman" w:eastAsia="仿宋_GB2312"/>
          <w:b w:val="0"/>
          <w:sz w:val="28"/>
        </w:rPr>
        <w:t>本项目借鉴 LCC 的完整成本边界思想，但正式优化目标不是无限期或全寿命现值之和，而是统一按 2025 年价格计算的 2022—2025 年累计在役 EAC，正式中文成本字段写作“累计年化成本”。2021 年实际状态为共同基准，既有资产属于共同沉没成本，不计入两个优化方案的增量成本。模型同时输出年度 CAPEX、年度在役 EAC、累计 CAPEX 和累计年化成本，以区分现金投资规模和决策期内的年化占用。</w:t>
      </w:r>
    </w:p>
    <w:p>
      <w:pPr>
        <w:spacing w:before="0" w:after="0" w:line="560" w:lineRule="exact"/>
        <w:jc w:val="both"/>
        <w:ind w:firstLineChars="200" w:firstLine="200"/>
      </w:pPr>
      <w:r>
        <w:rPr>
          <w:rFonts w:ascii="Times New Roman" w:hAnsi="Times New Roman" w:eastAsia="仿宋_GB2312"/>
          <w:b w:val="0"/>
          <w:sz w:val="28"/>
        </w:rPr>
        <w:t>成本数据必须具有明确来源和适用范围。能够由实际工程规模和投资资料识别的费用进入成本库；跨年度统一折算至 2025 年价格。实际发展情况的措施成本只有在设备级毛动作闭合后才能计算，未知成本明确记为“未识别”，不得用 0 替代。减容暂按同电压、同容量扩容成本对称计价，CAPEX 为正，不形成负成本或残值抵扣。主体模型不纳入缺少充分证据的弃光成本、伪精确损耗成本或残值收益，从而保证方案差异来源清晰、结果可复核。</w:t>
      </w:r>
    </w:p>
    <w:p>
      <w:pPr>
        <w:pStyle w:val="4"/>
        <w:pageBreakBefore w:val="0"/>
        <w:jc w:val="left"/>
      </w:pPr>
      <w:r>
        <w:rPr>
          <w:rFonts w:ascii="Times New Roman" w:hAnsi="Times New Roman" w:eastAsia="仿宋_GB2312"/>
          <w:b/>
          <w:sz w:val="28"/>
        </w:rPr>
        <w:t>2.2.6 差异化规划理念</w:t>
      </w:r>
    </w:p>
    <w:p>
      <w:pPr>
        <w:spacing w:before="0" w:after="0" w:line="560" w:lineRule="exact"/>
        <w:jc w:val="both"/>
        <w:ind w:firstLineChars="200" w:firstLine="200"/>
      </w:pPr>
      <w:r>
        <w:rPr>
          <w:rFonts w:ascii="Times New Roman" w:hAnsi="Times New Roman" w:eastAsia="仿宋_GB2312"/>
          <w:b w:val="0"/>
          <w:sz w:val="28"/>
        </w:rPr>
        <w:t>差异化规划是指在统一标准、物理红线和评价口径下，根据不同片区的负荷增长、新能源规模、正反向运行特征、设备组合、网络转供条件和措施成本，形成有区别的建设节奏与指标建议。其核心不是降低安全要求，而是避免把同一容载比数值、同一措施组合或同一建设年份机械应用于所有地区。</w:t>
      </w:r>
    </w:p>
    <w:p>
      <w:pPr>
        <w:spacing w:before="0" w:after="0" w:line="560" w:lineRule="exact"/>
        <w:jc w:val="both"/>
        <w:ind w:firstLineChars="200" w:firstLine="200"/>
      </w:pPr>
      <w:r>
        <w:rPr>
          <w:rFonts w:ascii="Times New Roman" w:hAnsi="Times New Roman" w:eastAsia="仿宋_GB2312"/>
          <w:b w:val="0"/>
          <w:sz w:val="28"/>
        </w:rPr>
        <w:t>差异化规划遵循“物理可行在先、经济比较在后、证据等级随结论呈现”的顺序。正向容量、反向承载、运行方式和网络压力通过校核后，才在可行候选中比较累计年化成本；推荐区间还需由敏感性结果检验其稳定程度。采用官方片区基准数据和经验时长情景的对象，应明确证据等级和适用边界，不能把经验场景表述为概率置信结果。</w:t>
      </w:r>
    </w:p>
    <w:p>
      <w:pPr>
        <w:spacing w:before="0" w:after="0" w:line="560" w:lineRule="exact"/>
        <w:jc w:val="both"/>
        <w:ind w:firstLineChars="200" w:firstLine="200"/>
      </w:pPr>
      <w:r>
        <w:rPr>
          <w:rFonts w:ascii="Times New Roman" w:hAnsi="Times New Roman" w:eastAsia="仿宋_GB2312"/>
          <w:b w:val="0"/>
          <w:sz w:val="28"/>
        </w:rPr>
        <w:t>本项目通过两个优化方案识别差异化规划的经济边界：弹性优化方案不设置统一容载比上限，但仍严格满足全部物理约束；严格优化方案与弹性方案共同从 2021 年实际在役资产起步，既有容量存量豁免，自 2022 年起仅对 110 kV 规划期新增容量施加 Rcap≤2.0 的政策控制。两条方案的实际资产基线一致，在两者均可行时累计年化成本可以直接比较；容载比严格控制要求的经济代价，则由 Rcap 自 1.5 至 3.0 的弹性扫描前沿进一步定位。以 2×P2021 构造的标准化状态只用于反事实或敏感性分析，不作为正式规划起点。</w:t>
      </w:r>
    </w:p>
    <w:p>
      <w:pPr>
        <w:spacing w:before="0" w:after="0" w:line="560" w:lineRule="exact"/>
        <w:jc w:val="both"/>
        <w:ind w:firstLineChars="200" w:firstLine="200"/>
      </w:pPr>
      <w:r>
        <w:rPr>
          <w:rFonts w:ascii="Times New Roman" w:hAnsi="Times New Roman" w:eastAsia="仿宋_GB2312"/>
          <w:b w:val="0"/>
          <w:sz w:val="28"/>
        </w:rPr>
        <w:t>在此基础上，“一片一策”应表现为可追溯的片区分类和措施组合：有的片区主要矛盾是正向容量不足，有的片区主要矛盾是反向承载受限，有的片区则可能在满足物理约束后具有推迟新增建设或调整措施时序的空间。推荐容载比范围应来源于弹性优化方案的成本最小可行结果、容载比上限弹性扫描前沿的近优带及其经验证的敏感性结果，不能机械取多个独立年度最优值的最小值和最大值。第三章将进一步结合徐州年度基准数据和典型片区逐时数据，说明上述指标在实际运行中的表现及其数据库基础。</w:t>
      </w:r>
    </w:p>
    <w:p>
      <w:pPr>
        <w:pStyle w:val="2"/>
        <w:pageBreakBefore/>
        <w:jc w:val="left"/>
      </w:pPr>
      <w:bookmarkStart w:id="9" w:name="_TocReport0009"/>
      <w:r>
        <w:rPr>
          <w:rFonts w:ascii="Times New Roman" w:hAnsi="Times New Roman" w:eastAsia="仿宋_GB2312"/>
          <w:b/>
          <w:sz w:val="36"/>
        </w:rPr>
        <w:t>第三章 徐州典型地区“新能源—电网”运行特征分析</w:t>
      </w:r>
      <w:bookmarkEnd w:id="9"/>
    </w:p>
    <w:p>
      <w:pPr>
        <w:spacing w:before="0" w:after="0" w:line="560" w:lineRule="exact"/>
        <w:jc w:val="both"/>
        <w:ind w:firstLineChars="200" w:firstLine="200"/>
      </w:pPr>
      <w:r>
        <w:rPr>
          <w:rFonts w:ascii="Times New Roman" w:hAnsi="Times New Roman" w:eastAsia="仿宋_GB2312"/>
          <w:b w:val="0"/>
          <w:sz w:val="28"/>
        </w:rPr>
        <w:t>徐州各片区的负荷规模、新能源接入水平和变电容量配置并不相同，容载比的年度变化也没有呈现统一方向。仅用某一年度或某一座变电站的峰值，难以说明片区整体运行状态。2021—2025 年官方片区容量、同步正向峰值和容载比用于描述年度总量变化；通过设备映射、年度资产范围和数据质量校核的逐时数据用于识别主变正向供电、低负荷、反向送电和方向转换工况。年度基准数据和逐时数据各有适用范围，不以当前设备明细回溯替代历史年度基准数据，也不把静态站级极值相加作为片区同步峰值。</w:t>
      </w:r>
    </w:p>
    <w:p>
      <w:pPr>
        <w:pStyle w:val="3"/>
        <w:pageBreakBefore w:val="0"/>
        <w:jc w:val="left"/>
      </w:pPr>
      <w:bookmarkStart w:id="10" w:name="_TocReport0010"/>
      <w:r>
        <w:rPr>
          <w:rFonts w:ascii="Times New Roman" w:hAnsi="Times New Roman" w:eastAsia="仿宋_GB2312"/>
          <w:b/>
          <w:sz w:val="28"/>
        </w:rPr>
        <w:t>3.1 徐州新能源发展与电力负荷概况</w:t>
      </w:r>
      <w:bookmarkEnd w:id="10"/>
    </w:p>
    <w:p>
      <w:pPr>
        <w:spacing w:before="0" w:after="0" w:line="560" w:lineRule="exact"/>
        <w:jc w:val="both"/>
        <w:ind w:firstLineChars="200" w:firstLine="200"/>
      </w:pPr>
      <w:r>
        <w:rPr>
          <w:rFonts w:ascii="Times New Roman" w:hAnsi="Times New Roman" w:eastAsia="仿宋_GB2312"/>
          <w:b w:val="0"/>
          <w:sz w:val="28"/>
        </w:rPr>
        <w:t>本研究覆盖徐州八个片区，110 kV 与 35 kV 分层统计。年度基准数据包含 2021—2025 年五个完整年度，每个年度均有八片区、两个电压等级的公用变容量、同步正向峰值和容载比，共 80 条记录。逐时运行文件覆盖 2022—2025 年，其中平年为 8760 个时刻，闰年 2024 年为 8784 个时刻。站级光伏数据主要反映 2026 年 3—5 月的装机快照，只用于说明当前空间分布和构建场景背景，不改写为 2025 年或更早年度的实测装机。</w:t>
      </w:r>
    </w:p>
    <w:p>
      <w:pPr>
        <w:pStyle w:val="12"/>
        <w:keepNext/>
        <w:spacing w:before="120" w:after="60" w:line="400" w:lineRule="exact"/>
        <w:jc w:val="center"/>
        <w:ind w:firstLine="0" w:firstLineChars="0"/>
      </w:pPr>
      <w:r>
        <w:rPr>
          <w:rFonts w:ascii="Times New Roman" w:hAnsi="Times New Roman" w:eastAsia="仿宋_GB2312"/>
          <w:b w:val="0"/>
          <w:sz w:val="24"/>
        </w:rPr>
        <w:t>表 3-1 研究数据的年度、空间、电压和时间分辨率</w:t>
      </w:r>
    </w:p>
    <w:tbl>
      <w:tblPr>
        <w:tblW w:type="auto" w:w="0"/>
        <w:tblLayout w:type="autofi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385"/>
        <w:gridCol w:w="1385"/>
        <w:gridCol w:w="1385"/>
        <w:gridCol w:w="1385"/>
        <w:gridCol w:w="1385"/>
        <w:gridCol w:w="1385"/>
      </w:tblGrid>
      <w:tr>
        <w:trPr>
          <w:cantSplit/>
          <w:tblHeader w:val="true"/>
        </w:trPr>
        <w:tc>
          <w:tcPr>
            <w:tcW w:type="dxa" w:w="1385"/>
            <w:vAlign w:val="center"/>
          </w:tcPr>
          <w:p>
            <w:pPr>
              <w:pStyle w:val="97"/>
              <w:jc w:val="center"/>
              <w:spacing w:before="0" w:after="0" w:line="360" w:lineRule="exact"/>
              <w:ind w:firstLine="0" w:firstLineChars="0"/>
            </w:pPr>
            <w:r>
              <w:rPr>
                <w:rFonts w:ascii="Times New Roman" w:hAnsi="Times New Roman" w:eastAsia="仿宋_GB2312"/>
                <w:b/>
                <w:sz w:val="24"/>
              </w:rPr>
              <w:t>数据类型</w:t>
            </w:r>
          </w:p>
        </w:tc>
        <w:tc>
          <w:tcPr>
            <w:tcW w:type="dxa" w:w="1385"/>
            <w:vAlign w:val="center"/>
          </w:tcPr>
          <w:p>
            <w:pPr>
              <w:pStyle w:val="97"/>
              <w:jc w:val="center"/>
              <w:spacing w:before="0" w:after="0" w:line="360" w:lineRule="exact"/>
              <w:ind w:firstLine="0" w:firstLineChars="0"/>
            </w:pPr>
            <w:r>
              <w:rPr>
                <w:rFonts w:ascii="Times New Roman" w:hAnsi="Times New Roman" w:eastAsia="仿宋_GB2312"/>
                <w:b/>
                <w:sz w:val="24"/>
              </w:rPr>
              <w:t>年度或时点</w:t>
            </w:r>
          </w:p>
        </w:tc>
        <w:tc>
          <w:tcPr>
            <w:tcW w:type="dxa" w:w="1385"/>
            <w:vAlign w:val="center"/>
          </w:tcPr>
          <w:p>
            <w:pPr>
              <w:pStyle w:val="97"/>
              <w:jc w:val="center"/>
              <w:spacing w:before="0" w:after="0" w:line="360" w:lineRule="exact"/>
              <w:ind w:firstLine="0" w:firstLineChars="0"/>
            </w:pPr>
            <w:r>
              <w:rPr>
                <w:rFonts w:ascii="Times New Roman" w:hAnsi="Times New Roman" w:eastAsia="仿宋_GB2312"/>
                <w:b/>
                <w:sz w:val="24"/>
              </w:rPr>
              <w:t>空间粒度</w:t>
            </w:r>
          </w:p>
        </w:tc>
        <w:tc>
          <w:tcPr>
            <w:tcW w:type="dxa" w:w="1385"/>
            <w:vAlign w:val="center"/>
          </w:tcPr>
          <w:p>
            <w:pPr>
              <w:pStyle w:val="97"/>
              <w:jc w:val="center"/>
              <w:spacing w:before="0" w:after="0" w:line="360" w:lineRule="exact"/>
              <w:ind w:firstLine="0" w:firstLineChars="0"/>
            </w:pPr>
            <w:r>
              <w:rPr>
                <w:rFonts w:ascii="Times New Roman" w:hAnsi="Times New Roman" w:eastAsia="仿宋_GB2312"/>
                <w:b/>
                <w:sz w:val="24"/>
              </w:rPr>
              <w:t>电压层级</w:t>
            </w:r>
          </w:p>
        </w:tc>
        <w:tc>
          <w:tcPr>
            <w:tcW w:type="dxa" w:w="1385"/>
            <w:vAlign w:val="center"/>
          </w:tcPr>
          <w:p>
            <w:pPr>
              <w:pStyle w:val="97"/>
              <w:jc w:val="center"/>
              <w:spacing w:before="0" w:after="0" w:line="360" w:lineRule="exact"/>
              <w:ind w:firstLine="0" w:firstLineChars="0"/>
            </w:pPr>
            <w:r>
              <w:rPr>
                <w:rFonts w:ascii="Times New Roman" w:hAnsi="Times New Roman" w:eastAsia="仿宋_GB2312"/>
                <w:b/>
                <w:sz w:val="24"/>
              </w:rPr>
              <w:t>时间分辨率</w:t>
            </w:r>
          </w:p>
        </w:tc>
        <w:tc>
          <w:tcPr>
            <w:tcW w:type="dxa" w:w="1385"/>
            <w:vAlign w:val="center"/>
          </w:tcPr>
          <w:p>
            <w:pPr>
              <w:pStyle w:val="97"/>
              <w:jc w:val="center"/>
              <w:spacing w:before="0" w:after="0" w:line="360" w:lineRule="exact"/>
              <w:ind w:firstLine="0" w:firstLineChars="0"/>
            </w:pPr>
            <w:r>
              <w:rPr>
                <w:rFonts w:ascii="Times New Roman" w:hAnsi="Times New Roman" w:eastAsia="仿宋_GB2312"/>
                <w:b/>
                <w:sz w:val="24"/>
              </w:rPr>
              <w:t>本章用途</w:t>
            </w:r>
          </w:p>
        </w:tc>
      </w:tr>
      <w:tr>
        <w:trPr>
          <w:cantSplit/>
        </w:trPr>
        <w:tc>
          <w:tcPr>
            <w:tcW w:type="dxa" w:w="1385"/>
            <w:vAlign w:val="center"/>
          </w:tcPr>
          <w:p>
            <w:pPr>
              <w:pStyle w:val="97"/>
              <w:jc w:val="left"/>
              <w:spacing w:before="0" w:after="0" w:line="360" w:lineRule="exact"/>
              <w:ind w:firstLine="0" w:firstLineChars="0"/>
            </w:pPr>
            <w:r>
              <w:rPr>
                <w:rFonts w:ascii="Times New Roman" w:hAnsi="Times New Roman" w:eastAsia="仿宋_GB2312"/>
                <w:b w:val="0"/>
                <w:sz w:val="24"/>
              </w:rPr>
              <w:t>官方年度基准数据</w:t>
            </w:r>
          </w:p>
        </w:tc>
        <w:tc>
          <w:tcPr>
            <w:tcW w:type="dxa" w:w="1385"/>
            <w:vAlign w:val="center"/>
          </w:tcPr>
          <w:p>
            <w:pPr>
              <w:pStyle w:val="97"/>
              <w:jc w:val="center"/>
              <w:spacing w:before="0" w:after="0" w:line="360" w:lineRule="exact"/>
              <w:ind w:firstLine="0" w:firstLineChars="0"/>
            </w:pPr>
            <w:r>
              <w:rPr>
                <w:rFonts w:ascii="Times New Roman" w:hAnsi="Times New Roman" w:eastAsia="仿宋_GB2312"/>
                <w:b w:val="0"/>
                <w:sz w:val="24"/>
              </w:rPr>
              <w:t>2021—2025 年</w:t>
            </w:r>
          </w:p>
        </w:tc>
        <w:tc>
          <w:tcPr>
            <w:tcW w:type="dxa" w:w="1385"/>
            <w:vAlign w:val="center"/>
          </w:tcPr>
          <w:p>
            <w:pPr>
              <w:pStyle w:val="97"/>
              <w:jc w:val="center"/>
              <w:spacing w:before="0" w:after="0" w:line="360" w:lineRule="exact"/>
              <w:ind w:firstLine="0" w:firstLineChars="0"/>
            </w:pPr>
            <w:r>
              <w:rPr>
                <w:rFonts w:ascii="Times New Roman" w:hAnsi="Times New Roman" w:eastAsia="仿宋_GB2312"/>
                <w:b w:val="0"/>
                <w:sz w:val="24"/>
              </w:rPr>
              <w:t>八片区</w:t>
            </w:r>
          </w:p>
        </w:tc>
        <w:tc>
          <w:tcPr>
            <w:tcW w:type="dxa" w:w="1385"/>
            <w:vAlign w:val="center"/>
          </w:tcPr>
          <w:p>
            <w:pPr>
              <w:pStyle w:val="97"/>
              <w:jc w:val="center"/>
              <w:spacing w:before="0" w:after="0" w:line="360" w:lineRule="exact"/>
              <w:ind w:firstLine="0" w:firstLineChars="0"/>
            </w:pPr>
            <w:r>
              <w:rPr>
                <w:rFonts w:ascii="Times New Roman" w:hAnsi="Times New Roman" w:eastAsia="仿宋_GB2312"/>
                <w:b w:val="0"/>
                <w:sz w:val="24"/>
              </w:rPr>
              <w:t>110 kV、35 kV</w:t>
            </w:r>
          </w:p>
        </w:tc>
        <w:tc>
          <w:tcPr>
            <w:tcW w:type="dxa" w:w="1385"/>
            <w:vAlign w:val="center"/>
          </w:tcPr>
          <w:p>
            <w:pPr>
              <w:pStyle w:val="97"/>
              <w:jc w:val="center"/>
              <w:spacing w:before="0" w:after="0" w:line="360" w:lineRule="exact"/>
              <w:ind w:firstLine="0" w:firstLineChars="0"/>
            </w:pPr>
            <w:r>
              <w:rPr>
                <w:rFonts w:ascii="Times New Roman" w:hAnsi="Times New Roman" w:eastAsia="仿宋_GB2312"/>
                <w:b w:val="0"/>
                <w:sz w:val="24"/>
              </w:rPr>
              <w:t>年度</w:t>
            </w:r>
          </w:p>
        </w:tc>
        <w:tc>
          <w:tcPr>
            <w:tcW w:type="dxa" w:w="1385"/>
            <w:vAlign w:val="center"/>
          </w:tcPr>
          <w:p>
            <w:pPr>
              <w:pStyle w:val="97"/>
              <w:jc w:val="center"/>
              <w:spacing w:before="0" w:after="0" w:line="360" w:lineRule="exact"/>
              <w:ind w:firstLine="0" w:firstLineChars="0"/>
            </w:pPr>
            <w:r>
              <w:rPr>
                <w:rFonts w:ascii="Times New Roman" w:hAnsi="Times New Roman" w:eastAsia="仿宋_GB2312"/>
                <w:b w:val="0"/>
                <w:sz w:val="24"/>
              </w:rPr>
              <w:t>容量、同步正向峰值和容载比年度比较</w:t>
            </w:r>
          </w:p>
        </w:tc>
      </w:tr>
      <w:tr>
        <w:trPr>
          <w:cantSplit/>
        </w:trPr>
        <w:tc>
          <w:tcPr>
            <w:tcW w:type="dxa" w:w="1385"/>
            <w:vAlign w:val="center"/>
          </w:tcPr>
          <w:p>
            <w:pPr>
              <w:pStyle w:val="97"/>
              <w:jc w:val="left"/>
              <w:spacing w:before="0" w:after="0" w:line="360" w:lineRule="exact"/>
              <w:ind w:firstLine="0" w:firstLineChars="0"/>
            </w:pPr>
            <w:r>
              <w:rPr>
                <w:rFonts w:ascii="Times New Roman" w:hAnsi="Times New Roman" w:eastAsia="仿宋_GB2312"/>
                <w:b w:val="0"/>
                <w:sz w:val="24"/>
              </w:rPr>
              <w:t>主变逐时运行</w:t>
            </w:r>
          </w:p>
        </w:tc>
        <w:tc>
          <w:tcPr>
            <w:tcW w:type="dxa" w:w="1385"/>
            <w:vAlign w:val="center"/>
          </w:tcPr>
          <w:p>
            <w:pPr>
              <w:pStyle w:val="97"/>
              <w:jc w:val="center"/>
              <w:spacing w:before="0" w:after="0" w:line="360" w:lineRule="exact"/>
              <w:ind w:firstLine="0" w:firstLineChars="0"/>
            </w:pPr>
            <w:r>
              <w:rPr>
                <w:rFonts w:ascii="Times New Roman" w:hAnsi="Times New Roman" w:eastAsia="仿宋_GB2312"/>
                <w:b w:val="0"/>
                <w:sz w:val="24"/>
              </w:rPr>
              <w:t>2022—2025 年</w:t>
            </w:r>
          </w:p>
        </w:tc>
        <w:tc>
          <w:tcPr>
            <w:tcW w:type="dxa" w:w="1385"/>
            <w:vAlign w:val="center"/>
          </w:tcPr>
          <w:p>
            <w:pPr>
              <w:pStyle w:val="97"/>
              <w:jc w:val="center"/>
              <w:spacing w:before="0" w:after="0" w:line="360" w:lineRule="exact"/>
              <w:ind w:firstLine="0" w:firstLineChars="0"/>
            </w:pPr>
            <w:r>
              <w:rPr>
                <w:rFonts w:ascii="Times New Roman" w:hAnsi="Times New Roman" w:eastAsia="仿宋_GB2312"/>
                <w:b w:val="0"/>
                <w:sz w:val="24"/>
              </w:rPr>
              <w:t>主变、站点、典型片区</w:t>
            </w:r>
          </w:p>
        </w:tc>
        <w:tc>
          <w:tcPr>
            <w:tcW w:type="dxa" w:w="1385"/>
            <w:vAlign w:val="center"/>
          </w:tcPr>
          <w:p>
            <w:pPr>
              <w:pStyle w:val="97"/>
              <w:jc w:val="center"/>
              <w:spacing w:before="0" w:after="0" w:line="360" w:lineRule="exact"/>
              <w:ind w:firstLine="0" w:firstLineChars="0"/>
            </w:pPr>
            <w:r>
              <w:rPr>
                <w:rFonts w:ascii="Times New Roman" w:hAnsi="Times New Roman" w:eastAsia="仿宋_GB2312"/>
                <w:b w:val="0"/>
                <w:sz w:val="24"/>
              </w:rPr>
              <w:t>110 kV、35 kV</w:t>
            </w:r>
          </w:p>
        </w:tc>
        <w:tc>
          <w:tcPr>
            <w:tcW w:type="dxa" w:w="1385"/>
            <w:vAlign w:val="center"/>
          </w:tcPr>
          <w:p>
            <w:pPr>
              <w:pStyle w:val="97"/>
              <w:jc w:val="center"/>
              <w:spacing w:before="0" w:after="0" w:line="360" w:lineRule="exact"/>
              <w:ind w:firstLine="0" w:firstLineChars="0"/>
            </w:pPr>
            <w:r>
              <w:rPr>
                <w:rFonts w:ascii="Times New Roman" w:hAnsi="Times New Roman" w:eastAsia="仿宋_GB2312"/>
                <w:b w:val="0"/>
                <w:sz w:val="24"/>
              </w:rPr>
              <w:t>1 h</w:t>
            </w:r>
          </w:p>
        </w:tc>
        <w:tc>
          <w:tcPr>
            <w:tcW w:type="dxa" w:w="1385"/>
            <w:vAlign w:val="center"/>
          </w:tcPr>
          <w:p>
            <w:pPr>
              <w:pStyle w:val="97"/>
              <w:jc w:val="center"/>
              <w:spacing w:before="0" w:after="0" w:line="360" w:lineRule="exact"/>
              <w:ind w:firstLine="0" w:firstLineChars="0"/>
            </w:pPr>
            <w:r>
              <w:rPr>
                <w:rFonts w:ascii="Times New Roman" w:hAnsi="Times New Roman" w:eastAsia="仿宋_GB2312"/>
                <w:b w:val="0"/>
                <w:sz w:val="24"/>
              </w:rPr>
              <w:t>数据完整性审计；通过数据准入的范围用于多工况分析</w:t>
            </w:r>
          </w:p>
        </w:tc>
      </w:tr>
      <w:tr>
        <w:trPr>
          <w:cantSplit/>
        </w:trPr>
        <w:tc>
          <w:tcPr>
            <w:tcW w:type="dxa" w:w="1385"/>
            <w:vAlign w:val="center"/>
          </w:tcPr>
          <w:p>
            <w:pPr>
              <w:pStyle w:val="97"/>
              <w:jc w:val="left"/>
              <w:spacing w:before="0" w:after="0" w:line="360" w:lineRule="exact"/>
              <w:ind w:firstLine="0" w:firstLineChars="0"/>
            </w:pPr>
            <w:r>
              <w:rPr>
                <w:rFonts w:ascii="Times New Roman" w:hAnsi="Times New Roman" w:eastAsia="仿宋_GB2312"/>
                <w:b w:val="0"/>
                <w:sz w:val="24"/>
              </w:rPr>
              <w:t>设备与站点主表</w:t>
            </w:r>
          </w:p>
        </w:tc>
        <w:tc>
          <w:tcPr>
            <w:tcW w:type="dxa" w:w="1385"/>
            <w:vAlign w:val="center"/>
          </w:tcPr>
          <w:p>
            <w:pPr>
              <w:pStyle w:val="97"/>
              <w:jc w:val="center"/>
              <w:spacing w:before="0" w:after="0" w:line="360" w:lineRule="exact"/>
              <w:ind w:firstLine="0" w:firstLineChars="0"/>
            </w:pPr>
            <w:r>
              <w:rPr>
                <w:rFonts w:ascii="Times New Roman" w:hAnsi="Times New Roman" w:eastAsia="仿宋_GB2312"/>
                <w:b w:val="0"/>
                <w:sz w:val="24"/>
              </w:rPr>
              <w:t>当前设备范围</w:t>
            </w:r>
          </w:p>
        </w:tc>
        <w:tc>
          <w:tcPr>
            <w:tcW w:type="dxa" w:w="1385"/>
            <w:vAlign w:val="center"/>
          </w:tcPr>
          <w:p>
            <w:pPr>
              <w:pStyle w:val="97"/>
              <w:jc w:val="center"/>
              <w:spacing w:before="0" w:after="0" w:line="360" w:lineRule="exact"/>
              <w:ind w:firstLine="0" w:firstLineChars="0"/>
            </w:pPr>
            <w:r>
              <w:rPr>
                <w:rFonts w:ascii="Times New Roman" w:hAnsi="Times New Roman" w:eastAsia="仿宋_GB2312"/>
                <w:b w:val="0"/>
                <w:sz w:val="24"/>
              </w:rPr>
              <w:t>主变、站点</w:t>
            </w:r>
          </w:p>
        </w:tc>
        <w:tc>
          <w:tcPr>
            <w:tcW w:type="dxa" w:w="1385"/>
            <w:vAlign w:val="center"/>
          </w:tcPr>
          <w:p>
            <w:pPr>
              <w:pStyle w:val="97"/>
              <w:jc w:val="center"/>
              <w:spacing w:before="0" w:after="0" w:line="360" w:lineRule="exact"/>
              <w:ind w:firstLine="0" w:firstLineChars="0"/>
            </w:pPr>
            <w:r>
              <w:rPr>
                <w:rFonts w:ascii="Times New Roman" w:hAnsi="Times New Roman" w:eastAsia="仿宋_GB2312"/>
                <w:b w:val="0"/>
                <w:sz w:val="24"/>
              </w:rPr>
              <w:t>110 kV、35 kV</w:t>
            </w:r>
          </w:p>
        </w:tc>
        <w:tc>
          <w:tcPr>
            <w:tcW w:type="dxa" w:w="1385"/>
            <w:vAlign w:val="center"/>
          </w:tcPr>
          <w:p>
            <w:pPr>
              <w:pStyle w:val="97"/>
              <w:jc w:val="center"/>
              <w:spacing w:before="0" w:after="0" w:line="360" w:lineRule="exact"/>
              <w:ind w:firstLine="0" w:firstLineChars="0"/>
            </w:pPr>
            <w:r>
              <w:rPr>
                <w:rFonts w:ascii="Times New Roman" w:hAnsi="Times New Roman" w:eastAsia="仿宋_GB2312"/>
                <w:b w:val="0"/>
                <w:sz w:val="24"/>
              </w:rPr>
              <w:t>静态</w:t>
            </w:r>
          </w:p>
        </w:tc>
        <w:tc>
          <w:tcPr>
            <w:tcW w:type="dxa" w:w="1385"/>
            <w:vAlign w:val="center"/>
          </w:tcPr>
          <w:p>
            <w:pPr>
              <w:pStyle w:val="97"/>
              <w:jc w:val="center"/>
              <w:spacing w:before="0" w:after="0" w:line="360" w:lineRule="exact"/>
              <w:ind w:firstLine="0" w:firstLineChars="0"/>
            </w:pPr>
            <w:r>
              <w:rPr>
                <w:rFonts w:ascii="Times New Roman" w:hAnsi="Times New Roman" w:eastAsia="仿宋_GB2312"/>
                <w:b w:val="0"/>
                <w:sz w:val="24"/>
              </w:rPr>
              <w:t>建立设备归属、容量和运行方式关系</w:t>
            </w:r>
          </w:p>
        </w:tc>
      </w:tr>
      <w:tr>
        <w:trPr>
          <w:cantSplit/>
        </w:trPr>
        <w:tc>
          <w:tcPr>
            <w:tcW w:type="dxa" w:w="1385"/>
            <w:vAlign w:val="center"/>
          </w:tcPr>
          <w:p>
            <w:pPr>
              <w:pStyle w:val="97"/>
              <w:jc w:val="left"/>
              <w:spacing w:before="0" w:after="0" w:line="360" w:lineRule="exact"/>
              <w:ind w:firstLine="0" w:firstLineChars="0"/>
            </w:pPr>
            <w:r>
              <w:rPr>
                <w:rFonts w:ascii="Times New Roman" w:hAnsi="Times New Roman" w:eastAsia="仿宋_GB2312"/>
                <w:b w:val="0"/>
                <w:sz w:val="24"/>
              </w:rPr>
              <w:t>年度资产范围</w:t>
            </w:r>
          </w:p>
        </w:tc>
        <w:tc>
          <w:tcPr>
            <w:tcW w:type="dxa" w:w="1385"/>
            <w:vAlign w:val="center"/>
          </w:tcPr>
          <w:p>
            <w:pPr>
              <w:pStyle w:val="97"/>
              <w:jc w:val="center"/>
              <w:spacing w:before="0" w:after="0" w:line="360" w:lineRule="exact"/>
              <w:ind w:firstLine="0" w:firstLineChars="0"/>
            </w:pPr>
            <w:r>
              <w:rPr>
                <w:rFonts w:ascii="Times New Roman" w:hAnsi="Times New Roman" w:eastAsia="仿宋_GB2312"/>
                <w:b w:val="0"/>
                <w:sz w:val="24"/>
              </w:rPr>
              <w:t>2021—2025 年</w:t>
            </w:r>
          </w:p>
        </w:tc>
        <w:tc>
          <w:tcPr>
            <w:tcW w:type="dxa" w:w="1385"/>
            <w:vAlign w:val="center"/>
          </w:tcPr>
          <w:p>
            <w:pPr>
              <w:pStyle w:val="97"/>
              <w:jc w:val="center"/>
              <w:spacing w:before="0" w:after="0" w:line="360" w:lineRule="exact"/>
              <w:ind w:firstLine="0" w:firstLineChars="0"/>
            </w:pPr>
            <w:r>
              <w:rPr>
                <w:rFonts w:ascii="Times New Roman" w:hAnsi="Times New Roman" w:eastAsia="仿宋_GB2312"/>
                <w:b w:val="0"/>
                <w:sz w:val="24"/>
              </w:rPr>
              <w:t>主变、站点、片区</w:t>
            </w:r>
          </w:p>
        </w:tc>
        <w:tc>
          <w:tcPr>
            <w:tcW w:type="dxa" w:w="1385"/>
            <w:vAlign w:val="center"/>
          </w:tcPr>
          <w:p>
            <w:pPr>
              <w:pStyle w:val="97"/>
              <w:jc w:val="center"/>
              <w:spacing w:before="0" w:after="0" w:line="360" w:lineRule="exact"/>
              <w:ind w:firstLine="0" w:firstLineChars="0"/>
            </w:pPr>
            <w:r>
              <w:rPr>
                <w:rFonts w:ascii="Times New Roman" w:hAnsi="Times New Roman" w:eastAsia="仿宋_GB2312"/>
                <w:b w:val="0"/>
                <w:sz w:val="24"/>
              </w:rPr>
              <w:t>110 kV、35 kV</w:t>
            </w:r>
          </w:p>
        </w:tc>
        <w:tc>
          <w:tcPr>
            <w:tcW w:type="dxa" w:w="1385"/>
            <w:vAlign w:val="center"/>
          </w:tcPr>
          <w:p>
            <w:pPr>
              <w:pStyle w:val="97"/>
              <w:jc w:val="center"/>
              <w:spacing w:before="0" w:after="0" w:line="360" w:lineRule="exact"/>
              <w:ind w:firstLine="0" w:firstLineChars="0"/>
            </w:pPr>
            <w:r>
              <w:rPr>
                <w:rFonts w:ascii="Times New Roman" w:hAnsi="Times New Roman" w:eastAsia="仿宋_GB2312"/>
                <w:b w:val="0"/>
                <w:sz w:val="24"/>
              </w:rPr>
              <w:t>年度</w:t>
            </w:r>
          </w:p>
        </w:tc>
        <w:tc>
          <w:tcPr>
            <w:tcW w:type="dxa" w:w="1385"/>
            <w:vAlign w:val="center"/>
          </w:tcPr>
          <w:p>
            <w:pPr>
              <w:pStyle w:val="97"/>
              <w:jc w:val="center"/>
              <w:spacing w:before="0" w:after="0" w:line="360" w:lineRule="exact"/>
              <w:ind w:firstLine="0" w:firstLineChars="0"/>
            </w:pPr>
            <w:r>
              <w:rPr>
                <w:rFonts w:ascii="Times New Roman" w:hAnsi="Times New Roman" w:eastAsia="仿宋_GB2312"/>
                <w:b w:val="0"/>
                <w:sz w:val="24"/>
              </w:rPr>
              <w:t>判断各年度逐时数据是否具备正式使用条件</w:t>
            </w:r>
          </w:p>
        </w:tc>
      </w:tr>
      <w:tr>
        <w:trPr>
          <w:cantSplit/>
        </w:trPr>
        <w:tc>
          <w:tcPr>
            <w:tcW w:type="dxa" w:w="1385"/>
            <w:vAlign w:val="center"/>
          </w:tcPr>
          <w:p>
            <w:pPr>
              <w:pStyle w:val="97"/>
              <w:jc w:val="left"/>
              <w:spacing w:before="0" w:after="0" w:line="360" w:lineRule="exact"/>
              <w:ind w:firstLine="0" w:firstLineChars="0"/>
            </w:pPr>
            <w:r>
              <w:rPr>
                <w:rFonts w:ascii="Times New Roman" w:hAnsi="Times New Roman" w:eastAsia="仿宋_GB2312"/>
                <w:b w:val="0"/>
                <w:sz w:val="24"/>
              </w:rPr>
              <w:t>站级光伏快照</w:t>
            </w:r>
          </w:p>
        </w:tc>
        <w:tc>
          <w:tcPr>
            <w:tcW w:type="dxa" w:w="1385"/>
            <w:vAlign w:val="center"/>
          </w:tcPr>
          <w:p>
            <w:pPr>
              <w:pStyle w:val="97"/>
              <w:jc w:val="center"/>
              <w:spacing w:before="0" w:after="0" w:line="360" w:lineRule="exact"/>
              <w:ind w:firstLine="0" w:firstLineChars="0"/>
            </w:pPr>
            <w:r>
              <w:rPr>
                <w:rFonts w:ascii="Times New Roman" w:hAnsi="Times New Roman" w:eastAsia="仿宋_GB2312"/>
                <w:b w:val="0"/>
                <w:sz w:val="24"/>
              </w:rPr>
              <w:t>2026 年 3—5 月</w:t>
            </w:r>
          </w:p>
        </w:tc>
        <w:tc>
          <w:tcPr>
            <w:tcW w:type="dxa" w:w="1385"/>
            <w:vAlign w:val="center"/>
          </w:tcPr>
          <w:p>
            <w:pPr>
              <w:pStyle w:val="97"/>
              <w:jc w:val="center"/>
              <w:spacing w:before="0" w:after="0" w:line="360" w:lineRule="exact"/>
              <w:ind w:firstLine="0" w:firstLineChars="0"/>
            </w:pPr>
            <w:r>
              <w:rPr>
                <w:rFonts w:ascii="Times New Roman" w:hAnsi="Times New Roman" w:eastAsia="仿宋_GB2312"/>
                <w:b w:val="0"/>
                <w:sz w:val="24"/>
              </w:rPr>
              <w:t>站点、片区</w:t>
            </w:r>
          </w:p>
        </w:tc>
        <w:tc>
          <w:tcPr>
            <w:tcW w:type="dxa" w:w="1385"/>
            <w:vAlign w:val="center"/>
          </w:tcPr>
          <w:p>
            <w:pPr>
              <w:pStyle w:val="97"/>
              <w:jc w:val="center"/>
              <w:spacing w:before="0" w:after="0" w:line="360" w:lineRule="exact"/>
              <w:ind w:firstLine="0" w:firstLineChars="0"/>
            </w:pPr>
            <w:r>
              <w:rPr>
                <w:rFonts w:ascii="Times New Roman" w:hAnsi="Times New Roman" w:eastAsia="仿宋_GB2312"/>
                <w:b w:val="0"/>
                <w:sz w:val="24"/>
              </w:rPr>
              <w:t>110 kV、35 kV</w:t>
            </w:r>
          </w:p>
        </w:tc>
        <w:tc>
          <w:tcPr>
            <w:tcW w:type="dxa" w:w="1385"/>
            <w:vAlign w:val="center"/>
          </w:tcPr>
          <w:p>
            <w:pPr>
              <w:pStyle w:val="97"/>
              <w:jc w:val="center"/>
              <w:spacing w:before="0" w:after="0" w:line="360" w:lineRule="exact"/>
              <w:ind w:firstLine="0" w:firstLineChars="0"/>
            </w:pPr>
            <w:r>
              <w:rPr>
                <w:rFonts w:ascii="Times New Roman" w:hAnsi="Times New Roman" w:eastAsia="仿宋_GB2312"/>
                <w:b w:val="0"/>
                <w:sz w:val="24"/>
              </w:rPr>
              <w:t>快照</w:t>
            </w:r>
          </w:p>
        </w:tc>
        <w:tc>
          <w:tcPr>
            <w:tcW w:type="dxa" w:w="1385"/>
            <w:vAlign w:val="center"/>
          </w:tcPr>
          <w:p>
            <w:pPr>
              <w:pStyle w:val="97"/>
              <w:jc w:val="center"/>
              <w:spacing w:before="0" w:after="0" w:line="360" w:lineRule="exact"/>
              <w:ind w:firstLine="0" w:firstLineChars="0"/>
            </w:pPr>
            <w:r>
              <w:rPr>
                <w:rFonts w:ascii="Times New Roman" w:hAnsi="Times New Roman" w:eastAsia="仿宋_GB2312"/>
                <w:b w:val="0"/>
                <w:sz w:val="24"/>
              </w:rPr>
              <w:t>当前新能源空间背景和情景输入</w:t>
            </w:r>
          </w:p>
        </w:tc>
      </w:tr>
      <w:tr>
        <w:trPr>
          <w:cantSplit/>
        </w:trPr>
        <w:tc>
          <w:tcPr>
            <w:tcW w:type="dxa" w:w="1385"/>
            <w:vAlign w:val="center"/>
          </w:tcPr>
          <w:p>
            <w:pPr>
              <w:pStyle w:val="97"/>
              <w:jc w:val="left"/>
              <w:spacing w:before="0" w:after="0" w:line="360" w:lineRule="exact"/>
              <w:ind w:firstLine="0" w:firstLineChars="0"/>
            </w:pPr>
            <w:r>
              <w:rPr>
                <w:rFonts w:ascii="Times New Roman" w:hAnsi="Times New Roman" w:eastAsia="仿宋_GB2312"/>
                <w:b w:val="0"/>
                <w:sz w:val="24"/>
              </w:rPr>
              <w:t>光伏标准曲线</w:t>
            </w:r>
          </w:p>
        </w:tc>
        <w:tc>
          <w:tcPr>
            <w:tcW w:type="dxa" w:w="1385"/>
            <w:vAlign w:val="center"/>
          </w:tcPr>
          <w:p>
            <w:pPr>
              <w:pStyle w:val="97"/>
              <w:jc w:val="center"/>
              <w:spacing w:before="0" w:after="0" w:line="360" w:lineRule="exact"/>
              <w:ind w:firstLine="0" w:firstLineChars="0"/>
            </w:pPr>
            <w:r>
              <w:rPr>
                <w:rFonts w:ascii="Times New Roman" w:hAnsi="Times New Roman" w:eastAsia="仿宋_GB2312"/>
                <w:b w:val="0"/>
                <w:sz w:val="24"/>
              </w:rPr>
              <w:t>2025 年典型曲线</w:t>
            </w:r>
          </w:p>
        </w:tc>
        <w:tc>
          <w:tcPr>
            <w:tcW w:type="dxa" w:w="1385"/>
            <w:vAlign w:val="center"/>
          </w:tcPr>
          <w:p>
            <w:pPr>
              <w:pStyle w:val="97"/>
              <w:jc w:val="center"/>
              <w:spacing w:before="0" w:after="0" w:line="360" w:lineRule="exact"/>
              <w:ind w:firstLine="0" w:firstLineChars="0"/>
            </w:pPr>
            <w:r>
              <w:rPr>
                <w:rFonts w:ascii="Times New Roman" w:hAnsi="Times New Roman" w:eastAsia="仿宋_GB2312"/>
                <w:b w:val="0"/>
                <w:sz w:val="24"/>
              </w:rPr>
              <w:t>全网曲线</w:t>
            </w:r>
          </w:p>
        </w:tc>
        <w:tc>
          <w:tcPr>
            <w:tcW w:type="dxa" w:w="1385"/>
            <w:vAlign w:val="center"/>
          </w:tcPr>
          <w:p>
            <w:pPr>
              <w:pStyle w:val="97"/>
              <w:jc w:val="center"/>
              <w:spacing w:before="0" w:after="0" w:line="360" w:lineRule="exact"/>
              <w:ind w:firstLine="0" w:firstLineChars="0"/>
            </w:pPr>
            <w:r>
              <w:rPr>
                <w:rFonts w:ascii="Times New Roman" w:hAnsi="Times New Roman" w:eastAsia="仿宋_GB2312"/>
                <w:b w:val="0"/>
                <w:sz w:val="24"/>
              </w:rPr>
              <w:t>不跨电压汇总</w:t>
            </w:r>
          </w:p>
        </w:tc>
        <w:tc>
          <w:tcPr>
            <w:tcW w:type="dxa" w:w="1385"/>
            <w:vAlign w:val="center"/>
          </w:tcPr>
          <w:p>
            <w:pPr>
              <w:pStyle w:val="97"/>
              <w:jc w:val="center"/>
              <w:spacing w:before="0" w:after="0" w:line="360" w:lineRule="exact"/>
              <w:ind w:firstLine="0" w:firstLineChars="0"/>
            </w:pPr>
            <w:r>
              <w:rPr>
                <w:rFonts w:ascii="Times New Roman" w:hAnsi="Times New Roman" w:eastAsia="仿宋_GB2312"/>
                <w:b w:val="0"/>
                <w:sz w:val="24"/>
              </w:rPr>
              <w:t>1 h</w:t>
            </w:r>
          </w:p>
        </w:tc>
        <w:tc>
          <w:tcPr>
            <w:tcW w:type="dxa" w:w="1385"/>
            <w:vAlign w:val="center"/>
          </w:tcPr>
          <w:p>
            <w:pPr>
              <w:pStyle w:val="97"/>
              <w:jc w:val="center"/>
              <w:spacing w:before="0" w:after="0" w:line="360" w:lineRule="exact"/>
              <w:ind w:firstLine="0" w:firstLineChars="0"/>
            </w:pPr>
            <w:r>
              <w:rPr>
                <w:rFonts w:ascii="Times New Roman" w:hAnsi="Times New Roman" w:eastAsia="仿宋_GB2312"/>
                <w:b w:val="0"/>
                <w:sz w:val="24"/>
              </w:rPr>
              <w:t>场景构建，不替代站级历史实测</w:t>
            </w:r>
          </w:p>
        </w:tc>
      </w:tr>
      <w:tr>
        <w:trPr>
          <w:cantSplit/>
        </w:trPr>
        <w:tc>
          <w:tcPr>
            <w:tcW w:type="dxa" w:w="1385"/>
            <w:vAlign w:val="center"/>
          </w:tcPr>
          <w:p>
            <w:pPr>
              <w:pStyle w:val="97"/>
              <w:jc w:val="left"/>
              <w:spacing w:before="0" w:after="0" w:line="360" w:lineRule="exact"/>
              <w:ind w:firstLine="0" w:firstLineChars="0"/>
            </w:pPr>
            <w:r>
              <w:rPr>
                <w:rFonts w:ascii="Times New Roman" w:hAnsi="Times New Roman" w:eastAsia="仿宋_GB2312"/>
                <w:b w:val="0"/>
                <w:sz w:val="24"/>
              </w:rPr>
              <w:t>网架和工程候选</w:t>
            </w:r>
          </w:p>
        </w:tc>
        <w:tc>
          <w:tcPr>
            <w:tcW w:type="dxa" w:w="1385"/>
            <w:vAlign w:val="center"/>
          </w:tcPr>
          <w:p>
            <w:pPr>
              <w:pStyle w:val="97"/>
              <w:jc w:val="center"/>
              <w:spacing w:before="0" w:after="0" w:line="360" w:lineRule="exact"/>
              <w:ind w:firstLine="0" w:firstLineChars="0"/>
            </w:pPr>
            <w:r>
              <w:rPr>
                <w:rFonts w:ascii="Times New Roman" w:hAnsi="Times New Roman" w:eastAsia="仿宋_GB2312"/>
                <w:b w:val="0"/>
                <w:sz w:val="24"/>
              </w:rPr>
              <w:t>当前资料</w:t>
            </w:r>
          </w:p>
        </w:tc>
        <w:tc>
          <w:tcPr>
            <w:tcW w:type="dxa" w:w="1385"/>
            <w:vAlign w:val="center"/>
          </w:tcPr>
          <w:p>
            <w:pPr>
              <w:pStyle w:val="97"/>
              <w:jc w:val="center"/>
              <w:spacing w:before="0" w:after="0" w:line="360" w:lineRule="exact"/>
              <w:ind w:firstLine="0" w:firstLineChars="0"/>
            </w:pPr>
            <w:r>
              <w:rPr>
                <w:rFonts w:ascii="Times New Roman" w:hAnsi="Times New Roman" w:eastAsia="仿宋_GB2312"/>
                <w:b w:val="0"/>
                <w:sz w:val="24"/>
              </w:rPr>
              <w:t>线路、主变、站点</w:t>
            </w:r>
          </w:p>
        </w:tc>
        <w:tc>
          <w:tcPr>
            <w:tcW w:type="dxa" w:w="1385"/>
            <w:vAlign w:val="center"/>
          </w:tcPr>
          <w:p>
            <w:pPr>
              <w:pStyle w:val="97"/>
              <w:jc w:val="center"/>
              <w:spacing w:before="0" w:after="0" w:line="360" w:lineRule="exact"/>
              <w:ind w:firstLine="0" w:firstLineChars="0"/>
            </w:pPr>
            <w:r>
              <w:rPr>
                <w:rFonts w:ascii="Times New Roman" w:hAnsi="Times New Roman" w:eastAsia="仿宋_GB2312"/>
                <w:b w:val="0"/>
                <w:sz w:val="24"/>
              </w:rPr>
              <w:t>分电压管理</w:t>
            </w:r>
          </w:p>
        </w:tc>
        <w:tc>
          <w:tcPr>
            <w:tcW w:type="dxa" w:w="1385"/>
            <w:vAlign w:val="center"/>
          </w:tcPr>
          <w:p>
            <w:pPr>
              <w:pStyle w:val="97"/>
              <w:jc w:val="center"/>
              <w:spacing w:before="0" w:after="0" w:line="360" w:lineRule="exact"/>
              <w:ind w:firstLine="0" w:firstLineChars="0"/>
            </w:pPr>
            <w:r>
              <w:rPr>
                <w:rFonts w:ascii="Times New Roman" w:hAnsi="Times New Roman" w:eastAsia="仿宋_GB2312"/>
                <w:b w:val="0"/>
                <w:sz w:val="24"/>
              </w:rPr>
              <w:t>静态</w:t>
            </w:r>
          </w:p>
        </w:tc>
        <w:tc>
          <w:tcPr>
            <w:tcW w:type="dxa" w:w="1385"/>
            <w:vAlign w:val="center"/>
          </w:tcPr>
          <w:p>
            <w:pPr>
              <w:pStyle w:val="97"/>
              <w:jc w:val="center"/>
              <w:spacing w:before="0" w:after="0" w:line="360" w:lineRule="exact"/>
              <w:ind w:firstLine="0" w:firstLineChars="0"/>
            </w:pPr>
            <w:r>
              <w:rPr>
                <w:rFonts w:ascii="Times New Roman" w:hAnsi="Times New Roman" w:eastAsia="仿宋_GB2312"/>
                <w:b w:val="0"/>
                <w:sz w:val="24"/>
              </w:rPr>
              <w:t>后续网络压力检查和离散措施输入</w:t>
            </w:r>
          </w:p>
        </w:tc>
      </w:tr>
    </w:tbl>
    <w:p>
      <w:pPr>
        <w:spacing w:before="0" w:after="0" w:line="560" w:lineRule="exact"/>
        <w:jc w:val="both"/>
        <w:ind w:firstLineChars="200" w:firstLine="200"/>
      </w:pPr>
      <w:r>
        <w:rPr>
          <w:rFonts w:ascii="Times New Roman" w:hAnsi="Times New Roman" w:eastAsia="仿宋_GB2312"/>
          <w:b w:val="0"/>
          <w:sz w:val="28"/>
        </w:rPr>
        <w:t>2025 年八片区 110 kV 年度基准数据见表 3-2。各片区公用变容量介于 966.5～3701.0 MVA，同步正向峰值介于 313.03～1528.82 MW，容载比介于 2.24～3.30。QX-00005 的 110 kV 容载比为 2.24，是当年八片区中的最低值；QX-00004 为 3.30，是当年最高值。容量规模最大的片区并不对应最高容载比，容载比高低取决于容量与同步正向峰值的相对关系，不能仅按容量总量判断。</w:t>
      </w:r>
    </w:p>
    <w:p>
      <w:pPr>
        <w:pStyle w:val="12"/>
        <w:keepNext/>
        <w:spacing w:before="120" w:after="60" w:line="400" w:lineRule="exact"/>
        <w:jc w:val="center"/>
        <w:ind w:firstLine="0" w:firstLineChars="0"/>
      </w:pPr>
      <w:r>
        <w:rPr>
          <w:rFonts w:ascii="Times New Roman" w:hAnsi="Times New Roman" w:eastAsia="仿宋_GB2312"/>
          <w:b w:val="0"/>
          <w:sz w:val="24"/>
        </w:rPr>
        <w:t>表 3-2 2025 年八片区 110 kV 容量、同步正向峰值和容载比</w:t>
      </w:r>
    </w:p>
    <w:tbl>
      <w:tblPr>
        <w:tblW w:type="auto" w:w="0"/>
        <w:tblLayout w:type="autofi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662"/>
        <w:gridCol w:w="1662"/>
        <w:gridCol w:w="1662"/>
        <w:gridCol w:w="1662"/>
        <w:gridCol w:w="1662"/>
      </w:tblGrid>
      <w:tr>
        <w:trPr>
          <w:cantSplit/>
          <w:tblHeader w:val="true"/>
        </w:trPr>
        <w:tc>
          <w:tcPr>
            <w:tcW w:type="dxa" w:w="1662"/>
            <w:vAlign w:val="center"/>
          </w:tcPr>
          <w:p>
            <w:pPr>
              <w:pStyle w:val="97"/>
              <w:jc w:val="center"/>
              <w:spacing w:before="0" w:after="0" w:line="360" w:lineRule="exact"/>
              <w:ind w:firstLine="0" w:firstLineChars="0"/>
            </w:pPr>
            <w:r>
              <w:rPr>
                <w:rFonts w:ascii="Times New Roman" w:hAnsi="Times New Roman" w:eastAsia="仿宋_GB2312"/>
                <w:b/>
                <w:sz w:val="24"/>
              </w:rPr>
              <w:t>片区</w:t>
            </w:r>
          </w:p>
        </w:tc>
        <w:tc>
          <w:tcPr>
            <w:tcW w:type="dxa" w:w="1662"/>
            <w:vAlign w:val="center"/>
          </w:tcPr>
          <w:p>
            <w:pPr>
              <w:pStyle w:val="97"/>
              <w:jc w:val="center"/>
              <w:spacing w:before="0" w:after="0" w:line="360" w:lineRule="exact"/>
              <w:ind w:firstLine="0" w:firstLineChars="0"/>
            </w:pPr>
            <w:r>
              <w:rPr>
                <w:rFonts w:ascii="Times New Roman" w:hAnsi="Times New Roman" w:eastAsia="仿宋_GB2312"/>
                <w:b/>
                <w:sz w:val="24"/>
              </w:rPr>
              <w:t>公用变容量（MVA）</w:t>
            </w:r>
          </w:p>
        </w:tc>
        <w:tc>
          <w:tcPr>
            <w:tcW w:type="dxa" w:w="1662"/>
            <w:vAlign w:val="center"/>
          </w:tcPr>
          <w:p>
            <w:pPr>
              <w:pStyle w:val="97"/>
              <w:jc w:val="center"/>
              <w:spacing w:before="0" w:after="0" w:line="360" w:lineRule="exact"/>
              <w:ind w:firstLine="0" w:firstLineChars="0"/>
            </w:pPr>
            <w:r>
              <w:rPr>
                <w:rFonts w:ascii="Times New Roman" w:hAnsi="Times New Roman" w:eastAsia="仿宋_GB2312"/>
                <w:b/>
                <w:sz w:val="24"/>
              </w:rPr>
              <w:t>同步正向峰值（MW）</w:t>
            </w:r>
          </w:p>
        </w:tc>
        <w:tc>
          <w:tcPr>
            <w:tcW w:type="dxa" w:w="1662"/>
            <w:vAlign w:val="center"/>
          </w:tcPr>
          <w:p>
            <w:pPr>
              <w:pStyle w:val="97"/>
              <w:jc w:val="center"/>
              <w:spacing w:before="0" w:after="0" w:line="360" w:lineRule="exact"/>
              <w:ind w:firstLine="0" w:firstLineChars="0"/>
            </w:pPr>
            <w:r>
              <w:rPr>
                <w:rFonts w:ascii="Times New Roman" w:hAnsi="Times New Roman" w:eastAsia="仿宋_GB2312"/>
                <w:b/>
                <w:sz w:val="24"/>
              </w:rPr>
              <w:t>容载比</w:t>
            </w:r>
          </w:p>
        </w:tc>
        <w:tc>
          <w:tcPr>
            <w:tcW w:type="dxa" w:w="1662"/>
            <w:vAlign w:val="center"/>
          </w:tcPr>
          <w:p>
            <w:pPr>
              <w:pStyle w:val="97"/>
              <w:jc w:val="center"/>
              <w:spacing w:before="0" w:after="0" w:line="360" w:lineRule="exact"/>
              <w:ind w:firstLine="0" w:firstLineChars="0"/>
            </w:pPr>
            <w:r>
              <w:rPr>
                <w:rFonts w:ascii="Times New Roman" w:hAnsi="Times New Roman" w:eastAsia="仿宋_GB2312"/>
                <w:b/>
                <w:sz w:val="24"/>
              </w:rPr>
              <w:t>年度证据</w:t>
            </w:r>
          </w:p>
        </w:tc>
      </w:tr>
      <w:tr>
        <w:trPr>
          <w:cantSplit/>
        </w:trPr>
        <w:tc>
          <w:tcPr>
            <w:tcW w:type="dxa" w:w="1662"/>
            <w:vAlign w:val="center"/>
          </w:tcPr>
          <w:p>
            <w:pPr>
              <w:pStyle w:val="97"/>
              <w:jc w:val="left"/>
              <w:spacing w:before="0" w:after="0" w:line="360" w:lineRule="exact"/>
              <w:ind w:firstLine="0" w:firstLineChars="0"/>
            </w:pPr>
            <w:r>
              <w:rPr>
                <w:rFonts w:ascii="Times New Roman" w:hAnsi="Times New Roman" w:eastAsia="仿宋_GB2312"/>
                <w:b w:val="0"/>
                <w:sz w:val="24"/>
              </w:rPr>
              <w:t>QX-00001</w:t>
            </w:r>
          </w:p>
        </w:tc>
        <w:tc>
          <w:tcPr>
            <w:tcW w:type="dxa" w:w="1662"/>
            <w:vAlign w:val="center"/>
          </w:tcPr>
          <w:p>
            <w:pPr>
              <w:pStyle w:val="97"/>
              <w:jc w:val="center"/>
              <w:spacing w:before="0" w:after="0" w:line="360" w:lineRule="exact"/>
              <w:ind w:firstLine="0" w:firstLineChars="0"/>
            </w:pPr>
            <w:r>
              <w:rPr>
                <w:rFonts w:ascii="Times New Roman" w:hAnsi="Times New Roman" w:eastAsia="仿宋_GB2312"/>
                <w:b w:val="0"/>
                <w:sz w:val="24"/>
              </w:rPr>
              <w:t>1425.0</w:t>
            </w:r>
          </w:p>
        </w:tc>
        <w:tc>
          <w:tcPr>
            <w:tcW w:type="dxa" w:w="1662"/>
            <w:vAlign w:val="center"/>
          </w:tcPr>
          <w:p>
            <w:pPr>
              <w:pStyle w:val="97"/>
              <w:jc w:val="center"/>
              <w:spacing w:before="0" w:after="0" w:line="360" w:lineRule="exact"/>
              <w:ind w:firstLine="0" w:firstLineChars="0"/>
            </w:pPr>
            <w:r>
              <w:rPr>
                <w:rFonts w:ascii="Times New Roman" w:hAnsi="Times New Roman" w:eastAsia="仿宋_GB2312"/>
                <w:b w:val="0"/>
                <w:sz w:val="24"/>
              </w:rPr>
              <w:t>544.55</w:t>
            </w:r>
          </w:p>
        </w:tc>
        <w:tc>
          <w:tcPr>
            <w:tcW w:type="dxa" w:w="1662"/>
            <w:vAlign w:val="center"/>
          </w:tcPr>
          <w:p>
            <w:pPr>
              <w:pStyle w:val="97"/>
              <w:jc w:val="center"/>
              <w:spacing w:before="0" w:after="0" w:line="360" w:lineRule="exact"/>
              <w:ind w:firstLine="0" w:firstLineChars="0"/>
            </w:pPr>
            <w:r>
              <w:rPr>
                <w:rFonts w:ascii="Times New Roman" w:hAnsi="Times New Roman" w:eastAsia="仿宋_GB2312"/>
                <w:b w:val="0"/>
                <w:sz w:val="24"/>
              </w:rPr>
              <w:t>2.62</w:t>
            </w:r>
          </w:p>
        </w:tc>
        <w:tc>
          <w:tcPr>
            <w:tcW w:type="dxa" w:w="1662"/>
            <w:vAlign w:val="center"/>
          </w:tcPr>
          <w:p>
            <w:pPr>
              <w:pStyle w:val="97"/>
              <w:jc w:val="center"/>
              <w:spacing w:before="0" w:after="0" w:line="360" w:lineRule="exact"/>
              <w:ind w:firstLine="0" w:firstLineChars="0"/>
            </w:pPr>
            <w:r>
              <w:rPr>
                <w:rFonts w:ascii="Times New Roman" w:hAnsi="Times New Roman" w:eastAsia="仿宋_GB2312"/>
                <w:b w:val="0"/>
                <w:sz w:val="24"/>
              </w:rPr>
              <w:t>官方年度基准数据</w:t>
            </w:r>
          </w:p>
        </w:tc>
      </w:tr>
      <w:tr>
        <w:trPr>
          <w:cantSplit/>
        </w:trPr>
        <w:tc>
          <w:tcPr>
            <w:tcW w:type="dxa" w:w="1662"/>
            <w:vAlign w:val="center"/>
          </w:tcPr>
          <w:p>
            <w:pPr>
              <w:pStyle w:val="97"/>
              <w:jc w:val="left"/>
              <w:spacing w:before="0" w:after="0" w:line="360" w:lineRule="exact"/>
              <w:ind w:firstLine="0" w:firstLineChars="0"/>
            </w:pPr>
            <w:r>
              <w:rPr>
                <w:rFonts w:ascii="Times New Roman" w:hAnsi="Times New Roman" w:eastAsia="仿宋_GB2312"/>
                <w:b w:val="0"/>
                <w:sz w:val="24"/>
              </w:rPr>
              <w:t>QX-00003</w:t>
            </w:r>
          </w:p>
        </w:tc>
        <w:tc>
          <w:tcPr>
            <w:tcW w:type="dxa" w:w="1662"/>
            <w:vAlign w:val="center"/>
          </w:tcPr>
          <w:p>
            <w:pPr>
              <w:pStyle w:val="97"/>
              <w:jc w:val="center"/>
              <w:spacing w:before="0" w:after="0" w:line="360" w:lineRule="exact"/>
              <w:ind w:firstLine="0" w:firstLineChars="0"/>
            </w:pPr>
            <w:r>
              <w:rPr>
                <w:rFonts w:ascii="Times New Roman" w:hAnsi="Times New Roman" w:eastAsia="仿宋_GB2312"/>
                <w:b w:val="0"/>
                <w:sz w:val="24"/>
              </w:rPr>
              <w:t>966.5</w:t>
            </w:r>
          </w:p>
        </w:tc>
        <w:tc>
          <w:tcPr>
            <w:tcW w:type="dxa" w:w="1662"/>
            <w:vAlign w:val="center"/>
          </w:tcPr>
          <w:p>
            <w:pPr>
              <w:pStyle w:val="97"/>
              <w:jc w:val="center"/>
              <w:spacing w:before="0" w:after="0" w:line="360" w:lineRule="exact"/>
              <w:ind w:firstLine="0" w:firstLineChars="0"/>
            </w:pPr>
            <w:r>
              <w:rPr>
                <w:rFonts w:ascii="Times New Roman" w:hAnsi="Times New Roman" w:eastAsia="仿宋_GB2312"/>
                <w:b w:val="0"/>
                <w:sz w:val="24"/>
              </w:rPr>
              <w:t>313.03</w:t>
            </w:r>
          </w:p>
        </w:tc>
        <w:tc>
          <w:tcPr>
            <w:tcW w:type="dxa" w:w="1662"/>
            <w:vAlign w:val="center"/>
          </w:tcPr>
          <w:p>
            <w:pPr>
              <w:pStyle w:val="97"/>
              <w:jc w:val="center"/>
              <w:spacing w:before="0" w:after="0" w:line="360" w:lineRule="exact"/>
              <w:ind w:firstLine="0" w:firstLineChars="0"/>
            </w:pPr>
            <w:r>
              <w:rPr>
                <w:rFonts w:ascii="Times New Roman" w:hAnsi="Times New Roman" w:eastAsia="仿宋_GB2312"/>
                <w:b w:val="0"/>
                <w:sz w:val="24"/>
              </w:rPr>
              <w:t>3.09</w:t>
            </w:r>
          </w:p>
        </w:tc>
        <w:tc>
          <w:tcPr>
            <w:tcW w:type="dxa" w:w="1662"/>
            <w:vAlign w:val="center"/>
          </w:tcPr>
          <w:p>
            <w:pPr>
              <w:pStyle w:val="97"/>
              <w:jc w:val="center"/>
              <w:spacing w:before="0" w:after="0" w:line="360" w:lineRule="exact"/>
              <w:ind w:firstLine="0" w:firstLineChars="0"/>
            </w:pPr>
            <w:r>
              <w:rPr>
                <w:rFonts w:ascii="Times New Roman" w:hAnsi="Times New Roman" w:eastAsia="仿宋_GB2312"/>
                <w:b w:val="0"/>
                <w:sz w:val="24"/>
              </w:rPr>
              <w:t>官方年度基准数据</w:t>
            </w:r>
          </w:p>
        </w:tc>
      </w:tr>
      <w:tr>
        <w:trPr>
          <w:cantSplit/>
        </w:trPr>
        <w:tc>
          <w:tcPr>
            <w:tcW w:type="dxa" w:w="1662"/>
            <w:vAlign w:val="center"/>
          </w:tcPr>
          <w:p>
            <w:pPr>
              <w:pStyle w:val="97"/>
              <w:jc w:val="left"/>
              <w:spacing w:before="0" w:after="0" w:line="360" w:lineRule="exact"/>
              <w:ind w:firstLine="0" w:firstLineChars="0"/>
            </w:pPr>
            <w:r>
              <w:rPr>
                <w:rFonts w:ascii="Times New Roman" w:hAnsi="Times New Roman" w:eastAsia="仿宋_GB2312"/>
                <w:b w:val="0"/>
                <w:sz w:val="24"/>
              </w:rPr>
              <w:t>QX-00004</w:t>
            </w:r>
          </w:p>
        </w:tc>
        <w:tc>
          <w:tcPr>
            <w:tcW w:type="dxa" w:w="1662"/>
            <w:vAlign w:val="center"/>
          </w:tcPr>
          <w:p>
            <w:pPr>
              <w:pStyle w:val="97"/>
              <w:jc w:val="center"/>
              <w:spacing w:before="0" w:after="0" w:line="360" w:lineRule="exact"/>
              <w:ind w:firstLine="0" w:firstLineChars="0"/>
            </w:pPr>
            <w:r>
              <w:rPr>
                <w:rFonts w:ascii="Times New Roman" w:hAnsi="Times New Roman" w:eastAsia="仿宋_GB2312"/>
                <w:b w:val="0"/>
                <w:sz w:val="24"/>
              </w:rPr>
              <w:t>2094.0</w:t>
            </w:r>
          </w:p>
        </w:tc>
        <w:tc>
          <w:tcPr>
            <w:tcW w:type="dxa" w:w="1662"/>
            <w:vAlign w:val="center"/>
          </w:tcPr>
          <w:p>
            <w:pPr>
              <w:pStyle w:val="97"/>
              <w:jc w:val="center"/>
              <w:spacing w:before="0" w:after="0" w:line="360" w:lineRule="exact"/>
              <w:ind w:firstLine="0" w:firstLineChars="0"/>
            </w:pPr>
            <w:r>
              <w:rPr>
                <w:rFonts w:ascii="Times New Roman" w:hAnsi="Times New Roman" w:eastAsia="仿宋_GB2312"/>
                <w:b w:val="0"/>
                <w:sz w:val="24"/>
              </w:rPr>
              <w:t>634.28</w:t>
            </w:r>
          </w:p>
        </w:tc>
        <w:tc>
          <w:tcPr>
            <w:tcW w:type="dxa" w:w="1662"/>
            <w:vAlign w:val="center"/>
          </w:tcPr>
          <w:p>
            <w:pPr>
              <w:pStyle w:val="97"/>
              <w:jc w:val="center"/>
              <w:spacing w:before="0" w:after="0" w:line="360" w:lineRule="exact"/>
              <w:ind w:firstLine="0" w:firstLineChars="0"/>
            </w:pPr>
            <w:r>
              <w:rPr>
                <w:rFonts w:ascii="Times New Roman" w:hAnsi="Times New Roman" w:eastAsia="仿宋_GB2312"/>
                <w:b w:val="0"/>
                <w:sz w:val="24"/>
              </w:rPr>
              <w:t>3.30</w:t>
            </w:r>
          </w:p>
        </w:tc>
        <w:tc>
          <w:tcPr>
            <w:tcW w:type="dxa" w:w="1662"/>
            <w:vAlign w:val="center"/>
          </w:tcPr>
          <w:p>
            <w:pPr>
              <w:pStyle w:val="97"/>
              <w:jc w:val="center"/>
              <w:spacing w:before="0" w:after="0" w:line="360" w:lineRule="exact"/>
              <w:ind w:firstLine="0" w:firstLineChars="0"/>
            </w:pPr>
            <w:r>
              <w:rPr>
                <w:rFonts w:ascii="Times New Roman" w:hAnsi="Times New Roman" w:eastAsia="仿宋_GB2312"/>
                <w:b w:val="0"/>
                <w:sz w:val="24"/>
              </w:rPr>
              <w:t>官方年度基准数据</w:t>
            </w:r>
          </w:p>
        </w:tc>
      </w:tr>
      <w:tr>
        <w:trPr>
          <w:cantSplit/>
        </w:trPr>
        <w:tc>
          <w:tcPr>
            <w:tcW w:type="dxa" w:w="1662"/>
            <w:vAlign w:val="center"/>
          </w:tcPr>
          <w:p>
            <w:pPr>
              <w:pStyle w:val="97"/>
              <w:jc w:val="left"/>
              <w:spacing w:before="0" w:after="0" w:line="360" w:lineRule="exact"/>
              <w:ind w:firstLine="0" w:firstLineChars="0"/>
            </w:pPr>
            <w:r>
              <w:rPr>
                <w:rFonts w:ascii="Times New Roman" w:hAnsi="Times New Roman" w:eastAsia="仿宋_GB2312"/>
                <w:b w:val="0"/>
                <w:sz w:val="24"/>
              </w:rPr>
              <w:t>QX-00005</w:t>
            </w:r>
          </w:p>
        </w:tc>
        <w:tc>
          <w:tcPr>
            <w:tcW w:type="dxa" w:w="1662"/>
            <w:vAlign w:val="center"/>
          </w:tcPr>
          <w:p>
            <w:pPr>
              <w:pStyle w:val="97"/>
              <w:jc w:val="center"/>
              <w:spacing w:before="0" w:after="0" w:line="360" w:lineRule="exact"/>
              <w:ind w:firstLine="0" w:firstLineChars="0"/>
            </w:pPr>
            <w:r>
              <w:rPr>
                <w:rFonts w:ascii="Times New Roman" w:hAnsi="Times New Roman" w:eastAsia="仿宋_GB2312"/>
                <w:b w:val="0"/>
                <w:sz w:val="24"/>
              </w:rPr>
              <w:t>2139.5</w:t>
            </w:r>
          </w:p>
        </w:tc>
        <w:tc>
          <w:tcPr>
            <w:tcW w:type="dxa" w:w="1662"/>
            <w:vAlign w:val="center"/>
          </w:tcPr>
          <w:p>
            <w:pPr>
              <w:pStyle w:val="97"/>
              <w:jc w:val="center"/>
              <w:spacing w:before="0" w:after="0" w:line="360" w:lineRule="exact"/>
              <w:ind w:firstLine="0" w:firstLineChars="0"/>
            </w:pPr>
            <w:r>
              <w:rPr>
                <w:rFonts w:ascii="Times New Roman" w:hAnsi="Times New Roman" w:eastAsia="仿宋_GB2312"/>
                <w:b w:val="0"/>
                <w:sz w:val="24"/>
              </w:rPr>
              <w:t>956.45</w:t>
            </w:r>
          </w:p>
        </w:tc>
        <w:tc>
          <w:tcPr>
            <w:tcW w:type="dxa" w:w="1662"/>
            <w:vAlign w:val="center"/>
          </w:tcPr>
          <w:p>
            <w:pPr>
              <w:pStyle w:val="97"/>
              <w:jc w:val="center"/>
              <w:spacing w:before="0" w:after="0" w:line="360" w:lineRule="exact"/>
              <w:ind w:firstLine="0" w:firstLineChars="0"/>
            </w:pPr>
            <w:r>
              <w:rPr>
                <w:rFonts w:ascii="Times New Roman" w:hAnsi="Times New Roman" w:eastAsia="仿宋_GB2312"/>
                <w:b w:val="0"/>
                <w:sz w:val="24"/>
              </w:rPr>
              <w:t>2.24</w:t>
            </w:r>
          </w:p>
        </w:tc>
        <w:tc>
          <w:tcPr>
            <w:tcW w:type="dxa" w:w="1662"/>
            <w:vAlign w:val="center"/>
          </w:tcPr>
          <w:p>
            <w:pPr>
              <w:pStyle w:val="97"/>
              <w:jc w:val="center"/>
              <w:spacing w:before="0" w:after="0" w:line="360" w:lineRule="exact"/>
              <w:ind w:firstLine="0" w:firstLineChars="0"/>
            </w:pPr>
            <w:r>
              <w:rPr>
                <w:rFonts w:ascii="Times New Roman" w:hAnsi="Times New Roman" w:eastAsia="仿宋_GB2312"/>
                <w:b w:val="0"/>
                <w:sz w:val="24"/>
              </w:rPr>
              <w:t>官方年度基准数据</w:t>
            </w:r>
          </w:p>
        </w:tc>
      </w:tr>
      <w:tr>
        <w:trPr>
          <w:cantSplit/>
        </w:trPr>
        <w:tc>
          <w:tcPr>
            <w:tcW w:type="dxa" w:w="1662"/>
            <w:vAlign w:val="center"/>
          </w:tcPr>
          <w:p>
            <w:pPr>
              <w:pStyle w:val="97"/>
              <w:jc w:val="left"/>
              <w:spacing w:before="0" w:after="0" w:line="360" w:lineRule="exact"/>
              <w:ind w:firstLine="0" w:firstLineChars="0"/>
            </w:pPr>
            <w:r>
              <w:rPr>
                <w:rFonts w:ascii="Times New Roman" w:hAnsi="Times New Roman" w:eastAsia="仿宋_GB2312"/>
                <w:b w:val="0"/>
                <w:sz w:val="24"/>
              </w:rPr>
              <w:t>QX-00007</w:t>
            </w:r>
          </w:p>
        </w:tc>
        <w:tc>
          <w:tcPr>
            <w:tcW w:type="dxa" w:w="1662"/>
            <w:vAlign w:val="center"/>
          </w:tcPr>
          <w:p>
            <w:pPr>
              <w:pStyle w:val="97"/>
              <w:jc w:val="center"/>
              <w:spacing w:before="0" w:after="0" w:line="360" w:lineRule="exact"/>
              <w:ind w:firstLine="0" w:firstLineChars="0"/>
            </w:pPr>
            <w:r>
              <w:rPr>
                <w:rFonts w:ascii="Times New Roman" w:hAnsi="Times New Roman" w:eastAsia="仿宋_GB2312"/>
                <w:b w:val="0"/>
                <w:sz w:val="24"/>
              </w:rPr>
              <w:t>3701.0</w:t>
            </w:r>
          </w:p>
        </w:tc>
        <w:tc>
          <w:tcPr>
            <w:tcW w:type="dxa" w:w="1662"/>
            <w:vAlign w:val="center"/>
          </w:tcPr>
          <w:p>
            <w:pPr>
              <w:pStyle w:val="97"/>
              <w:jc w:val="center"/>
              <w:spacing w:before="0" w:after="0" w:line="360" w:lineRule="exact"/>
              <w:ind w:firstLine="0" w:firstLineChars="0"/>
            </w:pPr>
            <w:r>
              <w:rPr>
                <w:rFonts w:ascii="Times New Roman" w:hAnsi="Times New Roman" w:eastAsia="仿宋_GB2312"/>
                <w:b w:val="0"/>
                <w:sz w:val="24"/>
              </w:rPr>
              <w:t>1528.82</w:t>
            </w:r>
          </w:p>
        </w:tc>
        <w:tc>
          <w:tcPr>
            <w:tcW w:type="dxa" w:w="1662"/>
            <w:vAlign w:val="center"/>
          </w:tcPr>
          <w:p>
            <w:pPr>
              <w:pStyle w:val="97"/>
              <w:jc w:val="center"/>
              <w:spacing w:before="0" w:after="0" w:line="360" w:lineRule="exact"/>
              <w:ind w:firstLine="0" w:firstLineChars="0"/>
            </w:pPr>
            <w:r>
              <w:rPr>
                <w:rFonts w:ascii="Times New Roman" w:hAnsi="Times New Roman" w:eastAsia="仿宋_GB2312"/>
                <w:b w:val="0"/>
                <w:sz w:val="24"/>
              </w:rPr>
              <w:t>2.42</w:t>
            </w:r>
          </w:p>
        </w:tc>
        <w:tc>
          <w:tcPr>
            <w:tcW w:type="dxa" w:w="1662"/>
            <w:vAlign w:val="center"/>
          </w:tcPr>
          <w:p>
            <w:pPr>
              <w:pStyle w:val="97"/>
              <w:jc w:val="center"/>
              <w:spacing w:before="0" w:after="0" w:line="360" w:lineRule="exact"/>
              <w:ind w:firstLine="0" w:firstLineChars="0"/>
            </w:pPr>
            <w:r>
              <w:rPr>
                <w:rFonts w:ascii="Times New Roman" w:hAnsi="Times New Roman" w:eastAsia="仿宋_GB2312"/>
                <w:b w:val="0"/>
                <w:sz w:val="24"/>
              </w:rPr>
              <w:t>官方年度基准数据</w:t>
            </w:r>
          </w:p>
        </w:tc>
      </w:tr>
      <w:tr>
        <w:trPr>
          <w:cantSplit/>
        </w:trPr>
        <w:tc>
          <w:tcPr>
            <w:tcW w:type="dxa" w:w="1662"/>
            <w:vAlign w:val="center"/>
          </w:tcPr>
          <w:p>
            <w:pPr>
              <w:pStyle w:val="97"/>
              <w:jc w:val="left"/>
              <w:spacing w:before="0" w:after="0" w:line="360" w:lineRule="exact"/>
              <w:ind w:firstLine="0" w:firstLineChars="0"/>
            </w:pPr>
            <w:r>
              <w:rPr>
                <w:rFonts w:ascii="Times New Roman" w:hAnsi="Times New Roman" w:eastAsia="仿宋_GB2312"/>
                <w:b w:val="0"/>
                <w:sz w:val="24"/>
              </w:rPr>
              <w:t>QX-00008</w:t>
            </w:r>
          </w:p>
        </w:tc>
        <w:tc>
          <w:tcPr>
            <w:tcW w:type="dxa" w:w="1662"/>
            <w:vAlign w:val="center"/>
          </w:tcPr>
          <w:p>
            <w:pPr>
              <w:pStyle w:val="97"/>
              <w:jc w:val="center"/>
              <w:spacing w:before="0" w:after="0" w:line="360" w:lineRule="exact"/>
              <w:ind w:firstLine="0" w:firstLineChars="0"/>
            </w:pPr>
            <w:r>
              <w:rPr>
                <w:rFonts w:ascii="Times New Roman" w:hAnsi="Times New Roman" w:eastAsia="仿宋_GB2312"/>
                <w:b w:val="0"/>
                <w:sz w:val="24"/>
              </w:rPr>
              <w:t>1839.0</w:t>
            </w:r>
          </w:p>
        </w:tc>
        <w:tc>
          <w:tcPr>
            <w:tcW w:type="dxa" w:w="1662"/>
            <w:vAlign w:val="center"/>
          </w:tcPr>
          <w:p>
            <w:pPr>
              <w:pStyle w:val="97"/>
              <w:jc w:val="center"/>
              <w:spacing w:before="0" w:after="0" w:line="360" w:lineRule="exact"/>
              <w:ind w:firstLine="0" w:firstLineChars="0"/>
            </w:pPr>
            <w:r>
              <w:rPr>
                <w:rFonts w:ascii="Times New Roman" w:hAnsi="Times New Roman" w:eastAsia="仿宋_GB2312"/>
                <w:b w:val="0"/>
                <w:sz w:val="24"/>
              </w:rPr>
              <w:t>759.56</w:t>
            </w:r>
          </w:p>
        </w:tc>
        <w:tc>
          <w:tcPr>
            <w:tcW w:type="dxa" w:w="1662"/>
            <w:vAlign w:val="center"/>
          </w:tcPr>
          <w:p>
            <w:pPr>
              <w:pStyle w:val="97"/>
              <w:jc w:val="center"/>
              <w:spacing w:before="0" w:after="0" w:line="360" w:lineRule="exact"/>
              <w:ind w:firstLine="0" w:firstLineChars="0"/>
            </w:pPr>
            <w:r>
              <w:rPr>
                <w:rFonts w:ascii="Times New Roman" w:hAnsi="Times New Roman" w:eastAsia="仿宋_GB2312"/>
                <w:b w:val="0"/>
                <w:sz w:val="24"/>
              </w:rPr>
              <w:t>2.42</w:t>
            </w:r>
          </w:p>
        </w:tc>
        <w:tc>
          <w:tcPr>
            <w:tcW w:type="dxa" w:w="1662"/>
            <w:vAlign w:val="center"/>
          </w:tcPr>
          <w:p>
            <w:pPr>
              <w:pStyle w:val="97"/>
              <w:jc w:val="center"/>
              <w:spacing w:before="0" w:after="0" w:line="360" w:lineRule="exact"/>
              <w:ind w:firstLine="0" w:firstLineChars="0"/>
            </w:pPr>
            <w:r>
              <w:rPr>
                <w:rFonts w:ascii="Times New Roman" w:hAnsi="Times New Roman" w:eastAsia="仿宋_GB2312"/>
                <w:b w:val="0"/>
                <w:sz w:val="24"/>
              </w:rPr>
              <w:t>官方年度基准数据</w:t>
            </w:r>
          </w:p>
        </w:tc>
      </w:tr>
      <w:tr>
        <w:trPr>
          <w:cantSplit/>
        </w:trPr>
        <w:tc>
          <w:tcPr>
            <w:tcW w:type="dxa" w:w="1662"/>
            <w:vAlign w:val="center"/>
          </w:tcPr>
          <w:p>
            <w:pPr>
              <w:pStyle w:val="97"/>
              <w:jc w:val="left"/>
              <w:spacing w:before="0" w:after="0" w:line="360" w:lineRule="exact"/>
              <w:ind w:firstLine="0" w:firstLineChars="0"/>
            </w:pPr>
            <w:r>
              <w:rPr>
                <w:rFonts w:ascii="Times New Roman" w:hAnsi="Times New Roman" w:eastAsia="仿宋_GB2312"/>
                <w:b w:val="0"/>
                <w:sz w:val="24"/>
              </w:rPr>
              <w:t>QX-00009</w:t>
            </w:r>
          </w:p>
        </w:tc>
        <w:tc>
          <w:tcPr>
            <w:tcW w:type="dxa" w:w="1662"/>
            <w:vAlign w:val="center"/>
          </w:tcPr>
          <w:p>
            <w:pPr>
              <w:pStyle w:val="97"/>
              <w:jc w:val="center"/>
              <w:spacing w:before="0" w:after="0" w:line="360" w:lineRule="exact"/>
              <w:ind w:firstLine="0" w:firstLineChars="0"/>
            </w:pPr>
            <w:r>
              <w:rPr>
                <w:rFonts w:ascii="Times New Roman" w:hAnsi="Times New Roman" w:eastAsia="仿宋_GB2312"/>
                <w:b w:val="0"/>
                <w:sz w:val="24"/>
              </w:rPr>
              <w:t>1877.0</w:t>
            </w:r>
          </w:p>
        </w:tc>
        <w:tc>
          <w:tcPr>
            <w:tcW w:type="dxa" w:w="1662"/>
            <w:vAlign w:val="center"/>
          </w:tcPr>
          <w:p>
            <w:pPr>
              <w:pStyle w:val="97"/>
              <w:jc w:val="center"/>
              <w:spacing w:before="0" w:after="0" w:line="360" w:lineRule="exact"/>
              <w:ind w:firstLine="0" w:firstLineChars="0"/>
            </w:pPr>
            <w:r>
              <w:rPr>
                <w:rFonts w:ascii="Times New Roman" w:hAnsi="Times New Roman" w:eastAsia="仿宋_GB2312"/>
                <w:b w:val="0"/>
                <w:sz w:val="24"/>
              </w:rPr>
              <w:t>813.38</w:t>
            </w:r>
          </w:p>
        </w:tc>
        <w:tc>
          <w:tcPr>
            <w:tcW w:type="dxa" w:w="1662"/>
            <w:vAlign w:val="center"/>
          </w:tcPr>
          <w:p>
            <w:pPr>
              <w:pStyle w:val="97"/>
              <w:jc w:val="center"/>
              <w:spacing w:before="0" w:after="0" w:line="360" w:lineRule="exact"/>
              <w:ind w:firstLine="0" w:firstLineChars="0"/>
            </w:pPr>
            <w:r>
              <w:rPr>
                <w:rFonts w:ascii="Times New Roman" w:hAnsi="Times New Roman" w:eastAsia="仿宋_GB2312"/>
                <w:b w:val="0"/>
                <w:sz w:val="24"/>
              </w:rPr>
              <w:t>2.31</w:t>
            </w:r>
          </w:p>
        </w:tc>
        <w:tc>
          <w:tcPr>
            <w:tcW w:type="dxa" w:w="1662"/>
            <w:vAlign w:val="center"/>
          </w:tcPr>
          <w:p>
            <w:pPr>
              <w:pStyle w:val="97"/>
              <w:jc w:val="center"/>
              <w:spacing w:before="0" w:after="0" w:line="360" w:lineRule="exact"/>
              <w:ind w:firstLine="0" w:firstLineChars="0"/>
            </w:pPr>
            <w:r>
              <w:rPr>
                <w:rFonts w:ascii="Times New Roman" w:hAnsi="Times New Roman" w:eastAsia="仿宋_GB2312"/>
                <w:b w:val="0"/>
                <w:sz w:val="24"/>
              </w:rPr>
              <w:t>官方年度基准数据</w:t>
            </w:r>
          </w:p>
        </w:tc>
      </w:tr>
      <w:tr>
        <w:trPr>
          <w:cantSplit/>
        </w:trPr>
        <w:tc>
          <w:tcPr>
            <w:tcW w:type="dxa" w:w="1662"/>
            <w:vAlign w:val="center"/>
          </w:tcPr>
          <w:p>
            <w:pPr>
              <w:pStyle w:val="97"/>
              <w:jc w:val="left"/>
              <w:spacing w:before="0" w:after="0" w:line="360" w:lineRule="exact"/>
              <w:ind w:firstLine="0" w:firstLineChars="0"/>
            </w:pPr>
            <w:r>
              <w:rPr>
                <w:rFonts w:ascii="Times New Roman" w:hAnsi="Times New Roman" w:eastAsia="仿宋_GB2312"/>
                <w:b w:val="0"/>
                <w:sz w:val="24"/>
              </w:rPr>
              <w:t>QX-00010</w:t>
            </w:r>
          </w:p>
        </w:tc>
        <w:tc>
          <w:tcPr>
            <w:tcW w:type="dxa" w:w="1662"/>
            <w:vAlign w:val="center"/>
          </w:tcPr>
          <w:p>
            <w:pPr>
              <w:pStyle w:val="97"/>
              <w:jc w:val="center"/>
              <w:spacing w:before="0" w:after="0" w:line="360" w:lineRule="exact"/>
              <w:ind w:firstLine="0" w:firstLineChars="0"/>
            </w:pPr>
            <w:r>
              <w:rPr>
                <w:rFonts w:ascii="Times New Roman" w:hAnsi="Times New Roman" w:eastAsia="仿宋_GB2312"/>
                <w:b w:val="0"/>
                <w:sz w:val="24"/>
              </w:rPr>
              <w:t>1979.5</w:t>
            </w:r>
          </w:p>
        </w:tc>
        <w:tc>
          <w:tcPr>
            <w:tcW w:type="dxa" w:w="1662"/>
            <w:vAlign w:val="center"/>
          </w:tcPr>
          <w:p>
            <w:pPr>
              <w:pStyle w:val="97"/>
              <w:jc w:val="center"/>
              <w:spacing w:before="0" w:after="0" w:line="360" w:lineRule="exact"/>
              <w:ind w:firstLine="0" w:firstLineChars="0"/>
            </w:pPr>
            <w:r>
              <w:rPr>
                <w:rFonts w:ascii="Times New Roman" w:hAnsi="Times New Roman" w:eastAsia="仿宋_GB2312"/>
                <w:b w:val="0"/>
                <w:sz w:val="24"/>
              </w:rPr>
              <w:t>734.91</w:t>
            </w:r>
          </w:p>
        </w:tc>
        <w:tc>
          <w:tcPr>
            <w:tcW w:type="dxa" w:w="1662"/>
            <w:vAlign w:val="center"/>
          </w:tcPr>
          <w:p>
            <w:pPr>
              <w:pStyle w:val="97"/>
              <w:jc w:val="center"/>
              <w:spacing w:before="0" w:after="0" w:line="360" w:lineRule="exact"/>
              <w:ind w:firstLine="0" w:firstLineChars="0"/>
            </w:pPr>
            <w:r>
              <w:rPr>
                <w:rFonts w:ascii="Times New Roman" w:hAnsi="Times New Roman" w:eastAsia="仿宋_GB2312"/>
                <w:b w:val="0"/>
                <w:sz w:val="24"/>
              </w:rPr>
              <w:t>2.69</w:t>
            </w:r>
          </w:p>
        </w:tc>
        <w:tc>
          <w:tcPr>
            <w:tcW w:type="dxa" w:w="1662"/>
            <w:vAlign w:val="center"/>
          </w:tcPr>
          <w:p>
            <w:pPr>
              <w:pStyle w:val="97"/>
              <w:jc w:val="center"/>
              <w:spacing w:before="0" w:after="0" w:line="360" w:lineRule="exact"/>
              <w:ind w:firstLine="0" w:firstLineChars="0"/>
            </w:pPr>
            <w:r>
              <w:rPr>
                <w:rFonts w:ascii="Times New Roman" w:hAnsi="Times New Roman" w:eastAsia="仿宋_GB2312"/>
                <w:b w:val="0"/>
                <w:sz w:val="24"/>
              </w:rPr>
              <w:t>官方年度基准数据</w:t>
            </w:r>
          </w:p>
        </w:tc>
      </w:tr>
    </w:tbl>
    <w:p>
      <w:pPr>
        <w:spacing w:before="0" w:after="0" w:line="560" w:lineRule="exact"/>
        <w:jc w:val="both"/>
        <w:ind w:firstLineChars="200" w:firstLine="200"/>
      </w:pPr>
      <w:r>
        <w:rPr>
          <w:rFonts w:ascii="Times New Roman" w:hAnsi="Times New Roman" w:eastAsia="仿宋_GB2312"/>
          <w:b w:val="0"/>
          <w:sz w:val="28"/>
        </w:rPr>
        <w:t>35 kV 年度基准数据与 110 kV 分开列示，结果见表 3-3。2025 年八片区 35 kV 容载比介于 1.86～3.08，片区间差异同样明显。QX-00005 为 1.86，QX-00009 为 3.08。表 3-2 和表 3-3 还说明，同一片区在不同电压等级可能处于不同容量配置状态。例如，QX-00003 的 110 kV 容载比为 3.09，35 kV 为 2.42；QX-00005 的 110 kV 为 2.24，35 kV 为 1.86。若跨电压等级相加容量和负荷，这类层级差异会被掩盖，所得指标也不再具有明确物理含义。</w:t>
      </w:r>
    </w:p>
    <w:p>
      <w:pPr>
        <w:pStyle w:val="12"/>
        <w:keepNext/>
        <w:spacing w:before="120" w:after="60" w:line="400" w:lineRule="exact"/>
        <w:jc w:val="center"/>
        <w:ind w:firstLine="0" w:firstLineChars="0"/>
      </w:pPr>
      <w:r>
        <w:rPr>
          <w:rFonts w:ascii="Times New Roman" w:hAnsi="Times New Roman" w:eastAsia="仿宋_GB2312"/>
          <w:b w:val="0"/>
          <w:sz w:val="24"/>
        </w:rPr>
        <w:t>表 3-3 2025 年八片区 35 kV 容量、同步正向峰值和容载比</w:t>
      </w:r>
    </w:p>
    <w:tbl>
      <w:tblPr>
        <w:tblW w:type="auto" w:w="0"/>
        <w:tblLayout w:type="autofi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662"/>
        <w:gridCol w:w="1662"/>
        <w:gridCol w:w="1662"/>
        <w:gridCol w:w="1662"/>
        <w:gridCol w:w="1662"/>
      </w:tblGrid>
      <w:tr>
        <w:trPr>
          <w:cantSplit/>
          <w:tblHeader w:val="true"/>
        </w:trPr>
        <w:tc>
          <w:tcPr>
            <w:tcW w:type="dxa" w:w="1662"/>
            <w:vAlign w:val="center"/>
          </w:tcPr>
          <w:p>
            <w:pPr>
              <w:pStyle w:val="97"/>
              <w:jc w:val="center"/>
              <w:spacing w:before="0" w:after="0" w:line="360" w:lineRule="exact"/>
              <w:ind w:firstLine="0" w:firstLineChars="0"/>
            </w:pPr>
            <w:r>
              <w:rPr>
                <w:rFonts w:ascii="Times New Roman" w:hAnsi="Times New Roman" w:eastAsia="仿宋_GB2312"/>
                <w:b/>
                <w:sz w:val="24"/>
              </w:rPr>
              <w:t>片区</w:t>
            </w:r>
          </w:p>
        </w:tc>
        <w:tc>
          <w:tcPr>
            <w:tcW w:type="dxa" w:w="1662"/>
            <w:vAlign w:val="center"/>
          </w:tcPr>
          <w:p>
            <w:pPr>
              <w:pStyle w:val="97"/>
              <w:jc w:val="center"/>
              <w:spacing w:before="0" w:after="0" w:line="360" w:lineRule="exact"/>
              <w:ind w:firstLine="0" w:firstLineChars="0"/>
            </w:pPr>
            <w:r>
              <w:rPr>
                <w:rFonts w:ascii="Times New Roman" w:hAnsi="Times New Roman" w:eastAsia="仿宋_GB2312"/>
                <w:b/>
                <w:sz w:val="24"/>
              </w:rPr>
              <w:t>公用变容量（MVA）</w:t>
            </w:r>
          </w:p>
        </w:tc>
        <w:tc>
          <w:tcPr>
            <w:tcW w:type="dxa" w:w="1662"/>
            <w:vAlign w:val="center"/>
          </w:tcPr>
          <w:p>
            <w:pPr>
              <w:pStyle w:val="97"/>
              <w:jc w:val="center"/>
              <w:spacing w:before="0" w:after="0" w:line="360" w:lineRule="exact"/>
              <w:ind w:firstLine="0" w:firstLineChars="0"/>
            </w:pPr>
            <w:r>
              <w:rPr>
                <w:rFonts w:ascii="Times New Roman" w:hAnsi="Times New Roman" w:eastAsia="仿宋_GB2312"/>
                <w:b/>
                <w:sz w:val="24"/>
              </w:rPr>
              <w:t>同步正向峰值（MW）</w:t>
            </w:r>
          </w:p>
        </w:tc>
        <w:tc>
          <w:tcPr>
            <w:tcW w:type="dxa" w:w="1662"/>
            <w:vAlign w:val="center"/>
          </w:tcPr>
          <w:p>
            <w:pPr>
              <w:pStyle w:val="97"/>
              <w:jc w:val="center"/>
              <w:spacing w:before="0" w:after="0" w:line="360" w:lineRule="exact"/>
              <w:ind w:firstLine="0" w:firstLineChars="0"/>
            </w:pPr>
            <w:r>
              <w:rPr>
                <w:rFonts w:ascii="Times New Roman" w:hAnsi="Times New Roman" w:eastAsia="仿宋_GB2312"/>
                <w:b/>
                <w:sz w:val="24"/>
              </w:rPr>
              <w:t>容载比</w:t>
            </w:r>
          </w:p>
        </w:tc>
        <w:tc>
          <w:tcPr>
            <w:tcW w:type="dxa" w:w="1662"/>
            <w:vAlign w:val="center"/>
          </w:tcPr>
          <w:p>
            <w:pPr>
              <w:pStyle w:val="97"/>
              <w:jc w:val="center"/>
              <w:spacing w:before="0" w:after="0" w:line="360" w:lineRule="exact"/>
              <w:ind w:firstLine="0" w:firstLineChars="0"/>
            </w:pPr>
            <w:r>
              <w:rPr>
                <w:rFonts w:ascii="Times New Roman" w:hAnsi="Times New Roman" w:eastAsia="仿宋_GB2312"/>
                <w:b/>
                <w:sz w:val="24"/>
              </w:rPr>
              <w:t>年度证据</w:t>
            </w:r>
          </w:p>
        </w:tc>
      </w:tr>
      <w:tr>
        <w:trPr>
          <w:cantSplit/>
        </w:trPr>
        <w:tc>
          <w:tcPr>
            <w:tcW w:type="dxa" w:w="1662"/>
            <w:vAlign w:val="center"/>
          </w:tcPr>
          <w:p>
            <w:pPr>
              <w:pStyle w:val="97"/>
              <w:jc w:val="left"/>
              <w:spacing w:before="0" w:after="0" w:line="360" w:lineRule="exact"/>
              <w:ind w:firstLine="0" w:firstLineChars="0"/>
            </w:pPr>
            <w:r>
              <w:rPr>
                <w:rFonts w:ascii="Times New Roman" w:hAnsi="Times New Roman" w:eastAsia="仿宋_GB2312"/>
                <w:b w:val="0"/>
                <w:sz w:val="24"/>
              </w:rPr>
              <w:t>QX-00001</w:t>
            </w:r>
          </w:p>
        </w:tc>
        <w:tc>
          <w:tcPr>
            <w:tcW w:type="dxa" w:w="1662"/>
            <w:vAlign w:val="center"/>
          </w:tcPr>
          <w:p>
            <w:pPr>
              <w:pStyle w:val="97"/>
              <w:jc w:val="center"/>
              <w:spacing w:before="0" w:after="0" w:line="360" w:lineRule="exact"/>
              <w:ind w:firstLine="0" w:firstLineChars="0"/>
            </w:pPr>
            <w:r>
              <w:rPr>
                <w:rFonts w:ascii="Times New Roman" w:hAnsi="Times New Roman" w:eastAsia="仿宋_GB2312"/>
                <w:b w:val="0"/>
                <w:sz w:val="24"/>
              </w:rPr>
              <w:t>276.5</w:t>
            </w:r>
          </w:p>
        </w:tc>
        <w:tc>
          <w:tcPr>
            <w:tcW w:type="dxa" w:w="1662"/>
            <w:vAlign w:val="center"/>
          </w:tcPr>
          <w:p>
            <w:pPr>
              <w:pStyle w:val="97"/>
              <w:jc w:val="center"/>
              <w:spacing w:before="0" w:after="0" w:line="360" w:lineRule="exact"/>
              <w:ind w:firstLine="0" w:firstLineChars="0"/>
            </w:pPr>
            <w:r>
              <w:rPr>
                <w:rFonts w:ascii="Times New Roman" w:hAnsi="Times New Roman" w:eastAsia="仿宋_GB2312"/>
                <w:b w:val="0"/>
                <w:sz w:val="24"/>
              </w:rPr>
              <w:t>119.49</w:t>
            </w:r>
          </w:p>
        </w:tc>
        <w:tc>
          <w:tcPr>
            <w:tcW w:type="dxa" w:w="1662"/>
            <w:vAlign w:val="center"/>
          </w:tcPr>
          <w:p>
            <w:pPr>
              <w:pStyle w:val="97"/>
              <w:jc w:val="center"/>
              <w:spacing w:before="0" w:after="0" w:line="360" w:lineRule="exact"/>
              <w:ind w:firstLine="0" w:firstLineChars="0"/>
            </w:pPr>
            <w:r>
              <w:rPr>
                <w:rFonts w:ascii="Times New Roman" w:hAnsi="Times New Roman" w:eastAsia="仿宋_GB2312"/>
                <w:b w:val="0"/>
                <w:sz w:val="24"/>
              </w:rPr>
              <w:t>2.31</w:t>
            </w:r>
          </w:p>
        </w:tc>
        <w:tc>
          <w:tcPr>
            <w:tcW w:type="dxa" w:w="1662"/>
            <w:vAlign w:val="center"/>
          </w:tcPr>
          <w:p>
            <w:pPr>
              <w:pStyle w:val="97"/>
              <w:jc w:val="center"/>
              <w:spacing w:before="0" w:after="0" w:line="360" w:lineRule="exact"/>
              <w:ind w:firstLine="0" w:firstLineChars="0"/>
            </w:pPr>
            <w:r>
              <w:rPr>
                <w:rFonts w:ascii="Times New Roman" w:hAnsi="Times New Roman" w:eastAsia="仿宋_GB2312"/>
                <w:b w:val="0"/>
                <w:sz w:val="24"/>
              </w:rPr>
              <w:t>官方年度基准数据</w:t>
            </w:r>
          </w:p>
        </w:tc>
      </w:tr>
      <w:tr>
        <w:trPr>
          <w:cantSplit/>
        </w:trPr>
        <w:tc>
          <w:tcPr>
            <w:tcW w:type="dxa" w:w="1662"/>
            <w:vAlign w:val="center"/>
          </w:tcPr>
          <w:p>
            <w:pPr>
              <w:pStyle w:val="97"/>
              <w:jc w:val="left"/>
              <w:spacing w:before="0" w:after="0" w:line="360" w:lineRule="exact"/>
              <w:ind w:firstLine="0" w:firstLineChars="0"/>
            </w:pPr>
            <w:r>
              <w:rPr>
                <w:rFonts w:ascii="Times New Roman" w:hAnsi="Times New Roman" w:eastAsia="仿宋_GB2312"/>
                <w:b w:val="0"/>
                <w:sz w:val="24"/>
              </w:rPr>
              <w:t>QX-00003</w:t>
            </w:r>
          </w:p>
        </w:tc>
        <w:tc>
          <w:tcPr>
            <w:tcW w:type="dxa" w:w="1662"/>
            <w:vAlign w:val="center"/>
          </w:tcPr>
          <w:p>
            <w:pPr>
              <w:pStyle w:val="97"/>
              <w:jc w:val="center"/>
              <w:spacing w:before="0" w:after="0" w:line="360" w:lineRule="exact"/>
              <w:ind w:firstLine="0" w:firstLineChars="0"/>
            </w:pPr>
            <w:r>
              <w:rPr>
                <w:rFonts w:ascii="Times New Roman" w:hAnsi="Times New Roman" w:eastAsia="仿宋_GB2312"/>
                <w:b w:val="0"/>
                <w:sz w:val="24"/>
              </w:rPr>
              <w:t>302.0</w:t>
            </w:r>
          </w:p>
        </w:tc>
        <w:tc>
          <w:tcPr>
            <w:tcW w:type="dxa" w:w="1662"/>
            <w:vAlign w:val="center"/>
          </w:tcPr>
          <w:p>
            <w:pPr>
              <w:pStyle w:val="97"/>
              <w:jc w:val="center"/>
              <w:spacing w:before="0" w:after="0" w:line="360" w:lineRule="exact"/>
              <w:ind w:firstLine="0" w:firstLineChars="0"/>
            </w:pPr>
            <w:r>
              <w:rPr>
                <w:rFonts w:ascii="Times New Roman" w:hAnsi="Times New Roman" w:eastAsia="仿宋_GB2312"/>
                <w:b w:val="0"/>
                <w:sz w:val="24"/>
              </w:rPr>
              <w:t>124.78</w:t>
            </w:r>
          </w:p>
        </w:tc>
        <w:tc>
          <w:tcPr>
            <w:tcW w:type="dxa" w:w="1662"/>
            <w:vAlign w:val="center"/>
          </w:tcPr>
          <w:p>
            <w:pPr>
              <w:pStyle w:val="97"/>
              <w:jc w:val="center"/>
              <w:spacing w:before="0" w:after="0" w:line="360" w:lineRule="exact"/>
              <w:ind w:firstLine="0" w:firstLineChars="0"/>
            </w:pPr>
            <w:r>
              <w:rPr>
                <w:rFonts w:ascii="Times New Roman" w:hAnsi="Times New Roman" w:eastAsia="仿宋_GB2312"/>
                <w:b w:val="0"/>
                <w:sz w:val="24"/>
              </w:rPr>
              <w:t>2.42</w:t>
            </w:r>
          </w:p>
        </w:tc>
        <w:tc>
          <w:tcPr>
            <w:tcW w:type="dxa" w:w="1662"/>
            <w:vAlign w:val="center"/>
          </w:tcPr>
          <w:p>
            <w:pPr>
              <w:pStyle w:val="97"/>
              <w:jc w:val="center"/>
              <w:spacing w:before="0" w:after="0" w:line="360" w:lineRule="exact"/>
              <w:ind w:firstLine="0" w:firstLineChars="0"/>
            </w:pPr>
            <w:r>
              <w:rPr>
                <w:rFonts w:ascii="Times New Roman" w:hAnsi="Times New Roman" w:eastAsia="仿宋_GB2312"/>
                <w:b w:val="0"/>
                <w:sz w:val="24"/>
              </w:rPr>
              <w:t>官方年度基准数据</w:t>
            </w:r>
          </w:p>
        </w:tc>
      </w:tr>
      <w:tr>
        <w:trPr>
          <w:cantSplit/>
        </w:trPr>
        <w:tc>
          <w:tcPr>
            <w:tcW w:type="dxa" w:w="1662"/>
            <w:vAlign w:val="center"/>
          </w:tcPr>
          <w:p>
            <w:pPr>
              <w:pStyle w:val="97"/>
              <w:jc w:val="left"/>
              <w:spacing w:before="0" w:after="0" w:line="360" w:lineRule="exact"/>
              <w:ind w:firstLine="0" w:firstLineChars="0"/>
            </w:pPr>
            <w:r>
              <w:rPr>
                <w:rFonts w:ascii="Times New Roman" w:hAnsi="Times New Roman" w:eastAsia="仿宋_GB2312"/>
                <w:b w:val="0"/>
                <w:sz w:val="24"/>
              </w:rPr>
              <w:t>QX-00004</w:t>
            </w:r>
          </w:p>
        </w:tc>
        <w:tc>
          <w:tcPr>
            <w:tcW w:type="dxa" w:w="1662"/>
            <w:vAlign w:val="center"/>
          </w:tcPr>
          <w:p>
            <w:pPr>
              <w:pStyle w:val="97"/>
              <w:jc w:val="center"/>
              <w:spacing w:before="0" w:after="0" w:line="360" w:lineRule="exact"/>
              <w:ind w:firstLine="0" w:firstLineChars="0"/>
            </w:pPr>
            <w:r>
              <w:rPr>
                <w:rFonts w:ascii="Times New Roman" w:hAnsi="Times New Roman" w:eastAsia="仿宋_GB2312"/>
                <w:b w:val="0"/>
                <w:sz w:val="24"/>
              </w:rPr>
              <w:t>250.0</w:t>
            </w:r>
          </w:p>
        </w:tc>
        <w:tc>
          <w:tcPr>
            <w:tcW w:type="dxa" w:w="1662"/>
            <w:vAlign w:val="center"/>
          </w:tcPr>
          <w:p>
            <w:pPr>
              <w:pStyle w:val="97"/>
              <w:jc w:val="center"/>
              <w:spacing w:before="0" w:after="0" w:line="360" w:lineRule="exact"/>
              <w:ind w:firstLine="0" w:firstLineChars="0"/>
            </w:pPr>
            <w:r>
              <w:rPr>
                <w:rFonts w:ascii="Times New Roman" w:hAnsi="Times New Roman" w:eastAsia="仿宋_GB2312"/>
                <w:b w:val="0"/>
                <w:sz w:val="24"/>
              </w:rPr>
              <w:t>106.61</w:t>
            </w:r>
          </w:p>
        </w:tc>
        <w:tc>
          <w:tcPr>
            <w:tcW w:type="dxa" w:w="1662"/>
            <w:vAlign w:val="center"/>
          </w:tcPr>
          <w:p>
            <w:pPr>
              <w:pStyle w:val="97"/>
              <w:jc w:val="center"/>
              <w:spacing w:before="0" w:after="0" w:line="360" w:lineRule="exact"/>
              <w:ind w:firstLine="0" w:firstLineChars="0"/>
            </w:pPr>
            <w:r>
              <w:rPr>
                <w:rFonts w:ascii="Times New Roman" w:hAnsi="Times New Roman" w:eastAsia="仿宋_GB2312"/>
                <w:b w:val="0"/>
                <w:sz w:val="24"/>
              </w:rPr>
              <w:t>2.34</w:t>
            </w:r>
          </w:p>
        </w:tc>
        <w:tc>
          <w:tcPr>
            <w:tcW w:type="dxa" w:w="1662"/>
            <w:vAlign w:val="center"/>
          </w:tcPr>
          <w:p>
            <w:pPr>
              <w:pStyle w:val="97"/>
              <w:jc w:val="center"/>
              <w:spacing w:before="0" w:after="0" w:line="360" w:lineRule="exact"/>
              <w:ind w:firstLine="0" w:firstLineChars="0"/>
            </w:pPr>
            <w:r>
              <w:rPr>
                <w:rFonts w:ascii="Times New Roman" w:hAnsi="Times New Roman" w:eastAsia="仿宋_GB2312"/>
                <w:b w:val="0"/>
                <w:sz w:val="24"/>
              </w:rPr>
              <w:t>官方年度基准数据</w:t>
            </w:r>
          </w:p>
        </w:tc>
      </w:tr>
      <w:tr>
        <w:trPr>
          <w:cantSplit/>
        </w:trPr>
        <w:tc>
          <w:tcPr>
            <w:tcW w:type="dxa" w:w="1662"/>
            <w:vAlign w:val="center"/>
          </w:tcPr>
          <w:p>
            <w:pPr>
              <w:pStyle w:val="97"/>
              <w:jc w:val="left"/>
              <w:spacing w:before="0" w:after="0" w:line="360" w:lineRule="exact"/>
              <w:ind w:firstLine="0" w:firstLineChars="0"/>
            </w:pPr>
            <w:r>
              <w:rPr>
                <w:rFonts w:ascii="Times New Roman" w:hAnsi="Times New Roman" w:eastAsia="仿宋_GB2312"/>
                <w:b w:val="0"/>
                <w:sz w:val="24"/>
              </w:rPr>
              <w:t>QX-00005</w:t>
            </w:r>
          </w:p>
        </w:tc>
        <w:tc>
          <w:tcPr>
            <w:tcW w:type="dxa" w:w="1662"/>
            <w:vAlign w:val="center"/>
          </w:tcPr>
          <w:p>
            <w:pPr>
              <w:pStyle w:val="97"/>
              <w:jc w:val="center"/>
              <w:spacing w:before="0" w:after="0" w:line="360" w:lineRule="exact"/>
              <w:ind w:firstLine="0" w:firstLineChars="0"/>
            </w:pPr>
            <w:r>
              <w:rPr>
                <w:rFonts w:ascii="Times New Roman" w:hAnsi="Times New Roman" w:eastAsia="仿宋_GB2312"/>
                <w:b w:val="0"/>
                <w:sz w:val="24"/>
              </w:rPr>
              <w:t>275.0</w:t>
            </w:r>
          </w:p>
        </w:tc>
        <w:tc>
          <w:tcPr>
            <w:tcW w:type="dxa" w:w="1662"/>
            <w:vAlign w:val="center"/>
          </w:tcPr>
          <w:p>
            <w:pPr>
              <w:pStyle w:val="97"/>
              <w:jc w:val="center"/>
              <w:spacing w:before="0" w:after="0" w:line="360" w:lineRule="exact"/>
              <w:ind w:firstLine="0" w:firstLineChars="0"/>
            </w:pPr>
            <w:r>
              <w:rPr>
                <w:rFonts w:ascii="Times New Roman" w:hAnsi="Times New Roman" w:eastAsia="仿宋_GB2312"/>
                <w:b w:val="0"/>
                <w:sz w:val="24"/>
              </w:rPr>
              <w:t>147.65</w:t>
            </w:r>
          </w:p>
        </w:tc>
        <w:tc>
          <w:tcPr>
            <w:tcW w:type="dxa" w:w="1662"/>
            <w:vAlign w:val="center"/>
          </w:tcPr>
          <w:p>
            <w:pPr>
              <w:pStyle w:val="97"/>
              <w:jc w:val="center"/>
              <w:spacing w:before="0" w:after="0" w:line="360" w:lineRule="exact"/>
              <w:ind w:firstLine="0" w:firstLineChars="0"/>
            </w:pPr>
            <w:r>
              <w:rPr>
                <w:rFonts w:ascii="Times New Roman" w:hAnsi="Times New Roman" w:eastAsia="仿宋_GB2312"/>
                <w:b w:val="0"/>
                <w:sz w:val="24"/>
              </w:rPr>
              <w:t>1.86</w:t>
            </w:r>
          </w:p>
        </w:tc>
        <w:tc>
          <w:tcPr>
            <w:tcW w:type="dxa" w:w="1662"/>
            <w:vAlign w:val="center"/>
          </w:tcPr>
          <w:p>
            <w:pPr>
              <w:pStyle w:val="97"/>
              <w:jc w:val="center"/>
              <w:spacing w:before="0" w:after="0" w:line="360" w:lineRule="exact"/>
              <w:ind w:firstLine="0" w:firstLineChars="0"/>
            </w:pPr>
            <w:r>
              <w:rPr>
                <w:rFonts w:ascii="Times New Roman" w:hAnsi="Times New Roman" w:eastAsia="仿宋_GB2312"/>
                <w:b w:val="0"/>
                <w:sz w:val="24"/>
              </w:rPr>
              <w:t>官方年度基准数据</w:t>
            </w:r>
          </w:p>
        </w:tc>
      </w:tr>
      <w:tr>
        <w:trPr>
          <w:cantSplit/>
        </w:trPr>
        <w:tc>
          <w:tcPr>
            <w:tcW w:type="dxa" w:w="1662"/>
            <w:vAlign w:val="center"/>
          </w:tcPr>
          <w:p>
            <w:pPr>
              <w:pStyle w:val="97"/>
              <w:jc w:val="left"/>
              <w:spacing w:before="0" w:after="0" w:line="360" w:lineRule="exact"/>
              <w:ind w:firstLine="0" w:firstLineChars="0"/>
            </w:pPr>
            <w:r>
              <w:rPr>
                <w:rFonts w:ascii="Times New Roman" w:hAnsi="Times New Roman" w:eastAsia="仿宋_GB2312"/>
                <w:b w:val="0"/>
                <w:sz w:val="24"/>
              </w:rPr>
              <w:t>QX-00007</w:t>
            </w:r>
          </w:p>
        </w:tc>
        <w:tc>
          <w:tcPr>
            <w:tcW w:type="dxa" w:w="1662"/>
            <w:vAlign w:val="center"/>
          </w:tcPr>
          <w:p>
            <w:pPr>
              <w:pStyle w:val="97"/>
              <w:jc w:val="center"/>
              <w:spacing w:before="0" w:after="0" w:line="360" w:lineRule="exact"/>
              <w:ind w:firstLine="0" w:firstLineChars="0"/>
            </w:pPr>
            <w:r>
              <w:rPr>
                <w:rFonts w:ascii="Times New Roman" w:hAnsi="Times New Roman" w:eastAsia="仿宋_GB2312"/>
                <w:b w:val="0"/>
                <w:sz w:val="24"/>
              </w:rPr>
              <w:t>36.0</w:t>
            </w:r>
          </w:p>
        </w:tc>
        <w:tc>
          <w:tcPr>
            <w:tcW w:type="dxa" w:w="1662"/>
            <w:vAlign w:val="center"/>
          </w:tcPr>
          <w:p>
            <w:pPr>
              <w:pStyle w:val="97"/>
              <w:jc w:val="center"/>
              <w:spacing w:before="0" w:after="0" w:line="360" w:lineRule="exact"/>
              <w:ind w:firstLine="0" w:firstLineChars="0"/>
            </w:pPr>
            <w:r>
              <w:rPr>
                <w:rFonts w:ascii="Times New Roman" w:hAnsi="Times New Roman" w:eastAsia="仿宋_GB2312"/>
                <w:b w:val="0"/>
                <w:sz w:val="24"/>
              </w:rPr>
              <w:t>14.68</w:t>
            </w:r>
          </w:p>
        </w:tc>
        <w:tc>
          <w:tcPr>
            <w:tcW w:type="dxa" w:w="1662"/>
            <w:vAlign w:val="center"/>
          </w:tcPr>
          <w:p>
            <w:pPr>
              <w:pStyle w:val="97"/>
              <w:jc w:val="center"/>
              <w:spacing w:before="0" w:after="0" w:line="360" w:lineRule="exact"/>
              <w:ind w:firstLine="0" w:firstLineChars="0"/>
            </w:pPr>
            <w:r>
              <w:rPr>
                <w:rFonts w:ascii="Times New Roman" w:hAnsi="Times New Roman" w:eastAsia="仿宋_GB2312"/>
                <w:b w:val="0"/>
                <w:sz w:val="24"/>
              </w:rPr>
              <w:t>2.45</w:t>
            </w:r>
          </w:p>
        </w:tc>
        <w:tc>
          <w:tcPr>
            <w:tcW w:type="dxa" w:w="1662"/>
            <w:vAlign w:val="center"/>
          </w:tcPr>
          <w:p>
            <w:pPr>
              <w:pStyle w:val="97"/>
              <w:jc w:val="center"/>
              <w:spacing w:before="0" w:after="0" w:line="360" w:lineRule="exact"/>
              <w:ind w:firstLine="0" w:firstLineChars="0"/>
            </w:pPr>
            <w:r>
              <w:rPr>
                <w:rFonts w:ascii="Times New Roman" w:hAnsi="Times New Roman" w:eastAsia="仿宋_GB2312"/>
                <w:b w:val="0"/>
                <w:sz w:val="24"/>
              </w:rPr>
              <w:t>官方年度基准数据</w:t>
            </w:r>
          </w:p>
        </w:tc>
      </w:tr>
      <w:tr>
        <w:trPr>
          <w:cantSplit/>
        </w:trPr>
        <w:tc>
          <w:tcPr>
            <w:tcW w:type="dxa" w:w="1662"/>
            <w:vAlign w:val="center"/>
          </w:tcPr>
          <w:p>
            <w:pPr>
              <w:pStyle w:val="97"/>
              <w:jc w:val="left"/>
              <w:spacing w:before="0" w:after="0" w:line="360" w:lineRule="exact"/>
              <w:ind w:firstLine="0" w:firstLineChars="0"/>
            </w:pPr>
            <w:r>
              <w:rPr>
                <w:rFonts w:ascii="Times New Roman" w:hAnsi="Times New Roman" w:eastAsia="仿宋_GB2312"/>
                <w:b w:val="0"/>
                <w:sz w:val="24"/>
              </w:rPr>
              <w:t>QX-00008</w:t>
            </w:r>
          </w:p>
        </w:tc>
        <w:tc>
          <w:tcPr>
            <w:tcW w:type="dxa" w:w="1662"/>
            <w:vAlign w:val="center"/>
          </w:tcPr>
          <w:p>
            <w:pPr>
              <w:pStyle w:val="97"/>
              <w:jc w:val="center"/>
              <w:spacing w:before="0" w:after="0" w:line="360" w:lineRule="exact"/>
              <w:ind w:firstLine="0" w:firstLineChars="0"/>
            </w:pPr>
            <w:r>
              <w:rPr>
                <w:rFonts w:ascii="Times New Roman" w:hAnsi="Times New Roman" w:eastAsia="仿宋_GB2312"/>
                <w:b w:val="0"/>
                <w:sz w:val="24"/>
              </w:rPr>
              <w:t>164.3</w:t>
            </w:r>
          </w:p>
        </w:tc>
        <w:tc>
          <w:tcPr>
            <w:tcW w:type="dxa" w:w="1662"/>
            <w:vAlign w:val="center"/>
          </w:tcPr>
          <w:p>
            <w:pPr>
              <w:pStyle w:val="97"/>
              <w:jc w:val="center"/>
              <w:spacing w:before="0" w:after="0" w:line="360" w:lineRule="exact"/>
              <w:ind w:firstLine="0" w:firstLineChars="0"/>
            </w:pPr>
            <w:r>
              <w:rPr>
                <w:rFonts w:ascii="Times New Roman" w:hAnsi="Times New Roman" w:eastAsia="仿宋_GB2312"/>
                <w:b w:val="0"/>
                <w:sz w:val="24"/>
              </w:rPr>
              <w:t>82.31</w:t>
            </w:r>
          </w:p>
        </w:tc>
        <w:tc>
          <w:tcPr>
            <w:tcW w:type="dxa" w:w="1662"/>
            <w:vAlign w:val="center"/>
          </w:tcPr>
          <w:p>
            <w:pPr>
              <w:pStyle w:val="97"/>
              <w:jc w:val="center"/>
              <w:spacing w:before="0" w:after="0" w:line="360" w:lineRule="exact"/>
              <w:ind w:firstLine="0" w:firstLineChars="0"/>
            </w:pPr>
            <w:r>
              <w:rPr>
                <w:rFonts w:ascii="Times New Roman" w:hAnsi="Times New Roman" w:eastAsia="仿宋_GB2312"/>
                <w:b w:val="0"/>
                <w:sz w:val="24"/>
              </w:rPr>
              <w:t>2.00</w:t>
            </w:r>
          </w:p>
        </w:tc>
        <w:tc>
          <w:tcPr>
            <w:tcW w:type="dxa" w:w="1662"/>
            <w:vAlign w:val="center"/>
          </w:tcPr>
          <w:p>
            <w:pPr>
              <w:pStyle w:val="97"/>
              <w:jc w:val="center"/>
              <w:spacing w:before="0" w:after="0" w:line="360" w:lineRule="exact"/>
              <w:ind w:firstLine="0" w:firstLineChars="0"/>
            </w:pPr>
            <w:r>
              <w:rPr>
                <w:rFonts w:ascii="Times New Roman" w:hAnsi="Times New Roman" w:eastAsia="仿宋_GB2312"/>
                <w:b w:val="0"/>
                <w:sz w:val="24"/>
              </w:rPr>
              <w:t>官方年度基准数据</w:t>
            </w:r>
          </w:p>
        </w:tc>
      </w:tr>
      <w:tr>
        <w:trPr>
          <w:cantSplit/>
        </w:trPr>
        <w:tc>
          <w:tcPr>
            <w:tcW w:type="dxa" w:w="1662"/>
            <w:vAlign w:val="center"/>
          </w:tcPr>
          <w:p>
            <w:pPr>
              <w:pStyle w:val="97"/>
              <w:jc w:val="left"/>
              <w:spacing w:before="0" w:after="0" w:line="360" w:lineRule="exact"/>
              <w:ind w:firstLine="0" w:firstLineChars="0"/>
            </w:pPr>
            <w:r>
              <w:rPr>
                <w:rFonts w:ascii="Times New Roman" w:hAnsi="Times New Roman" w:eastAsia="仿宋_GB2312"/>
                <w:b w:val="0"/>
                <w:sz w:val="24"/>
              </w:rPr>
              <w:t>QX-00009</w:t>
            </w:r>
          </w:p>
        </w:tc>
        <w:tc>
          <w:tcPr>
            <w:tcW w:type="dxa" w:w="1662"/>
            <w:vAlign w:val="center"/>
          </w:tcPr>
          <w:p>
            <w:pPr>
              <w:pStyle w:val="97"/>
              <w:jc w:val="center"/>
              <w:spacing w:before="0" w:after="0" w:line="360" w:lineRule="exact"/>
              <w:ind w:firstLine="0" w:firstLineChars="0"/>
            </w:pPr>
            <w:r>
              <w:rPr>
                <w:rFonts w:ascii="Times New Roman" w:hAnsi="Times New Roman" w:eastAsia="仿宋_GB2312"/>
                <w:b w:val="0"/>
                <w:sz w:val="24"/>
              </w:rPr>
              <w:t>274.3</w:t>
            </w:r>
          </w:p>
        </w:tc>
        <w:tc>
          <w:tcPr>
            <w:tcW w:type="dxa" w:w="1662"/>
            <w:vAlign w:val="center"/>
          </w:tcPr>
          <w:p>
            <w:pPr>
              <w:pStyle w:val="97"/>
              <w:jc w:val="center"/>
              <w:spacing w:before="0" w:after="0" w:line="360" w:lineRule="exact"/>
              <w:ind w:firstLine="0" w:firstLineChars="0"/>
            </w:pPr>
            <w:r>
              <w:rPr>
                <w:rFonts w:ascii="Times New Roman" w:hAnsi="Times New Roman" w:eastAsia="仿宋_GB2312"/>
                <w:b w:val="0"/>
                <w:sz w:val="24"/>
              </w:rPr>
              <w:t>89.00</w:t>
            </w:r>
          </w:p>
        </w:tc>
        <w:tc>
          <w:tcPr>
            <w:tcW w:type="dxa" w:w="1662"/>
            <w:vAlign w:val="center"/>
          </w:tcPr>
          <w:p>
            <w:pPr>
              <w:pStyle w:val="97"/>
              <w:jc w:val="center"/>
              <w:spacing w:before="0" w:after="0" w:line="360" w:lineRule="exact"/>
              <w:ind w:firstLine="0" w:firstLineChars="0"/>
            </w:pPr>
            <w:r>
              <w:rPr>
                <w:rFonts w:ascii="Times New Roman" w:hAnsi="Times New Roman" w:eastAsia="仿宋_GB2312"/>
                <w:b w:val="0"/>
                <w:sz w:val="24"/>
              </w:rPr>
              <w:t>3.08</w:t>
            </w:r>
          </w:p>
        </w:tc>
        <w:tc>
          <w:tcPr>
            <w:tcW w:type="dxa" w:w="1662"/>
            <w:vAlign w:val="center"/>
          </w:tcPr>
          <w:p>
            <w:pPr>
              <w:pStyle w:val="97"/>
              <w:jc w:val="center"/>
              <w:spacing w:before="0" w:after="0" w:line="360" w:lineRule="exact"/>
              <w:ind w:firstLine="0" w:firstLineChars="0"/>
            </w:pPr>
            <w:r>
              <w:rPr>
                <w:rFonts w:ascii="Times New Roman" w:hAnsi="Times New Roman" w:eastAsia="仿宋_GB2312"/>
                <w:b w:val="0"/>
                <w:sz w:val="24"/>
              </w:rPr>
              <w:t>官方年度基准数据</w:t>
            </w:r>
          </w:p>
        </w:tc>
      </w:tr>
      <w:tr>
        <w:trPr>
          <w:cantSplit/>
        </w:trPr>
        <w:tc>
          <w:tcPr>
            <w:tcW w:type="dxa" w:w="1662"/>
            <w:vAlign w:val="center"/>
          </w:tcPr>
          <w:p>
            <w:pPr>
              <w:pStyle w:val="97"/>
              <w:jc w:val="left"/>
              <w:spacing w:before="0" w:after="0" w:line="360" w:lineRule="exact"/>
              <w:ind w:firstLine="0" w:firstLineChars="0"/>
            </w:pPr>
            <w:r>
              <w:rPr>
                <w:rFonts w:ascii="Times New Roman" w:hAnsi="Times New Roman" w:eastAsia="仿宋_GB2312"/>
                <w:b w:val="0"/>
                <w:sz w:val="24"/>
              </w:rPr>
              <w:t>QX-00010</w:t>
            </w:r>
          </w:p>
        </w:tc>
        <w:tc>
          <w:tcPr>
            <w:tcW w:type="dxa" w:w="1662"/>
            <w:vAlign w:val="center"/>
          </w:tcPr>
          <w:p>
            <w:pPr>
              <w:pStyle w:val="97"/>
              <w:jc w:val="center"/>
              <w:spacing w:before="0" w:after="0" w:line="360" w:lineRule="exact"/>
              <w:ind w:firstLine="0" w:firstLineChars="0"/>
            </w:pPr>
            <w:r>
              <w:rPr>
                <w:rFonts w:ascii="Times New Roman" w:hAnsi="Times New Roman" w:eastAsia="仿宋_GB2312"/>
                <w:b w:val="0"/>
                <w:sz w:val="24"/>
              </w:rPr>
              <w:t>232.0</w:t>
            </w:r>
          </w:p>
        </w:tc>
        <w:tc>
          <w:tcPr>
            <w:tcW w:type="dxa" w:w="1662"/>
            <w:vAlign w:val="center"/>
          </w:tcPr>
          <w:p>
            <w:pPr>
              <w:pStyle w:val="97"/>
              <w:jc w:val="center"/>
              <w:spacing w:before="0" w:after="0" w:line="360" w:lineRule="exact"/>
              <w:ind w:firstLine="0" w:firstLineChars="0"/>
            </w:pPr>
            <w:r>
              <w:rPr>
                <w:rFonts w:ascii="Times New Roman" w:hAnsi="Times New Roman" w:eastAsia="仿宋_GB2312"/>
                <w:b w:val="0"/>
                <w:sz w:val="24"/>
              </w:rPr>
              <w:t>79.75</w:t>
            </w:r>
          </w:p>
        </w:tc>
        <w:tc>
          <w:tcPr>
            <w:tcW w:type="dxa" w:w="1662"/>
            <w:vAlign w:val="center"/>
          </w:tcPr>
          <w:p>
            <w:pPr>
              <w:pStyle w:val="97"/>
              <w:jc w:val="center"/>
              <w:spacing w:before="0" w:after="0" w:line="360" w:lineRule="exact"/>
              <w:ind w:firstLine="0" w:firstLineChars="0"/>
            </w:pPr>
            <w:r>
              <w:rPr>
                <w:rFonts w:ascii="Times New Roman" w:hAnsi="Times New Roman" w:eastAsia="仿宋_GB2312"/>
                <w:b w:val="0"/>
                <w:sz w:val="24"/>
              </w:rPr>
              <w:t>2.91</w:t>
            </w:r>
          </w:p>
        </w:tc>
        <w:tc>
          <w:tcPr>
            <w:tcW w:type="dxa" w:w="1662"/>
            <w:vAlign w:val="center"/>
          </w:tcPr>
          <w:p>
            <w:pPr>
              <w:pStyle w:val="97"/>
              <w:jc w:val="center"/>
              <w:spacing w:before="0" w:after="0" w:line="360" w:lineRule="exact"/>
              <w:ind w:firstLine="0" w:firstLineChars="0"/>
            </w:pPr>
            <w:r>
              <w:rPr>
                <w:rFonts w:ascii="Times New Roman" w:hAnsi="Times New Roman" w:eastAsia="仿宋_GB2312"/>
                <w:b w:val="0"/>
                <w:sz w:val="24"/>
              </w:rPr>
              <w:t>官方年度基准数据</w:t>
            </w:r>
          </w:p>
        </w:tc>
      </w:tr>
    </w:tbl>
    <w:p>
      <w:pPr>
        <w:spacing w:before="0" w:after="0" w:line="560" w:lineRule="exact"/>
        <w:jc w:val="both"/>
        <w:ind w:firstLineChars="200" w:firstLine="200"/>
      </w:pPr>
      <w:r>
        <w:rPr>
          <w:rFonts w:ascii="Times New Roman" w:hAnsi="Times New Roman" w:eastAsia="仿宋_GB2312"/>
          <w:b w:val="0"/>
          <w:sz w:val="28"/>
        </w:rPr>
        <w:t>八片区 110 kV 容载比的年度变化如图 3-1 所示。2021—2025 年间，QX-00004 由 2.91 上升至 3.30，QX-00003 由 2.63 上升至 3.09；QX-00010 则由 3.40 降至 2.69，QX-00005 由 2.77 降至 2.24。其余片区在不同年份也有不同幅度的波动。由图可见，徐州各片区不存在同步上升或同步下降的统一轨迹，容量投运和同步正向峰值变化共同决定年度容载比。图中的 R=2.0 仅为后续严格优化方案的比较线，不表示超过该线就发生设备越限或必须采取措施。</w:t>
      </w:r>
    </w:p>
    <w:p>
      <w:pPr>
        <w:pStyle w:val="38"/>
        <w:jc w:val="center"/>
        <w:ind w:firstLine="0" w:firstLineChars="0"/>
      </w:pPr>
      <w:r>
        <w:drawing>
          <wp:inline xmlns:a="http://schemas.openxmlformats.org/drawingml/2006/main" xmlns:pic="http://schemas.openxmlformats.org/drawingml/2006/picture">
            <wp:extent cx="4968000" cy="2810274"/>
            <wp:docPr id="2" name="Picture 2"/>
            <wp:cNvGraphicFramePr>
              <a:graphicFrameLocks noChangeAspect="1"/>
            </wp:cNvGraphicFramePr>
            <a:graphic>
              <a:graphicData uri="http://schemas.openxmlformats.org/drawingml/2006/picture">
                <pic:pic>
                  <pic:nvPicPr>
                    <pic:cNvPr id="0" name="图3-1_八片区110kV容载比年度变化.png"/>
                    <pic:cNvPicPr/>
                  </pic:nvPicPr>
                  <pic:blipFill>
                    <a:blip r:embed="rId14"/>
                    <a:stretch>
                      <a:fillRect/>
                    </a:stretch>
                  </pic:blipFill>
                  <pic:spPr>
                    <a:xfrm>
                      <a:off x="0" y="0"/>
                      <a:ext cx="4968000" cy="2810274"/>
                    </a:xfrm>
                    <a:prstGeom prst="rect"/>
                  </pic:spPr>
                </pic:pic>
              </a:graphicData>
            </a:graphic>
          </wp:inline>
        </w:drawing>
      </w:r>
    </w:p>
    <w:p>
      <w:pPr>
        <w:pStyle w:val="12"/>
        <w:keepNext w:val="0"/>
        <w:spacing w:before="0" w:after="120" w:line="400" w:lineRule="exact"/>
        <w:jc w:val="center"/>
        <w:ind w:firstLine="0" w:firstLineChars="0"/>
      </w:pPr>
      <w:r>
        <w:rPr>
          <w:rFonts w:ascii="Times New Roman" w:hAnsi="Times New Roman" w:eastAsia="仿宋_GB2312"/>
          <w:b w:val="0"/>
          <w:sz w:val="24"/>
        </w:rPr>
        <w:t>图 3-1 2021—2025 年八片区 110 kV 容载比变化</w:t>
      </w:r>
    </w:p>
    <w:p>
      <w:pPr>
        <w:spacing w:before="0" w:after="0" w:line="560" w:lineRule="exact"/>
        <w:jc w:val="both"/>
        <w:ind w:firstLineChars="200" w:firstLine="200"/>
      </w:pPr>
      <w:r>
        <w:rPr>
          <w:rFonts w:ascii="Times New Roman" w:hAnsi="Times New Roman" w:eastAsia="仿宋_GB2312"/>
          <w:b w:val="0"/>
          <w:sz w:val="28"/>
        </w:rPr>
        <w:t>QX-00005 具备 2025 年正式逐时分析条件，可作为典型片区。该片区 2021—2025 年的年度基准数据见表 3-4。110 kV 公用变容量由 2021 年的 2027.0 MVA 增至 2024 年的 2169.5 MVA，2025 年运行口径为 2139.5 MVA；同期同步正向峰值由 731.77 MW 增至 956.45 MW。与 2021 年相比，2025 年容量增加 112.5 MVA，增幅约 5.6%，同步正向峰值增加 224.68 MW，增幅约 30.7%，容载比相应由 2.77 降至 2.24。35 kV 层的变化更为明显：容量由 245.0 MVA 增至 275.0 MVA，峰值由 80.76 MW 增至 147.65 MW，容载比由 3.03 降至 1.86。两层数据均表明，典型片区近年同步正向峰值增长快于变电容量增长。</w:t>
      </w:r>
    </w:p>
    <w:p>
      <w:pPr>
        <w:pStyle w:val="12"/>
        <w:keepNext/>
        <w:spacing w:before="120" w:after="60" w:line="400" w:lineRule="exact"/>
        <w:jc w:val="center"/>
        <w:ind w:firstLine="0" w:firstLineChars="0"/>
      </w:pPr>
      <w:r>
        <w:rPr>
          <w:rFonts w:ascii="Times New Roman" w:hAnsi="Times New Roman" w:eastAsia="仿宋_GB2312"/>
          <w:b w:val="0"/>
          <w:sz w:val="24"/>
        </w:rPr>
        <w:t>表 3-4 QX-00005 片区 2021—2025 年年度容量、同步正向峰值和容载比</w:t>
      </w:r>
    </w:p>
    <w:tbl>
      <w:tblPr>
        <w:tblW w:type="auto" w:w="0"/>
        <w:tblLayout w:type="autofi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187"/>
        <w:gridCol w:w="1187"/>
        <w:gridCol w:w="1187"/>
        <w:gridCol w:w="1187"/>
        <w:gridCol w:w="1187"/>
        <w:gridCol w:w="1187"/>
        <w:gridCol w:w="1187"/>
      </w:tblGrid>
      <w:tr>
        <w:trPr>
          <w:cantSplit/>
          <w:tblHeader w:val="true"/>
        </w:trPr>
        <w:tc>
          <w:tcPr>
            <w:tcW w:type="dxa" w:w="1187"/>
            <w:vAlign w:val="center"/>
          </w:tcPr>
          <w:p>
            <w:pPr>
              <w:pStyle w:val="97"/>
              <w:jc w:val="center"/>
              <w:spacing w:before="0" w:after="0" w:line="360" w:lineRule="exact"/>
              <w:ind w:firstLine="0" w:firstLineChars="0"/>
            </w:pPr>
            <w:r>
              <w:rPr>
                <w:rFonts w:ascii="Times New Roman" w:hAnsi="Times New Roman" w:eastAsia="仿宋_GB2312"/>
                <w:b/>
                <w:sz w:val="24"/>
              </w:rPr>
              <w:t>年度</w:t>
            </w:r>
          </w:p>
        </w:tc>
        <w:tc>
          <w:tcPr>
            <w:tcW w:type="dxa" w:w="1187"/>
            <w:vAlign w:val="center"/>
          </w:tcPr>
          <w:p>
            <w:pPr>
              <w:pStyle w:val="97"/>
              <w:jc w:val="center"/>
              <w:spacing w:before="0" w:after="0" w:line="360" w:lineRule="exact"/>
              <w:ind w:firstLine="0" w:firstLineChars="0"/>
            </w:pPr>
            <w:r>
              <w:rPr>
                <w:rFonts w:ascii="Times New Roman" w:hAnsi="Times New Roman" w:eastAsia="仿宋_GB2312"/>
                <w:b/>
                <w:sz w:val="24"/>
              </w:rPr>
              <w:t>110 kV 容量（MVA）</w:t>
            </w:r>
          </w:p>
        </w:tc>
        <w:tc>
          <w:tcPr>
            <w:tcW w:type="dxa" w:w="1187"/>
            <w:vAlign w:val="center"/>
          </w:tcPr>
          <w:p>
            <w:pPr>
              <w:pStyle w:val="97"/>
              <w:jc w:val="center"/>
              <w:spacing w:before="0" w:after="0" w:line="360" w:lineRule="exact"/>
              <w:ind w:firstLine="0" w:firstLineChars="0"/>
            </w:pPr>
            <w:r>
              <w:rPr>
                <w:rFonts w:ascii="Times New Roman" w:hAnsi="Times New Roman" w:eastAsia="仿宋_GB2312"/>
                <w:b/>
                <w:sz w:val="24"/>
              </w:rPr>
              <w:t>110 kV 同步峰值（MW）</w:t>
            </w:r>
          </w:p>
        </w:tc>
        <w:tc>
          <w:tcPr>
            <w:tcW w:type="dxa" w:w="1187"/>
            <w:vAlign w:val="center"/>
          </w:tcPr>
          <w:p>
            <w:pPr>
              <w:pStyle w:val="97"/>
              <w:jc w:val="center"/>
              <w:spacing w:before="0" w:after="0" w:line="360" w:lineRule="exact"/>
              <w:ind w:firstLine="0" w:firstLineChars="0"/>
            </w:pPr>
            <w:r>
              <w:rPr>
                <w:rFonts w:ascii="Times New Roman" w:hAnsi="Times New Roman" w:eastAsia="仿宋_GB2312"/>
                <w:b/>
                <w:sz w:val="24"/>
              </w:rPr>
              <w:t>110 kV 容载比</w:t>
            </w:r>
          </w:p>
        </w:tc>
        <w:tc>
          <w:tcPr>
            <w:tcW w:type="dxa" w:w="1187"/>
            <w:vAlign w:val="center"/>
          </w:tcPr>
          <w:p>
            <w:pPr>
              <w:pStyle w:val="97"/>
              <w:jc w:val="center"/>
              <w:spacing w:before="0" w:after="0" w:line="360" w:lineRule="exact"/>
              <w:ind w:firstLine="0" w:firstLineChars="0"/>
            </w:pPr>
            <w:r>
              <w:rPr>
                <w:rFonts w:ascii="Times New Roman" w:hAnsi="Times New Roman" w:eastAsia="仿宋_GB2312"/>
                <w:b/>
                <w:sz w:val="24"/>
              </w:rPr>
              <w:t>35 kV 容量（MVA）</w:t>
            </w:r>
          </w:p>
        </w:tc>
        <w:tc>
          <w:tcPr>
            <w:tcW w:type="dxa" w:w="1187"/>
            <w:vAlign w:val="center"/>
          </w:tcPr>
          <w:p>
            <w:pPr>
              <w:pStyle w:val="97"/>
              <w:jc w:val="center"/>
              <w:spacing w:before="0" w:after="0" w:line="360" w:lineRule="exact"/>
              <w:ind w:firstLine="0" w:firstLineChars="0"/>
            </w:pPr>
            <w:r>
              <w:rPr>
                <w:rFonts w:ascii="Times New Roman" w:hAnsi="Times New Roman" w:eastAsia="仿宋_GB2312"/>
                <w:b/>
                <w:sz w:val="24"/>
              </w:rPr>
              <w:t>35 kV 同步峰值（MW）</w:t>
            </w:r>
          </w:p>
        </w:tc>
        <w:tc>
          <w:tcPr>
            <w:tcW w:type="dxa" w:w="1187"/>
            <w:vAlign w:val="center"/>
          </w:tcPr>
          <w:p>
            <w:pPr>
              <w:pStyle w:val="97"/>
              <w:jc w:val="center"/>
              <w:spacing w:before="0" w:after="0" w:line="360" w:lineRule="exact"/>
              <w:ind w:firstLine="0" w:firstLineChars="0"/>
            </w:pPr>
            <w:r>
              <w:rPr>
                <w:rFonts w:ascii="Times New Roman" w:hAnsi="Times New Roman" w:eastAsia="仿宋_GB2312"/>
                <w:b/>
                <w:sz w:val="24"/>
              </w:rPr>
              <w:t>35 kV 容载比</w:t>
            </w:r>
          </w:p>
        </w:tc>
      </w:tr>
      <w:tr>
        <w:trPr>
          <w:cantSplit/>
        </w:trPr>
        <w:tc>
          <w:tcPr>
            <w:tcW w:type="dxa" w:w="1187"/>
            <w:vAlign w:val="center"/>
          </w:tcPr>
          <w:p>
            <w:pPr>
              <w:pStyle w:val="97"/>
              <w:jc w:val="left"/>
              <w:spacing w:before="0" w:after="0" w:line="360" w:lineRule="exact"/>
              <w:ind w:firstLine="0" w:firstLineChars="0"/>
            </w:pPr>
            <w:r>
              <w:rPr>
                <w:rFonts w:ascii="Times New Roman" w:hAnsi="Times New Roman" w:eastAsia="仿宋_GB2312"/>
                <w:b w:val="0"/>
                <w:sz w:val="24"/>
              </w:rPr>
              <w:t>2021</w:t>
            </w:r>
          </w:p>
        </w:tc>
        <w:tc>
          <w:tcPr>
            <w:tcW w:type="dxa" w:w="1187"/>
            <w:vAlign w:val="center"/>
          </w:tcPr>
          <w:p>
            <w:pPr>
              <w:pStyle w:val="97"/>
              <w:jc w:val="center"/>
              <w:spacing w:before="0" w:after="0" w:line="360" w:lineRule="exact"/>
              <w:ind w:firstLine="0" w:firstLineChars="0"/>
            </w:pPr>
            <w:r>
              <w:rPr>
                <w:rFonts w:ascii="Times New Roman" w:hAnsi="Times New Roman" w:eastAsia="仿宋_GB2312"/>
                <w:b w:val="0"/>
                <w:sz w:val="24"/>
              </w:rPr>
              <w:t>2027.0</w:t>
            </w:r>
          </w:p>
        </w:tc>
        <w:tc>
          <w:tcPr>
            <w:tcW w:type="dxa" w:w="1187"/>
            <w:vAlign w:val="center"/>
          </w:tcPr>
          <w:p>
            <w:pPr>
              <w:pStyle w:val="97"/>
              <w:jc w:val="center"/>
              <w:spacing w:before="0" w:after="0" w:line="360" w:lineRule="exact"/>
              <w:ind w:firstLine="0" w:firstLineChars="0"/>
            </w:pPr>
            <w:r>
              <w:rPr>
                <w:rFonts w:ascii="Times New Roman" w:hAnsi="Times New Roman" w:eastAsia="仿宋_GB2312"/>
                <w:b w:val="0"/>
                <w:sz w:val="24"/>
              </w:rPr>
              <w:t>731.77</w:t>
            </w:r>
          </w:p>
        </w:tc>
        <w:tc>
          <w:tcPr>
            <w:tcW w:type="dxa" w:w="1187"/>
            <w:vAlign w:val="center"/>
          </w:tcPr>
          <w:p>
            <w:pPr>
              <w:pStyle w:val="97"/>
              <w:jc w:val="center"/>
              <w:spacing w:before="0" w:after="0" w:line="360" w:lineRule="exact"/>
              <w:ind w:firstLine="0" w:firstLineChars="0"/>
            </w:pPr>
            <w:r>
              <w:rPr>
                <w:rFonts w:ascii="Times New Roman" w:hAnsi="Times New Roman" w:eastAsia="仿宋_GB2312"/>
                <w:b w:val="0"/>
                <w:sz w:val="24"/>
              </w:rPr>
              <w:t>2.77</w:t>
            </w:r>
          </w:p>
        </w:tc>
        <w:tc>
          <w:tcPr>
            <w:tcW w:type="dxa" w:w="1187"/>
            <w:vAlign w:val="center"/>
          </w:tcPr>
          <w:p>
            <w:pPr>
              <w:pStyle w:val="97"/>
              <w:jc w:val="center"/>
              <w:spacing w:before="0" w:after="0" w:line="360" w:lineRule="exact"/>
              <w:ind w:firstLine="0" w:firstLineChars="0"/>
            </w:pPr>
            <w:r>
              <w:rPr>
                <w:rFonts w:ascii="Times New Roman" w:hAnsi="Times New Roman" w:eastAsia="仿宋_GB2312"/>
                <w:b w:val="0"/>
                <w:sz w:val="24"/>
              </w:rPr>
              <w:t>245.0</w:t>
            </w:r>
          </w:p>
        </w:tc>
        <w:tc>
          <w:tcPr>
            <w:tcW w:type="dxa" w:w="1187"/>
            <w:vAlign w:val="center"/>
          </w:tcPr>
          <w:p>
            <w:pPr>
              <w:pStyle w:val="97"/>
              <w:jc w:val="center"/>
              <w:spacing w:before="0" w:after="0" w:line="360" w:lineRule="exact"/>
              <w:ind w:firstLine="0" w:firstLineChars="0"/>
            </w:pPr>
            <w:r>
              <w:rPr>
                <w:rFonts w:ascii="Times New Roman" w:hAnsi="Times New Roman" w:eastAsia="仿宋_GB2312"/>
                <w:b w:val="0"/>
                <w:sz w:val="24"/>
              </w:rPr>
              <w:t>80.76</w:t>
            </w:r>
          </w:p>
        </w:tc>
        <w:tc>
          <w:tcPr>
            <w:tcW w:type="dxa" w:w="1187"/>
            <w:vAlign w:val="center"/>
          </w:tcPr>
          <w:p>
            <w:pPr>
              <w:pStyle w:val="97"/>
              <w:jc w:val="center"/>
              <w:spacing w:before="0" w:after="0" w:line="360" w:lineRule="exact"/>
              <w:ind w:firstLine="0" w:firstLineChars="0"/>
            </w:pPr>
            <w:r>
              <w:rPr>
                <w:rFonts w:ascii="Times New Roman" w:hAnsi="Times New Roman" w:eastAsia="仿宋_GB2312"/>
                <w:b w:val="0"/>
                <w:sz w:val="24"/>
              </w:rPr>
              <w:t>3.03</w:t>
            </w:r>
          </w:p>
        </w:tc>
      </w:tr>
      <w:tr>
        <w:trPr>
          <w:cantSplit/>
        </w:trPr>
        <w:tc>
          <w:tcPr>
            <w:tcW w:type="dxa" w:w="1187"/>
            <w:vAlign w:val="center"/>
          </w:tcPr>
          <w:p>
            <w:pPr>
              <w:pStyle w:val="97"/>
              <w:jc w:val="left"/>
              <w:spacing w:before="0" w:after="0" w:line="360" w:lineRule="exact"/>
              <w:ind w:firstLine="0" w:firstLineChars="0"/>
            </w:pPr>
            <w:r>
              <w:rPr>
                <w:rFonts w:ascii="Times New Roman" w:hAnsi="Times New Roman" w:eastAsia="仿宋_GB2312"/>
                <w:b w:val="0"/>
                <w:sz w:val="24"/>
              </w:rPr>
              <w:t>2022</w:t>
            </w:r>
          </w:p>
        </w:tc>
        <w:tc>
          <w:tcPr>
            <w:tcW w:type="dxa" w:w="1187"/>
            <w:vAlign w:val="center"/>
          </w:tcPr>
          <w:p>
            <w:pPr>
              <w:pStyle w:val="97"/>
              <w:jc w:val="center"/>
              <w:spacing w:before="0" w:after="0" w:line="360" w:lineRule="exact"/>
              <w:ind w:firstLine="0" w:firstLineChars="0"/>
            </w:pPr>
            <w:r>
              <w:rPr>
                <w:rFonts w:ascii="Times New Roman" w:hAnsi="Times New Roman" w:eastAsia="仿宋_GB2312"/>
                <w:b w:val="0"/>
                <w:sz w:val="24"/>
              </w:rPr>
              <w:t>2045.5</w:t>
            </w:r>
          </w:p>
        </w:tc>
        <w:tc>
          <w:tcPr>
            <w:tcW w:type="dxa" w:w="1187"/>
            <w:vAlign w:val="center"/>
          </w:tcPr>
          <w:p>
            <w:pPr>
              <w:pStyle w:val="97"/>
              <w:jc w:val="center"/>
              <w:spacing w:before="0" w:after="0" w:line="360" w:lineRule="exact"/>
              <w:ind w:firstLine="0" w:firstLineChars="0"/>
            </w:pPr>
            <w:r>
              <w:rPr>
                <w:rFonts w:ascii="Times New Roman" w:hAnsi="Times New Roman" w:eastAsia="仿宋_GB2312"/>
                <w:b w:val="0"/>
                <w:sz w:val="24"/>
              </w:rPr>
              <w:t>825.00</w:t>
            </w:r>
          </w:p>
        </w:tc>
        <w:tc>
          <w:tcPr>
            <w:tcW w:type="dxa" w:w="1187"/>
            <w:vAlign w:val="center"/>
          </w:tcPr>
          <w:p>
            <w:pPr>
              <w:pStyle w:val="97"/>
              <w:jc w:val="center"/>
              <w:spacing w:before="0" w:after="0" w:line="360" w:lineRule="exact"/>
              <w:ind w:firstLine="0" w:firstLineChars="0"/>
            </w:pPr>
            <w:r>
              <w:rPr>
                <w:rFonts w:ascii="Times New Roman" w:hAnsi="Times New Roman" w:eastAsia="仿宋_GB2312"/>
                <w:b w:val="0"/>
                <w:sz w:val="24"/>
              </w:rPr>
              <w:t>2.48</w:t>
            </w:r>
          </w:p>
        </w:tc>
        <w:tc>
          <w:tcPr>
            <w:tcW w:type="dxa" w:w="1187"/>
            <w:vAlign w:val="center"/>
          </w:tcPr>
          <w:p>
            <w:pPr>
              <w:pStyle w:val="97"/>
              <w:jc w:val="center"/>
              <w:spacing w:before="0" w:after="0" w:line="360" w:lineRule="exact"/>
              <w:ind w:firstLine="0" w:firstLineChars="0"/>
            </w:pPr>
            <w:r>
              <w:rPr>
                <w:rFonts w:ascii="Times New Roman" w:hAnsi="Times New Roman" w:eastAsia="仿宋_GB2312"/>
                <w:b w:val="0"/>
                <w:sz w:val="24"/>
              </w:rPr>
              <w:t>263.0</w:t>
            </w:r>
          </w:p>
        </w:tc>
        <w:tc>
          <w:tcPr>
            <w:tcW w:type="dxa" w:w="1187"/>
            <w:vAlign w:val="center"/>
          </w:tcPr>
          <w:p>
            <w:pPr>
              <w:pStyle w:val="97"/>
              <w:jc w:val="center"/>
              <w:spacing w:before="0" w:after="0" w:line="360" w:lineRule="exact"/>
              <w:ind w:firstLine="0" w:firstLineChars="0"/>
            </w:pPr>
            <w:r>
              <w:rPr>
                <w:rFonts w:ascii="Times New Roman" w:hAnsi="Times New Roman" w:eastAsia="仿宋_GB2312"/>
                <w:b w:val="0"/>
                <w:sz w:val="24"/>
              </w:rPr>
              <w:t>124.72</w:t>
            </w:r>
          </w:p>
        </w:tc>
        <w:tc>
          <w:tcPr>
            <w:tcW w:type="dxa" w:w="1187"/>
            <w:vAlign w:val="center"/>
          </w:tcPr>
          <w:p>
            <w:pPr>
              <w:pStyle w:val="97"/>
              <w:jc w:val="center"/>
              <w:spacing w:before="0" w:after="0" w:line="360" w:lineRule="exact"/>
              <w:ind w:firstLine="0" w:firstLineChars="0"/>
            </w:pPr>
            <w:r>
              <w:rPr>
                <w:rFonts w:ascii="Times New Roman" w:hAnsi="Times New Roman" w:eastAsia="仿宋_GB2312"/>
                <w:b w:val="0"/>
                <w:sz w:val="24"/>
              </w:rPr>
              <w:t>2.11</w:t>
            </w:r>
          </w:p>
        </w:tc>
      </w:tr>
      <w:tr>
        <w:trPr>
          <w:cantSplit/>
        </w:trPr>
        <w:tc>
          <w:tcPr>
            <w:tcW w:type="dxa" w:w="1187"/>
            <w:vAlign w:val="center"/>
          </w:tcPr>
          <w:p>
            <w:pPr>
              <w:pStyle w:val="97"/>
              <w:jc w:val="left"/>
              <w:spacing w:before="0" w:after="0" w:line="360" w:lineRule="exact"/>
              <w:ind w:firstLine="0" w:firstLineChars="0"/>
            </w:pPr>
            <w:r>
              <w:rPr>
                <w:rFonts w:ascii="Times New Roman" w:hAnsi="Times New Roman" w:eastAsia="仿宋_GB2312"/>
                <w:b w:val="0"/>
                <w:sz w:val="24"/>
              </w:rPr>
              <w:t>2023</w:t>
            </w:r>
          </w:p>
        </w:tc>
        <w:tc>
          <w:tcPr>
            <w:tcW w:type="dxa" w:w="1187"/>
            <w:vAlign w:val="center"/>
          </w:tcPr>
          <w:p>
            <w:pPr>
              <w:pStyle w:val="97"/>
              <w:jc w:val="center"/>
              <w:spacing w:before="0" w:after="0" w:line="360" w:lineRule="exact"/>
              <w:ind w:firstLine="0" w:firstLineChars="0"/>
            </w:pPr>
            <w:r>
              <w:rPr>
                <w:rFonts w:ascii="Times New Roman" w:hAnsi="Times New Roman" w:eastAsia="仿宋_GB2312"/>
                <w:b w:val="0"/>
                <w:sz w:val="24"/>
              </w:rPr>
              <w:t>2151.0</w:t>
            </w:r>
          </w:p>
        </w:tc>
        <w:tc>
          <w:tcPr>
            <w:tcW w:type="dxa" w:w="1187"/>
            <w:vAlign w:val="center"/>
          </w:tcPr>
          <w:p>
            <w:pPr>
              <w:pStyle w:val="97"/>
              <w:jc w:val="center"/>
              <w:spacing w:before="0" w:after="0" w:line="360" w:lineRule="exact"/>
              <w:ind w:firstLine="0" w:firstLineChars="0"/>
            </w:pPr>
            <w:r>
              <w:rPr>
                <w:rFonts w:ascii="Times New Roman" w:hAnsi="Times New Roman" w:eastAsia="仿宋_GB2312"/>
                <w:b w:val="0"/>
                <w:sz w:val="24"/>
              </w:rPr>
              <w:t>761.23</w:t>
            </w:r>
          </w:p>
        </w:tc>
        <w:tc>
          <w:tcPr>
            <w:tcW w:type="dxa" w:w="1187"/>
            <w:vAlign w:val="center"/>
          </w:tcPr>
          <w:p>
            <w:pPr>
              <w:pStyle w:val="97"/>
              <w:jc w:val="center"/>
              <w:spacing w:before="0" w:after="0" w:line="360" w:lineRule="exact"/>
              <w:ind w:firstLine="0" w:firstLineChars="0"/>
            </w:pPr>
            <w:r>
              <w:rPr>
                <w:rFonts w:ascii="Times New Roman" w:hAnsi="Times New Roman" w:eastAsia="仿宋_GB2312"/>
                <w:b w:val="0"/>
                <w:sz w:val="24"/>
              </w:rPr>
              <w:t>2.83</w:t>
            </w:r>
          </w:p>
        </w:tc>
        <w:tc>
          <w:tcPr>
            <w:tcW w:type="dxa" w:w="1187"/>
            <w:vAlign w:val="center"/>
          </w:tcPr>
          <w:p>
            <w:pPr>
              <w:pStyle w:val="97"/>
              <w:jc w:val="center"/>
              <w:spacing w:before="0" w:after="0" w:line="360" w:lineRule="exact"/>
              <w:ind w:firstLine="0" w:firstLineChars="0"/>
            </w:pPr>
            <w:r>
              <w:rPr>
                <w:rFonts w:ascii="Times New Roman" w:hAnsi="Times New Roman" w:eastAsia="仿宋_GB2312"/>
                <w:b w:val="0"/>
                <w:sz w:val="24"/>
              </w:rPr>
              <w:t>263.0</w:t>
            </w:r>
          </w:p>
        </w:tc>
        <w:tc>
          <w:tcPr>
            <w:tcW w:type="dxa" w:w="1187"/>
            <w:vAlign w:val="center"/>
          </w:tcPr>
          <w:p>
            <w:pPr>
              <w:pStyle w:val="97"/>
              <w:jc w:val="center"/>
              <w:spacing w:before="0" w:after="0" w:line="360" w:lineRule="exact"/>
              <w:ind w:firstLine="0" w:firstLineChars="0"/>
            </w:pPr>
            <w:r>
              <w:rPr>
                <w:rFonts w:ascii="Times New Roman" w:hAnsi="Times New Roman" w:eastAsia="仿宋_GB2312"/>
                <w:b w:val="0"/>
                <w:sz w:val="24"/>
              </w:rPr>
              <w:t>86.70</w:t>
            </w:r>
          </w:p>
        </w:tc>
        <w:tc>
          <w:tcPr>
            <w:tcW w:type="dxa" w:w="1187"/>
            <w:vAlign w:val="center"/>
          </w:tcPr>
          <w:p>
            <w:pPr>
              <w:pStyle w:val="97"/>
              <w:jc w:val="center"/>
              <w:spacing w:before="0" w:after="0" w:line="360" w:lineRule="exact"/>
              <w:ind w:firstLine="0" w:firstLineChars="0"/>
            </w:pPr>
            <w:r>
              <w:rPr>
                <w:rFonts w:ascii="Times New Roman" w:hAnsi="Times New Roman" w:eastAsia="仿宋_GB2312"/>
                <w:b w:val="0"/>
                <w:sz w:val="24"/>
              </w:rPr>
              <w:t>3.03</w:t>
            </w:r>
          </w:p>
        </w:tc>
      </w:tr>
      <w:tr>
        <w:trPr>
          <w:cantSplit/>
        </w:trPr>
        <w:tc>
          <w:tcPr>
            <w:tcW w:type="dxa" w:w="1187"/>
            <w:vAlign w:val="center"/>
          </w:tcPr>
          <w:p>
            <w:pPr>
              <w:pStyle w:val="97"/>
              <w:jc w:val="left"/>
              <w:spacing w:before="0" w:after="0" w:line="360" w:lineRule="exact"/>
              <w:ind w:firstLine="0" w:firstLineChars="0"/>
            </w:pPr>
            <w:r>
              <w:rPr>
                <w:rFonts w:ascii="Times New Roman" w:hAnsi="Times New Roman" w:eastAsia="仿宋_GB2312"/>
                <w:b w:val="0"/>
                <w:sz w:val="24"/>
              </w:rPr>
              <w:t>2024</w:t>
            </w:r>
          </w:p>
        </w:tc>
        <w:tc>
          <w:tcPr>
            <w:tcW w:type="dxa" w:w="1187"/>
            <w:vAlign w:val="center"/>
          </w:tcPr>
          <w:p>
            <w:pPr>
              <w:pStyle w:val="97"/>
              <w:jc w:val="center"/>
              <w:spacing w:before="0" w:after="0" w:line="360" w:lineRule="exact"/>
              <w:ind w:firstLine="0" w:firstLineChars="0"/>
            </w:pPr>
            <w:r>
              <w:rPr>
                <w:rFonts w:ascii="Times New Roman" w:hAnsi="Times New Roman" w:eastAsia="仿宋_GB2312"/>
                <w:b w:val="0"/>
                <w:sz w:val="24"/>
              </w:rPr>
              <w:t>2169.5</w:t>
            </w:r>
          </w:p>
        </w:tc>
        <w:tc>
          <w:tcPr>
            <w:tcW w:type="dxa" w:w="1187"/>
            <w:vAlign w:val="center"/>
          </w:tcPr>
          <w:p>
            <w:pPr>
              <w:pStyle w:val="97"/>
              <w:jc w:val="center"/>
              <w:spacing w:before="0" w:after="0" w:line="360" w:lineRule="exact"/>
              <w:ind w:firstLine="0" w:firstLineChars="0"/>
            </w:pPr>
            <w:r>
              <w:rPr>
                <w:rFonts w:ascii="Times New Roman" w:hAnsi="Times New Roman" w:eastAsia="仿宋_GB2312"/>
                <w:b w:val="0"/>
                <w:sz w:val="24"/>
              </w:rPr>
              <w:t>862.66</w:t>
            </w:r>
          </w:p>
        </w:tc>
        <w:tc>
          <w:tcPr>
            <w:tcW w:type="dxa" w:w="1187"/>
            <w:vAlign w:val="center"/>
          </w:tcPr>
          <w:p>
            <w:pPr>
              <w:pStyle w:val="97"/>
              <w:jc w:val="center"/>
              <w:spacing w:before="0" w:after="0" w:line="360" w:lineRule="exact"/>
              <w:ind w:firstLine="0" w:firstLineChars="0"/>
            </w:pPr>
            <w:r>
              <w:rPr>
                <w:rFonts w:ascii="Times New Roman" w:hAnsi="Times New Roman" w:eastAsia="仿宋_GB2312"/>
                <w:b w:val="0"/>
                <w:sz w:val="24"/>
              </w:rPr>
              <w:t>2.51</w:t>
            </w:r>
          </w:p>
        </w:tc>
        <w:tc>
          <w:tcPr>
            <w:tcW w:type="dxa" w:w="1187"/>
            <w:vAlign w:val="center"/>
          </w:tcPr>
          <w:p>
            <w:pPr>
              <w:pStyle w:val="97"/>
              <w:jc w:val="center"/>
              <w:spacing w:before="0" w:after="0" w:line="360" w:lineRule="exact"/>
              <w:ind w:firstLine="0" w:firstLineChars="0"/>
            </w:pPr>
            <w:r>
              <w:rPr>
                <w:rFonts w:ascii="Times New Roman" w:hAnsi="Times New Roman" w:eastAsia="仿宋_GB2312"/>
                <w:b w:val="0"/>
                <w:sz w:val="24"/>
              </w:rPr>
              <w:t>263.0</w:t>
            </w:r>
          </w:p>
        </w:tc>
        <w:tc>
          <w:tcPr>
            <w:tcW w:type="dxa" w:w="1187"/>
            <w:vAlign w:val="center"/>
          </w:tcPr>
          <w:p>
            <w:pPr>
              <w:pStyle w:val="97"/>
              <w:jc w:val="center"/>
              <w:spacing w:before="0" w:after="0" w:line="360" w:lineRule="exact"/>
              <w:ind w:firstLine="0" w:firstLineChars="0"/>
            </w:pPr>
            <w:r>
              <w:rPr>
                <w:rFonts w:ascii="Times New Roman" w:hAnsi="Times New Roman" w:eastAsia="仿宋_GB2312"/>
                <w:b w:val="0"/>
                <w:sz w:val="24"/>
              </w:rPr>
              <w:t>128.36</w:t>
            </w:r>
          </w:p>
        </w:tc>
        <w:tc>
          <w:tcPr>
            <w:tcW w:type="dxa" w:w="1187"/>
            <w:vAlign w:val="center"/>
          </w:tcPr>
          <w:p>
            <w:pPr>
              <w:pStyle w:val="97"/>
              <w:jc w:val="center"/>
              <w:spacing w:before="0" w:after="0" w:line="360" w:lineRule="exact"/>
              <w:ind w:firstLine="0" w:firstLineChars="0"/>
            </w:pPr>
            <w:r>
              <w:rPr>
                <w:rFonts w:ascii="Times New Roman" w:hAnsi="Times New Roman" w:eastAsia="仿宋_GB2312"/>
                <w:b w:val="0"/>
                <w:sz w:val="24"/>
              </w:rPr>
              <w:t>2.05</w:t>
            </w:r>
          </w:p>
        </w:tc>
      </w:tr>
      <w:tr>
        <w:trPr>
          <w:cantSplit/>
        </w:trPr>
        <w:tc>
          <w:tcPr>
            <w:tcW w:type="dxa" w:w="1187"/>
            <w:vAlign w:val="center"/>
          </w:tcPr>
          <w:p>
            <w:pPr>
              <w:pStyle w:val="97"/>
              <w:jc w:val="left"/>
              <w:spacing w:before="0" w:after="0" w:line="360" w:lineRule="exact"/>
              <w:ind w:firstLine="0" w:firstLineChars="0"/>
            </w:pPr>
            <w:r>
              <w:rPr>
                <w:rFonts w:ascii="Times New Roman" w:hAnsi="Times New Roman" w:eastAsia="仿宋_GB2312"/>
                <w:b w:val="0"/>
                <w:sz w:val="24"/>
              </w:rPr>
              <w:t>2025</w:t>
            </w:r>
          </w:p>
        </w:tc>
        <w:tc>
          <w:tcPr>
            <w:tcW w:type="dxa" w:w="1187"/>
            <w:vAlign w:val="center"/>
          </w:tcPr>
          <w:p>
            <w:pPr>
              <w:pStyle w:val="97"/>
              <w:jc w:val="center"/>
              <w:spacing w:before="0" w:after="0" w:line="360" w:lineRule="exact"/>
              <w:ind w:firstLine="0" w:firstLineChars="0"/>
            </w:pPr>
            <w:r>
              <w:rPr>
                <w:rFonts w:ascii="Times New Roman" w:hAnsi="Times New Roman" w:eastAsia="仿宋_GB2312"/>
                <w:b w:val="0"/>
                <w:sz w:val="24"/>
              </w:rPr>
              <w:t>2139.5</w:t>
            </w:r>
          </w:p>
        </w:tc>
        <w:tc>
          <w:tcPr>
            <w:tcW w:type="dxa" w:w="1187"/>
            <w:vAlign w:val="center"/>
          </w:tcPr>
          <w:p>
            <w:pPr>
              <w:pStyle w:val="97"/>
              <w:jc w:val="center"/>
              <w:spacing w:before="0" w:after="0" w:line="360" w:lineRule="exact"/>
              <w:ind w:firstLine="0" w:firstLineChars="0"/>
            </w:pPr>
            <w:r>
              <w:rPr>
                <w:rFonts w:ascii="Times New Roman" w:hAnsi="Times New Roman" w:eastAsia="仿宋_GB2312"/>
                <w:b w:val="0"/>
                <w:sz w:val="24"/>
              </w:rPr>
              <w:t>956.45</w:t>
            </w:r>
          </w:p>
        </w:tc>
        <w:tc>
          <w:tcPr>
            <w:tcW w:type="dxa" w:w="1187"/>
            <w:vAlign w:val="center"/>
          </w:tcPr>
          <w:p>
            <w:pPr>
              <w:pStyle w:val="97"/>
              <w:jc w:val="center"/>
              <w:spacing w:before="0" w:after="0" w:line="360" w:lineRule="exact"/>
              <w:ind w:firstLine="0" w:firstLineChars="0"/>
            </w:pPr>
            <w:r>
              <w:rPr>
                <w:rFonts w:ascii="Times New Roman" w:hAnsi="Times New Roman" w:eastAsia="仿宋_GB2312"/>
                <w:b w:val="0"/>
                <w:sz w:val="24"/>
              </w:rPr>
              <w:t>2.24</w:t>
            </w:r>
          </w:p>
        </w:tc>
        <w:tc>
          <w:tcPr>
            <w:tcW w:type="dxa" w:w="1187"/>
            <w:vAlign w:val="center"/>
          </w:tcPr>
          <w:p>
            <w:pPr>
              <w:pStyle w:val="97"/>
              <w:jc w:val="center"/>
              <w:spacing w:before="0" w:after="0" w:line="360" w:lineRule="exact"/>
              <w:ind w:firstLine="0" w:firstLineChars="0"/>
            </w:pPr>
            <w:r>
              <w:rPr>
                <w:rFonts w:ascii="Times New Roman" w:hAnsi="Times New Roman" w:eastAsia="仿宋_GB2312"/>
                <w:b w:val="0"/>
                <w:sz w:val="24"/>
              </w:rPr>
              <w:t>275.0</w:t>
            </w:r>
          </w:p>
        </w:tc>
        <w:tc>
          <w:tcPr>
            <w:tcW w:type="dxa" w:w="1187"/>
            <w:vAlign w:val="center"/>
          </w:tcPr>
          <w:p>
            <w:pPr>
              <w:pStyle w:val="97"/>
              <w:jc w:val="center"/>
              <w:spacing w:before="0" w:after="0" w:line="360" w:lineRule="exact"/>
              <w:ind w:firstLine="0" w:firstLineChars="0"/>
            </w:pPr>
            <w:r>
              <w:rPr>
                <w:rFonts w:ascii="Times New Roman" w:hAnsi="Times New Roman" w:eastAsia="仿宋_GB2312"/>
                <w:b w:val="0"/>
                <w:sz w:val="24"/>
              </w:rPr>
              <w:t>147.65</w:t>
            </w:r>
          </w:p>
        </w:tc>
        <w:tc>
          <w:tcPr>
            <w:tcW w:type="dxa" w:w="1187"/>
            <w:vAlign w:val="center"/>
          </w:tcPr>
          <w:p>
            <w:pPr>
              <w:pStyle w:val="97"/>
              <w:jc w:val="center"/>
              <w:spacing w:before="0" w:after="0" w:line="360" w:lineRule="exact"/>
              <w:ind w:firstLine="0" w:firstLineChars="0"/>
            </w:pPr>
            <w:r>
              <w:rPr>
                <w:rFonts w:ascii="Times New Roman" w:hAnsi="Times New Roman" w:eastAsia="仿宋_GB2312"/>
                <w:b w:val="0"/>
                <w:sz w:val="24"/>
              </w:rPr>
              <w:t>1.86</w:t>
            </w:r>
          </w:p>
        </w:tc>
      </w:tr>
    </w:tbl>
    <w:p>
      <w:pPr>
        <w:spacing w:before="0" w:after="0" w:line="560" w:lineRule="exact"/>
        <w:jc w:val="both"/>
        <w:ind w:firstLineChars="200" w:firstLine="200"/>
      </w:pPr>
      <w:r>
        <w:rPr>
          <w:rFonts w:ascii="Times New Roman" w:hAnsi="Times New Roman" w:eastAsia="仿宋_GB2312"/>
          <w:b w:val="0"/>
          <w:sz w:val="28"/>
        </w:rPr>
        <w:t>图 3-2 将典型片区 110 kV 容量、同步正向峰值和容载比置于同一年度轨迹中。2023 年同步正向峰值回落，容载比升至 2.83；此后峰值连续增加，容载比降至 2.24。该变化说明容载比是容量与同步峰值共同作用的结果，单独比较容量增减不能解释年度状态。2025 年容量口径还需与年末设备范围区分：正式运行口径为 20 座站、40 台主变，年末新增设备不进入当年运行口径，因此不能用年末设备总量替换表 3-4 中的官方基准数据。</w:t>
      </w:r>
    </w:p>
    <w:p>
      <w:pPr>
        <w:pStyle w:val="38"/>
        <w:jc w:val="center"/>
        <w:ind w:firstLine="0" w:firstLineChars="0"/>
      </w:pPr>
      <w:r>
        <w:drawing>
          <wp:inline xmlns:a="http://schemas.openxmlformats.org/drawingml/2006/main" xmlns:pic="http://schemas.openxmlformats.org/drawingml/2006/picture">
            <wp:extent cx="4968000" cy="3108431"/>
            <wp:docPr id="3" name="Picture 3"/>
            <wp:cNvGraphicFramePr>
              <a:graphicFrameLocks noChangeAspect="1"/>
            </wp:cNvGraphicFramePr>
            <a:graphic>
              <a:graphicData uri="http://schemas.openxmlformats.org/drawingml/2006/picture">
                <pic:pic>
                  <pic:nvPicPr>
                    <pic:cNvPr id="0" name="图3-2_典型片区容量同步峰值与容载比变化.png"/>
                    <pic:cNvPicPr/>
                  </pic:nvPicPr>
                  <pic:blipFill>
                    <a:blip r:embed="rId15"/>
                    <a:stretch>
                      <a:fillRect/>
                    </a:stretch>
                  </pic:blipFill>
                  <pic:spPr>
                    <a:xfrm>
                      <a:off x="0" y="0"/>
                      <a:ext cx="4968000" cy="3108431"/>
                    </a:xfrm>
                    <a:prstGeom prst="rect"/>
                  </pic:spPr>
                </pic:pic>
              </a:graphicData>
            </a:graphic>
          </wp:inline>
        </w:drawing>
      </w:r>
    </w:p>
    <w:p>
      <w:pPr>
        <w:pStyle w:val="12"/>
        <w:keepNext w:val="0"/>
        <w:spacing w:before="0" w:after="120" w:line="400" w:lineRule="exact"/>
        <w:jc w:val="center"/>
        <w:ind w:firstLine="0" w:firstLineChars="0"/>
      </w:pPr>
      <w:r>
        <w:rPr>
          <w:rFonts w:ascii="Times New Roman" w:hAnsi="Times New Roman" w:eastAsia="仿宋_GB2312"/>
          <w:b w:val="0"/>
          <w:sz w:val="24"/>
        </w:rPr>
        <w:t>图 3-2 QX-00005 片区 110 kV 容量、同步峰值与容载比变化</w:t>
      </w:r>
    </w:p>
    <w:p>
      <w:pPr>
        <w:spacing w:before="0" w:after="0" w:line="560" w:lineRule="exact"/>
        <w:jc w:val="both"/>
        <w:ind w:firstLineChars="200" w:firstLine="200"/>
      </w:pPr>
      <w:r>
        <w:rPr>
          <w:rFonts w:ascii="Times New Roman" w:hAnsi="Times New Roman" w:eastAsia="仿宋_GB2312"/>
          <w:b w:val="0"/>
          <w:sz w:val="28"/>
        </w:rPr>
        <w:t>站级光伏快照覆盖 2026 年 3 月 1 日至 5 月 29 日，共涉及 183 座站、七个片区。快照汇总的在运光伏约 7006.78 MW，其中 110 kV 归属站点约 5705.51 MW，35 kV 归属站点约 1301.27 MW；另有在建或待接入规模约 1356.24 MW。QX-00005 的快照在运规模约 1797.01 MW，是已覆盖片区中较高的区域。以上数据能够说明当前光伏接入具有较大的规模和空间差异，但其年份晚于历史负荷与年度基准数据。本章不据此计算 2021—2025 年逐年源荷比或电量渗透率，也不把未覆盖片区按比例补齐。</w:t>
      </w:r>
    </w:p>
    <w:p>
      <w:pPr>
        <w:pStyle w:val="3"/>
        <w:pageBreakBefore w:val="0"/>
        <w:jc w:val="left"/>
      </w:pPr>
      <w:bookmarkStart w:id="11" w:name="_TocReport0011"/>
      <w:r>
        <w:rPr>
          <w:rFonts w:ascii="Times New Roman" w:hAnsi="Times New Roman" w:eastAsia="仿宋_GB2312"/>
          <w:b/>
          <w:sz w:val="28"/>
        </w:rPr>
        <w:t>3.2 主变负载率多工况统计分析</w:t>
      </w:r>
      <w:bookmarkEnd w:id="11"/>
    </w:p>
    <w:p>
      <w:pPr>
        <w:spacing w:before="0" w:after="0" w:line="560" w:lineRule="exact"/>
        <w:jc w:val="both"/>
        <w:ind w:firstLineChars="200" w:firstLine="200"/>
      </w:pPr>
      <w:r>
        <w:rPr>
          <w:rFonts w:ascii="Times New Roman" w:hAnsi="Times New Roman" w:eastAsia="仿宋_GB2312"/>
          <w:b w:val="0"/>
          <w:sz w:val="28"/>
        </w:rPr>
        <w:t>主变多工况分析要求设备身份、年度资产范围和逐时质量同时闭合。现有逐时文件每年包含 58 条源序列，其中 56 条已完成映射核验；另有 2 条对应 2025 年末新增设备，不进入当年正式运行口径。2025 年 QX-00005 的 40 台 110 kV 主变全部通过年度在役设备清单和设备映射核验，形成 20 座站、8760 个时刻的正式逐时证据。2022—2024 年虽然保留完整源记录和映射审计信息，但历史设备范围尚未闭合，本章不以这些年度形成正式设备级多工况结论。</w:t>
      </w:r>
    </w:p>
    <w:p>
      <w:pPr>
        <w:pStyle w:val="12"/>
        <w:keepNext/>
        <w:spacing w:before="120" w:after="60" w:line="400" w:lineRule="exact"/>
        <w:jc w:val="center"/>
        <w:ind w:firstLine="0" w:firstLineChars="0"/>
      </w:pPr>
      <w:r>
        <w:rPr>
          <w:rFonts w:ascii="Times New Roman" w:hAnsi="Times New Roman" w:eastAsia="仿宋_GB2312"/>
          <w:b w:val="0"/>
          <w:sz w:val="24"/>
        </w:rPr>
        <w:t>表 3-5 2022—2025 年逐时数据完整性及使用范围</w:t>
      </w:r>
    </w:p>
    <w:tbl>
      <w:tblPr>
        <w:tblW w:type="auto" w:w="0"/>
        <w:tblLayout w:type="autofi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24"/>
        <w:gridCol w:w="924"/>
        <w:gridCol w:w="924"/>
        <w:gridCol w:w="924"/>
        <w:gridCol w:w="924"/>
        <w:gridCol w:w="924"/>
        <w:gridCol w:w="924"/>
        <w:gridCol w:w="924"/>
        <w:gridCol w:w="924"/>
      </w:tblGrid>
      <w:tr>
        <w:trPr>
          <w:cantSplit/>
          <w:tblHeader w:val="true"/>
        </w:trPr>
        <w:tc>
          <w:tcPr>
            <w:tcW w:type="dxa" w:w="924"/>
            <w:vAlign w:val="center"/>
          </w:tcPr>
          <w:p>
            <w:pPr>
              <w:pStyle w:val="97"/>
              <w:jc w:val="center"/>
              <w:spacing w:before="0" w:after="0" w:line="360" w:lineRule="exact"/>
              <w:ind w:firstLine="0" w:firstLineChars="0"/>
            </w:pPr>
            <w:r>
              <w:rPr>
                <w:rFonts w:ascii="Times New Roman" w:hAnsi="Times New Roman" w:eastAsia="仿宋_GB2312"/>
                <w:b/>
                <w:sz w:val="24"/>
              </w:rPr>
              <w:t>年度</w:t>
            </w:r>
          </w:p>
        </w:tc>
        <w:tc>
          <w:tcPr>
            <w:tcW w:type="dxa" w:w="924"/>
            <w:vAlign w:val="center"/>
          </w:tcPr>
          <w:p>
            <w:pPr>
              <w:pStyle w:val="97"/>
              <w:jc w:val="center"/>
              <w:spacing w:before="0" w:after="0" w:line="360" w:lineRule="exact"/>
              <w:ind w:firstLine="0" w:firstLineChars="0"/>
            </w:pPr>
            <w:r>
              <w:rPr>
                <w:rFonts w:ascii="Times New Roman" w:hAnsi="Times New Roman" w:eastAsia="仿宋_GB2312"/>
                <w:b/>
                <w:sz w:val="24"/>
              </w:rPr>
              <w:t>源记录数</w:t>
            </w:r>
          </w:p>
        </w:tc>
        <w:tc>
          <w:tcPr>
            <w:tcW w:type="dxa" w:w="924"/>
            <w:vAlign w:val="center"/>
          </w:tcPr>
          <w:p>
            <w:pPr>
              <w:pStyle w:val="97"/>
              <w:jc w:val="center"/>
              <w:spacing w:before="0" w:after="0" w:line="360" w:lineRule="exact"/>
              <w:ind w:firstLine="0" w:firstLineChars="0"/>
            </w:pPr>
            <w:r>
              <w:rPr>
                <w:rFonts w:ascii="Times New Roman" w:hAnsi="Times New Roman" w:eastAsia="仿宋_GB2312"/>
                <w:b/>
                <w:sz w:val="24"/>
              </w:rPr>
              <w:t>时刻数</w:t>
            </w:r>
          </w:p>
        </w:tc>
        <w:tc>
          <w:tcPr>
            <w:tcW w:type="dxa" w:w="924"/>
            <w:vAlign w:val="center"/>
          </w:tcPr>
          <w:p>
            <w:pPr>
              <w:pStyle w:val="97"/>
              <w:jc w:val="center"/>
              <w:spacing w:before="0" w:after="0" w:line="360" w:lineRule="exact"/>
              <w:ind w:firstLine="0" w:firstLineChars="0"/>
            </w:pPr>
            <w:r>
              <w:rPr>
                <w:rFonts w:ascii="Times New Roman" w:hAnsi="Times New Roman" w:eastAsia="仿宋_GB2312"/>
                <w:b/>
                <w:sz w:val="24"/>
              </w:rPr>
              <w:t>源序列数</w:t>
            </w:r>
          </w:p>
        </w:tc>
        <w:tc>
          <w:tcPr>
            <w:tcW w:type="dxa" w:w="924"/>
            <w:vAlign w:val="center"/>
          </w:tcPr>
          <w:p>
            <w:pPr>
              <w:pStyle w:val="97"/>
              <w:jc w:val="center"/>
              <w:spacing w:before="0" w:after="0" w:line="360" w:lineRule="exact"/>
              <w:ind w:firstLine="0" w:firstLineChars="0"/>
            </w:pPr>
            <w:r>
              <w:rPr>
                <w:rFonts w:ascii="Times New Roman" w:hAnsi="Times New Roman" w:eastAsia="仿宋_GB2312"/>
                <w:b/>
                <w:sz w:val="24"/>
              </w:rPr>
              <w:t>已批准映射数</w:t>
            </w:r>
          </w:p>
        </w:tc>
        <w:tc>
          <w:tcPr>
            <w:tcW w:type="dxa" w:w="924"/>
            <w:vAlign w:val="center"/>
          </w:tcPr>
          <w:p>
            <w:pPr>
              <w:pStyle w:val="97"/>
              <w:jc w:val="center"/>
              <w:spacing w:before="0" w:after="0" w:line="360" w:lineRule="exact"/>
              <w:ind w:firstLine="0" w:firstLineChars="0"/>
            </w:pPr>
            <w:r>
              <w:rPr>
                <w:rFonts w:ascii="Times New Roman" w:hAnsi="Times New Roman" w:eastAsia="仿宋_GB2312"/>
                <w:b/>
                <w:sz w:val="24"/>
              </w:rPr>
              <w:t>线性补点数</w:t>
            </w:r>
          </w:p>
        </w:tc>
        <w:tc>
          <w:tcPr>
            <w:tcW w:type="dxa" w:w="924"/>
            <w:vAlign w:val="center"/>
          </w:tcPr>
          <w:p>
            <w:pPr>
              <w:pStyle w:val="97"/>
              <w:jc w:val="center"/>
              <w:spacing w:before="0" w:after="0" w:line="360" w:lineRule="exact"/>
              <w:ind w:firstLine="0" w:firstLineChars="0"/>
            </w:pPr>
            <w:r>
              <w:rPr>
                <w:rFonts w:ascii="Times New Roman" w:hAnsi="Times New Roman" w:eastAsia="仿宋_GB2312"/>
                <w:b/>
                <w:sz w:val="24"/>
              </w:rPr>
              <w:t>已隔离异常数</w:t>
            </w:r>
          </w:p>
        </w:tc>
        <w:tc>
          <w:tcPr>
            <w:tcW w:type="dxa" w:w="924"/>
            <w:vAlign w:val="center"/>
          </w:tcPr>
          <w:p>
            <w:pPr>
              <w:pStyle w:val="97"/>
              <w:jc w:val="center"/>
              <w:spacing w:before="0" w:after="0" w:line="360" w:lineRule="exact"/>
              <w:ind w:firstLine="0" w:firstLineChars="0"/>
            </w:pPr>
            <w:r>
              <w:rPr>
                <w:rFonts w:ascii="Times New Roman" w:hAnsi="Times New Roman" w:eastAsia="仿宋_GB2312"/>
                <w:b/>
                <w:sz w:val="24"/>
              </w:rPr>
              <w:t>正式主变数</w:t>
            </w:r>
          </w:p>
        </w:tc>
        <w:tc>
          <w:tcPr>
            <w:tcW w:type="dxa" w:w="924"/>
            <w:vAlign w:val="center"/>
          </w:tcPr>
          <w:p>
            <w:pPr>
              <w:pStyle w:val="97"/>
              <w:jc w:val="center"/>
              <w:spacing w:before="0" w:after="0" w:line="360" w:lineRule="exact"/>
              <w:ind w:firstLine="0" w:firstLineChars="0"/>
            </w:pPr>
            <w:r>
              <w:rPr>
                <w:rFonts w:ascii="Times New Roman" w:hAnsi="Times New Roman" w:eastAsia="仿宋_GB2312"/>
                <w:b/>
                <w:sz w:val="24"/>
              </w:rPr>
              <w:t>本章使用范围</w:t>
            </w:r>
          </w:p>
        </w:tc>
      </w:tr>
      <w:tr>
        <w:trPr>
          <w:cantSplit/>
        </w:trPr>
        <w:tc>
          <w:tcPr>
            <w:tcW w:type="dxa" w:w="924"/>
            <w:vAlign w:val="center"/>
          </w:tcPr>
          <w:p>
            <w:pPr>
              <w:pStyle w:val="97"/>
              <w:jc w:val="left"/>
              <w:spacing w:before="0" w:after="0" w:line="360" w:lineRule="exact"/>
              <w:ind w:firstLine="0" w:firstLineChars="0"/>
            </w:pPr>
            <w:r>
              <w:rPr>
                <w:rFonts w:ascii="Times New Roman" w:hAnsi="Times New Roman" w:eastAsia="仿宋_GB2312"/>
                <w:b w:val="0"/>
                <w:sz w:val="24"/>
              </w:rPr>
              <w:t>2022</w:t>
            </w:r>
          </w:p>
        </w:tc>
        <w:tc>
          <w:tcPr>
            <w:tcW w:type="dxa" w:w="924"/>
            <w:vAlign w:val="center"/>
          </w:tcPr>
          <w:p>
            <w:pPr>
              <w:pStyle w:val="97"/>
              <w:jc w:val="center"/>
              <w:spacing w:before="0" w:after="0" w:line="360" w:lineRule="exact"/>
              <w:ind w:firstLine="0" w:firstLineChars="0"/>
            </w:pPr>
            <w:r>
              <w:rPr>
                <w:rFonts w:ascii="Times New Roman" w:hAnsi="Times New Roman" w:eastAsia="仿宋_GB2312"/>
                <w:b w:val="0"/>
                <w:sz w:val="24"/>
              </w:rPr>
              <w:t>508080</w:t>
            </w:r>
          </w:p>
        </w:tc>
        <w:tc>
          <w:tcPr>
            <w:tcW w:type="dxa" w:w="924"/>
            <w:vAlign w:val="center"/>
          </w:tcPr>
          <w:p>
            <w:pPr>
              <w:pStyle w:val="97"/>
              <w:jc w:val="center"/>
              <w:spacing w:before="0" w:after="0" w:line="360" w:lineRule="exact"/>
              <w:ind w:firstLine="0" w:firstLineChars="0"/>
            </w:pPr>
            <w:r>
              <w:rPr>
                <w:rFonts w:ascii="Times New Roman" w:hAnsi="Times New Roman" w:eastAsia="仿宋_GB2312"/>
                <w:b w:val="0"/>
                <w:sz w:val="24"/>
              </w:rPr>
              <w:t>8760</w:t>
            </w:r>
          </w:p>
        </w:tc>
        <w:tc>
          <w:tcPr>
            <w:tcW w:type="dxa" w:w="924"/>
            <w:vAlign w:val="center"/>
          </w:tcPr>
          <w:p>
            <w:pPr>
              <w:pStyle w:val="97"/>
              <w:jc w:val="center"/>
              <w:spacing w:before="0" w:after="0" w:line="360" w:lineRule="exact"/>
              <w:ind w:firstLine="0" w:firstLineChars="0"/>
            </w:pPr>
            <w:r>
              <w:rPr>
                <w:rFonts w:ascii="Times New Roman" w:hAnsi="Times New Roman" w:eastAsia="仿宋_GB2312"/>
                <w:b w:val="0"/>
                <w:sz w:val="24"/>
              </w:rPr>
              <w:t>58</w:t>
            </w:r>
          </w:p>
        </w:tc>
        <w:tc>
          <w:tcPr>
            <w:tcW w:type="dxa" w:w="924"/>
            <w:vAlign w:val="center"/>
          </w:tcPr>
          <w:p>
            <w:pPr>
              <w:pStyle w:val="97"/>
              <w:jc w:val="center"/>
              <w:spacing w:before="0" w:after="0" w:line="360" w:lineRule="exact"/>
              <w:ind w:firstLine="0" w:firstLineChars="0"/>
            </w:pPr>
            <w:r>
              <w:rPr>
                <w:rFonts w:ascii="Times New Roman" w:hAnsi="Times New Roman" w:eastAsia="仿宋_GB2312"/>
                <w:b w:val="0"/>
                <w:sz w:val="24"/>
              </w:rPr>
              <w:t>56</w:t>
            </w:r>
          </w:p>
        </w:tc>
        <w:tc>
          <w:tcPr>
            <w:tcW w:type="dxa" w:w="924"/>
            <w:vAlign w:val="center"/>
          </w:tcPr>
          <w:p>
            <w:pPr>
              <w:pStyle w:val="97"/>
              <w:jc w:val="center"/>
              <w:spacing w:before="0" w:after="0" w:line="360" w:lineRule="exact"/>
              <w:ind w:firstLine="0" w:firstLineChars="0"/>
            </w:pPr>
            <w:r>
              <w:rPr>
                <w:rFonts w:ascii="Times New Roman" w:hAnsi="Times New Roman" w:eastAsia="仿宋_GB2312"/>
                <w:b w:val="0"/>
                <w:sz w:val="24"/>
              </w:rPr>
              <w:t>54</w:t>
            </w:r>
          </w:p>
        </w:tc>
        <w:tc>
          <w:tcPr>
            <w:tcW w:type="dxa" w:w="924"/>
            <w:vAlign w:val="center"/>
          </w:tcPr>
          <w:p>
            <w:pPr>
              <w:pStyle w:val="97"/>
              <w:jc w:val="center"/>
              <w:spacing w:before="0" w:after="0" w:line="360" w:lineRule="exact"/>
              <w:ind w:firstLine="0" w:firstLineChars="0"/>
            </w:pPr>
            <w:r>
              <w:rPr>
                <w:rFonts w:ascii="Times New Roman" w:hAnsi="Times New Roman" w:eastAsia="仿宋_GB2312"/>
                <w:b w:val="0"/>
                <w:sz w:val="24"/>
              </w:rPr>
              <w:t>0</w:t>
            </w:r>
          </w:p>
        </w:tc>
        <w:tc>
          <w:tcPr>
            <w:tcW w:type="dxa" w:w="924"/>
            <w:vAlign w:val="center"/>
          </w:tcPr>
          <w:p>
            <w:pPr>
              <w:pStyle w:val="97"/>
              <w:jc w:val="center"/>
              <w:spacing w:before="0" w:after="0" w:line="360" w:lineRule="exact"/>
              <w:ind w:firstLine="0" w:firstLineChars="0"/>
            </w:pPr>
            <w:r>
              <w:rPr>
                <w:rFonts w:ascii="Times New Roman" w:hAnsi="Times New Roman" w:eastAsia="仿宋_GB2312"/>
                <w:b w:val="0"/>
                <w:sz w:val="24"/>
              </w:rPr>
              <w:t>0</w:t>
            </w:r>
          </w:p>
        </w:tc>
        <w:tc>
          <w:tcPr>
            <w:tcW w:type="dxa" w:w="924"/>
            <w:vAlign w:val="center"/>
          </w:tcPr>
          <w:p>
            <w:pPr>
              <w:pStyle w:val="97"/>
              <w:jc w:val="center"/>
              <w:spacing w:before="0" w:after="0" w:line="360" w:lineRule="exact"/>
              <w:ind w:firstLine="0" w:firstLineChars="0"/>
            </w:pPr>
            <w:r>
              <w:rPr>
                <w:rFonts w:ascii="Times New Roman" w:hAnsi="Times New Roman" w:eastAsia="仿宋_GB2312"/>
                <w:b w:val="0"/>
                <w:sz w:val="24"/>
              </w:rPr>
              <w:t>完整性与映射审计</w:t>
            </w:r>
          </w:p>
        </w:tc>
      </w:tr>
      <w:tr>
        <w:trPr>
          <w:cantSplit/>
        </w:trPr>
        <w:tc>
          <w:tcPr>
            <w:tcW w:type="dxa" w:w="924"/>
            <w:vAlign w:val="center"/>
          </w:tcPr>
          <w:p>
            <w:pPr>
              <w:pStyle w:val="97"/>
              <w:jc w:val="left"/>
              <w:spacing w:before="0" w:after="0" w:line="360" w:lineRule="exact"/>
              <w:ind w:firstLine="0" w:firstLineChars="0"/>
            </w:pPr>
            <w:r>
              <w:rPr>
                <w:rFonts w:ascii="Times New Roman" w:hAnsi="Times New Roman" w:eastAsia="仿宋_GB2312"/>
                <w:b w:val="0"/>
                <w:sz w:val="24"/>
              </w:rPr>
              <w:t>2023</w:t>
            </w:r>
          </w:p>
        </w:tc>
        <w:tc>
          <w:tcPr>
            <w:tcW w:type="dxa" w:w="924"/>
            <w:vAlign w:val="center"/>
          </w:tcPr>
          <w:p>
            <w:pPr>
              <w:pStyle w:val="97"/>
              <w:jc w:val="center"/>
              <w:spacing w:before="0" w:after="0" w:line="360" w:lineRule="exact"/>
              <w:ind w:firstLine="0" w:firstLineChars="0"/>
            </w:pPr>
            <w:r>
              <w:rPr>
                <w:rFonts w:ascii="Times New Roman" w:hAnsi="Times New Roman" w:eastAsia="仿宋_GB2312"/>
                <w:b w:val="0"/>
                <w:sz w:val="24"/>
              </w:rPr>
              <w:t>508080</w:t>
            </w:r>
          </w:p>
        </w:tc>
        <w:tc>
          <w:tcPr>
            <w:tcW w:type="dxa" w:w="924"/>
            <w:vAlign w:val="center"/>
          </w:tcPr>
          <w:p>
            <w:pPr>
              <w:pStyle w:val="97"/>
              <w:jc w:val="center"/>
              <w:spacing w:before="0" w:after="0" w:line="360" w:lineRule="exact"/>
              <w:ind w:firstLine="0" w:firstLineChars="0"/>
            </w:pPr>
            <w:r>
              <w:rPr>
                <w:rFonts w:ascii="Times New Roman" w:hAnsi="Times New Roman" w:eastAsia="仿宋_GB2312"/>
                <w:b w:val="0"/>
                <w:sz w:val="24"/>
              </w:rPr>
              <w:t>8760</w:t>
            </w:r>
          </w:p>
        </w:tc>
        <w:tc>
          <w:tcPr>
            <w:tcW w:type="dxa" w:w="924"/>
            <w:vAlign w:val="center"/>
          </w:tcPr>
          <w:p>
            <w:pPr>
              <w:pStyle w:val="97"/>
              <w:jc w:val="center"/>
              <w:spacing w:before="0" w:after="0" w:line="360" w:lineRule="exact"/>
              <w:ind w:firstLine="0" w:firstLineChars="0"/>
            </w:pPr>
            <w:r>
              <w:rPr>
                <w:rFonts w:ascii="Times New Roman" w:hAnsi="Times New Roman" w:eastAsia="仿宋_GB2312"/>
                <w:b w:val="0"/>
                <w:sz w:val="24"/>
              </w:rPr>
              <w:t>58</w:t>
            </w:r>
          </w:p>
        </w:tc>
        <w:tc>
          <w:tcPr>
            <w:tcW w:type="dxa" w:w="924"/>
            <w:vAlign w:val="center"/>
          </w:tcPr>
          <w:p>
            <w:pPr>
              <w:pStyle w:val="97"/>
              <w:jc w:val="center"/>
              <w:spacing w:before="0" w:after="0" w:line="360" w:lineRule="exact"/>
              <w:ind w:firstLine="0" w:firstLineChars="0"/>
            </w:pPr>
            <w:r>
              <w:rPr>
                <w:rFonts w:ascii="Times New Roman" w:hAnsi="Times New Roman" w:eastAsia="仿宋_GB2312"/>
                <w:b w:val="0"/>
                <w:sz w:val="24"/>
              </w:rPr>
              <w:t>56</w:t>
            </w:r>
          </w:p>
        </w:tc>
        <w:tc>
          <w:tcPr>
            <w:tcW w:type="dxa" w:w="924"/>
            <w:vAlign w:val="center"/>
          </w:tcPr>
          <w:p>
            <w:pPr>
              <w:pStyle w:val="97"/>
              <w:jc w:val="center"/>
              <w:spacing w:before="0" w:after="0" w:line="360" w:lineRule="exact"/>
              <w:ind w:firstLine="0" w:firstLineChars="0"/>
            </w:pPr>
            <w:r>
              <w:rPr>
                <w:rFonts w:ascii="Times New Roman" w:hAnsi="Times New Roman" w:eastAsia="仿宋_GB2312"/>
                <w:b w:val="0"/>
                <w:sz w:val="24"/>
              </w:rPr>
              <w:t>108</w:t>
            </w:r>
          </w:p>
        </w:tc>
        <w:tc>
          <w:tcPr>
            <w:tcW w:type="dxa" w:w="924"/>
            <w:vAlign w:val="center"/>
          </w:tcPr>
          <w:p>
            <w:pPr>
              <w:pStyle w:val="97"/>
              <w:jc w:val="center"/>
              <w:spacing w:before="0" w:after="0" w:line="360" w:lineRule="exact"/>
              <w:ind w:firstLine="0" w:firstLineChars="0"/>
            </w:pPr>
            <w:r>
              <w:rPr>
                <w:rFonts w:ascii="Times New Roman" w:hAnsi="Times New Roman" w:eastAsia="仿宋_GB2312"/>
                <w:b w:val="0"/>
                <w:sz w:val="24"/>
              </w:rPr>
              <w:t>0</w:t>
            </w:r>
          </w:p>
        </w:tc>
        <w:tc>
          <w:tcPr>
            <w:tcW w:type="dxa" w:w="924"/>
            <w:vAlign w:val="center"/>
          </w:tcPr>
          <w:p>
            <w:pPr>
              <w:pStyle w:val="97"/>
              <w:jc w:val="center"/>
              <w:spacing w:before="0" w:after="0" w:line="360" w:lineRule="exact"/>
              <w:ind w:firstLine="0" w:firstLineChars="0"/>
            </w:pPr>
            <w:r>
              <w:rPr>
                <w:rFonts w:ascii="Times New Roman" w:hAnsi="Times New Roman" w:eastAsia="仿宋_GB2312"/>
                <w:b w:val="0"/>
                <w:sz w:val="24"/>
              </w:rPr>
              <w:t>0</w:t>
            </w:r>
          </w:p>
        </w:tc>
        <w:tc>
          <w:tcPr>
            <w:tcW w:type="dxa" w:w="924"/>
            <w:vAlign w:val="center"/>
          </w:tcPr>
          <w:p>
            <w:pPr>
              <w:pStyle w:val="97"/>
              <w:jc w:val="center"/>
              <w:spacing w:before="0" w:after="0" w:line="360" w:lineRule="exact"/>
              <w:ind w:firstLine="0" w:firstLineChars="0"/>
            </w:pPr>
            <w:r>
              <w:rPr>
                <w:rFonts w:ascii="Times New Roman" w:hAnsi="Times New Roman" w:eastAsia="仿宋_GB2312"/>
                <w:b w:val="0"/>
                <w:sz w:val="24"/>
              </w:rPr>
              <w:t>完整性与映射审计</w:t>
            </w:r>
          </w:p>
        </w:tc>
      </w:tr>
      <w:tr>
        <w:trPr>
          <w:cantSplit/>
        </w:trPr>
        <w:tc>
          <w:tcPr>
            <w:tcW w:type="dxa" w:w="924"/>
            <w:vAlign w:val="center"/>
          </w:tcPr>
          <w:p>
            <w:pPr>
              <w:pStyle w:val="97"/>
              <w:jc w:val="left"/>
              <w:spacing w:before="0" w:after="0" w:line="360" w:lineRule="exact"/>
              <w:ind w:firstLine="0" w:firstLineChars="0"/>
            </w:pPr>
            <w:r>
              <w:rPr>
                <w:rFonts w:ascii="Times New Roman" w:hAnsi="Times New Roman" w:eastAsia="仿宋_GB2312"/>
                <w:b w:val="0"/>
                <w:sz w:val="24"/>
              </w:rPr>
              <w:t>2024</w:t>
            </w:r>
          </w:p>
        </w:tc>
        <w:tc>
          <w:tcPr>
            <w:tcW w:type="dxa" w:w="924"/>
            <w:vAlign w:val="center"/>
          </w:tcPr>
          <w:p>
            <w:pPr>
              <w:pStyle w:val="97"/>
              <w:jc w:val="center"/>
              <w:spacing w:before="0" w:after="0" w:line="360" w:lineRule="exact"/>
              <w:ind w:firstLine="0" w:firstLineChars="0"/>
            </w:pPr>
            <w:r>
              <w:rPr>
                <w:rFonts w:ascii="Times New Roman" w:hAnsi="Times New Roman" w:eastAsia="仿宋_GB2312"/>
                <w:b w:val="0"/>
                <w:sz w:val="24"/>
              </w:rPr>
              <w:t>509472</w:t>
            </w:r>
          </w:p>
        </w:tc>
        <w:tc>
          <w:tcPr>
            <w:tcW w:type="dxa" w:w="924"/>
            <w:vAlign w:val="center"/>
          </w:tcPr>
          <w:p>
            <w:pPr>
              <w:pStyle w:val="97"/>
              <w:jc w:val="center"/>
              <w:spacing w:before="0" w:after="0" w:line="360" w:lineRule="exact"/>
              <w:ind w:firstLine="0" w:firstLineChars="0"/>
            </w:pPr>
            <w:r>
              <w:rPr>
                <w:rFonts w:ascii="Times New Roman" w:hAnsi="Times New Roman" w:eastAsia="仿宋_GB2312"/>
                <w:b w:val="0"/>
                <w:sz w:val="24"/>
              </w:rPr>
              <w:t>8784</w:t>
            </w:r>
          </w:p>
        </w:tc>
        <w:tc>
          <w:tcPr>
            <w:tcW w:type="dxa" w:w="924"/>
            <w:vAlign w:val="center"/>
          </w:tcPr>
          <w:p>
            <w:pPr>
              <w:pStyle w:val="97"/>
              <w:jc w:val="center"/>
              <w:spacing w:before="0" w:after="0" w:line="360" w:lineRule="exact"/>
              <w:ind w:firstLine="0" w:firstLineChars="0"/>
            </w:pPr>
            <w:r>
              <w:rPr>
                <w:rFonts w:ascii="Times New Roman" w:hAnsi="Times New Roman" w:eastAsia="仿宋_GB2312"/>
                <w:b w:val="0"/>
                <w:sz w:val="24"/>
              </w:rPr>
              <w:t>58</w:t>
            </w:r>
          </w:p>
        </w:tc>
        <w:tc>
          <w:tcPr>
            <w:tcW w:type="dxa" w:w="924"/>
            <w:vAlign w:val="center"/>
          </w:tcPr>
          <w:p>
            <w:pPr>
              <w:pStyle w:val="97"/>
              <w:jc w:val="center"/>
              <w:spacing w:before="0" w:after="0" w:line="360" w:lineRule="exact"/>
              <w:ind w:firstLine="0" w:firstLineChars="0"/>
            </w:pPr>
            <w:r>
              <w:rPr>
                <w:rFonts w:ascii="Times New Roman" w:hAnsi="Times New Roman" w:eastAsia="仿宋_GB2312"/>
                <w:b w:val="0"/>
                <w:sz w:val="24"/>
              </w:rPr>
              <w:t>56</w:t>
            </w:r>
          </w:p>
        </w:tc>
        <w:tc>
          <w:tcPr>
            <w:tcW w:type="dxa" w:w="924"/>
            <w:vAlign w:val="center"/>
          </w:tcPr>
          <w:p>
            <w:pPr>
              <w:pStyle w:val="97"/>
              <w:jc w:val="center"/>
              <w:spacing w:before="0" w:after="0" w:line="360" w:lineRule="exact"/>
              <w:ind w:firstLine="0" w:firstLineChars="0"/>
            </w:pPr>
            <w:r>
              <w:rPr>
                <w:rFonts w:ascii="Times New Roman" w:hAnsi="Times New Roman" w:eastAsia="仿宋_GB2312"/>
                <w:b w:val="0"/>
                <w:sz w:val="24"/>
              </w:rPr>
              <w:t>108</w:t>
            </w:r>
          </w:p>
        </w:tc>
        <w:tc>
          <w:tcPr>
            <w:tcW w:type="dxa" w:w="924"/>
            <w:vAlign w:val="center"/>
          </w:tcPr>
          <w:p>
            <w:pPr>
              <w:pStyle w:val="97"/>
              <w:jc w:val="center"/>
              <w:spacing w:before="0" w:after="0" w:line="360" w:lineRule="exact"/>
              <w:ind w:firstLine="0" w:firstLineChars="0"/>
            </w:pPr>
            <w:r>
              <w:rPr>
                <w:rFonts w:ascii="Times New Roman" w:hAnsi="Times New Roman" w:eastAsia="仿宋_GB2312"/>
                <w:b w:val="0"/>
                <w:sz w:val="24"/>
              </w:rPr>
              <w:t>3</w:t>
            </w:r>
          </w:p>
        </w:tc>
        <w:tc>
          <w:tcPr>
            <w:tcW w:type="dxa" w:w="924"/>
            <w:vAlign w:val="center"/>
          </w:tcPr>
          <w:p>
            <w:pPr>
              <w:pStyle w:val="97"/>
              <w:jc w:val="center"/>
              <w:spacing w:before="0" w:after="0" w:line="360" w:lineRule="exact"/>
              <w:ind w:firstLine="0" w:firstLineChars="0"/>
            </w:pPr>
            <w:r>
              <w:rPr>
                <w:rFonts w:ascii="Times New Roman" w:hAnsi="Times New Roman" w:eastAsia="仿宋_GB2312"/>
                <w:b w:val="0"/>
                <w:sz w:val="24"/>
              </w:rPr>
              <w:t>0</w:t>
            </w:r>
          </w:p>
        </w:tc>
        <w:tc>
          <w:tcPr>
            <w:tcW w:type="dxa" w:w="924"/>
            <w:vAlign w:val="center"/>
          </w:tcPr>
          <w:p>
            <w:pPr>
              <w:pStyle w:val="97"/>
              <w:jc w:val="center"/>
              <w:spacing w:before="0" w:after="0" w:line="360" w:lineRule="exact"/>
              <w:ind w:firstLine="0" w:firstLineChars="0"/>
            </w:pPr>
            <w:r>
              <w:rPr>
                <w:rFonts w:ascii="Times New Roman" w:hAnsi="Times New Roman" w:eastAsia="仿宋_GB2312"/>
                <w:b w:val="0"/>
                <w:sz w:val="24"/>
              </w:rPr>
              <w:t>完整性与异常审计</w:t>
            </w:r>
          </w:p>
        </w:tc>
      </w:tr>
      <w:tr>
        <w:trPr>
          <w:cantSplit/>
        </w:trPr>
        <w:tc>
          <w:tcPr>
            <w:tcW w:type="dxa" w:w="924"/>
            <w:vAlign w:val="center"/>
          </w:tcPr>
          <w:p>
            <w:pPr>
              <w:pStyle w:val="97"/>
              <w:jc w:val="left"/>
              <w:spacing w:before="0" w:after="0" w:line="360" w:lineRule="exact"/>
              <w:ind w:firstLine="0" w:firstLineChars="0"/>
            </w:pPr>
            <w:r>
              <w:rPr>
                <w:rFonts w:ascii="Times New Roman" w:hAnsi="Times New Roman" w:eastAsia="仿宋_GB2312"/>
                <w:b w:val="0"/>
                <w:sz w:val="24"/>
              </w:rPr>
              <w:t>2025</w:t>
            </w:r>
          </w:p>
        </w:tc>
        <w:tc>
          <w:tcPr>
            <w:tcW w:type="dxa" w:w="924"/>
            <w:vAlign w:val="center"/>
          </w:tcPr>
          <w:p>
            <w:pPr>
              <w:pStyle w:val="97"/>
              <w:jc w:val="center"/>
              <w:spacing w:before="0" w:after="0" w:line="360" w:lineRule="exact"/>
              <w:ind w:firstLine="0" w:firstLineChars="0"/>
            </w:pPr>
            <w:r>
              <w:rPr>
                <w:rFonts w:ascii="Times New Roman" w:hAnsi="Times New Roman" w:eastAsia="仿宋_GB2312"/>
                <w:b w:val="0"/>
                <w:sz w:val="24"/>
              </w:rPr>
              <w:t>508080</w:t>
            </w:r>
          </w:p>
        </w:tc>
        <w:tc>
          <w:tcPr>
            <w:tcW w:type="dxa" w:w="924"/>
            <w:vAlign w:val="center"/>
          </w:tcPr>
          <w:p>
            <w:pPr>
              <w:pStyle w:val="97"/>
              <w:jc w:val="center"/>
              <w:spacing w:before="0" w:after="0" w:line="360" w:lineRule="exact"/>
              <w:ind w:firstLine="0" w:firstLineChars="0"/>
            </w:pPr>
            <w:r>
              <w:rPr>
                <w:rFonts w:ascii="Times New Roman" w:hAnsi="Times New Roman" w:eastAsia="仿宋_GB2312"/>
                <w:b w:val="0"/>
                <w:sz w:val="24"/>
              </w:rPr>
              <w:t>8760</w:t>
            </w:r>
          </w:p>
        </w:tc>
        <w:tc>
          <w:tcPr>
            <w:tcW w:type="dxa" w:w="924"/>
            <w:vAlign w:val="center"/>
          </w:tcPr>
          <w:p>
            <w:pPr>
              <w:pStyle w:val="97"/>
              <w:jc w:val="center"/>
              <w:spacing w:before="0" w:after="0" w:line="360" w:lineRule="exact"/>
              <w:ind w:firstLine="0" w:firstLineChars="0"/>
            </w:pPr>
            <w:r>
              <w:rPr>
                <w:rFonts w:ascii="Times New Roman" w:hAnsi="Times New Roman" w:eastAsia="仿宋_GB2312"/>
                <w:b w:val="0"/>
                <w:sz w:val="24"/>
              </w:rPr>
              <w:t>58</w:t>
            </w:r>
          </w:p>
        </w:tc>
        <w:tc>
          <w:tcPr>
            <w:tcW w:type="dxa" w:w="924"/>
            <w:vAlign w:val="center"/>
          </w:tcPr>
          <w:p>
            <w:pPr>
              <w:pStyle w:val="97"/>
              <w:jc w:val="center"/>
              <w:spacing w:before="0" w:after="0" w:line="360" w:lineRule="exact"/>
              <w:ind w:firstLine="0" w:firstLineChars="0"/>
            </w:pPr>
            <w:r>
              <w:rPr>
                <w:rFonts w:ascii="Times New Roman" w:hAnsi="Times New Roman" w:eastAsia="仿宋_GB2312"/>
                <w:b w:val="0"/>
                <w:sz w:val="24"/>
              </w:rPr>
              <w:t>56</w:t>
            </w:r>
          </w:p>
        </w:tc>
        <w:tc>
          <w:tcPr>
            <w:tcW w:type="dxa" w:w="924"/>
            <w:vAlign w:val="center"/>
          </w:tcPr>
          <w:p>
            <w:pPr>
              <w:pStyle w:val="97"/>
              <w:jc w:val="center"/>
              <w:spacing w:before="0" w:after="0" w:line="360" w:lineRule="exact"/>
              <w:ind w:firstLine="0" w:firstLineChars="0"/>
            </w:pPr>
            <w:r>
              <w:rPr>
                <w:rFonts w:ascii="Times New Roman" w:hAnsi="Times New Roman" w:eastAsia="仿宋_GB2312"/>
                <w:b w:val="0"/>
                <w:sz w:val="24"/>
              </w:rPr>
              <w:t>56</w:t>
            </w:r>
          </w:p>
        </w:tc>
        <w:tc>
          <w:tcPr>
            <w:tcW w:type="dxa" w:w="924"/>
            <w:vAlign w:val="center"/>
          </w:tcPr>
          <w:p>
            <w:pPr>
              <w:pStyle w:val="97"/>
              <w:jc w:val="center"/>
              <w:spacing w:before="0" w:after="0" w:line="360" w:lineRule="exact"/>
              <w:ind w:firstLine="0" w:firstLineChars="0"/>
            </w:pPr>
            <w:r>
              <w:rPr>
                <w:rFonts w:ascii="Times New Roman" w:hAnsi="Times New Roman" w:eastAsia="仿宋_GB2312"/>
                <w:b w:val="0"/>
                <w:sz w:val="24"/>
              </w:rPr>
              <w:t>0</w:t>
            </w:r>
          </w:p>
        </w:tc>
        <w:tc>
          <w:tcPr>
            <w:tcW w:type="dxa" w:w="924"/>
            <w:vAlign w:val="center"/>
          </w:tcPr>
          <w:p>
            <w:pPr>
              <w:pStyle w:val="97"/>
              <w:jc w:val="center"/>
              <w:spacing w:before="0" w:after="0" w:line="360" w:lineRule="exact"/>
              <w:ind w:firstLine="0" w:firstLineChars="0"/>
            </w:pPr>
            <w:r>
              <w:rPr>
                <w:rFonts w:ascii="Times New Roman" w:hAnsi="Times New Roman" w:eastAsia="仿宋_GB2312"/>
                <w:b w:val="0"/>
                <w:sz w:val="24"/>
              </w:rPr>
              <w:t>40</w:t>
            </w:r>
          </w:p>
        </w:tc>
        <w:tc>
          <w:tcPr>
            <w:tcW w:type="dxa" w:w="924"/>
            <w:vAlign w:val="center"/>
          </w:tcPr>
          <w:p>
            <w:pPr>
              <w:pStyle w:val="97"/>
              <w:jc w:val="center"/>
              <w:spacing w:before="0" w:after="0" w:line="360" w:lineRule="exact"/>
              <w:ind w:firstLine="0" w:firstLineChars="0"/>
            </w:pPr>
            <w:r>
              <w:rPr>
                <w:rFonts w:ascii="Times New Roman" w:hAnsi="Times New Roman" w:eastAsia="仿宋_GB2312"/>
                <w:b w:val="0"/>
                <w:sz w:val="24"/>
              </w:rPr>
              <w:t>正式逐时多工况分析</w:t>
            </w:r>
          </w:p>
        </w:tc>
      </w:tr>
    </w:tbl>
    <w:p>
      <w:pPr>
        <w:spacing w:before="0" w:after="0" w:line="560" w:lineRule="exact"/>
        <w:jc w:val="both"/>
        <w:ind w:firstLineChars="200" w:firstLine="200"/>
      </w:pPr>
      <w:r>
        <w:rPr>
          <w:rFonts w:ascii="Times New Roman" w:hAnsi="Times New Roman" w:eastAsia="仿宋_GB2312"/>
          <w:b w:val="0"/>
          <w:sz w:val="28"/>
        </w:rPr>
        <w:t>缺失点采用相邻小时线性插补，并保留点级质量标记。2024 年发现的 3 个量级异常值分别为 -7319 MW、-6858 MW 和 16630 MW，原值、发生时间、源列号和设备映射均保留在质量台账中；统计时只隔离异常点，不覆盖原始记录。若将这些数值直接纳入年度峰值，正向峰值和反向峰值都会发生数量级失真。表 3-5 因而把“源文件完整”与“具备正式分析资格”分开表达，避免把记录数量等同于证据闭合。</w:t>
      </w:r>
    </w:p>
    <w:p>
      <w:pPr>
        <w:spacing w:before="0" w:after="0" w:line="560" w:lineRule="exact"/>
        <w:jc w:val="both"/>
        <w:ind w:firstLineChars="200" w:firstLine="200"/>
      </w:pPr>
      <w:r>
        <w:rPr>
          <w:rFonts w:ascii="Times New Roman" w:hAnsi="Times New Roman" w:eastAsia="仿宋_GB2312"/>
          <w:b w:val="0"/>
          <w:sz w:val="28"/>
        </w:rPr>
        <w:t>本研究以净负荷正负号表示潮流方向：正值表示由上级电网向片区负荷侧供电，负值表示片区向上级电网反送。为便于统计，将运行状态划分为表 3-6 所列四类。低正向净负荷工况采用 2025 年官方同步正向峰值的 20% 作为描述阈值，只用于观察低负荷时段分布，不作为设备安全红线或措施触发条件。方向转换次数按相邻有效小时净负荷符号变化统计。</w:t>
      </w:r>
    </w:p>
    <w:p>
      <w:pPr>
        <w:pStyle w:val="12"/>
        <w:keepNext/>
        <w:spacing w:before="120" w:after="60" w:line="400" w:lineRule="exact"/>
        <w:jc w:val="center"/>
        <w:ind w:firstLine="0" w:firstLineChars="0"/>
      </w:pPr>
      <w:r>
        <w:rPr>
          <w:rFonts w:ascii="Times New Roman" w:hAnsi="Times New Roman" w:eastAsia="仿宋_GB2312"/>
          <w:b w:val="0"/>
          <w:sz w:val="24"/>
        </w:rPr>
        <w:t>表 3-6 主变多工况统计指标和计算方法</w:t>
      </w:r>
    </w:p>
    <w:tbl>
      <w:tblPr>
        <w:tblW w:type="auto" w:w="0"/>
        <w:tblLayout w:type="autofi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078"/>
        <w:gridCol w:w="2078"/>
        <w:gridCol w:w="2078"/>
        <w:gridCol w:w="2078"/>
      </w:tblGrid>
      <w:tr>
        <w:trPr>
          <w:cantSplit/>
          <w:tblHeader w:val="true"/>
        </w:trPr>
        <w:tc>
          <w:tcPr>
            <w:tcW w:type="dxa" w:w="2078"/>
            <w:vAlign w:val="center"/>
          </w:tcPr>
          <w:p>
            <w:pPr>
              <w:pStyle w:val="97"/>
              <w:jc w:val="center"/>
              <w:spacing w:before="0" w:after="0" w:line="360" w:lineRule="exact"/>
              <w:ind w:firstLine="0" w:firstLineChars="0"/>
            </w:pPr>
            <w:r>
              <w:rPr>
                <w:rFonts w:ascii="Times New Roman" w:hAnsi="Times New Roman" w:eastAsia="仿宋_GB2312"/>
                <w:b/>
                <w:sz w:val="24"/>
              </w:rPr>
              <w:t>工况或指标</w:t>
            </w:r>
          </w:p>
        </w:tc>
        <w:tc>
          <w:tcPr>
            <w:tcW w:type="dxa" w:w="2078"/>
            <w:vAlign w:val="center"/>
          </w:tcPr>
          <w:p>
            <w:pPr>
              <w:pStyle w:val="97"/>
              <w:jc w:val="center"/>
              <w:spacing w:before="0" w:after="0" w:line="360" w:lineRule="exact"/>
              <w:ind w:firstLine="0" w:firstLineChars="0"/>
            </w:pPr>
            <w:r>
              <w:rPr>
                <w:rFonts w:ascii="Times New Roman" w:hAnsi="Times New Roman" w:eastAsia="仿宋_GB2312"/>
                <w:b/>
                <w:sz w:val="24"/>
              </w:rPr>
              <w:t>判定方法</w:t>
            </w:r>
          </w:p>
        </w:tc>
        <w:tc>
          <w:tcPr>
            <w:tcW w:type="dxa" w:w="2078"/>
            <w:vAlign w:val="center"/>
          </w:tcPr>
          <w:p>
            <w:pPr>
              <w:pStyle w:val="97"/>
              <w:jc w:val="center"/>
              <w:spacing w:before="0" w:after="0" w:line="360" w:lineRule="exact"/>
              <w:ind w:firstLine="0" w:firstLineChars="0"/>
            </w:pPr>
            <w:r>
              <w:rPr>
                <w:rFonts w:ascii="Times New Roman" w:hAnsi="Times New Roman" w:eastAsia="仿宋_GB2312"/>
                <w:b/>
                <w:sz w:val="24"/>
              </w:rPr>
              <w:t>物理含义</w:t>
            </w:r>
          </w:p>
        </w:tc>
        <w:tc>
          <w:tcPr>
            <w:tcW w:type="dxa" w:w="2078"/>
            <w:vAlign w:val="center"/>
          </w:tcPr>
          <w:p>
            <w:pPr>
              <w:pStyle w:val="97"/>
              <w:jc w:val="center"/>
              <w:spacing w:before="0" w:after="0" w:line="360" w:lineRule="exact"/>
              <w:ind w:firstLine="0" w:firstLineChars="0"/>
            </w:pPr>
            <w:r>
              <w:rPr>
                <w:rFonts w:ascii="Times New Roman" w:hAnsi="Times New Roman" w:eastAsia="仿宋_GB2312"/>
                <w:b/>
                <w:sz w:val="24"/>
              </w:rPr>
              <w:t>规划用途</w:t>
            </w:r>
          </w:p>
        </w:tc>
      </w:tr>
      <w:tr>
        <w:trPr>
          <w:cantSplit/>
        </w:trPr>
        <w:tc>
          <w:tcPr>
            <w:tcW w:type="dxa" w:w="2078"/>
            <w:vAlign w:val="center"/>
          </w:tcPr>
          <w:p>
            <w:pPr>
              <w:pStyle w:val="97"/>
              <w:jc w:val="left"/>
              <w:spacing w:before="0" w:after="0" w:line="360" w:lineRule="exact"/>
              <w:ind w:firstLine="0" w:firstLineChars="0"/>
            </w:pPr>
            <w:r>
              <w:rPr>
                <w:rFonts w:ascii="Times New Roman" w:hAnsi="Times New Roman" w:eastAsia="仿宋_GB2312"/>
                <w:b w:val="0"/>
                <w:sz w:val="24"/>
              </w:rPr>
              <w:t>正向供电</w:t>
            </w:r>
          </w:p>
        </w:tc>
        <w:tc>
          <w:tcPr>
            <w:tcW w:type="dxa" w:w="2078"/>
            <w:vAlign w:val="center"/>
          </w:tcPr>
          <w:p>
            <w:pPr>
              <w:pStyle w:val="97"/>
              <w:jc w:val="center"/>
              <w:spacing w:before="0" w:after="0" w:line="360" w:lineRule="exact"/>
              <w:ind w:firstLine="0" w:firstLineChars="0"/>
            </w:pPr>
            <w:r>
              <w:rPr>
                <w:rFonts w:ascii="Times New Roman" w:hAnsi="Times New Roman" w:eastAsia="仿宋_GB2312"/>
                <w:b w:val="0"/>
                <w:sz w:val="24"/>
              </w:rPr>
              <w:t>同步净负荷 P&gt;0</w:t>
            </w:r>
          </w:p>
        </w:tc>
        <w:tc>
          <w:tcPr>
            <w:tcW w:type="dxa" w:w="2078"/>
            <w:vAlign w:val="center"/>
          </w:tcPr>
          <w:p>
            <w:pPr>
              <w:pStyle w:val="97"/>
              <w:jc w:val="center"/>
              <w:spacing w:before="0" w:after="0" w:line="360" w:lineRule="exact"/>
              <w:ind w:firstLine="0" w:firstLineChars="0"/>
            </w:pPr>
            <w:r>
              <w:rPr>
                <w:rFonts w:ascii="Times New Roman" w:hAnsi="Times New Roman" w:eastAsia="仿宋_GB2312"/>
                <w:b w:val="0"/>
                <w:sz w:val="24"/>
              </w:rPr>
              <w:t>上级电网向片区供电</w:t>
            </w:r>
          </w:p>
        </w:tc>
        <w:tc>
          <w:tcPr>
            <w:tcW w:type="dxa" w:w="2078"/>
            <w:vAlign w:val="center"/>
          </w:tcPr>
          <w:p>
            <w:pPr>
              <w:pStyle w:val="97"/>
              <w:jc w:val="center"/>
              <w:spacing w:before="0" w:after="0" w:line="360" w:lineRule="exact"/>
              <w:ind w:firstLine="0" w:firstLineChars="0"/>
            </w:pPr>
            <w:r>
              <w:rPr>
                <w:rFonts w:ascii="Times New Roman" w:hAnsi="Times New Roman" w:eastAsia="仿宋_GB2312"/>
                <w:b w:val="0"/>
                <w:sz w:val="24"/>
              </w:rPr>
              <w:t>计算同步正向峰值和正式容载比</w:t>
            </w:r>
          </w:p>
        </w:tc>
      </w:tr>
      <w:tr>
        <w:trPr>
          <w:cantSplit/>
        </w:trPr>
        <w:tc>
          <w:tcPr>
            <w:tcW w:type="dxa" w:w="2078"/>
            <w:vAlign w:val="center"/>
          </w:tcPr>
          <w:p>
            <w:pPr>
              <w:pStyle w:val="97"/>
              <w:jc w:val="left"/>
              <w:spacing w:before="0" w:after="0" w:line="360" w:lineRule="exact"/>
              <w:ind w:firstLine="0" w:firstLineChars="0"/>
            </w:pPr>
            <w:r>
              <w:rPr>
                <w:rFonts w:ascii="Times New Roman" w:hAnsi="Times New Roman" w:eastAsia="仿宋_GB2312"/>
                <w:b w:val="0"/>
                <w:sz w:val="24"/>
              </w:rPr>
              <w:t>低正向净负荷</w:t>
            </w:r>
          </w:p>
        </w:tc>
        <w:tc>
          <w:tcPr>
            <w:tcW w:type="dxa" w:w="2078"/>
            <w:vAlign w:val="center"/>
          </w:tcPr>
          <w:p>
            <w:pPr>
              <w:pStyle w:val="97"/>
              <w:jc w:val="center"/>
              <w:spacing w:before="0" w:after="0" w:line="360" w:lineRule="exact"/>
              <w:ind w:firstLine="0" w:firstLineChars="0"/>
            </w:pPr>
            <w:r>
              <w:rPr>
                <w:rFonts w:ascii="Times New Roman" w:hAnsi="Times New Roman" w:eastAsia="仿宋_GB2312"/>
                <w:b w:val="0"/>
                <w:sz w:val="24"/>
              </w:rPr>
              <w:t>0&lt;P≤0.2P⁺max</w:t>
            </w:r>
          </w:p>
        </w:tc>
        <w:tc>
          <w:tcPr>
            <w:tcW w:type="dxa" w:w="2078"/>
            <w:vAlign w:val="center"/>
          </w:tcPr>
          <w:p>
            <w:pPr>
              <w:pStyle w:val="97"/>
              <w:jc w:val="center"/>
              <w:spacing w:before="0" w:after="0" w:line="360" w:lineRule="exact"/>
              <w:ind w:firstLine="0" w:firstLineChars="0"/>
            </w:pPr>
            <w:r>
              <w:rPr>
                <w:rFonts w:ascii="Times New Roman" w:hAnsi="Times New Roman" w:eastAsia="仿宋_GB2312"/>
                <w:b w:val="0"/>
                <w:sz w:val="24"/>
              </w:rPr>
              <w:t>片区正向需求较低</w:t>
            </w:r>
          </w:p>
        </w:tc>
        <w:tc>
          <w:tcPr>
            <w:tcW w:type="dxa" w:w="2078"/>
            <w:vAlign w:val="center"/>
          </w:tcPr>
          <w:p>
            <w:pPr>
              <w:pStyle w:val="97"/>
              <w:jc w:val="center"/>
              <w:spacing w:before="0" w:after="0" w:line="360" w:lineRule="exact"/>
              <w:ind w:firstLine="0" w:firstLineChars="0"/>
            </w:pPr>
            <w:r>
              <w:rPr>
                <w:rFonts w:ascii="Times New Roman" w:hAnsi="Times New Roman" w:eastAsia="仿宋_GB2312"/>
                <w:b w:val="0"/>
                <w:sz w:val="24"/>
              </w:rPr>
              <w:t>观察接近潮流反转的运行区间</w:t>
            </w:r>
          </w:p>
        </w:tc>
      </w:tr>
      <w:tr>
        <w:trPr>
          <w:cantSplit/>
        </w:trPr>
        <w:tc>
          <w:tcPr>
            <w:tcW w:type="dxa" w:w="2078"/>
            <w:vAlign w:val="center"/>
          </w:tcPr>
          <w:p>
            <w:pPr>
              <w:pStyle w:val="97"/>
              <w:jc w:val="left"/>
              <w:spacing w:before="0" w:after="0" w:line="360" w:lineRule="exact"/>
              <w:ind w:firstLine="0" w:firstLineChars="0"/>
            </w:pPr>
            <w:r>
              <w:rPr>
                <w:rFonts w:ascii="Times New Roman" w:hAnsi="Times New Roman" w:eastAsia="仿宋_GB2312"/>
                <w:b w:val="0"/>
                <w:sz w:val="24"/>
              </w:rPr>
              <w:t>反向送电</w:t>
            </w:r>
          </w:p>
        </w:tc>
        <w:tc>
          <w:tcPr>
            <w:tcW w:type="dxa" w:w="2078"/>
            <w:vAlign w:val="center"/>
          </w:tcPr>
          <w:p>
            <w:pPr>
              <w:pStyle w:val="97"/>
              <w:jc w:val="center"/>
              <w:spacing w:before="0" w:after="0" w:line="360" w:lineRule="exact"/>
              <w:ind w:firstLine="0" w:firstLineChars="0"/>
            </w:pPr>
            <w:r>
              <w:rPr>
                <w:rFonts w:ascii="Times New Roman" w:hAnsi="Times New Roman" w:eastAsia="仿宋_GB2312"/>
                <w:b w:val="0"/>
                <w:sz w:val="24"/>
              </w:rPr>
              <w:t>同步净负荷 P&lt;0</w:t>
            </w:r>
          </w:p>
        </w:tc>
        <w:tc>
          <w:tcPr>
            <w:tcW w:type="dxa" w:w="2078"/>
            <w:vAlign w:val="center"/>
          </w:tcPr>
          <w:p>
            <w:pPr>
              <w:pStyle w:val="97"/>
              <w:jc w:val="center"/>
              <w:spacing w:before="0" w:after="0" w:line="360" w:lineRule="exact"/>
              <w:ind w:firstLine="0" w:firstLineChars="0"/>
            </w:pPr>
            <w:r>
              <w:rPr>
                <w:rFonts w:ascii="Times New Roman" w:hAnsi="Times New Roman" w:eastAsia="仿宋_GB2312"/>
                <w:b w:val="0"/>
                <w:sz w:val="24"/>
              </w:rPr>
              <w:t>片区向上级电网反送</w:t>
            </w:r>
          </w:p>
        </w:tc>
        <w:tc>
          <w:tcPr>
            <w:tcW w:type="dxa" w:w="2078"/>
            <w:vAlign w:val="center"/>
          </w:tcPr>
          <w:p>
            <w:pPr>
              <w:pStyle w:val="97"/>
              <w:jc w:val="center"/>
              <w:spacing w:before="0" w:after="0" w:line="360" w:lineRule="exact"/>
              <w:ind w:firstLine="0" w:firstLineChars="0"/>
            </w:pPr>
            <w:r>
              <w:rPr>
                <w:rFonts w:ascii="Times New Roman" w:hAnsi="Times New Roman" w:eastAsia="仿宋_GB2312"/>
                <w:b w:val="0"/>
                <w:sz w:val="24"/>
              </w:rPr>
              <w:t>计算反向峰值、时长和设备反向缺口</w:t>
            </w:r>
          </w:p>
        </w:tc>
      </w:tr>
      <w:tr>
        <w:trPr>
          <w:cantSplit/>
        </w:trPr>
        <w:tc>
          <w:tcPr>
            <w:tcW w:type="dxa" w:w="2078"/>
            <w:vAlign w:val="center"/>
          </w:tcPr>
          <w:p>
            <w:pPr>
              <w:pStyle w:val="97"/>
              <w:jc w:val="left"/>
              <w:spacing w:before="0" w:after="0" w:line="360" w:lineRule="exact"/>
              <w:ind w:firstLine="0" w:firstLineChars="0"/>
            </w:pPr>
            <w:r>
              <w:rPr>
                <w:rFonts w:ascii="Times New Roman" w:hAnsi="Times New Roman" w:eastAsia="仿宋_GB2312"/>
                <w:b w:val="0"/>
                <w:sz w:val="24"/>
              </w:rPr>
              <w:t>正反向转换</w:t>
            </w:r>
          </w:p>
        </w:tc>
        <w:tc>
          <w:tcPr>
            <w:tcW w:type="dxa" w:w="2078"/>
            <w:vAlign w:val="center"/>
          </w:tcPr>
          <w:p>
            <w:pPr>
              <w:pStyle w:val="97"/>
              <w:jc w:val="center"/>
              <w:spacing w:before="0" w:after="0" w:line="360" w:lineRule="exact"/>
              <w:ind w:firstLine="0" w:firstLineChars="0"/>
            </w:pPr>
            <w:r>
              <w:rPr>
                <w:rFonts w:ascii="Times New Roman" w:hAnsi="Times New Roman" w:eastAsia="仿宋_GB2312"/>
                <w:b w:val="0"/>
                <w:sz w:val="24"/>
              </w:rPr>
              <w:t>相邻有效时刻 P 的符号变化</w:t>
            </w:r>
          </w:p>
        </w:tc>
        <w:tc>
          <w:tcPr>
            <w:tcW w:type="dxa" w:w="2078"/>
            <w:vAlign w:val="center"/>
          </w:tcPr>
          <w:p>
            <w:pPr>
              <w:pStyle w:val="97"/>
              <w:jc w:val="center"/>
              <w:spacing w:before="0" w:after="0" w:line="360" w:lineRule="exact"/>
              <w:ind w:firstLine="0" w:firstLineChars="0"/>
            </w:pPr>
            <w:r>
              <w:rPr>
                <w:rFonts w:ascii="Times New Roman" w:hAnsi="Times New Roman" w:eastAsia="仿宋_GB2312"/>
                <w:b w:val="0"/>
                <w:sz w:val="24"/>
              </w:rPr>
              <w:t>潮流方向发生改变</w:t>
            </w:r>
          </w:p>
        </w:tc>
        <w:tc>
          <w:tcPr>
            <w:tcW w:type="dxa" w:w="2078"/>
            <w:vAlign w:val="center"/>
          </w:tcPr>
          <w:p>
            <w:pPr>
              <w:pStyle w:val="97"/>
              <w:jc w:val="center"/>
              <w:spacing w:before="0" w:after="0" w:line="360" w:lineRule="exact"/>
              <w:ind w:firstLine="0" w:firstLineChars="0"/>
            </w:pPr>
            <w:r>
              <w:rPr>
                <w:rFonts w:ascii="Times New Roman" w:hAnsi="Times New Roman" w:eastAsia="仿宋_GB2312"/>
                <w:b w:val="0"/>
                <w:sz w:val="24"/>
              </w:rPr>
              <w:t>识别运行转换频度，不作安全阈值</w:t>
            </w:r>
          </w:p>
        </w:tc>
      </w:tr>
      <w:tr>
        <w:trPr>
          <w:cantSplit/>
        </w:trPr>
        <w:tc>
          <w:tcPr>
            <w:tcW w:type="dxa" w:w="2078"/>
            <w:vAlign w:val="center"/>
          </w:tcPr>
          <w:p>
            <w:pPr>
              <w:pStyle w:val="97"/>
              <w:jc w:val="left"/>
              <w:spacing w:before="0" w:after="0" w:line="360" w:lineRule="exact"/>
              <w:ind w:firstLine="0" w:firstLineChars="0"/>
            </w:pPr>
            <w:r>
              <w:rPr>
                <w:rFonts w:ascii="Times New Roman" w:hAnsi="Times New Roman" w:eastAsia="仿宋_GB2312"/>
                <w:b w:val="0"/>
                <w:sz w:val="24"/>
              </w:rPr>
              <w:t>正向最大净负荷</w:t>
            </w:r>
          </w:p>
        </w:tc>
        <w:tc>
          <w:tcPr>
            <w:tcW w:type="dxa" w:w="2078"/>
            <w:vAlign w:val="center"/>
          </w:tcPr>
          <w:p>
            <w:pPr>
              <w:pStyle w:val="97"/>
              <w:jc w:val="center"/>
              <w:spacing w:before="0" w:after="0" w:line="360" w:lineRule="exact"/>
              <w:ind w:firstLine="0" w:firstLineChars="0"/>
            </w:pPr>
            <w:r>
              <w:rPr>
                <w:rFonts w:ascii="Times New Roman" w:hAnsi="Times New Roman" w:eastAsia="仿宋_GB2312"/>
                <w:b w:val="0"/>
                <w:sz w:val="24"/>
              </w:rPr>
              <w:t>同电压设备先按时刻聚合，再取正向最大值</w:t>
            </w:r>
          </w:p>
        </w:tc>
        <w:tc>
          <w:tcPr>
            <w:tcW w:type="dxa" w:w="2078"/>
            <w:vAlign w:val="center"/>
          </w:tcPr>
          <w:p>
            <w:pPr>
              <w:pStyle w:val="97"/>
              <w:jc w:val="center"/>
              <w:spacing w:before="0" w:after="0" w:line="360" w:lineRule="exact"/>
              <w:ind w:firstLine="0" w:firstLineChars="0"/>
            </w:pPr>
            <w:r>
              <w:rPr>
                <w:rFonts w:ascii="Times New Roman" w:hAnsi="Times New Roman" w:eastAsia="仿宋_GB2312"/>
                <w:b w:val="0"/>
                <w:sz w:val="24"/>
              </w:rPr>
              <w:t>片区年度最大正向供电需求</w:t>
            </w:r>
          </w:p>
        </w:tc>
        <w:tc>
          <w:tcPr>
            <w:tcW w:type="dxa" w:w="2078"/>
            <w:vAlign w:val="center"/>
          </w:tcPr>
          <w:p>
            <w:pPr>
              <w:pStyle w:val="97"/>
              <w:jc w:val="center"/>
              <w:spacing w:before="0" w:after="0" w:line="360" w:lineRule="exact"/>
              <w:ind w:firstLine="0" w:firstLineChars="0"/>
            </w:pPr>
            <w:r>
              <w:rPr>
                <w:rFonts w:ascii="Times New Roman" w:hAnsi="Times New Roman" w:eastAsia="仿宋_GB2312"/>
                <w:b w:val="0"/>
                <w:sz w:val="24"/>
              </w:rPr>
              <w:t>正式容载比分母</w:t>
            </w:r>
          </w:p>
        </w:tc>
      </w:tr>
      <w:tr>
        <w:trPr>
          <w:cantSplit/>
        </w:trPr>
        <w:tc>
          <w:tcPr>
            <w:tcW w:type="dxa" w:w="2078"/>
            <w:vAlign w:val="center"/>
          </w:tcPr>
          <w:p>
            <w:pPr>
              <w:pStyle w:val="97"/>
              <w:jc w:val="left"/>
              <w:spacing w:before="0" w:after="0" w:line="360" w:lineRule="exact"/>
              <w:ind w:firstLine="0" w:firstLineChars="0"/>
            </w:pPr>
            <w:r>
              <w:rPr>
                <w:rFonts w:ascii="Times New Roman" w:hAnsi="Times New Roman" w:eastAsia="仿宋_GB2312"/>
                <w:b w:val="0"/>
                <w:sz w:val="24"/>
              </w:rPr>
              <w:t>反向峰值</w:t>
            </w:r>
          </w:p>
        </w:tc>
        <w:tc>
          <w:tcPr>
            <w:tcW w:type="dxa" w:w="2078"/>
            <w:vAlign w:val="center"/>
          </w:tcPr>
          <w:p>
            <w:pPr>
              <w:pStyle w:val="97"/>
              <w:jc w:val="center"/>
              <w:spacing w:before="0" w:after="0" w:line="360" w:lineRule="exact"/>
              <w:ind w:firstLine="0" w:firstLineChars="0"/>
            </w:pPr>
            <w:r>
              <w:rPr>
                <w:rFonts w:ascii="Times New Roman" w:hAnsi="Times New Roman" w:eastAsia="仿宋_GB2312"/>
                <w:b w:val="0"/>
                <w:sz w:val="24"/>
              </w:rPr>
              <w:t>同步净负荷最小值的绝对值</w:t>
            </w:r>
          </w:p>
        </w:tc>
        <w:tc>
          <w:tcPr>
            <w:tcW w:type="dxa" w:w="2078"/>
            <w:vAlign w:val="center"/>
          </w:tcPr>
          <w:p>
            <w:pPr>
              <w:pStyle w:val="97"/>
              <w:jc w:val="center"/>
              <w:spacing w:before="0" w:after="0" w:line="360" w:lineRule="exact"/>
              <w:ind w:firstLine="0" w:firstLineChars="0"/>
            </w:pPr>
            <w:r>
              <w:rPr>
                <w:rFonts w:ascii="Times New Roman" w:hAnsi="Times New Roman" w:eastAsia="仿宋_GB2312"/>
                <w:b w:val="0"/>
                <w:sz w:val="24"/>
              </w:rPr>
              <w:t>片区最大反送功率</w:t>
            </w:r>
          </w:p>
        </w:tc>
        <w:tc>
          <w:tcPr>
            <w:tcW w:type="dxa" w:w="2078"/>
            <w:vAlign w:val="center"/>
          </w:tcPr>
          <w:p>
            <w:pPr>
              <w:pStyle w:val="97"/>
              <w:jc w:val="center"/>
              <w:spacing w:before="0" w:after="0" w:line="360" w:lineRule="exact"/>
              <w:ind w:firstLine="0" w:firstLineChars="0"/>
            </w:pPr>
            <w:r>
              <w:rPr>
                <w:rFonts w:ascii="Times New Roman" w:hAnsi="Times New Roman" w:eastAsia="仿宋_GB2312"/>
                <w:b w:val="0"/>
                <w:sz w:val="24"/>
              </w:rPr>
              <w:t>反向承载分析，不进入容载比分母</w:t>
            </w:r>
          </w:p>
        </w:tc>
      </w:tr>
    </w:tbl>
    <w:p>
      <w:pPr>
        <w:spacing w:before="0" w:after="0" w:line="560" w:lineRule="exact"/>
        <w:jc w:val="both"/>
        <w:ind w:firstLineChars="200" w:firstLine="200"/>
      </w:pPr>
      <w:r>
        <w:rPr>
          <w:rFonts w:ascii="Times New Roman" w:hAnsi="Times New Roman" w:eastAsia="仿宋_GB2312"/>
          <w:b w:val="0"/>
          <w:sz w:val="28"/>
        </w:rPr>
        <w:t>2025 年典型片区逐时曲线先按 40 台正式运行主变同步求和，所得原始正向峰值为 951.66 MW。为与官方年度基准数据保持一致，整条聚合曲线按 956.45/951.66=1.0050 的比例进行锚定；该调整只消除来源口径的微小差异，不改变潮流方向、时序形态和峰谷发生时刻。处理后的多工况统计结果见表 3-7。</w:t>
      </w:r>
    </w:p>
    <w:p>
      <w:pPr>
        <w:pStyle w:val="12"/>
        <w:keepNext/>
        <w:spacing w:before="120" w:after="60" w:line="400" w:lineRule="exact"/>
        <w:jc w:val="center"/>
        <w:ind w:firstLine="0" w:firstLineChars="0"/>
      </w:pPr>
      <w:r>
        <w:rPr>
          <w:rFonts w:ascii="Times New Roman" w:hAnsi="Times New Roman" w:eastAsia="仿宋_GB2312"/>
          <w:b w:val="0"/>
          <w:sz w:val="24"/>
        </w:rPr>
        <w:t>表 3-7 QX-00005 片区 2025 年 110 kV 正反向运行特征</w:t>
      </w:r>
    </w:p>
    <w:tbl>
      <w:tblPr>
        <w:tblW w:type="auto" w:w="0"/>
        <w:tblLayout w:type="autofi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771"/>
        <w:gridCol w:w="2771"/>
        <w:gridCol w:w="2771"/>
      </w:tblGrid>
      <w:tr>
        <w:trPr>
          <w:cantSplit/>
          <w:tblHeader w:val="true"/>
        </w:trPr>
        <w:tc>
          <w:tcPr>
            <w:tcW w:type="dxa" w:w="2771"/>
            <w:vAlign w:val="center"/>
          </w:tcPr>
          <w:p>
            <w:pPr>
              <w:pStyle w:val="97"/>
              <w:jc w:val="center"/>
              <w:spacing w:before="0" w:after="0" w:line="360" w:lineRule="exact"/>
              <w:ind w:firstLine="0" w:firstLineChars="0"/>
            </w:pPr>
            <w:r>
              <w:rPr>
                <w:rFonts w:ascii="Times New Roman" w:hAnsi="Times New Roman" w:eastAsia="仿宋_GB2312"/>
                <w:b/>
                <w:sz w:val="24"/>
              </w:rPr>
              <w:t>指标</w:t>
            </w:r>
          </w:p>
        </w:tc>
        <w:tc>
          <w:tcPr>
            <w:tcW w:type="dxa" w:w="2771"/>
            <w:vAlign w:val="center"/>
          </w:tcPr>
          <w:p>
            <w:pPr>
              <w:pStyle w:val="97"/>
              <w:jc w:val="center"/>
              <w:spacing w:before="0" w:after="0" w:line="360" w:lineRule="exact"/>
              <w:ind w:firstLine="0" w:firstLineChars="0"/>
            </w:pPr>
            <w:r>
              <w:rPr>
                <w:rFonts w:ascii="Times New Roman" w:hAnsi="Times New Roman" w:eastAsia="仿宋_GB2312"/>
                <w:b/>
                <w:sz w:val="24"/>
              </w:rPr>
              <w:t>统计结果</w:t>
            </w:r>
          </w:p>
        </w:tc>
        <w:tc>
          <w:tcPr>
            <w:tcW w:type="dxa" w:w="2771"/>
            <w:vAlign w:val="center"/>
          </w:tcPr>
          <w:p>
            <w:pPr>
              <w:pStyle w:val="97"/>
              <w:jc w:val="center"/>
              <w:spacing w:before="0" w:after="0" w:line="360" w:lineRule="exact"/>
              <w:ind w:firstLine="0" w:firstLineChars="0"/>
            </w:pPr>
            <w:r>
              <w:rPr>
                <w:rFonts w:ascii="Times New Roman" w:hAnsi="Times New Roman" w:eastAsia="仿宋_GB2312"/>
                <w:b/>
                <w:sz w:val="24"/>
              </w:rPr>
              <w:t>说明</w:t>
            </w:r>
          </w:p>
        </w:tc>
      </w:tr>
      <w:tr>
        <w:trPr>
          <w:cantSplit/>
        </w:trPr>
        <w:tc>
          <w:tcPr>
            <w:tcW w:type="dxa" w:w="2771"/>
            <w:vAlign w:val="center"/>
          </w:tcPr>
          <w:p>
            <w:pPr>
              <w:pStyle w:val="97"/>
              <w:jc w:val="left"/>
              <w:spacing w:before="0" w:after="0" w:line="360" w:lineRule="exact"/>
              <w:ind w:firstLine="0" w:firstLineChars="0"/>
            </w:pPr>
            <w:r>
              <w:rPr>
                <w:rFonts w:ascii="Times New Roman" w:hAnsi="Times New Roman" w:eastAsia="仿宋_GB2312"/>
                <w:b w:val="0"/>
                <w:sz w:val="24"/>
              </w:rPr>
              <w:t>正式运行站点数</w:t>
            </w:r>
          </w:p>
        </w:tc>
        <w:tc>
          <w:tcPr>
            <w:tcW w:type="dxa" w:w="2771"/>
            <w:vAlign w:val="center"/>
          </w:tcPr>
          <w:p>
            <w:pPr>
              <w:pStyle w:val="97"/>
              <w:jc w:val="center"/>
              <w:spacing w:before="0" w:after="0" w:line="360" w:lineRule="exact"/>
              <w:ind w:firstLine="0" w:firstLineChars="0"/>
            </w:pPr>
            <w:r>
              <w:rPr>
                <w:rFonts w:ascii="Times New Roman" w:hAnsi="Times New Roman" w:eastAsia="仿宋_GB2312"/>
                <w:b w:val="0"/>
                <w:sz w:val="24"/>
              </w:rPr>
              <w:t>20 座</w:t>
            </w:r>
          </w:p>
        </w:tc>
        <w:tc>
          <w:tcPr>
            <w:tcW w:type="dxa" w:w="2771"/>
            <w:vAlign w:val="center"/>
          </w:tcPr>
          <w:p>
            <w:pPr>
              <w:pStyle w:val="97"/>
              <w:jc w:val="center"/>
              <w:spacing w:before="0" w:after="0" w:line="360" w:lineRule="exact"/>
              <w:ind w:firstLine="0" w:firstLineChars="0"/>
            </w:pPr>
            <w:r>
              <w:rPr>
                <w:rFonts w:ascii="Times New Roman" w:hAnsi="Times New Roman" w:eastAsia="仿宋_GB2312"/>
                <w:b w:val="0"/>
                <w:sz w:val="24"/>
              </w:rPr>
              <w:t>2025 年运行口径</w:t>
            </w:r>
          </w:p>
        </w:tc>
      </w:tr>
      <w:tr>
        <w:trPr>
          <w:cantSplit/>
        </w:trPr>
        <w:tc>
          <w:tcPr>
            <w:tcW w:type="dxa" w:w="2771"/>
            <w:vAlign w:val="center"/>
          </w:tcPr>
          <w:p>
            <w:pPr>
              <w:pStyle w:val="97"/>
              <w:jc w:val="left"/>
              <w:spacing w:before="0" w:after="0" w:line="360" w:lineRule="exact"/>
              <w:ind w:firstLine="0" w:firstLineChars="0"/>
            </w:pPr>
            <w:r>
              <w:rPr>
                <w:rFonts w:ascii="Times New Roman" w:hAnsi="Times New Roman" w:eastAsia="仿宋_GB2312"/>
                <w:b w:val="0"/>
                <w:sz w:val="24"/>
              </w:rPr>
              <w:t>正式运行主变数</w:t>
            </w:r>
          </w:p>
        </w:tc>
        <w:tc>
          <w:tcPr>
            <w:tcW w:type="dxa" w:w="2771"/>
            <w:vAlign w:val="center"/>
          </w:tcPr>
          <w:p>
            <w:pPr>
              <w:pStyle w:val="97"/>
              <w:jc w:val="center"/>
              <w:spacing w:before="0" w:after="0" w:line="360" w:lineRule="exact"/>
              <w:ind w:firstLine="0" w:firstLineChars="0"/>
            </w:pPr>
            <w:r>
              <w:rPr>
                <w:rFonts w:ascii="Times New Roman" w:hAnsi="Times New Roman" w:eastAsia="仿宋_GB2312"/>
                <w:b w:val="0"/>
                <w:sz w:val="24"/>
              </w:rPr>
              <w:t>40 台</w:t>
            </w:r>
          </w:p>
        </w:tc>
        <w:tc>
          <w:tcPr>
            <w:tcW w:type="dxa" w:w="2771"/>
            <w:vAlign w:val="center"/>
          </w:tcPr>
          <w:p>
            <w:pPr>
              <w:pStyle w:val="97"/>
              <w:jc w:val="center"/>
              <w:spacing w:before="0" w:after="0" w:line="360" w:lineRule="exact"/>
              <w:ind w:firstLine="0" w:firstLineChars="0"/>
            </w:pPr>
            <w:r>
              <w:rPr>
                <w:rFonts w:ascii="Times New Roman" w:hAnsi="Times New Roman" w:eastAsia="仿宋_GB2312"/>
                <w:b w:val="0"/>
                <w:sz w:val="24"/>
              </w:rPr>
              <w:t>年末新增 2 台不计入</w:t>
            </w:r>
          </w:p>
        </w:tc>
      </w:tr>
      <w:tr>
        <w:trPr>
          <w:cantSplit/>
        </w:trPr>
        <w:tc>
          <w:tcPr>
            <w:tcW w:type="dxa" w:w="2771"/>
            <w:vAlign w:val="center"/>
          </w:tcPr>
          <w:p>
            <w:pPr>
              <w:pStyle w:val="97"/>
              <w:jc w:val="left"/>
              <w:spacing w:before="0" w:after="0" w:line="360" w:lineRule="exact"/>
              <w:ind w:firstLine="0" w:firstLineChars="0"/>
            </w:pPr>
            <w:r>
              <w:rPr>
                <w:rFonts w:ascii="Times New Roman" w:hAnsi="Times New Roman" w:eastAsia="仿宋_GB2312"/>
                <w:b w:val="0"/>
                <w:sz w:val="24"/>
              </w:rPr>
              <w:t>有效时刻数</w:t>
            </w:r>
          </w:p>
        </w:tc>
        <w:tc>
          <w:tcPr>
            <w:tcW w:type="dxa" w:w="2771"/>
            <w:vAlign w:val="center"/>
          </w:tcPr>
          <w:p>
            <w:pPr>
              <w:pStyle w:val="97"/>
              <w:jc w:val="center"/>
              <w:spacing w:before="0" w:after="0" w:line="360" w:lineRule="exact"/>
              <w:ind w:firstLine="0" w:firstLineChars="0"/>
            </w:pPr>
            <w:r>
              <w:rPr>
                <w:rFonts w:ascii="Times New Roman" w:hAnsi="Times New Roman" w:eastAsia="仿宋_GB2312"/>
                <w:b w:val="0"/>
                <w:sz w:val="24"/>
              </w:rPr>
              <w:t>8760 h</w:t>
            </w:r>
          </w:p>
        </w:tc>
        <w:tc>
          <w:tcPr>
            <w:tcW w:type="dxa" w:w="2771"/>
            <w:vAlign w:val="center"/>
          </w:tcPr>
          <w:p>
            <w:pPr>
              <w:pStyle w:val="97"/>
              <w:jc w:val="center"/>
              <w:spacing w:before="0" w:after="0" w:line="360" w:lineRule="exact"/>
              <w:ind w:firstLine="0" w:firstLineChars="0"/>
            </w:pPr>
            <w:r>
              <w:rPr>
                <w:rFonts w:ascii="Times New Roman" w:hAnsi="Times New Roman" w:eastAsia="仿宋_GB2312"/>
                <w:b w:val="0"/>
                <w:sz w:val="24"/>
              </w:rPr>
              <w:t>完整年度</w:t>
            </w:r>
          </w:p>
        </w:tc>
      </w:tr>
      <w:tr>
        <w:trPr>
          <w:cantSplit/>
        </w:trPr>
        <w:tc>
          <w:tcPr>
            <w:tcW w:type="dxa" w:w="2771"/>
            <w:vAlign w:val="center"/>
          </w:tcPr>
          <w:p>
            <w:pPr>
              <w:pStyle w:val="97"/>
              <w:jc w:val="left"/>
              <w:spacing w:before="0" w:after="0" w:line="360" w:lineRule="exact"/>
              <w:ind w:firstLine="0" w:firstLineChars="0"/>
            </w:pPr>
            <w:r>
              <w:rPr>
                <w:rFonts w:ascii="Times New Roman" w:hAnsi="Times New Roman" w:eastAsia="仿宋_GB2312"/>
                <w:b w:val="0"/>
                <w:sz w:val="24"/>
              </w:rPr>
              <w:t>同步正向峰值</w:t>
            </w:r>
          </w:p>
        </w:tc>
        <w:tc>
          <w:tcPr>
            <w:tcW w:type="dxa" w:w="2771"/>
            <w:vAlign w:val="center"/>
          </w:tcPr>
          <w:p>
            <w:pPr>
              <w:pStyle w:val="97"/>
              <w:jc w:val="center"/>
              <w:spacing w:before="0" w:after="0" w:line="360" w:lineRule="exact"/>
              <w:ind w:firstLine="0" w:firstLineChars="0"/>
            </w:pPr>
            <w:r>
              <w:rPr>
                <w:rFonts w:ascii="Times New Roman" w:hAnsi="Times New Roman" w:eastAsia="仿宋_GB2312"/>
                <w:b w:val="0"/>
                <w:sz w:val="24"/>
              </w:rPr>
              <w:t>956.45 MW</w:t>
            </w:r>
          </w:p>
        </w:tc>
        <w:tc>
          <w:tcPr>
            <w:tcW w:type="dxa" w:w="2771"/>
            <w:vAlign w:val="center"/>
          </w:tcPr>
          <w:p>
            <w:pPr>
              <w:pStyle w:val="97"/>
              <w:jc w:val="center"/>
              <w:spacing w:before="0" w:after="0" w:line="360" w:lineRule="exact"/>
              <w:ind w:firstLine="0" w:firstLineChars="0"/>
            </w:pPr>
            <w:r>
              <w:rPr>
                <w:rFonts w:ascii="Times New Roman" w:hAnsi="Times New Roman" w:eastAsia="仿宋_GB2312"/>
                <w:b w:val="0"/>
                <w:sz w:val="24"/>
              </w:rPr>
              <w:t>2025-07-05 21:00</w:t>
            </w:r>
          </w:p>
        </w:tc>
      </w:tr>
      <w:tr>
        <w:trPr>
          <w:cantSplit/>
        </w:trPr>
        <w:tc>
          <w:tcPr>
            <w:tcW w:type="dxa" w:w="2771"/>
            <w:vAlign w:val="center"/>
          </w:tcPr>
          <w:p>
            <w:pPr>
              <w:pStyle w:val="97"/>
              <w:jc w:val="left"/>
              <w:spacing w:before="0" w:after="0" w:line="360" w:lineRule="exact"/>
              <w:ind w:firstLine="0" w:firstLineChars="0"/>
            </w:pPr>
            <w:r>
              <w:rPr>
                <w:rFonts w:ascii="Times New Roman" w:hAnsi="Times New Roman" w:eastAsia="仿宋_GB2312"/>
                <w:b w:val="0"/>
                <w:sz w:val="24"/>
              </w:rPr>
              <w:t>同步反向峰值</w:t>
            </w:r>
          </w:p>
        </w:tc>
        <w:tc>
          <w:tcPr>
            <w:tcW w:type="dxa" w:w="2771"/>
            <w:vAlign w:val="center"/>
          </w:tcPr>
          <w:p>
            <w:pPr>
              <w:pStyle w:val="97"/>
              <w:jc w:val="center"/>
              <w:spacing w:before="0" w:after="0" w:line="360" w:lineRule="exact"/>
              <w:ind w:firstLine="0" w:firstLineChars="0"/>
            </w:pPr>
            <w:r>
              <w:rPr>
                <w:rFonts w:ascii="Times New Roman" w:hAnsi="Times New Roman" w:eastAsia="仿宋_GB2312"/>
                <w:b w:val="0"/>
                <w:sz w:val="24"/>
              </w:rPr>
              <w:t>397.23 MW</w:t>
            </w:r>
          </w:p>
        </w:tc>
        <w:tc>
          <w:tcPr>
            <w:tcW w:type="dxa" w:w="2771"/>
            <w:vAlign w:val="center"/>
          </w:tcPr>
          <w:p>
            <w:pPr>
              <w:pStyle w:val="97"/>
              <w:jc w:val="center"/>
              <w:spacing w:before="0" w:after="0" w:line="360" w:lineRule="exact"/>
              <w:ind w:firstLine="0" w:firstLineChars="0"/>
            </w:pPr>
            <w:r>
              <w:rPr>
                <w:rFonts w:ascii="Times New Roman" w:hAnsi="Times New Roman" w:eastAsia="仿宋_GB2312"/>
                <w:b w:val="0"/>
                <w:sz w:val="24"/>
              </w:rPr>
              <w:t>2025-05-01 12:00</w:t>
            </w:r>
          </w:p>
        </w:tc>
      </w:tr>
      <w:tr>
        <w:trPr>
          <w:cantSplit/>
        </w:trPr>
        <w:tc>
          <w:tcPr>
            <w:tcW w:type="dxa" w:w="2771"/>
            <w:vAlign w:val="center"/>
          </w:tcPr>
          <w:p>
            <w:pPr>
              <w:pStyle w:val="97"/>
              <w:jc w:val="left"/>
              <w:spacing w:before="0" w:after="0" w:line="360" w:lineRule="exact"/>
              <w:ind w:firstLine="0" w:firstLineChars="0"/>
            </w:pPr>
            <w:r>
              <w:rPr>
                <w:rFonts w:ascii="Times New Roman" w:hAnsi="Times New Roman" w:eastAsia="仿宋_GB2312"/>
                <w:b w:val="0"/>
                <w:sz w:val="24"/>
              </w:rPr>
              <w:t>正向供电时长</w:t>
            </w:r>
          </w:p>
        </w:tc>
        <w:tc>
          <w:tcPr>
            <w:tcW w:type="dxa" w:w="2771"/>
            <w:vAlign w:val="center"/>
          </w:tcPr>
          <w:p>
            <w:pPr>
              <w:pStyle w:val="97"/>
              <w:jc w:val="center"/>
              <w:spacing w:before="0" w:after="0" w:line="360" w:lineRule="exact"/>
              <w:ind w:firstLine="0" w:firstLineChars="0"/>
            </w:pPr>
            <w:r>
              <w:rPr>
                <w:rFonts w:ascii="Times New Roman" w:hAnsi="Times New Roman" w:eastAsia="仿宋_GB2312"/>
                <w:b w:val="0"/>
                <w:sz w:val="24"/>
              </w:rPr>
              <w:t>7834 h</w:t>
            </w:r>
          </w:p>
        </w:tc>
        <w:tc>
          <w:tcPr>
            <w:tcW w:type="dxa" w:w="2771"/>
            <w:vAlign w:val="center"/>
          </w:tcPr>
          <w:p>
            <w:pPr>
              <w:pStyle w:val="97"/>
              <w:jc w:val="center"/>
              <w:spacing w:before="0" w:after="0" w:line="360" w:lineRule="exact"/>
              <w:ind w:firstLine="0" w:firstLineChars="0"/>
            </w:pPr>
            <w:r>
              <w:rPr>
                <w:rFonts w:ascii="Times New Roman" w:hAnsi="Times New Roman" w:eastAsia="仿宋_GB2312"/>
                <w:b w:val="0"/>
                <w:sz w:val="24"/>
              </w:rPr>
              <w:t>占全年约 89.4%</w:t>
            </w:r>
          </w:p>
        </w:tc>
      </w:tr>
      <w:tr>
        <w:trPr>
          <w:cantSplit/>
        </w:trPr>
        <w:tc>
          <w:tcPr>
            <w:tcW w:type="dxa" w:w="2771"/>
            <w:vAlign w:val="center"/>
          </w:tcPr>
          <w:p>
            <w:pPr>
              <w:pStyle w:val="97"/>
              <w:jc w:val="left"/>
              <w:spacing w:before="0" w:after="0" w:line="360" w:lineRule="exact"/>
              <w:ind w:firstLine="0" w:firstLineChars="0"/>
            </w:pPr>
            <w:r>
              <w:rPr>
                <w:rFonts w:ascii="Times New Roman" w:hAnsi="Times New Roman" w:eastAsia="仿宋_GB2312"/>
                <w:b w:val="0"/>
                <w:sz w:val="24"/>
              </w:rPr>
              <w:t>低正向净负荷时长</w:t>
            </w:r>
          </w:p>
        </w:tc>
        <w:tc>
          <w:tcPr>
            <w:tcW w:type="dxa" w:w="2771"/>
            <w:vAlign w:val="center"/>
          </w:tcPr>
          <w:p>
            <w:pPr>
              <w:pStyle w:val="97"/>
              <w:jc w:val="center"/>
              <w:spacing w:before="0" w:after="0" w:line="360" w:lineRule="exact"/>
              <w:ind w:firstLine="0" w:firstLineChars="0"/>
            </w:pPr>
            <w:r>
              <w:rPr>
                <w:rFonts w:ascii="Times New Roman" w:hAnsi="Times New Roman" w:eastAsia="仿宋_GB2312"/>
                <w:b w:val="0"/>
                <w:sz w:val="24"/>
              </w:rPr>
              <w:t>1122 h</w:t>
            </w:r>
          </w:p>
        </w:tc>
        <w:tc>
          <w:tcPr>
            <w:tcW w:type="dxa" w:w="2771"/>
            <w:vAlign w:val="center"/>
          </w:tcPr>
          <w:p>
            <w:pPr>
              <w:pStyle w:val="97"/>
              <w:jc w:val="center"/>
              <w:spacing w:before="0" w:after="0" w:line="360" w:lineRule="exact"/>
              <w:ind w:firstLine="0" w:firstLineChars="0"/>
            </w:pPr>
            <w:r>
              <w:rPr>
                <w:rFonts w:ascii="Times New Roman" w:hAnsi="Times New Roman" w:eastAsia="仿宋_GB2312"/>
                <w:b w:val="0"/>
                <w:sz w:val="24"/>
              </w:rPr>
              <w:t>阈值为 191.29 MW，仅作描述</w:t>
            </w:r>
          </w:p>
        </w:tc>
      </w:tr>
      <w:tr>
        <w:trPr>
          <w:cantSplit/>
        </w:trPr>
        <w:tc>
          <w:tcPr>
            <w:tcW w:type="dxa" w:w="2771"/>
            <w:vAlign w:val="center"/>
          </w:tcPr>
          <w:p>
            <w:pPr>
              <w:pStyle w:val="97"/>
              <w:jc w:val="left"/>
              <w:spacing w:before="0" w:after="0" w:line="360" w:lineRule="exact"/>
              <w:ind w:firstLine="0" w:firstLineChars="0"/>
            </w:pPr>
            <w:r>
              <w:rPr>
                <w:rFonts w:ascii="Times New Roman" w:hAnsi="Times New Roman" w:eastAsia="仿宋_GB2312"/>
                <w:b w:val="0"/>
                <w:sz w:val="24"/>
              </w:rPr>
              <w:t>反向送电时长</w:t>
            </w:r>
          </w:p>
        </w:tc>
        <w:tc>
          <w:tcPr>
            <w:tcW w:type="dxa" w:w="2771"/>
            <w:vAlign w:val="center"/>
          </w:tcPr>
          <w:p>
            <w:pPr>
              <w:pStyle w:val="97"/>
              <w:jc w:val="center"/>
              <w:spacing w:before="0" w:after="0" w:line="360" w:lineRule="exact"/>
              <w:ind w:firstLine="0" w:firstLineChars="0"/>
            </w:pPr>
            <w:r>
              <w:rPr>
                <w:rFonts w:ascii="Times New Roman" w:hAnsi="Times New Roman" w:eastAsia="仿宋_GB2312"/>
                <w:b w:val="0"/>
                <w:sz w:val="24"/>
              </w:rPr>
              <w:t>926 h</w:t>
            </w:r>
          </w:p>
        </w:tc>
        <w:tc>
          <w:tcPr>
            <w:tcW w:type="dxa" w:w="2771"/>
            <w:vAlign w:val="center"/>
          </w:tcPr>
          <w:p>
            <w:pPr>
              <w:pStyle w:val="97"/>
              <w:jc w:val="center"/>
              <w:spacing w:before="0" w:after="0" w:line="360" w:lineRule="exact"/>
              <w:ind w:firstLine="0" w:firstLineChars="0"/>
            </w:pPr>
            <w:r>
              <w:rPr>
                <w:rFonts w:ascii="Times New Roman" w:hAnsi="Times New Roman" w:eastAsia="仿宋_GB2312"/>
                <w:b w:val="0"/>
                <w:sz w:val="24"/>
              </w:rPr>
              <w:t>占全年约 10.6%</w:t>
            </w:r>
          </w:p>
        </w:tc>
      </w:tr>
      <w:tr>
        <w:trPr>
          <w:cantSplit/>
        </w:trPr>
        <w:tc>
          <w:tcPr>
            <w:tcW w:type="dxa" w:w="2771"/>
            <w:vAlign w:val="center"/>
          </w:tcPr>
          <w:p>
            <w:pPr>
              <w:pStyle w:val="97"/>
              <w:jc w:val="left"/>
              <w:spacing w:before="0" w:after="0" w:line="360" w:lineRule="exact"/>
              <w:ind w:firstLine="0" w:firstLineChars="0"/>
            </w:pPr>
            <w:r>
              <w:rPr>
                <w:rFonts w:ascii="Times New Roman" w:hAnsi="Times New Roman" w:eastAsia="仿宋_GB2312"/>
                <w:b w:val="0"/>
                <w:sz w:val="24"/>
              </w:rPr>
              <w:t>相邻小时方向转换</w:t>
            </w:r>
          </w:p>
        </w:tc>
        <w:tc>
          <w:tcPr>
            <w:tcW w:type="dxa" w:w="2771"/>
            <w:vAlign w:val="center"/>
          </w:tcPr>
          <w:p>
            <w:pPr>
              <w:pStyle w:val="97"/>
              <w:jc w:val="center"/>
              <w:spacing w:before="0" w:after="0" w:line="360" w:lineRule="exact"/>
              <w:ind w:firstLine="0" w:firstLineChars="0"/>
            </w:pPr>
            <w:r>
              <w:rPr>
                <w:rFonts w:ascii="Times New Roman" w:hAnsi="Times New Roman" w:eastAsia="仿宋_GB2312"/>
                <w:b w:val="0"/>
                <w:sz w:val="24"/>
              </w:rPr>
              <w:t>418 次</w:t>
            </w:r>
          </w:p>
        </w:tc>
        <w:tc>
          <w:tcPr>
            <w:tcW w:type="dxa" w:w="2771"/>
            <w:vAlign w:val="center"/>
          </w:tcPr>
          <w:p>
            <w:pPr>
              <w:pStyle w:val="97"/>
              <w:jc w:val="center"/>
              <w:spacing w:before="0" w:after="0" w:line="360" w:lineRule="exact"/>
              <w:ind w:firstLine="0" w:firstLineChars="0"/>
            </w:pPr>
            <w:r>
              <w:rPr>
                <w:rFonts w:ascii="Times New Roman" w:hAnsi="Times New Roman" w:eastAsia="仿宋_GB2312"/>
                <w:b w:val="0"/>
                <w:sz w:val="24"/>
              </w:rPr>
              <w:t>按有效时刻符号变化统计</w:t>
            </w:r>
          </w:p>
        </w:tc>
      </w:tr>
    </w:tbl>
    <w:p>
      <w:pPr>
        <w:spacing w:before="0" w:after="0" w:line="560" w:lineRule="exact"/>
        <w:jc w:val="both"/>
        <w:ind w:firstLineChars="200" w:firstLine="200"/>
      </w:pPr>
      <w:r>
        <w:rPr>
          <w:rFonts w:ascii="Times New Roman" w:hAnsi="Times New Roman" w:eastAsia="仿宋_GB2312"/>
          <w:b w:val="0"/>
          <w:sz w:val="28"/>
        </w:rPr>
        <w:t>表 3-7 表明，典型片区全年仍以正向供电为主，但反向送电并非少数孤立时点。反向时长达到 926 h，反向峰值约为同步正向峰值的 41.5%；正向峰值与反向峰值之间的功率跨度约为 1353.68 MW。对变电容量规划而言，正向峰值决定正式容载比分母，反向峰值则用于设备级反向承载检查。若将两者取绝对值后合并为一个峰值指标，会混淆两种不同的规划问题。</w:t>
      </w:r>
    </w:p>
    <w:p>
      <w:pPr>
        <w:spacing w:before="0" w:after="0" w:line="560" w:lineRule="exact"/>
        <w:jc w:val="both"/>
        <w:ind w:firstLineChars="200" w:firstLine="200"/>
      </w:pPr>
      <w:r>
        <w:rPr>
          <w:rFonts w:ascii="Times New Roman" w:hAnsi="Times New Roman" w:eastAsia="仿宋_GB2312"/>
          <w:b w:val="0"/>
          <w:sz w:val="28"/>
        </w:rPr>
        <w:t>图 3-3 给出了 2025 年同步净负荷持续曲线。曲线右端进入负值区，与 926 h 的反向时长相对应；左端正向峰值较高，说明片区同时存在负荷高峰条件下的正向容量需求。持续曲线能够直观看出不同功率水平的累计时长，但不保留事件发生顺序，因此还需结合典型日曲线判断潮流转换发生在一天中的何时。</w:t>
      </w:r>
    </w:p>
    <w:p>
      <w:pPr>
        <w:pStyle w:val="38"/>
        <w:jc w:val="center"/>
        <w:ind w:firstLine="0" w:firstLineChars="0"/>
      </w:pPr>
      <w:r>
        <w:drawing>
          <wp:inline xmlns:a="http://schemas.openxmlformats.org/drawingml/2006/main" xmlns:pic="http://schemas.openxmlformats.org/drawingml/2006/picture">
            <wp:extent cx="4968000" cy="2805150"/>
            <wp:docPr id="4" name="Picture 4"/>
            <wp:cNvGraphicFramePr>
              <a:graphicFrameLocks noChangeAspect="1"/>
            </wp:cNvGraphicFramePr>
            <a:graphic>
              <a:graphicData uri="http://schemas.openxmlformats.org/drawingml/2006/picture">
                <pic:pic>
                  <pic:nvPicPr>
                    <pic:cNvPr id="0" name="图3-3_典型年度净负荷持续曲线.png"/>
                    <pic:cNvPicPr/>
                  </pic:nvPicPr>
                  <pic:blipFill>
                    <a:blip r:embed="rId16"/>
                    <a:stretch>
                      <a:fillRect/>
                    </a:stretch>
                  </pic:blipFill>
                  <pic:spPr>
                    <a:xfrm>
                      <a:off x="0" y="0"/>
                      <a:ext cx="4968000" cy="2805150"/>
                    </a:xfrm>
                    <a:prstGeom prst="rect"/>
                  </pic:spPr>
                </pic:pic>
              </a:graphicData>
            </a:graphic>
          </wp:inline>
        </w:drawing>
      </w:r>
    </w:p>
    <w:p>
      <w:pPr>
        <w:pStyle w:val="12"/>
        <w:keepNext w:val="0"/>
        <w:spacing w:before="0" w:after="120" w:line="400" w:lineRule="exact"/>
        <w:jc w:val="center"/>
        <w:ind w:firstLine="0" w:firstLineChars="0"/>
      </w:pPr>
      <w:r>
        <w:rPr>
          <w:rFonts w:ascii="Times New Roman" w:hAnsi="Times New Roman" w:eastAsia="仿宋_GB2312"/>
          <w:b w:val="0"/>
          <w:sz w:val="24"/>
        </w:rPr>
        <w:t>图 3-3 QX-00005 片区 2025 年 110 kV 同步净负荷持续曲线</w:t>
      </w:r>
    </w:p>
    <w:p>
      <w:pPr>
        <w:spacing w:before="0" w:after="0" w:line="560" w:lineRule="exact"/>
        <w:jc w:val="both"/>
        <w:ind w:firstLineChars="200" w:firstLine="200"/>
      </w:pPr>
      <w:r>
        <w:rPr>
          <w:rFonts w:ascii="Times New Roman" w:hAnsi="Times New Roman" w:eastAsia="仿宋_GB2312"/>
          <w:b w:val="0"/>
          <w:sz w:val="28"/>
        </w:rPr>
        <w:t>图 3-4 分别列出正向峰值日和反向峰值日。2025 年 7 月 5 日的同步净负荷在 21:00 达到全年正向峰值，午间虽有下降，但全天保持正向供电；5 月 1 日的曲线在上午由正转负，12:00 达到最大反向功率，傍晚又恢复正向。两条曲线说明，夏季高负荷时段的正向容量压力与春季低负荷、光伏高出力条件下的反向承载压力可以出现在同一片区，却对应不同日期和设备运行状态。规划方案必须分别校核，不能由其中一个工况推断另一个工况一定安全。</w:t>
      </w:r>
    </w:p>
    <w:p>
      <w:pPr>
        <w:pStyle w:val="38"/>
        <w:jc w:val="center"/>
        <w:ind w:firstLine="0" w:firstLineChars="0"/>
      </w:pPr>
      <w:r>
        <w:drawing>
          <wp:inline xmlns:a="http://schemas.openxmlformats.org/drawingml/2006/main" xmlns:pic="http://schemas.openxmlformats.org/drawingml/2006/picture">
            <wp:extent cx="4968000" cy="3113006"/>
            <wp:docPr id="5" name="Picture 5"/>
            <wp:cNvGraphicFramePr>
              <a:graphicFrameLocks noChangeAspect="1"/>
            </wp:cNvGraphicFramePr>
            <a:graphic>
              <a:graphicData uri="http://schemas.openxmlformats.org/drawingml/2006/picture">
                <pic:pic>
                  <pic:nvPicPr>
                    <pic:cNvPr id="0" name="图3-4_典型日正反向运行曲线.png"/>
                    <pic:cNvPicPr/>
                  </pic:nvPicPr>
                  <pic:blipFill>
                    <a:blip r:embed="rId17"/>
                    <a:stretch>
                      <a:fillRect/>
                    </a:stretch>
                  </pic:blipFill>
                  <pic:spPr>
                    <a:xfrm>
                      <a:off x="0" y="0"/>
                      <a:ext cx="4968000" cy="3113006"/>
                    </a:xfrm>
                    <a:prstGeom prst="rect"/>
                  </pic:spPr>
                </pic:pic>
              </a:graphicData>
            </a:graphic>
          </wp:inline>
        </w:drawing>
      </w:r>
    </w:p>
    <w:p>
      <w:pPr>
        <w:pStyle w:val="12"/>
        <w:keepNext w:val="0"/>
        <w:spacing w:before="0" w:after="120" w:line="400" w:lineRule="exact"/>
        <w:jc w:val="center"/>
        <w:ind w:firstLine="0" w:firstLineChars="0"/>
      </w:pPr>
      <w:r>
        <w:rPr>
          <w:rFonts w:ascii="Times New Roman" w:hAnsi="Times New Roman" w:eastAsia="仿宋_GB2312"/>
          <w:b w:val="0"/>
          <w:sz w:val="24"/>
        </w:rPr>
        <w:t>图 3-4 QX-00005 片区 2025 年 110 kV 典型日正反向运行曲线</w:t>
      </w:r>
    </w:p>
    <w:p>
      <w:pPr>
        <w:pStyle w:val="3"/>
        <w:pageBreakBefore w:val="0"/>
        <w:jc w:val="left"/>
      </w:pPr>
      <w:bookmarkStart w:id="12" w:name="_TocReport0012"/>
      <w:r>
        <w:rPr>
          <w:rFonts w:ascii="Times New Roman" w:hAnsi="Times New Roman" w:eastAsia="仿宋_GB2312"/>
          <w:b/>
          <w:sz w:val="28"/>
        </w:rPr>
        <w:t>3.3 源荷比、电量渗透率与容载比的关联规律</w:t>
      </w:r>
      <w:bookmarkEnd w:id="12"/>
    </w:p>
    <w:p>
      <w:pPr>
        <w:spacing w:before="0" w:after="0" w:line="560" w:lineRule="exact"/>
        <w:jc w:val="both"/>
        <w:ind w:firstLineChars="200" w:firstLine="200"/>
      </w:pPr>
      <w:r>
        <w:rPr>
          <w:rFonts w:ascii="Times New Roman" w:hAnsi="Times New Roman" w:eastAsia="仿宋_GB2312"/>
          <w:b w:val="0"/>
          <w:sz w:val="28"/>
        </w:rPr>
        <w:t>源荷比、电量渗透率、正式容载比和反向承载力分别对应装机容量、年度电量、正向容量配置和设备反向能力。四项指标的数据粒度和物理含义不同，不能互换使用。表 3-8 对其定义、数据来源和本项目用途作了统一说明。</w:t>
      </w:r>
    </w:p>
    <w:p>
      <w:pPr>
        <w:pStyle w:val="12"/>
        <w:keepNext/>
        <w:spacing w:before="120" w:after="60" w:line="400" w:lineRule="exact"/>
        <w:jc w:val="center"/>
        <w:ind w:firstLine="0" w:firstLineChars="0"/>
      </w:pPr>
      <w:r>
        <w:rPr>
          <w:rFonts w:ascii="Times New Roman" w:hAnsi="Times New Roman" w:eastAsia="仿宋_GB2312"/>
          <w:b w:val="0"/>
          <w:sz w:val="24"/>
        </w:rPr>
        <w:t>表 3-8 核心指标定义、数据来源和用途</w:t>
      </w:r>
    </w:p>
    <w:tbl>
      <w:tblPr>
        <w:tblW w:type="auto" w:w="0"/>
        <w:tblLayout w:type="autofi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662"/>
        <w:gridCol w:w="1662"/>
        <w:gridCol w:w="1662"/>
        <w:gridCol w:w="1662"/>
        <w:gridCol w:w="1662"/>
      </w:tblGrid>
      <w:tr>
        <w:trPr>
          <w:cantSplit/>
          <w:tblHeader w:val="true"/>
        </w:trPr>
        <w:tc>
          <w:tcPr>
            <w:tcW w:type="dxa" w:w="1662"/>
            <w:vAlign w:val="center"/>
          </w:tcPr>
          <w:p>
            <w:pPr>
              <w:pStyle w:val="97"/>
              <w:jc w:val="center"/>
              <w:spacing w:before="0" w:after="0" w:line="360" w:lineRule="exact"/>
              <w:ind w:firstLine="0" w:firstLineChars="0"/>
            </w:pPr>
            <w:r>
              <w:rPr>
                <w:rFonts w:ascii="Times New Roman" w:hAnsi="Times New Roman" w:eastAsia="仿宋_GB2312"/>
                <w:b/>
                <w:sz w:val="24"/>
              </w:rPr>
              <w:t>指标</w:t>
            </w:r>
          </w:p>
        </w:tc>
        <w:tc>
          <w:tcPr>
            <w:tcW w:type="dxa" w:w="1662"/>
            <w:vAlign w:val="center"/>
          </w:tcPr>
          <w:p>
            <w:pPr>
              <w:pStyle w:val="97"/>
              <w:jc w:val="center"/>
              <w:spacing w:before="0" w:after="0" w:line="360" w:lineRule="exact"/>
              <w:ind w:firstLine="0" w:firstLineChars="0"/>
            </w:pPr>
            <w:r>
              <w:rPr>
                <w:rFonts w:ascii="Times New Roman" w:hAnsi="Times New Roman" w:eastAsia="仿宋_GB2312"/>
                <w:b/>
                <w:sz w:val="24"/>
              </w:rPr>
              <w:t>定义</w:t>
            </w:r>
          </w:p>
        </w:tc>
        <w:tc>
          <w:tcPr>
            <w:tcW w:type="dxa" w:w="1662"/>
            <w:vAlign w:val="center"/>
          </w:tcPr>
          <w:p>
            <w:pPr>
              <w:pStyle w:val="97"/>
              <w:jc w:val="center"/>
              <w:spacing w:before="0" w:after="0" w:line="360" w:lineRule="exact"/>
              <w:ind w:firstLine="0" w:firstLineChars="0"/>
            </w:pPr>
            <w:r>
              <w:rPr>
                <w:rFonts w:ascii="Times New Roman" w:hAnsi="Times New Roman" w:eastAsia="仿宋_GB2312"/>
                <w:b/>
                <w:sz w:val="24"/>
              </w:rPr>
              <w:t>主要数据来源</w:t>
            </w:r>
          </w:p>
        </w:tc>
        <w:tc>
          <w:tcPr>
            <w:tcW w:type="dxa" w:w="1662"/>
            <w:vAlign w:val="center"/>
          </w:tcPr>
          <w:p>
            <w:pPr>
              <w:pStyle w:val="97"/>
              <w:jc w:val="center"/>
              <w:spacing w:before="0" w:after="0" w:line="360" w:lineRule="exact"/>
              <w:ind w:firstLine="0" w:firstLineChars="0"/>
            </w:pPr>
            <w:r>
              <w:rPr>
                <w:rFonts w:ascii="Times New Roman" w:hAnsi="Times New Roman" w:eastAsia="仿宋_GB2312"/>
                <w:b/>
                <w:sz w:val="24"/>
              </w:rPr>
              <w:t>本项目用途</w:t>
            </w:r>
          </w:p>
        </w:tc>
        <w:tc>
          <w:tcPr>
            <w:tcW w:type="dxa" w:w="1662"/>
            <w:vAlign w:val="center"/>
          </w:tcPr>
          <w:p>
            <w:pPr>
              <w:pStyle w:val="97"/>
              <w:jc w:val="center"/>
              <w:spacing w:before="0" w:after="0" w:line="360" w:lineRule="exact"/>
              <w:ind w:firstLine="0" w:firstLineChars="0"/>
            </w:pPr>
            <w:r>
              <w:rPr>
                <w:rFonts w:ascii="Times New Roman" w:hAnsi="Times New Roman" w:eastAsia="仿宋_GB2312"/>
                <w:b/>
                <w:sz w:val="24"/>
              </w:rPr>
              <w:t>使用限制</w:t>
            </w:r>
          </w:p>
        </w:tc>
      </w:tr>
      <w:tr>
        <w:trPr>
          <w:cantSplit/>
        </w:trPr>
        <w:tc>
          <w:tcPr>
            <w:tcW w:type="dxa" w:w="1662"/>
            <w:vAlign w:val="center"/>
          </w:tcPr>
          <w:p>
            <w:pPr>
              <w:pStyle w:val="97"/>
              <w:jc w:val="left"/>
              <w:spacing w:before="0" w:after="0" w:line="360" w:lineRule="exact"/>
              <w:ind w:firstLine="0" w:firstLineChars="0"/>
            </w:pPr>
            <w:r>
              <w:rPr>
                <w:rFonts w:ascii="Times New Roman" w:hAnsi="Times New Roman" w:eastAsia="仿宋_GB2312"/>
                <w:b w:val="0"/>
                <w:sz w:val="24"/>
              </w:rPr>
              <w:t>源荷比</w:t>
            </w:r>
          </w:p>
        </w:tc>
        <w:tc>
          <w:tcPr>
            <w:tcW w:type="dxa" w:w="1662"/>
            <w:vAlign w:val="center"/>
          </w:tcPr>
          <w:p>
            <w:pPr>
              <w:pStyle w:val="97"/>
              <w:jc w:val="center"/>
              <w:spacing w:before="0" w:after="0" w:line="360" w:lineRule="exact"/>
              <w:ind w:firstLine="0" w:firstLineChars="0"/>
            </w:pPr>
            <w:r>
              <w:rPr>
                <w:rFonts w:ascii="Times New Roman" w:hAnsi="Times New Roman" w:eastAsia="仿宋_GB2312"/>
                <w:b w:val="0"/>
                <w:sz w:val="24"/>
              </w:rPr>
              <w:t>新能源装机容量/同期最大负荷</w:t>
            </w:r>
          </w:p>
        </w:tc>
        <w:tc>
          <w:tcPr>
            <w:tcW w:type="dxa" w:w="1662"/>
            <w:vAlign w:val="center"/>
          </w:tcPr>
          <w:p>
            <w:pPr>
              <w:pStyle w:val="97"/>
              <w:jc w:val="center"/>
              <w:spacing w:before="0" w:after="0" w:line="360" w:lineRule="exact"/>
              <w:ind w:firstLine="0" w:firstLineChars="0"/>
            </w:pPr>
            <w:r>
              <w:rPr>
                <w:rFonts w:ascii="Times New Roman" w:hAnsi="Times New Roman" w:eastAsia="仿宋_GB2312"/>
                <w:b w:val="0"/>
                <w:sz w:val="24"/>
              </w:rPr>
              <w:t>同年度新能源装机与负荷</w:t>
            </w:r>
          </w:p>
        </w:tc>
        <w:tc>
          <w:tcPr>
            <w:tcW w:type="dxa" w:w="1662"/>
            <w:vAlign w:val="center"/>
          </w:tcPr>
          <w:p>
            <w:pPr>
              <w:pStyle w:val="97"/>
              <w:jc w:val="center"/>
              <w:spacing w:before="0" w:after="0" w:line="360" w:lineRule="exact"/>
              <w:ind w:firstLine="0" w:firstLineChars="0"/>
            </w:pPr>
            <w:r>
              <w:rPr>
                <w:rFonts w:ascii="Times New Roman" w:hAnsi="Times New Roman" w:eastAsia="仿宋_GB2312"/>
                <w:b w:val="0"/>
                <w:sz w:val="24"/>
              </w:rPr>
              <w:t>表征装机规模相对负荷水平</w:t>
            </w:r>
          </w:p>
        </w:tc>
        <w:tc>
          <w:tcPr>
            <w:tcW w:type="dxa" w:w="1662"/>
            <w:vAlign w:val="center"/>
          </w:tcPr>
          <w:p>
            <w:pPr>
              <w:pStyle w:val="97"/>
              <w:jc w:val="center"/>
              <w:spacing w:before="0" w:after="0" w:line="360" w:lineRule="exact"/>
              <w:ind w:firstLine="0" w:firstLineChars="0"/>
            </w:pPr>
            <w:r>
              <w:rPr>
                <w:rFonts w:ascii="Times New Roman" w:hAnsi="Times New Roman" w:eastAsia="仿宋_GB2312"/>
                <w:b w:val="0"/>
                <w:sz w:val="24"/>
              </w:rPr>
              <w:t>不直接等同反向峰值或承载力</w:t>
            </w:r>
          </w:p>
        </w:tc>
      </w:tr>
      <w:tr>
        <w:trPr>
          <w:cantSplit/>
        </w:trPr>
        <w:tc>
          <w:tcPr>
            <w:tcW w:type="dxa" w:w="1662"/>
            <w:vAlign w:val="center"/>
          </w:tcPr>
          <w:p>
            <w:pPr>
              <w:pStyle w:val="97"/>
              <w:jc w:val="left"/>
              <w:spacing w:before="0" w:after="0" w:line="360" w:lineRule="exact"/>
              <w:ind w:firstLine="0" w:firstLineChars="0"/>
            </w:pPr>
            <w:r>
              <w:rPr>
                <w:rFonts w:ascii="Times New Roman" w:hAnsi="Times New Roman" w:eastAsia="仿宋_GB2312"/>
                <w:b w:val="0"/>
                <w:sz w:val="24"/>
              </w:rPr>
              <w:t>电量渗透率</w:t>
            </w:r>
          </w:p>
        </w:tc>
        <w:tc>
          <w:tcPr>
            <w:tcW w:type="dxa" w:w="1662"/>
            <w:vAlign w:val="center"/>
          </w:tcPr>
          <w:p>
            <w:pPr>
              <w:pStyle w:val="97"/>
              <w:jc w:val="center"/>
              <w:spacing w:before="0" w:after="0" w:line="360" w:lineRule="exact"/>
              <w:ind w:firstLine="0" w:firstLineChars="0"/>
            </w:pPr>
            <w:r>
              <w:rPr>
                <w:rFonts w:ascii="Times New Roman" w:hAnsi="Times New Roman" w:eastAsia="仿宋_GB2312"/>
                <w:b w:val="0"/>
                <w:sz w:val="24"/>
              </w:rPr>
              <w:t>新能源年发电量/同期用电量</w:t>
            </w:r>
          </w:p>
        </w:tc>
        <w:tc>
          <w:tcPr>
            <w:tcW w:type="dxa" w:w="1662"/>
            <w:vAlign w:val="center"/>
          </w:tcPr>
          <w:p>
            <w:pPr>
              <w:pStyle w:val="97"/>
              <w:jc w:val="center"/>
              <w:spacing w:before="0" w:after="0" w:line="360" w:lineRule="exact"/>
              <w:ind w:firstLine="0" w:firstLineChars="0"/>
            </w:pPr>
            <w:r>
              <w:rPr>
                <w:rFonts w:ascii="Times New Roman" w:hAnsi="Times New Roman" w:eastAsia="仿宋_GB2312"/>
                <w:b w:val="0"/>
                <w:sz w:val="24"/>
              </w:rPr>
              <w:t>同年度发电量与用电量</w:t>
            </w:r>
          </w:p>
        </w:tc>
        <w:tc>
          <w:tcPr>
            <w:tcW w:type="dxa" w:w="1662"/>
            <w:vAlign w:val="center"/>
          </w:tcPr>
          <w:p>
            <w:pPr>
              <w:pStyle w:val="97"/>
              <w:jc w:val="center"/>
              <w:spacing w:before="0" w:after="0" w:line="360" w:lineRule="exact"/>
              <w:ind w:firstLine="0" w:firstLineChars="0"/>
            </w:pPr>
            <w:r>
              <w:rPr>
                <w:rFonts w:ascii="Times New Roman" w:hAnsi="Times New Roman" w:eastAsia="仿宋_GB2312"/>
                <w:b w:val="0"/>
                <w:sz w:val="24"/>
              </w:rPr>
              <w:t>表征年度电量平衡关系</w:t>
            </w:r>
          </w:p>
        </w:tc>
        <w:tc>
          <w:tcPr>
            <w:tcW w:type="dxa" w:w="1662"/>
            <w:vAlign w:val="center"/>
          </w:tcPr>
          <w:p>
            <w:pPr>
              <w:pStyle w:val="97"/>
              <w:jc w:val="center"/>
              <w:spacing w:before="0" w:after="0" w:line="360" w:lineRule="exact"/>
              <w:ind w:firstLine="0" w:firstLineChars="0"/>
            </w:pPr>
            <w:r>
              <w:rPr>
                <w:rFonts w:ascii="Times New Roman" w:hAnsi="Times New Roman" w:eastAsia="仿宋_GB2312"/>
                <w:b w:val="0"/>
                <w:sz w:val="24"/>
              </w:rPr>
              <w:t>不反映瞬时潮流和接入位置</w:t>
            </w:r>
          </w:p>
        </w:tc>
      </w:tr>
      <w:tr>
        <w:trPr>
          <w:cantSplit/>
        </w:trPr>
        <w:tc>
          <w:tcPr>
            <w:tcW w:type="dxa" w:w="1662"/>
            <w:vAlign w:val="center"/>
          </w:tcPr>
          <w:p>
            <w:pPr>
              <w:pStyle w:val="97"/>
              <w:jc w:val="left"/>
              <w:spacing w:before="0" w:after="0" w:line="360" w:lineRule="exact"/>
              <w:ind w:firstLine="0" w:firstLineChars="0"/>
            </w:pPr>
            <w:r>
              <w:rPr>
                <w:rFonts w:ascii="Times New Roman" w:hAnsi="Times New Roman" w:eastAsia="仿宋_GB2312"/>
                <w:b w:val="0"/>
                <w:sz w:val="24"/>
              </w:rPr>
              <w:t>正式容载比</w:t>
            </w:r>
          </w:p>
        </w:tc>
        <w:tc>
          <w:tcPr>
            <w:tcW w:type="dxa" w:w="1662"/>
            <w:vAlign w:val="center"/>
          </w:tcPr>
          <w:p>
            <w:pPr>
              <w:pStyle w:val="97"/>
              <w:jc w:val="center"/>
              <w:spacing w:before="0" w:after="0" w:line="360" w:lineRule="exact"/>
              <w:ind w:firstLine="0" w:firstLineChars="0"/>
            </w:pPr>
            <w:r>
              <w:rPr>
                <w:rFonts w:ascii="Times New Roman" w:hAnsi="Times New Roman" w:eastAsia="仿宋_GB2312"/>
                <w:b w:val="0"/>
                <w:sz w:val="24"/>
              </w:rPr>
              <w:t>同电压公用变容量/同步正向最大净负荷</w:t>
            </w:r>
          </w:p>
        </w:tc>
        <w:tc>
          <w:tcPr>
            <w:tcW w:type="dxa" w:w="1662"/>
            <w:vAlign w:val="center"/>
          </w:tcPr>
          <w:p>
            <w:pPr>
              <w:pStyle w:val="97"/>
              <w:jc w:val="center"/>
              <w:spacing w:before="0" w:after="0" w:line="360" w:lineRule="exact"/>
              <w:ind w:firstLine="0" w:firstLineChars="0"/>
            </w:pPr>
            <w:r>
              <w:rPr>
                <w:rFonts w:ascii="Times New Roman" w:hAnsi="Times New Roman" w:eastAsia="仿宋_GB2312"/>
                <w:b w:val="0"/>
                <w:sz w:val="24"/>
              </w:rPr>
              <w:t>年度基准数据或方案干预后时序</w:t>
            </w:r>
          </w:p>
        </w:tc>
        <w:tc>
          <w:tcPr>
            <w:tcW w:type="dxa" w:w="1662"/>
            <w:vAlign w:val="center"/>
          </w:tcPr>
          <w:p>
            <w:pPr>
              <w:pStyle w:val="97"/>
              <w:jc w:val="center"/>
              <w:spacing w:before="0" w:after="0" w:line="360" w:lineRule="exact"/>
              <w:ind w:firstLine="0" w:firstLineChars="0"/>
            </w:pPr>
            <w:r>
              <w:rPr>
                <w:rFonts w:ascii="Times New Roman" w:hAnsi="Times New Roman" w:eastAsia="仿宋_GB2312"/>
                <w:b w:val="0"/>
                <w:sz w:val="24"/>
              </w:rPr>
              <w:t>判断正向容量配置状态</w:t>
            </w:r>
          </w:p>
        </w:tc>
        <w:tc>
          <w:tcPr>
            <w:tcW w:type="dxa" w:w="1662"/>
            <w:vAlign w:val="center"/>
          </w:tcPr>
          <w:p>
            <w:pPr>
              <w:pStyle w:val="97"/>
              <w:jc w:val="center"/>
              <w:spacing w:before="0" w:after="0" w:line="360" w:lineRule="exact"/>
              <w:ind w:firstLine="0" w:firstLineChars="0"/>
            </w:pPr>
            <w:r>
              <w:rPr>
                <w:rFonts w:ascii="Times New Roman" w:hAnsi="Times New Roman" w:eastAsia="仿宋_GB2312"/>
                <w:b w:val="0"/>
                <w:sz w:val="24"/>
              </w:rPr>
              <w:t>反向峰值不进入分母</w:t>
            </w:r>
          </w:p>
        </w:tc>
      </w:tr>
      <w:tr>
        <w:trPr>
          <w:cantSplit/>
        </w:trPr>
        <w:tc>
          <w:tcPr>
            <w:tcW w:type="dxa" w:w="1662"/>
            <w:vAlign w:val="center"/>
          </w:tcPr>
          <w:p>
            <w:pPr>
              <w:pStyle w:val="97"/>
              <w:jc w:val="left"/>
              <w:spacing w:before="0" w:after="0" w:line="360" w:lineRule="exact"/>
              <w:ind w:firstLine="0" w:firstLineChars="0"/>
            </w:pPr>
            <w:r>
              <w:rPr>
                <w:rFonts w:ascii="Times New Roman" w:hAnsi="Times New Roman" w:eastAsia="仿宋_GB2312"/>
                <w:b w:val="0"/>
                <w:sz w:val="24"/>
              </w:rPr>
              <w:t>反向峰值</w:t>
            </w:r>
          </w:p>
        </w:tc>
        <w:tc>
          <w:tcPr>
            <w:tcW w:type="dxa" w:w="1662"/>
            <w:vAlign w:val="center"/>
          </w:tcPr>
          <w:p>
            <w:pPr>
              <w:pStyle w:val="97"/>
              <w:jc w:val="center"/>
              <w:spacing w:before="0" w:after="0" w:line="360" w:lineRule="exact"/>
              <w:ind w:firstLine="0" w:firstLineChars="0"/>
            </w:pPr>
            <w:r>
              <w:rPr>
                <w:rFonts w:ascii="Times New Roman" w:hAnsi="Times New Roman" w:eastAsia="仿宋_GB2312"/>
                <w:b w:val="0"/>
                <w:sz w:val="24"/>
              </w:rPr>
              <w:t>同步净负荷最小值的绝对值</w:t>
            </w:r>
          </w:p>
        </w:tc>
        <w:tc>
          <w:tcPr>
            <w:tcW w:type="dxa" w:w="1662"/>
            <w:vAlign w:val="center"/>
          </w:tcPr>
          <w:p>
            <w:pPr>
              <w:pStyle w:val="97"/>
              <w:jc w:val="center"/>
              <w:spacing w:before="0" w:after="0" w:line="360" w:lineRule="exact"/>
              <w:ind w:firstLine="0" w:firstLineChars="0"/>
            </w:pPr>
            <w:r>
              <w:rPr>
                <w:rFonts w:ascii="Times New Roman" w:hAnsi="Times New Roman" w:eastAsia="仿宋_GB2312"/>
                <w:b w:val="0"/>
                <w:sz w:val="24"/>
              </w:rPr>
              <w:t>逐时净负荷</w:t>
            </w:r>
          </w:p>
        </w:tc>
        <w:tc>
          <w:tcPr>
            <w:tcW w:type="dxa" w:w="1662"/>
            <w:vAlign w:val="center"/>
          </w:tcPr>
          <w:p>
            <w:pPr>
              <w:pStyle w:val="97"/>
              <w:jc w:val="center"/>
              <w:spacing w:before="0" w:after="0" w:line="360" w:lineRule="exact"/>
              <w:ind w:firstLine="0" w:firstLineChars="0"/>
            </w:pPr>
            <w:r>
              <w:rPr>
                <w:rFonts w:ascii="Times New Roman" w:hAnsi="Times New Roman" w:eastAsia="仿宋_GB2312"/>
                <w:b w:val="0"/>
                <w:sz w:val="24"/>
              </w:rPr>
              <w:t>描述最大反送功率</w:t>
            </w:r>
          </w:p>
        </w:tc>
        <w:tc>
          <w:tcPr>
            <w:tcW w:type="dxa" w:w="1662"/>
            <w:vAlign w:val="center"/>
          </w:tcPr>
          <w:p>
            <w:pPr>
              <w:pStyle w:val="97"/>
              <w:jc w:val="center"/>
              <w:spacing w:before="0" w:after="0" w:line="360" w:lineRule="exact"/>
              <w:ind w:firstLine="0" w:firstLineChars="0"/>
            </w:pPr>
            <w:r>
              <w:rPr>
                <w:rFonts w:ascii="Times New Roman" w:hAnsi="Times New Roman" w:eastAsia="仿宋_GB2312"/>
                <w:b w:val="0"/>
                <w:sz w:val="24"/>
              </w:rPr>
              <w:t>不称为容载比分母</w:t>
            </w:r>
          </w:p>
        </w:tc>
      </w:tr>
      <w:tr>
        <w:trPr>
          <w:cantSplit/>
        </w:trPr>
        <w:tc>
          <w:tcPr>
            <w:tcW w:type="dxa" w:w="1662"/>
            <w:vAlign w:val="center"/>
          </w:tcPr>
          <w:p>
            <w:pPr>
              <w:pStyle w:val="97"/>
              <w:jc w:val="left"/>
              <w:spacing w:before="0" w:after="0" w:line="360" w:lineRule="exact"/>
              <w:ind w:firstLine="0" w:firstLineChars="0"/>
            </w:pPr>
            <w:r>
              <w:rPr>
                <w:rFonts w:ascii="Times New Roman" w:hAnsi="Times New Roman" w:eastAsia="仿宋_GB2312"/>
                <w:b w:val="0"/>
                <w:sz w:val="24"/>
              </w:rPr>
              <w:t>反向承载力</w:t>
            </w:r>
          </w:p>
        </w:tc>
        <w:tc>
          <w:tcPr>
            <w:tcW w:type="dxa" w:w="1662"/>
            <w:vAlign w:val="center"/>
          </w:tcPr>
          <w:p>
            <w:pPr>
              <w:pStyle w:val="97"/>
              <w:jc w:val="center"/>
              <w:spacing w:before="0" w:after="0" w:line="360" w:lineRule="exact"/>
              <w:ind w:firstLine="0" w:firstLineChars="0"/>
            </w:pPr>
            <w:r>
              <w:rPr>
                <w:rFonts w:ascii="Times New Roman" w:hAnsi="Times New Roman" w:eastAsia="仿宋_GB2312"/>
                <w:b w:val="0"/>
                <w:sz w:val="24"/>
              </w:rPr>
              <w:t>设备运行方式下允许的反向功率</w:t>
            </w:r>
          </w:p>
        </w:tc>
        <w:tc>
          <w:tcPr>
            <w:tcW w:type="dxa" w:w="1662"/>
            <w:vAlign w:val="center"/>
          </w:tcPr>
          <w:p>
            <w:pPr>
              <w:pStyle w:val="97"/>
              <w:jc w:val="center"/>
              <w:spacing w:before="0" w:after="0" w:line="360" w:lineRule="exact"/>
              <w:ind w:firstLine="0" w:firstLineChars="0"/>
            </w:pPr>
            <w:r>
              <w:rPr>
                <w:rFonts w:ascii="Times New Roman" w:hAnsi="Times New Roman" w:eastAsia="仿宋_GB2312"/>
                <w:b w:val="0"/>
                <w:sz w:val="24"/>
              </w:rPr>
              <w:t>主变容量、并列关系和运行方式</w:t>
            </w:r>
          </w:p>
        </w:tc>
        <w:tc>
          <w:tcPr>
            <w:tcW w:type="dxa" w:w="1662"/>
            <w:vAlign w:val="center"/>
          </w:tcPr>
          <w:p>
            <w:pPr>
              <w:pStyle w:val="97"/>
              <w:jc w:val="center"/>
              <w:spacing w:before="0" w:after="0" w:line="360" w:lineRule="exact"/>
              <w:ind w:firstLine="0" w:firstLineChars="0"/>
            </w:pPr>
            <w:r>
              <w:rPr>
                <w:rFonts w:ascii="Times New Roman" w:hAnsi="Times New Roman" w:eastAsia="仿宋_GB2312"/>
                <w:b w:val="0"/>
                <w:sz w:val="24"/>
              </w:rPr>
              <w:t>判断设备级反向缺口</w:t>
            </w:r>
          </w:p>
        </w:tc>
        <w:tc>
          <w:tcPr>
            <w:tcW w:type="dxa" w:w="1662"/>
            <w:vAlign w:val="center"/>
          </w:tcPr>
          <w:p>
            <w:pPr>
              <w:pStyle w:val="97"/>
              <w:jc w:val="center"/>
              <w:spacing w:before="0" w:after="0" w:line="360" w:lineRule="exact"/>
              <w:ind w:firstLine="0" w:firstLineChars="0"/>
            </w:pPr>
            <w:r>
              <w:rPr>
                <w:rFonts w:ascii="Times New Roman" w:hAnsi="Times New Roman" w:eastAsia="仿宋_GB2312"/>
                <w:b w:val="0"/>
                <w:sz w:val="24"/>
              </w:rPr>
              <w:t>与正式容载比分列校核</w:t>
            </w:r>
          </w:p>
        </w:tc>
      </w:tr>
    </w:tbl>
    <w:p>
      <w:pPr>
        <w:spacing w:before="0" w:after="0" w:line="560" w:lineRule="exact"/>
        <w:jc w:val="both"/>
        <w:ind w:firstLineChars="200" w:firstLine="200"/>
      </w:pPr>
      <w:r>
        <w:rPr>
          <w:rFonts w:ascii="Times New Roman" w:hAnsi="Times New Roman" w:eastAsia="仿宋_GB2312"/>
          <w:b w:val="0"/>
          <w:sz w:val="28"/>
        </w:rPr>
        <w:t>从作用机理看，新能源装机增长会提高源荷比，但只有在新能源出力与本地低负荷时段重合时，才会压低同步净负荷并可能形成反向送电。电量渗透率反映全年累计关系，不能说明最大反向功率发生在哪一天、持续多长时间。正式容载比随公用变容量增加而升高，随同步正向峰值增加而降低；光伏对其影响取决于光伏出力与正向峰值是否同步。反向承载力主要受设备容量、并列方式和最大单台退出条件影响，不随正式容载比按固定比例变化。</w:t>
      </w:r>
    </w:p>
    <w:p>
      <w:pPr>
        <w:pStyle w:val="12"/>
        <w:keepNext/>
        <w:spacing w:before="120" w:after="60" w:line="400" w:lineRule="exact"/>
        <w:jc w:val="center"/>
        <w:ind w:firstLine="0" w:firstLineChars="0"/>
      </w:pPr>
      <w:r>
        <w:rPr>
          <w:rFonts w:ascii="Times New Roman" w:hAnsi="Times New Roman" w:eastAsia="仿宋_GB2312"/>
          <w:b w:val="0"/>
          <w:sz w:val="24"/>
        </w:rPr>
        <w:t>表 3-9 指标变化对正向容量和反向承载的作用机制</w:t>
      </w:r>
    </w:p>
    <w:tbl>
      <w:tblPr>
        <w:tblW w:type="auto" w:w="0"/>
        <w:tblLayout w:type="autofi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662"/>
        <w:gridCol w:w="1662"/>
        <w:gridCol w:w="1662"/>
        <w:gridCol w:w="1662"/>
        <w:gridCol w:w="1662"/>
      </w:tblGrid>
      <w:tr>
        <w:trPr>
          <w:cantSplit/>
          <w:tblHeader w:val="true"/>
        </w:trPr>
        <w:tc>
          <w:tcPr>
            <w:tcW w:type="dxa" w:w="1662"/>
            <w:vAlign w:val="center"/>
          </w:tcPr>
          <w:p>
            <w:pPr>
              <w:pStyle w:val="97"/>
              <w:jc w:val="center"/>
              <w:spacing w:before="0" w:after="0" w:line="360" w:lineRule="exact"/>
              <w:ind w:firstLine="0" w:firstLineChars="0"/>
            </w:pPr>
            <w:r>
              <w:rPr>
                <w:rFonts w:ascii="Times New Roman" w:hAnsi="Times New Roman" w:eastAsia="仿宋_GB2312"/>
                <w:b/>
                <w:sz w:val="24"/>
              </w:rPr>
              <w:t>变化因素</w:t>
            </w:r>
          </w:p>
        </w:tc>
        <w:tc>
          <w:tcPr>
            <w:tcW w:type="dxa" w:w="1662"/>
            <w:vAlign w:val="center"/>
          </w:tcPr>
          <w:p>
            <w:pPr>
              <w:pStyle w:val="97"/>
              <w:jc w:val="center"/>
              <w:spacing w:before="0" w:after="0" w:line="360" w:lineRule="exact"/>
              <w:ind w:firstLine="0" w:firstLineChars="0"/>
            </w:pPr>
            <w:r>
              <w:rPr>
                <w:rFonts w:ascii="Times New Roman" w:hAnsi="Times New Roman" w:eastAsia="仿宋_GB2312"/>
                <w:b/>
                <w:sz w:val="24"/>
              </w:rPr>
              <w:t>对同步正向峰值的可能影响</w:t>
            </w:r>
          </w:p>
        </w:tc>
        <w:tc>
          <w:tcPr>
            <w:tcW w:type="dxa" w:w="1662"/>
            <w:vAlign w:val="center"/>
          </w:tcPr>
          <w:p>
            <w:pPr>
              <w:pStyle w:val="97"/>
              <w:jc w:val="center"/>
              <w:spacing w:before="0" w:after="0" w:line="360" w:lineRule="exact"/>
              <w:ind w:firstLine="0" w:firstLineChars="0"/>
            </w:pPr>
            <w:r>
              <w:rPr>
                <w:rFonts w:ascii="Times New Roman" w:hAnsi="Times New Roman" w:eastAsia="仿宋_GB2312"/>
                <w:b/>
                <w:sz w:val="24"/>
              </w:rPr>
              <w:t>对正式容载比的可能影响</w:t>
            </w:r>
          </w:p>
        </w:tc>
        <w:tc>
          <w:tcPr>
            <w:tcW w:type="dxa" w:w="1662"/>
            <w:vAlign w:val="center"/>
          </w:tcPr>
          <w:p>
            <w:pPr>
              <w:pStyle w:val="97"/>
              <w:jc w:val="center"/>
              <w:spacing w:before="0" w:after="0" w:line="360" w:lineRule="exact"/>
              <w:ind w:firstLine="0" w:firstLineChars="0"/>
            </w:pPr>
            <w:r>
              <w:rPr>
                <w:rFonts w:ascii="Times New Roman" w:hAnsi="Times New Roman" w:eastAsia="仿宋_GB2312"/>
                <w:b/>
                <w:sz w:val="24"/>
              </w:rPr>
              <w:t>对反向功率的可能影响</w:t>
            </w:r>
          </w:p>
        </w:tc>
        <w:tc>
          <w:tcPr>
            <w:tcW w:type="dxa" w:w="1662"/>
            <w:vAlign w:val="center"/>
          </w:tcPr>
          <w:p>
            <w:pPr>
              <w:pStyle w:val="97"/>
              <w:jc w:val="center"/>
              <w:spacing w:before="0" w:after="0" w:line="360" w:lineRule="exact"/>
              <w:ind w:firstLine="0" w:firstLineChars="0"/>
            </w:pPr>
            <w:r>
              <w:rPr>
                <w:rFonts w:ascii="Times New Roman" w:hAnsi="Times New Roman" w:eastAsia="仿宋_GB2312"/>
                <w:b/>
                <w:sz w:val="24"/>
              </w:rPr>
              <w:t>说明</w:t>
            </w:r>
          </w:p>
        </w:tc>
      </w:tr>
      <w:tr>
        <w:trPr>
          <w:cantSplit/>
        </w:trPr>
        <w:tc>
          <w:tcPr>
            <w:tcW w:type="dxa" w:w="1662"/>
            <w:vAlign w:val="center"/>
          </w:tcPr>
          <w:p>
            <w:pPr>
              <w:pStyle w:val="97"/>
              <w:jc w:val="left"/>
              <w:spacing w:before="0" w:after="0" w:line="360" w:lineRule="exact"/>
              <w:ind w:firstLine="0" w:firstLineChars="0"/>
            </w:pPr>
            <w:r>
              <w:rPr>
                <w:rFonts w:ascii="Times New Roman" w:hAnsi="Times New Roman" w:eastAsia="仿宋_GB2312"/>
                <w:b w:val="0"/>
                <w:sz w:val="24"/>
              </w:rPr>
              <w:t>本地负荷增长</w:t>
            </w:r>
          </w:p>
        </w:tc>
        <w:tc>
          <w:tcPr>
            <w:tcW w:type="dxa" w:w="1662"/>
            <w:vAlign w:val="center"/>
          </w:tcPr>
          <w:p>
            <w:pPr>
              <w:pStyle w:val="97"/>
              <w:jc w:val="center"/>
              <w:spacing w:before="0" w:after="0" w:line="360" w:lineRule="exact"/>
              <w:ind w:firstLine="0" w:firstLineChars="0"/>
            </w:pPr>
            <w:r>
              <w:rPr>
                <w:rFonts w:ascii="Times New Roman" w:hAnsi="Times New Roman" w:eastAsia="仿宋_GB2312"/>
                <w:b w:val="0"/>
                <w:sz w:val="24"/>
              </w:rPr>
              <w:t>峰值通常增加</w:t>
            </w:r>
          </w:p>
        </w:tc>
        <w:tc>
          <w:tcPr>
            <w:tcW w:type="dxa" w:w="1662"/>
            <w:vAlign w:val="center"/>
          </w:tcPr>
          <w:p>
            <w:pPr>
              <w:pStyle w:val="97"/>
              <w:jc w:val="center"/>
              <w:spacing w:before="0" w:after="0" w:line="360" w:lineRule="exact"/>
              <w:ind w:firstLine="0" w:firstLineChars="0"/>
            </w:pPr>
            <w:r>
              <w:rPr>
                <w:rFonts w:ascii="Times New Roman" w:hAnsi="Times New Roman" w:eastAsia="仿宋_GB2312"/>
                <w:b w:val="0"/>
                <w:sz w:val="24"/>
              </w:rPr>
              <w:t>容量不变时下降</w:t>
            </w:r>
          </w:p>
        </w:tc>
        <w:tc>
          <w:tcPr>
            <w:tcW w:type="dxa" w:w="1662"/>
            <w:vAlign w:val="center"/>
          </w:tcPr>
          <w:p>
            <w:pPr>
              <w:pStyle w:val="97"/>
              <w:jc w:val="center"/>
              <w:spacing w:before="0" w:after="0" w:line="360" w:lineRule="exact"/>
              <w:ind w:firstLine="0" w:firstLineChars="0"/>
            </w:pPr>
            <w:r>
              <w:rPr>
                <w:rFonts w:ascii="Times New Roman" w:hAnsi="Times New Roman" w:eastAsia="仿宋_GB2312"/>
                <w:b w:val="0"/>
                <w:sz w:val="24"/>
              </w:rPr>
              <w:t>可能减小反送</w:t>
            </w:r>
          </w:p>
        </w:tc>
        <w:tc>
          <w:tcPr>
            <w:tcW w:type="dxa" w:w="1662"/>
            <w:vAlign w:val="center"/>
          </w:tcPr>
          <w:p>
            <w:pPr>
              <w:pStyle w:val="97"/>
              <w:jc w:val="center"/>
              <w:spacing w:before="0" w:after="0" w:line="360" w:lineRule="exact"/>
              <w:ind w:firstLine="0" w:firstLineChars="0"/>
            </w:pPr>
            <w:r>
              <w:rPr>
                <w:rFonts w:ascii="Times New Roman" w:hAnsi="Times New Roman" w:eastAsia="仿宋_GB2312"/>
                <w:b w:val="0"/>
                <w:sz w:val="24"/>
              </w:rPr>
              <w:t>仍取决于负荷时序和行业结构</w:t>
            </w:r>
          </w:p>
        </w:tc>
      </w:tr>
      <w:tr>
        <w:trPr>
          <w:cantSplit/>
        </w:trPr>
        <w:tc>
          <w:tcPr>
            <w:tcW w:type="dxa" w:w="1662"/>
            <w:vAlign w:val="center"/>
          </w:tcPr>
          <w:p>
            <w:pPr>
              <w:pStyle w:val="97"/>
              <w:jc w:val="left"/>
              <w:spacing w:before="0" w:after="0" w:line="360" w:lineRule="exact"/>
              <w:ind w:firstLine="0" w:firstLineChars="0"/>
            </w:pPr>
            <w:r>
              <w:rPr>
                <w:rFonts w:ascii="Times New Roman" w:hAnsi="Times New Roman" w:eastAsia="仿宋_GB2312"/>
                <w:b w:val="0"/>
                <w:sz w:val="24"/>
              </w:rPr>
              <w:t>光伏装机增长</w:t>
            </w:r>
          </w:p>
        </w:tc>
        <w:tc>
          <w:tcPr>
            <w:tcW w:type="dxa" w:w="1662"/>
            <w:vAlign w:val="center"/>
          </w:tcPr>
          <w:p>
            <w:pPr>
              <w:pStyle w:val="97"/>
              <w:jc w:val="center"/>
              <w:spacing w:before="0" w:after="0" w:line="360" w:lineRule="exact"/>
              <w:ind w:firstLine="0" w:firstLineChars="0"/>
            </w:pPr>
            <w:r>
              <w:rPr>
                <w:rFonts w:ascii="Times New Roman" w:hAnsi="Times New Roman" w:eastAsia="仿宋_GB2312"/>
                <w:b w:val="0"/>
                <w:sz w:val="24"/>
              </w:rPr>
              <w:t>光伏同期出力可能压低峰值</w:t>
            </w:r>
          </w:p>
        </w:tc>
        <w:tc>
          <w:tcPr>
            <w:tcW w:type="dxa" w:w="1662"/>
            <w:vAlign w:val="center"/>
          </w:tcPr>
          <w:p>
            <w:pPr>
              <w:pStyle w:val="97"/>
              <w:jc w:val="center"/>
              <w:spacing w:before="0" w:after="0" w:line="360" w:lineRule="exact"/>
              <w:ind w:firstLine="0" w:firstLineChars="0"/>
            </w:pPr>
            <w:r>
              <w:rPr>
                <w:rFonts w:ascii="Times New Roman" w:hAnsi="Times New Roman" w:eastAsia="仿宋_GB2312"/>
                <w:b w:val="0"/>
                <w:sz w:val="24"/>
              </w:rPr>
              <w:t>分母变化方向取决于峰值时刻</w:t>
            </w:r>
          </w:p>
        </w:tc>
        <w:tc>
          <w:tcPr>
            <w:tcW w:type="dxa" w:w="1662"/>
            <w:vAlign w:val="center"/>
          </w:tcPr>
          <w:p>
            <w:pPr>
              <w:pStyle w:val="97"/>
              <w:jc w:val="center"/>
              <w:spacing w:before="0" w:after="0" w:line="360" w:lineRule="exact"/>
              <w:ind w:firstLine="0" w:firstLineChars="0"/>
            </w:pPr>
            <w:r>
              <w:rPr>
                <w:rFonts w:ascii="Times New Roman" w:hAnsi="Times New Roman" w:eastAsia="仿宋_GB2312"/>
                <w:b w:val="0"/>
                <w:sz w:val="24"/>
              </w:rPr>
              <w:t>低负荷高出力时通常增大</w:t>
            </w:r>
          </w:p>
        </w:tc>
        <w:tc>
          <w:tcPr>
            <w:tcW w:type="dxa" w:w="1662"/>
            <w:vAlign w:val="center"/>
          </w:tcPr>
          <w:p>
            <w:pPr>
              <w:pStyle w:val="97"/>
              <w:jc w:val="center"/>
              <w:spacing w:before="0" w:after="0" w:line="360" w:lineRule="exact"/>
              <w:ind w:firstLine="0" w:firstLineChars="0"/>
            </w:pPr>
            <w:r>
              <w:rPr>
                <w:rFonts w:ascii="Times New Roman" w:hAnsi="Times New Roman" w:eastAsia="仿宋_GB2312"/>
                <w:b w:val="0"/>
                <w:sz w:val="24"/>
              </w:rPr>
              <w:t>不能只用装机容量推断潮流</w:t>
            </w:r>
          </w:p>
        </w:tc>
      </w:tr>
      <w:tr>
        <w:trPr>
          <w:cantSplit/>
        </w:trPr>
        <w:tc>
          <w:tcPr>
            <w:tcW w:type="dxa" w:w="1662"/>
            <w:vAlign w:val="center"/>
          </w:tcPr>
          <w:p>
            <w:pPr>
              <w:pStyle w:val="97"/>
              <w:jc w:val="left"/>
              <w:spacing w:before="0" w:after="0" w:line="360" w:lineRule="exact"/>
              <w:ind w:firstLine="0" w:firstLineChars="0"/>
            </w:pPr>
            <w:r>
              <w:rPr>
                <w:rFonts w:ascii="Times New Roman" w:hAnsi="Times New Roman" w:eastAsia="仿宋_GB2312"/>
                <w:b w:val="0"/>
                <w:sz w:val="24"/>
              </w:rPr>
              <w:t>主变扩建</w:t>
            </w:r>
          </w:p>
        </w:tc>
        <w:tc>
          <w:tcPr>
            <w:tcW w:type="dxa" w:w="1662"/>
            <w:vAlign w:val="center"/>
          </w:tcPr>
          <w:p>
            <w:pPr>
              <w:pStyle w:val="97"/>
              <w:jc w:val="center"/>
              <w:spacing w:before="0" w:after="0" w:line="360" w:lineRule="exact"/>
              <w:ind w:firstLine="0" w:firstLineChars="0"/>
            </w:pPr>
            <w:r>
              <w:rPr>
                <w:rFonts w:ascii="Times New Roman" w:hAnsi="Times New Roman" w:eastAsia="仿宋_GB2312"/>
                <w:b w:val="0"/>
                <w:sz w:val="24"/>
              </w:rPr>
              <w:t>不直接改变原始负荷</w:t>
            </w:r>
          </w:p>
        </w:tc>
        <w:tc>
          <w:tcPr>
            <w:tcW w:type="dxa" w:w="1662"/>
            <w:vAlign w:val="center"/>
          </w:tcPr>
          <w:p>
            <w:pPr>
              <w:pStyle w:val="97"/>
              <w:jc w:val="center"/>
              <w:spacing w:before="0" w:after="0" w:line="360" w:lineRule="exact"/>
              <w:ind w:firstLine="0" w:firstLineChars="0"/>
            </w:pPr>
            <w:r>
              <w:rPr>
                <w:rFonts w:ascii="Times New Roman" w:hAnsi="Times New Roman" w:eastAsia="仿宋_GB2312"/>
                <w:b w:val="0"/>
                <w:sz w:val="24"/>
              </w:rPr>
              <w:t>分子增加，容载比上升</w:t>
            </w:r>
          </w:p>
        </w:tc>
        <w:tc>
          <w:tcPr>
            <w:tcW w:type="dxa" w:w="1662"/>
            <w:vAlign w:val="center"/>
          </w:tcPr>
          <w:p>
            <w:pPr>
              <w:pStyle w:val="97"/>
              <w:jc w:val="center"/>
              <w:spacing w:before="0" w:after="0" w:line="360" w:lineRule="exact"/>
              <w:ind w:firstLine="0" w:firstLineChars="0"/>
            </w:pPr>
            <w:r>
              <w:rPr>
                <w:rFonts w:ascii="Times New Roman" w:hAnsi="Times New Roman" w:eastAsia="仿宋_GB2312"/>
                <w:b w:val="0"/>
                <w:sz w:val="24"/>
              </w:rPr>
              <w:t>设备承载能力可能提高</w:t>
            </w:r>
          </w:p>
        </w:tc>
        <w:tc>
          <w:tcPr>
            <w:tcW w:type="dxa" w:w="1662"/>
            <w:vAlign w:val="center"/>
          </w:tcPr>
          <w:p>
            <w:pPr>
              <w:pStyle w:val="97"/>
              <w:jc w:val="center"/>
              <w:spacing w:before="0" w:after="0" w:line="360" w:lineRule="exact"/>
              <w:ind w:firstLine="0" w:firstLineChars="0"/>
            </w:pPr>
            <w:r>
              <w:rPr>
                <w:rFonts w:ascii="Times New Roman" w:hAnsi="Times New Roman" w:eastAsia="仿宋_GB2312"/>
                <w:b w:val="0"/>
                <w:sz w:val="24"/>
              </w:rPr>
              <w:t>需使用离散候选并核对运行方式</w:t>
            </w:r>
          </w:p>
        </w:tc>
      </w:tr>
      <w:tr>
        <w:trPr>
          <w:cantSplit/>
        </w:trPr>
        <w:tc>
          <w:tcPr>
            <w:tcW w:type="dxa" w:w="1662"/>
            <w:vAlign w:val="center"/>
          </w:tcPr>
          <w:p>
            <w:pPr>
              <w:pStyle w:val="97"/>
              <w:jc w:val="left"/>
              <w:spacing w:before="0" w:after="0" w:line="360" w:lineRule="exact"/>
              <w:ind w:firstLine="0" w:firstLineChars="0"/>
            </w:pPr>
            <w:r>
              <w:rPr>
                <w:rFonts w:ascii="Times New Roman" w:hAnsi="Times New Roman" w:eastAsia="仿宋_GB2312"/>
                <w:b w:val="0"/>
                <w:sz w:val="24"/>
              </w:rPr>
              <w:t>主变减容</w:t>
            </w:r>
          </w:p>
        </w:tc>
        <w:tc>
          <w:tcPr>
            <w:tcW w:type="dxa" w:w="1662"/>
            <w:vAlign w:val="center"/>
          </w:tcPr>
          <w:p>
            <w:pPr>
              <w:pStyle w:val="97"/>
              <w:jc w:val="center"/>
              <w:spacing w:before="0" w:after="0" w:line="360" w:lineRule="exact"/>
              <w:ind w:firstLine="0" w:firstLineChars="0"/>
            </w:pPr>
            <w:r>
              <w:rPr>
                <w:rFonts w:ascii="Times New Roman" w:hAnsi="Times New Roman" w:eastAsia="仿宋_GB2312"/>
                <w:b w:val="0"/>
                <w:sz w:val="24"/>
              </w:rPr>
              <w:t>不直接改变原始负荷</w:t>
            </w:r>
          </w:p>
        </w:tc>
        <w:tc>
          <w:tcPr>
            <w:tcW w:type="dxa" w:w="1662"/>
            <w:vAlign w:val="center"/>
          </w:tcPr>
          <w:p>
            <w:pPr>
              <w:pStyle w:val="97"/>
              <w:jc w:val="center"/>
              <w:spacing w:before="0" w:after="0" w:line="360" w:lineRule="exact"/>
              <w:ind w:firstLine="0" w:firstLineChars="0"/>
            </w:pPr>
            <w:r>
              <w:rPr>
                <w:rFonts w:ascii="Times New Roman" w:hAnsi="Times New Roman" w:eastAsia="仿宋_GB2312"/>
                <w:b w:val="0"/>
                <w:sz w:val="24"/>
              </w:rPr>
              <w:t>分子减少，容载比下降</w:t>
            </w:r>
          </w:p>
        </w:tc>
        <w:tc>
          <w:tcPr>
            <w:tcW w:type="dxa" w:w="1662"/>
            <w:vAlign w:val="center"/>
          </w:tcPr>
          <w:p>
            <w:pPr>
              <w:pStyle w:val="97"/>
              <w:jc w:val="center"/>
              <w:spacing w:before="0" w:after="0" w:line="360" w:lineRule="exact"/>
              <w:ind w:firstLine="0" w:firstLineChars="0"/>
            </w:pPr>
            <w:r>
              <w:rPr>
                <w:rFonts w:ascii="Times New Roman" w:hAnsi="Times New Roman" w:eastAsia="仿宋_GB2312"/>
                <w:b w:val="0"/>
                <w:sz w:val="24"/>
              </w:rPr>
              <w:t>反向裕度可能减小</w:t>
            </w:r>
          </w:p>
        </w:tc>
        <w:tc>
          <w:tcPr>
            <w:tcW w:type="dxa" w:w="1662"/>
            <w:vAlign w:val="center"/>
          </w:tcPr>
          <w:p>
            <w:pPr>
              <w:pStyle w:val="97"/>
              <w:jc w:val="center"/>
              <w:spacing w:before="0" w:after="0" w:line="360" w:lineRule="exact"/>
              <w:ind w:firstLine="0" w:firstLineChars="0"/>
            </w:pPr>
            <w:r>
              <w:rPr>
                <w:rFonts w:ascii="Times New Roman" w:hAnsi="Times New Roman" w:eastAsia="仿宋_GB2312"/>
                <w:b w:val="0"/>
                <w:sz w:val="24"/>
              </w:rPr>
              <w:t>减容后须重新通过正反向校核</w:t>
            </w:r>
          </w:p>
        </w:tc>
      </w:tr>
      <w:tr>
        <w:trPr>
          <w:cantSplit/>
        </w:trPr>
        <w:tc>
          <w:tcPr>
            <w:tcW w:type="dxa" w:w="1662"/>
            <w:vAlign w:val="center"/>
          </w:tcPr>
          <w:p>
            <w:pPr>
              <w:pStyle w:val="97"/>
              <w:jc w:val="left"/>
              <w:spacing w:before="0" w:after="0" w:line="360" w:lineRule="exact"/>
              <w:ind w:firstLine="0" w:firstLineChars="0"/>
            </w:pPr>
            <w:r>
              <w:rPr>
                <w:rFonts w:ascii="Times New Roman" w:hAnsi="Times New Roman" w:eastAsia="仿宋_GB2312"/>
                <w:b w:val="0"/>
                <w:sz w:val="24"/>
              </w:rPr>
              <w:t>储能受约束充电</w:t>
            </w:r>
          </w:p>
        </w:tc>
        <w:tc>
          <w:tcPr>
            <w:tcW w:type="dxa" w:w="1662"/>
            <w:vAlign w:val="center"/>
          </w:tcPr>
          <w:p>
            <w:pPr>
              <w:pStyle w:val="97"/>
              <w:jc w:val="center"/>
              <w:spacing w:before="0" w:after="0" w:line="360" w:lineRule="exact"/>
              <w:ind w:firstLine="0" w:firstLineChars="0"/>
            </w:pPr>
            <w:r>
              <w:rPr>
                <w:rFonts w:ascii="Times New Roman" w:hAnsi="Times New Roman" w:eastAsia="仿宋_GB2312"/>
                <w:b w:val="0"/>
                <w:sz w:val="24"/>
              </w:rPr>
              <w:t>不得制造新的正向峰值</w:t>
            </w:r>
          </w:p>
        </w:tc>
        <w:tc>
          <w:tcPr>
            <w:tcW w:type="dxa" w:w="1662"/>
            <w:vAlign w:val="center"/>
          </w:tcPr>
          <w:p>
            <w:pPr>
              <w:pStyle w:val="97"/>
              <w:jc w:val="center"/>
              <w:spacing w:before="0" w:after="0" w:line="360" w:lineRule="exact"/>
              <w:ind w:firstLine="0" w:firstLineChars="0"/>
            </w:pPr>
            <w:r>
              <w:rPr>
                <w:rFonts w:ascii="Times New Roman" w:hAnsi="Times New Roman" w:eastAsia="仿宋_GB2312"/>
                <w:b w:val="0"/>
                <w:sz w:val="24"/>
              </w:rPr>
              <w:t>通过方案干预后时序重新计算</w:t>
            </w:r>
          </w:p>
        </w:tc>
        <w:tc>
          <w:tcPr>
            <w:tcW w:type="dxa" w:w="1662"/>
            <w:vAlign w:val="center"/>
          </w:tcPr>
          <w:p>
            <w:pPr>
              <w:pStyle w:val="97"/>
              <w:jc w:val="center"/>
              <w:spacing w:before="0" w:after="0" w:line="360" w:lineRule="exact"/>
              <w:ind w:firstLine="0" w:firstLineChars="0"/>
            </w:pPr>
            <w:r>
              <w:rPr>
                <w:rFonts w:ascii="Times New Roman" w:hAnsi="Times New Roman" w:eastAsia="仿宋_GB2312"/>
                <w:b w:val="0"/>
                <w:sz w:val="24"/>
              </w:rPr>
              <w:t>可吸收本时段已有反向功率</w:t>
            </w:r>
          </w:p>
        </w:tc>
        <w:tc>
          <w:tcPr>
            <w:tcW w:type="dxa" w:w="1662"/>
            <w:vAlign w:val="center"/>
          </w:tcPr>
          <w:p>
            <w:pPr>
              <w:pStyle w:val="97"/>
              <w:jc w:val="center"/>
              <w:spacing w:before="0" w:after="0" w:line="360" w:lineRule="exact"/>
              <w:ind w:firstLine="0" w:firstLineChars="0"/>
            </w:pPr>
            <w:r>
              <w:rPr>
                <w:rFonts w:ascii="Times New Roman" w:hAnsi="Times New Roman" w:eastAsia="仿宋_GB2312"/>
                <w:b w:val="0"/>
                <w:sz w:val="24"/>
              </w:rPr>
              <w:t>充电不得跨越零点</w:t>
            </w:r>
          </w:p>
        </w:tc>
      </w:tr>
      <w:tr>
        <w:trPr>
          <w:cantSplit/>
        </w:trPr>
        <w:tc>
          <w:tcPr>
            <w:tcW w:type="dxa" w:w="1662"/>
            <w:vAlign w:val="center"/>
          </w:tcPr>
          <w:p>
            <w:pPr>
              <w:pStyle w:val="97"/>
              <w:jc w:val="left"/>
              <w:spacing w:before="0" w:after="0" w:line="360" w:lineRule="exact"/>
              <w:ind w:firstLine="0" w:firstLineChars="0"/>
            </w:pPr>
            <w:r>
              <w:rPr>
                <w:rFonts w:ascii="Times New Roman" w:hAnsi="Times New Roman" w:eastAsia="仿宋_GB2312"/>
                <w:b w:val="0"/>
                <w:sz w:val="24"/>
              </w:rPr>
              <w:t>储能受约束放电</w:t>
            </w:r>
          </w:p>
        </w:tc>
        <w:tc>
          <w:tcPr>
            <w:tcW w:type="dxa" w:w="1662"/>
            <w:vAlign w:val="center"/>
          </w:tcPr>
          <w:p>
            <w:pPr>
              <w:pStyle w:val="97"/>
              <w:jc w:val="center"/>
              <w:spacing w:before="0" w:after="0" w:line="360" w:lineRule="exact"/>
              <w:ind w:firstLine="0" w:firstLineChars="0"/>
            </w:pPr>
            <w:r>
              <w:rPr>
                <w:rFonts w:ascii="Times New Roman" w:hAnsi="Times New Roman" w:eastAsia="仿宋_GB2312"/>
                <w:b w:val="0"/>
                <w:sz w:val="24"/>
              </w:rPr>
              <w:t>可降低本地正向负荷</w:t>
            </w:r>
          </w:p>
        </w:tc>
        <w:tc>
          <w:tcPr>
            <w:tcW w:type="dxa" w:w="1662"/>
            <w:vAlign w:val="center"/>
          </w:tcPr>
          <w:p>
            <w:pPr>
              <w:pStyle w:val="97"/>
              <w:jc w:val="center"/>
              <w:spacing w:before="0" w:after="0" w:line="360" w:lineRule="exact"/>
              <w:ind w:firstLine="0" w:firstLineChars="0"/>
            </w:pPr>
            <w:r>
              <w:rPr>
                <w:rFonts w:ascii="Times New Roman" w:hAnsi="Times New Roman" w:eastAsia="仿宋_GB2312"/>
                <w:b w:val="0"/>
                <w:sz w:val="24"/>
              </w:rPr>
              <w:t>通过方案干预后时序重新计算</w:t>
            </w:r>
          </w:p>
        </w:tc>
        <w:tc>
          <w:tcPr>
            <w:tcW w:type="dxa" w:w="1662"/>
            <w:vAlign w:val="center"/>
          </w:tcPr>
          <w:p>
            <w:pPr>
              <w:pStyle w:val="97"/>
              <w:jc w:val="center"/>
              <w:spacing w:before="0" w:after="0" w:line="360" w:lineRule="exact"/>
              <w:ind w:firstLine="0" w:firstLineChars="0"/>
            </w:pPr>
            <w:r>
              <w:rPr>
                <w:rFonts w:ascii="Times New Roman" w:hAnsi="Times New Roman" w:eastAsia="仿宋_GB2312"/>
                <w:b w:val="0"/>
                <w:sz w:val="24"/>
              </w:rPr>
              <w:t>不得形成反送</w:t>
            </w:r>
          </w:p>
        </w:tc>
        <w:tc>
          <w:tcPr>
            <w:tcW w:type="dxa" w:w="1662"/>
            <w:vAlign w:val="center"/>
          </w:tcPr>
          <w:p>
            <w:pPr>
              <w:pStyle w:val="97"/>
              <w:jc w:val="center"/>
              <w:spacing w:before="0" w:after="0" w:line="360" w:lineRule="exact"/>
              <w:ind w:firstLine="0" w:firstLineChars="0"/>
            </w:pPr>
            <w:r>
              <w:rPr>
                <w:rFonts w:ascii="Times New Roman" w:hAnsi="Times New Roman" w:eastAsia="仿宋_GB2312"/>
                <w:b w:val="0"/>
                <w:sz w:val="24"/>
              </w:rPr>
              <w:t>不考虑无约束套利</w:t>
            </w:r>
          </w:p>
        </w:tc>
      </w:tr>
      <w:tr>
        <w:trPr>
          <w:cantSplit/>
        </w:trPr>
        <w:tc>
          <w:tcPr>
            <w:tcW w:type="dxa" w:w="1662"/>
            <w:vAlign w:val="center"/>
          </w:tcPr>
          <w:p>
            <w:pPr>
              <w:pStyle w:val="97"/>
              <w:jc w:val="left"/>
              <w:spacing w:before="0" w:after="0" w:line="360" w:lineRule="exact"/>
              <w:ind w:firstLine="0" w:firstLineChars="0"/>
            </w:pPr>
            <w:r>
              <w:rPr>
                <w:rFonts w:ascii="Times New Roman" w:hAnsi="Times New Roman" w:eastAsia="仿宋_GB2312"/>
                <w:b w:val="0"/>
                <w:sz w:val="24"/>
              </w:rPr>
              <w:t>局部转供</w:t>
            </w:r>
          </w:p>
        </w:tc>
        <w:tc>
          <w:tcPr>
            <w:tcW w:type="dxa" w:w="1662"/>
            <w:vAlign w:val="center"/>
          </w:tcPr>
          <w:p>
            <w:pPr>
              <w:pStyle w:val="97"/>
              <w:jc w:val="center"/>
              <w:spacing w:before="0" w:after="0" w:line="360" w:lineRule="exact"/>
              <w:ind w:firstLine="0" w:firstLineChars="0"/>
            </w:pPr>
            <w:r>
              <w:rPr>
                <w:rFonts w:ascii="Times New Roman" w:hAnsi="Times New Roman" w:eastAsia="仿宋_GB2312"/>
                <w:b w:val="0"/>
                <w:sz w:val="24"/>
              </w:rPr>
              <w:t>改变站间负荷分布</w:t>
            </w:r>
          </w:p>
        </w:tc>
        <w:tc>
          <w:tcPr>
            <w:tcW w:type="dxa" w:w="1662"/>
            <w:vAlign w:val="center"/>
          </w:tcPr>
          <w:p>
            <w:pPr>
              <w:pStyle w:val="97"/>
              <w:jc w:val="center"/>
              <w:spacing w:before="0" w:after="0" w:line="360" w:lineRule="exact"/>
              <w:ind w:firstLine="0" w:firstLineChars="0"/>
            </w:pPr>
            <w:r>
              <w:rPr>
                <w:rFonts w:ascii="Times New Roman" w:hAnsi="Times New Roman" w:eastAsia="仿宋_GB2312"/>
                <w:b w:val="0"/>
                <w:sz w:val="24"/>
              </w:rPr>
              <w:t>片区总功率不变时总量影响有限</w:t>
            </w:r>
          </w:p>
        </w:tc>
        <w:tc>
          <w:tcPr>
            <w:tcW w:type="dxa" w:w="1662"/>
            <w:vAlign w:val="center"/>
          </w:tcPr>
          <w:p>
            <w:pPr>
              <w:pStyle w:val="97"/>
              <w:jc w:val="center"/>
              <w:spacing w:before="0" w:after="0" w:line="360" w:lineRule="exact"/>
              <w:ind w:firstLine="0" w:firstLineChars="0"/>
            </w:pPr>
            <w:r>
              <w:rPr>
                <w:rFonts w:ascii="Times New Roman" w:hAnsi="Times New Roman" w:eastAsia="仿宋_GB2312"/>
                <w:b w:val="0"/>
                <w:sz w:val="24"/>
              </w:rPr>
              <w:t>可改变设备级反向分布</w:t>
            </w:r>
          </w:p>
        </w:tc>
        <w:tc>
          <w:tcPr>
            <w:tcW w:type="dxa" w:w="1662"/>
            <w:vAlign w:val="center"/>
          </w:tcPr>
          <w:p>
            <w:pPr>
              <w:pStyle w:val="97"/>
              <w:jc w:val="center"/>
              <w:spacing w:before="0" w:after="0" w:line="360" w:lineRule="exact"/>
              <w:ind w:firstLine="0" w:firstLineChars="0"/>
            </w:pPr>
            <w:r>
              <w:rPr>
                <w:rFonts w:ascii="Times New Roman" w:hAnsi="Times New Roman" w:eastAsia="仿宋_GB2312"/>
                <w:b w:val="0"/>
                <w:sz w:val="24"/>
              </w:rPr>
              <w:t>需要完整映射和同步转移量</w:t>
            </w:r>
          </w:p>
        </w:tc>
      </w:tr>
    </w:tbl>
    <w:p>
      <w:pPr>
        <w:spacing w:before="0" w:after="0" w:line="560" w:lineRule="exact"/>
        <w:jc w:val="both"/>
        <w:ind w:firstLineChars="200" w:firstLine="200"/>
      </w:pPr>
      <w:r>
        <w:rPr>
          <w:rFonts w:ascii="Times New Roman" w:hAnsi="Times New Roman" w:eastAsia="仿宋_GB2312"/>
          <w:b w:val="0"/>
          <w:sz w:val="28"/>
        </w:rPr>
        <w:t>图 3-5 表示四类指标的关系。源荷比和电量渗透率通过逐时净负荷间接作用于正向峰值和反向功率，正式容载比与反向承载力则分别面向正向容量配置和设备级反向约束。正向容量缺口、反向承载缺口由此形成两类独立的措施触发原因。</w:t>
      </w:r>
    </w:p>
    <w:p>
      <w:pPr>
        <w:pStyle w:val="38"/>
        <w:jc w:val="center"/>
        <w:ind w:firstLine="0" w:firstLineChars="0"/>
      </w:pPr>
      <w:r>
        <w:drawing>
          <wp:inline xmlns:a="http://schemas.openxmlformats.org/drawingml/2006/main" xmlns:pic="http://schemas.openxmlformats.org/drawingml/2006/picture">
            <wp:extent cx="4968000" cy="2837639"/>
            <wp:docPr id="6" name="Picture 6"/>
            <wp:cNvGraphicFramePr>
              <a:graphicFrameLocks noChangeAspect="1"/>
            </wp:cNvGraphicFramePr>
            <a:graphic>
              <a:graphicData uri="http://schemas.openxmlformats.org/drawingml/2006/picture">
                <pic:pic>
                  <pic:nvPicPr>
                    <pic:cNvPr id="0" name="图3-5_指标作用机制示意图.png"/>
                    <pic:cNvPicPr/>
                  </pic:nvPicPr>
                  <pic:blipFill>
                    <a:blip r:embed="rId18"/>
                    <a:stretch>
                      <a:fillRect/>
                    </a:stretch>
                  </pic:blipFill>
                  <pic:spPr>
                    <a:xfrm>
                      <a:off x="0" y="0"/>
                      <a:ext cx="4968000" cy="2837639"/>
                    </a:xfrm>
                    <a:prstGeom prst="rect"/>
                  </pic:spPr>
                </pic:pic>
              </a:graphicData>
            </a:graphic>
          </wp:inline>
        </w:drawing>
      </w:r>
    </w:p>
    <w:p>
      <w:pPr>
        <w:pStyle w:val="12"/>
        <w:keepNext w:val="0"/>
        <w:spacing w:before="0" w:after="120" w:line="400" w:lineRule="exact"/>
        <w:jc w:val="center"/>
        <w:ind w:firstLine="0" w:firstLineChars="0"/>
      </w:pPr>
      <w:r>
        <w:rPr>
          <w:rFonts w:ascii="Times New Roman" w:hAnsi="Times New Roman" w:eastAsia="仿宋_GB2312"/>
          <w:b w:val="0"/>
          <w:sz w:val="24"/>
        </w:rPr>
        <w:t>图 3-5 源荷指标、正式容载比与反向承载力关系</w:t>
      </w:r>
    </w:p>
    <w:p>
      <w:pPr>
        <w:spacing w:before="0" w:after="0" w:line="560" w:lineRule="exact"/>
        <w:jc w:val="both"/>
        <w:ind w:firstLineChars="200" w:firstLine="200"/>
      </w:pPr>
      <w:r>
        <w:rPr>
          <w:rFonts w:ascii="Times New Roman" w:hAnsi="Times New Roman" w:eastAsia="仿宋_GB2312"/>
          <w:b w:val="0"/>
          <w:sz w:val="28"/>
        </w:rPr>
        <w:t>典型片区数据能够说明上述机理。2025 年 QX-00005 的正式容载比为 2.24，全年仍出现 397.23 MW 的同步反向峰值；这意味着一个片区可以在保持较大正向容量配置的同时，存在明显反向送电。另一方面，2021—2025 年该片区 110 kV 同步正向峰值增长约 30.7%，容载比由 2.77 降至 2.24，表明负荷增长形成的正向容量需求仍然存在。高渗透率运行并没有消除传统负荷高峰，两类压力叠加后，单一容载比数值更难完整反映设备状态。</w:t>
      </w:r>
    </w:p>
    <w:p>
      <w:pPr>
        <w:spacing w:before="0" w:after="0" w:line="560" w:lineRule="exact"/>
        <w:jc w:val="both"/>
        <w:ind w:firstLineChars="200" w:firstLine="200"/>
      </w:pPr>
      <w:r>
        <w:rPr>
          <w:rFonts w:ascii="Times New Roman" w:hAnsi="Times New Roman" w:eastAsia="仿宋_GB2312"/>
          <w:b w:val="0"/>
          <w:sz w:val="28"/>
        </w:rPr>
        <w:t>现有光伏资料与历史负荷并非同年度闭合数据。本章据此只判断装机空间分布、净负荷方向和年度容量配置之间的机制关系，不计算源荷比与容载比的伪精确相关系数，也不把描述性关系写成因果结论。待同年度新能源装机、发电量、用电量和逐时负荷形成闭合数据后，可进一步开展分片区回归或分组比较；在当前证据条件下，年度基准数据和 2025 年正式逐时曲线已经能够支撑后续模型的正向峰值、反向峰值和时长输入。</w:t>
      </w:r>
    </w:p>
    <w:p>
      <w:pPr>
        <w:pStyle w:val="3"/>
        <w:pageBreakBefore w:val="0"/>
        <w:jc w:val="left"/>
      </w:pPr>
      <w:bookmarkStart w:id="13" w:name="_TocReport0013"/>
      <w:r>
        <w:rPr>
          <w:rFonts w:ascii="Times New Roman" w:hAnsi="Times New Roman" w:eastAsia="仿宋_GB2312"/>
          <w:b/>
          <w:sz w:val="28"/>
        </w:rPr>
        <w:t>3.4 “新能源渗透水平—电网运行状态”数据库的构建</w:t>
      </w:r>
      <w:bookmarkEnd w:id="13"/>
    </w:p>
    <w:p>
      <w:pPr>
        <w:spacing w:before="0" w:after="0" w:line="560" w:lineRule="exact"/>
        <w:jc w:val="both"/>
        <w:ind w:firstLineChars="200" w:firstLine="200"/>
      </w:pPr>
      <w:r>
        <w:rPr>
          <w:rFonts w:ascii="Times New Roman" w:hAnsi="Times New Roman" w:eastAsia="仿宋_GB2312"/>
          <w:b w:val="0"/>
          <w:sz w:val="28"/>
        </w:rPr>
        <w:t>数据库围绕年度总量、设备范围、逐时方向和模型输入建立统一的对象关系。片区、站点、主变和线路均设置唯一标识，110 kV 与 35 kV 分开保存；同一设备在年度在役设备清单、逐时记录、候选措施和质量台账中使用一致的关联键。正文只保留片区级和典型对象的必要代码，设备明细、质量记录和文件校验信息列入技术底稿。</w:t>
      </w:r>
    </w:p>
    <w:p>
      <w:pPr>
        <w:spacing w:before="0" w:after="0" w:line="560" w:lineRule="exact"/>
        <w:jc w:val="both"/>
        <w:ind w:firstLineChars="200" w:firstLine="200"/>
      </w:pPr>
      <w:r>
        <w:rPr>
          <w:rFonts w:ascii="Times New Roman" w:hAnsi="Times New Roman" w:eastAsia="仿宋_GB2312"/>
          <w:b w:val="0"/>
          <w:sz w:val="28"/>
        </w:rPr>
        <w:t>数据库按基础实体、年度状态、时序运行、场景指标和证据追溯五层组织。实体层解决“对象是谁、属于哪个片区和电压等级”；年度状态层解决“当年实际容量和同步峰值是多少”；时序层记录“何时正向、何时反向以及数据是否可用”；场景指标层把逐时数据转换为正向峰值、反向峰值、缺口和候选输入；证据追溯层保存来源、版本、转换规则、场景、质量标记和输入校验值。主要主题表见表 3-10。</w:t>
      </w:r>
    </w:p>
    <w:p>
      <w:pPr>
        <w:pStyle w:val="12"/>
        <w:keepNext/>
        <w:spacing w:before="120" w:after="60" w:line="400" w:lineRule="exact"/>
        <w:jc w:val="center"/>
        <w:ind w:firstLine="0" w:firstLineChars="0"/>
      </w:pPr>
      <w:r>
        <w:rPr>
          <w:rFonts w:ascii="Times New Roman" w:hAnsi="Times New Roman" w:eastAsia="仿宋_GB2312"/>
          <w:b w:val="0"/>
          <w:sz w:val="24"/>
        </w:rPr>
        <w:t>表 3-10 数据库主题表、数据粒度和主要用途</w:t>
      </w:r>
    </w:p>
    <w:tbl>
      <w:tblPr>
        <w:tblW w:type="auto" w:w="0"/>
        <w:tblLayout w:type="autofi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662"/>
        <w:gridCol w:w="1662"/>
        <w:gridCol w:w="1662"/>
        <w:gridCol w:w="1662"/>
        <w:gridCol w:w="1662"/>
      </w:tblGrid>
      <w:tr>
        <w:trPr>
          <w:cantSplit/>
          <w:tblHeader w:val="true"/>
        </w:trPr>
        <w:tc>
          <w:tcPr>
            <w:tcW w:type="dxa" w:w="1662"/>
            <w:vAlign w:val="center"/>
          </w:tcPr>
          <w:p>
            <w:pPr>
              <w:pStyle w:val="97"/>
              <w:jc w:val="center"/>
              <w:spacing w:before="0" w:after="0" w:line="360" w:lineRule="exact"/>
              <w:ind w:firstLine="0" w:firstLineChars="0"/>
            </w:pPr>
            <w:r>
              <w:rPr>
                <w:rFonts w:ascii="Times New Roman" w:hAnsi="Times New Roman" w:eastAsia="仿宋_GB2312"/>
                <w:b/>
                <w:sz w:val="24"/>
              </w:rPr>
              <w:t>数据层</w:t>
            </w:r>
          </w:p>
        </w:tc>
        <w:tc>
          <w:tcPr>
            <w:tcW w:type="dxa" w:w="1662"/>
            <w:vAlign w:val="center"/>
          </w:tcPr>
          <w:p>
            <w:pPr>
              <w:pStyle w:val="97"/>
              <w:jc w:val="center"/>
              <w:spacing w:before="0" w:after="0" w:line="360" w:lineRule="exact"/>
              <w:ind w:firstLine="0" w:firstLineChars="0"/>
            </w:pPr>
            <w:r>
              <w:rPr>
                <w:rFonts w:ascii="Times New Roman" w:hAnsi="Times New Roman" w:eastAsia="仿宋_GB2312"/>
                <w:b/>
                <w:sz w:val="24"/>
              </w:rPr>
              <w:t>主要主题表</w:t>
            </w:r>
          </w:p>
        </w:tc>
        <w:tc>
          <w:tcPr>
            <w:tcW w:type="dxa" w:w="1662"/>
            <w:vAlign w:val="center"/>
          </w:tcPr>
          <w:p>
            <w:pPr>
              <w:pStyle w:val="97"/>
              <w:jc w:val="center"/>
              <w:spacing w:before="0" w:after="0" w:line="360" w:lineRule="exact"/>
              <w:ind w:firstLine="0" w:firstLineChars="0"/>
            </w:pPr>
            <w:r>
              <w:rPr>
                <w:rFonts w:ascii="Times New Roman" w:hAnsi="Times New Roman" w:eastAsia="仿宋_GB2312"/>
                <w:b/>
                <w:sz w:val="24"/>
              </w:rPr>
              <w:t>数据粒度</w:t>
            </w:r>
          </w:p>
        </w:tc>
        <w:tc>
          <w:tcPr>
            <w:tcW w:type="dxa" w:w="1662"/>
            <w:vAlign w:val="center"/>
          </w:tcPr>
          <w:p>
            <w:pPr>
              <w:pStyle w:val="97"/>
              <w:jc w:val="center"/>
              <w:spacing w:before="0" w:after="0" w:line="360" w:lineRule="exact"/>
              <w:ind w:firstLine="0" w:firstLineChars="0"/>
            </w:pPr>
            <w:r>
              <w:rPr>
                <w:rFonts w:ascii="Times New Roman" w:hAnsi="Times New Roman" w:eastAsia="仿宋_GB2312"/>
                <w:b/>
                <w:sz w:val="24"/>
              </w:rPr>
              <w:t>主要字段</w:t>
            </w:r>
          </w:p>
        </w:tc>
        <w:tc>
          <w:tcPr>
            <w:tcW w:type="dxa" w:w="1662"/>
            <w:vAlign w:val="center"/>
          </w:tcPr>
          <w:p>
            <w:pPr>
              <w:pStyle w:val="97"/>
              <w:jc w:val="center"/>
              <w:spacing w:before="0" w:after="0" w:line="360" w:lineRule="exact"/>
              <w:ind w:firstLine="0" w:firstLineChars="0"/>
            </w:pPr>
            <w:r>
              <w:rPr>
                <w:rFonts w:ascii="Times New Roman" w:hAnsi="Times New Roman" w:eastAsia="仿宋_GB2312"/>
                <w:b/>
                <w:sz w:val="24"/>
              </w:rPr>
              <w:t>用途</w:t>
            </w:r>
          </w:p>
        </w:tc>
      </w:tr>
      <w:tr>
        <w:trPr>
          <w:cantSplit/>
        </w:trPr>
        <w:tc>
          <w:tcPr>
            <w:tcW w:type="dxa" w:w="1662"/>
            <w:vAlign w:val="center"/>
          </w:tcPr>
          <w:p>
            <w:pPr>
              <w:pStyle w:val="97"/>
              <w:jc w:val="left"/>
              <w:spacing w:before="0" w:after="0" w:line="360" w:lineRule="exact"/>
              <w:ind w:firstLine="0" w:firstLineChars="0"/>
            </w:pPr>
            <w:r>
              <w:rPr>
                <w:rFonts w:ascii="Times New Roman" w:hAnsi="Times New Roman" w:eastAsia="仿宋_GB2312"/>
                <w:b w:val="0"/>
                <w:sz w:val="24"/>
              </w:rPr>
              <w:t>基础实体层</w:t>
            </w:r>
          </w:p>
        </w:tc>
        <w:tc>
          <w:tcPr>
            <w:tcW w:type="dxa" w:w="1662"/>
            <w:vAlign w:val="center"/>
          </w:tcPr>
          <w:p>
            <w:pPr>
              <w:pStyle w:val="97"/>
              <w:jc w:val="center"/>
              <w:spacing w:before="0" w:after="0" w:line="360" w:lineRule="exact"/>
              <w:ind w:firstLine="0" w:firstLineChars="0"/>
            </w:pPr>
            <w:r>
              <w:rPr>
                <w:rFonts w:ascii="Times New Roman" w:hAnsi="Times New Roman" w:eastAsia="仿宋_GB2312"/>
                <w:b w:val="0"/>
                <w:sz w:val="24"/>
              </w:rPr>
              <w:t>片区、站点、主变、线路主表</w:t>
            </w:r>
          </w:p>
        </w:tc>
        <w:tc>
          <w:tcPr>
            <w:tcW w:type="dxa" w:w="1662"/>
            <w:vAlign w:val="center"/>
          </w:tcPr>
          <w:p>
            <w:pPr>
              <w:pStyle w:val="97"/>
              <w:jc w:val="center"/>
              <w:spacing w:before="0" w:after="0" w:line="360" w:lineRule="exact"/>
              <w:ind w:firstLine="0" w:firstLineChars="0"/>
            </w:pPr>
            <w:r>
              <w:rPr>
                <w:rFonts w:ascii="Times New Roman" w:hAnsi="Times New Roman" w:eastAsia="仿宋_GB2312"/>
                <w:b w:val="0"/>
                <w:sz w:val="24"/>
              </w:rPr>
              <w:t>对象级</w:t>
            </w:r>
          </w:p>
        </w:tc>
        <w:tc>
          <w:tcPr>
            <w:tcW w:type="dxa" w:w="1662"/>
            <w:vAlign w:val="center"/>
          </w:tcPr>
          <w:p>
            <w:pPr>
              <w:pStyle w:val="97"/>
              <w:jc w:val="center"/>
              <w:spacing w:before="0" w:after="0" w:line="360" w:lineRule="exact"/>
              <w:ind w:firstLine="0" w:firstLineChars="0"/>
            </w:pPr>
            <w:r>
              <w:rPr>
                <w:rFonts w:ascii="Times New Roman" w:hAnsi="Times New Roman" w:eastAsia="仿宋_GB2312"/>
                <w:b w:val="0"/>
                <w:sz w:val="24"/>
              </w:rPr>
              <w:t>唯一标识、电压、归属、容量、运行方式</w:t>
            </w:r>
          </w:p>
        </w:tc>
        <w:tc>
          <w:tcPr>
            <w:tcW w:type="dxa" w:w="1662"/>
            <w:vAlign w:val="center"/>
          </w:tcPr>
          <w:p>
            <w:pPr>
              <w:pStyle w:val="97"/>
              <w:jc w:val="center"/>
              <w:spacing w:before="0" w:after="0" w:line="360" w:lineRule="exact"/>
              <w:ind w:firstLine="0" w:firstLineChars="0"/>
            </w:pPr>
            <w:r>
              <w:rPr>
                <w:rFonts w:ascii="Times New Roman" w:hAnsi="Times New Roman" w:eastAsia="仿宋_GB2312"/>
                <w:b w:val="0"/>
                <w:sz w:val="24"/>
              </w:rPr>
              <w:t>建立跨表对象关系</w:t>
            </w:r>
          </w:p>
        </w:tc>
      </w:tr>
      <w:tr>
        <w:trPr>
          <w:cantSplit/>
        </w:trPr>
        <w:tc>
          <w:tcPr>
            <w:tcW w:type="dxa" w:w="1662"/>
            <w:vAlign w:val="center"/>
          </w:tcPr>
          <w:p>
            <w:pPr>
              <w:pStyle w:val="97"/>
              <w:jc w:val="left"/>
              <w:spacing w:before="0" w:after="0" w:line="360" w:lineRule="exact"/>
              <w:ind w:firstLine="0" w:firstLineChars="0"/>
            </w:pPr>
            <w:r>
              <w:rPr>
                <w:rFonts w:ascii="Times New Roman" w:hAnsi="Times New Roman" w:eastAsia="仿宋_GB2312"/>
                <w:b w:val="0"/>
                <w:sz w:val="24"/>
              </w:rPr>
              <w:t>年度状态层</w:t>
            </w:r>
          </w:p>
        </w:tc>
        <w:tc>
          <w:tcPr>
            <w:tcW w:type="dxa" w:w="1662"/>
            <w:vAlign w:val="center"/>
          </w:tcPr>
          <w:p>
            <w:pPr>
              <w:pStyle w:val="97"/>
              <w:jc w:val="center"/>
              <w:spacing w:before="0" w:after="0" w:line="360" w:lineRule="exact"/>
              <w:ind w:firstLine="0" w:firstLineChars="0"/>
            </w:pPr>
            <w:r>
              <w:rPr>
                <w:rFonts w:ascii="Times New Roman" w:hAnsi="Times New Roman" w:eastAsia="仿宋_GB2312"/>
                <w:b w:val="0"/>
                <w:sz w:val="24"/>
              </w:rPr>
              <w:t>年度基准数据、年度在役设备清单、范围闭合表</w:t>
            </w:r>
          </w:p>
        </w:tc>
        <w:tc>
          <w:tcPr>
            <w:tcW w:type="dxa" w:w="1662"/>
            <w:vAlign w:val="center"/>
          </w:tcPr>
          <w:p>
            <w:pPr>
              <w:pStyle w:val="97"/>
              <w:jc w:val="center"/>
              <w:spacing w:before="0" w:after="0" w:line="360" w:lineRule="exact"/>
              <w:ind w:firstLine="0" w:firstLineChars="0"/>
            </w:pPr>
            <w:r>
              <w:rPr>
                <w:rFonts w:ascii="Times New Roman" w:hAnsi="Times New Roman" w:eastAsia="仿宋_GB2312"/>
                <w:b w:val="0"/>
                <w:sz w:val="24"/>
              </w:rPr>
              <w:t>片区—电压—年度；设备—年度</w:t>
            </w:r>
          </w:p>
        </w:tc>
        <w:tc>
          <w:tcPr>
            <w:tcW w:type="dxa" w:w="1662"/>
            <w:vAlign w:val="center"/>
          </w:tcPr>
          <w:p>
            <w:pPr>
              <w:pStyle w:val="97"/>
              <w:jc w:val="center"/>
              <w:spacing w:before="0" w:after="0" w:line="360" w:lineRule="exact"/>
              <w:ind w:firstLine="0" w:firstLineChars="0"/>
            </w:pPr>
            <w:r>
              <w:rPr>
                <w:rFonts w:ascii="Times New Roman" w:hAnsi="Times New Roman" w:eastAsia="仿宋_GB2312"/>
                <w:b w:val="0"/>
                <w:sz w:val="24"/>
              </w:rPr>
              <w:t>容量、同步峰值、容载比、运行范围</w:t>
            </w:r>
          </w:p>
        </w:tc>
        <w:tc>
          <w:tcPr>
            <w:tcW w:type="dxa" w:w="1662"/>
            <w:vAlign w:val="center"/>
          </w:tcPr>
          <w:p>
            <w:pPr>
              <w:pStyle w:val="97"/>
              <w:jc w:val="center"/>
              <w:spacing w:before="0" w:after="0" w:line="360" w:lineRule="exact"/>
              <w:ind w:firstLine="0" w:firstLineChars="0"/>
            </w:pPr>
            <w:r>
              <w:rPr>
                <w:rFonts w:ascii="Times New Roman" w:hAnsi="Times New Roman" w:eastAsia="仿宋_GB2312"/>
                <w:b w:val="0"/>
                <w:sz w:val="24"/>
              </w:rPr>
              <w:t>还原实际年度状态并控制证据准入条件</w:t>
            </w:r>
          </w:p>
        </w:tc>
      </w:tr>
      <w:tr>
        <w:trPr>
          <w:cantSplit/>
        </w:trPr>
        <w:tc>
          <w:tcPr>
            <w:tcW w:type="dxa" w:w="1662"/>
            <w:vAlign w:val="center"/>
          </w:tcPr>
          <w:p>
            <w:pPr>
              <w:pStyle w:val="97"/>
              <w:jc w:val="left"/>
              <w:spacing w:before="0" w:after="0" w:line="360" w:lineRule="exact"/>
              <w:ind w:firstLine="0" w:firstLineChars="0"/>
            </w:pPr>
            <w:r>
              <w:rPr>
                <w:rFonts w:ascii="Times New Roman" w:hAnsi="Times New Roman" w:eastAsia="仿宋_GB2312"/>
                <w:b w:val="0"/>
                <w:sz w:val="24"/>
              </w:rPr>
              <w:t>时序运行层</w:t>
            </w:r>
          </w:p>
        </w:tc>
        <w:tc>
          <w:tcPr>
            <w:tcW w:type="dxa" w:w="1662"/>
            <w:vAlign w:val="center"/>
          </w:tcPr>
          <w:p>
            <w:pPr>
              <w:pStyle w:val="97"/>
              <w:jc w:val="center"/>
              <w:spacing w:before="0" w:after="0" w:line="360" w:lineRule="exact"/>
              <w:ind w:firstLine="0" w:firstLineChars="0"/>
            </w:pPr>
            <w:r>
              <w:rPr>
                <w:rFonts w:ascii="Times New Roman" w:hAnsi="Times New Roman" w:eastAsia="仿宋_GB2312"/>
                <w:b w:val="0"/>
                <w:sz w:val="24"/>
              </w:rPr>
              <w:t>2022—2025 年主变逐时表</w:t>
            </w:r>
          </w:p>
        </w:tc>
        <w:tc>
          <w:tcPr>
            <w:tcW w:type="dxa" w:w="1662"/>
            <w:vAlign w:val="center"/>
          </w:tcPr>
          <w:p>
            <w:pPr>
              <w:pStyle w:val="97"/>
              <w:jc w:val="center"/>
              <w:spacing w:before="0" w:after="0" w:line="360" w:lineRule="exact"/>
              <w:ind w:firstLine="0" w:firstLineChars="0"/>
            </w:pPr>
            <w:r>
              <w:rPr>
                <w:rFonts w:ascii="Times New Roman" w:hAnsi="Times New Roman" w:eastAsia="仿宋_GB2312"/>
                <w:b w:val="0"/>
                <w:sz w:val="24"/>
              </w:rPr>
              <w:t>设备—小时</w:t>
            </w:r>
          </w:p>
        </w:tc>
        <w:tc>
          <w:tcPr>
            <w:tcW w:type="dxa" w:w="1662"/>
            <w:vAlign w:val="center"/>
          </w:tcPr>
          <w:p>
            <w:pPr>
              <w:pStyle w:val="97"/>
              <w:jc w:val="center"/>
              <w:spacing w:before="0" w:after="0" w:line="360" w:lineRule="exact"/>
              <w:ind w:firstLine="0" w:firstLineChars="0"/>
            </w:pPr>
            <w:r>
              <w:rPr>
                <w:rFonts w:ascii="Times New Roman" w:hAnsi="Times New Roman" w:eastAsia="仿宋_GB2312"/>
                <w:b w:val="0"/>
                <w:sz w:val="24"/>
              </w:rPr>
              <w:t>净负荷、方向、原值、点级质量标记</w:t>
            </w:r>
          </w:p>
        </w:tc>
        <w:tc>
          <w:tcPr>
            <w:tcW w:type="dxa" w:w="1662"/>
            <w:vAlign w:val="center"/>
          </w:tcPr>
          <w:p>
            <w:pPr>
              <w:pStyle w:val="97"/>
              <w:jc w:val="center"/>
              <w:spacing w:before="0" w:after="0" w:line="360" w:lineRule="exact"/>
              <w:ind w:firstLine="0" w:firstLineChars="0"/>
            </w:pPr>
            <w:r>
              <w:rPr>
                <w:rFonts w:ascii="Times New Roman" w:hAnsi="Times New Roman" w:eastAsia="仿宋_GB2312"/>
                <w:b w:val="0"/>
                <w:sz w:val="24"/>
              </w:rPr>
              <w:t>同步聚合和多工况分析</w:t>
            </w:r>
          </w:p>
        </w:tc>
      </w:tr>
      <w:tr>
        <w:trPr>
          <w:cantSplit/>
        </w:trPr>
        <w:tc>
          <w:tcPr>
            <w:tcW w:type="dxa" w:w="1662"/>
            <w:vAlign w:val="center"/>
          </w:tcPr>
          <w:p>
            <w:pPr>
              <w:pStyle w:val="97"/>
              <w:jc w:val="left"/>
              <w:spacing w:before="0" w:after="0" w:line="360" w:lineRule="exact"/>
              <w:ind w:firstLine="0" w:firstLineChars="0"/>
            </w:pPr>
            <w:r>
              <w:rPr>
                <w:rFonts w:ascii="Times New Roman" w:hAnsi="Times New Roman" w:eastAsia="仿宋_GB2312"/>
                <w:b w:val="0"/>
                <w:sz w:val="24"/>
              </w:rPr>
              <w:t>新能源层</w:t>
            </w:r>
          </w:p>
        </w:tc>
        <w:tc>
          <w:tcPr>
            <w:tcW w:type="dxa" w:w="1662"/>
            <w:vAlign w:val="center"/>
          </w:tcPr>
          <w:p>
            <w:pPr>
              <w:pStyle w:val="97"/>
              <w:jc w:val="center"/>
              <w:spacing w:before="0" w:after="0" w:line="360" w:lineRule="exact"/>
              <w:ind w:firstLine="0" w:firstLineChars="0"/>
            </w:pPr>
            <w:r>
              <w:rPr>
                <w:rFonts w:ascii="Times New Roman" w:hAnsi="Times New Roman" w:eastAsia="仿宋_GB2312"/>
                <w:b w:val="0"/>
                <w:sz w:val="24"/>
              </w:rPr>
              <w:t>站级光伏快照、光伏标准曲线</w:t>
            </w:r>
          </w:p>
        </w:tc>
        <w:tc>
          <w:tcPr>
            <w:tcW w:type="dxa" w:w="1662"/>
            <w:vAlign w:val="center"/>
          </w:tcPr>
          <w:p>
            <w:pPr>
              <w:pStyle w:val="97"/>
              <w:jc w:val="center"/>
              <w:spacing w:before="0" w:after="0" w:line="360" w:lineRule="exact"/>
              <w:ind w:firstLine="0" w:firstLineChars="0"/>
            </w:pPr>
            <w:r>
              <w:rPr>
                <w:rFonts w:ascii="Times New Roman" w:hAnsi="Times New Roman" w:eastAsia="仿宋_GB2312"/>
                <w:b w:val="0"/>
                <w:sz w:val="24"/>
              </w:rPr>
              <w:t>站点快照；小时</w:t>
            </w:r>
          </w:p>
        </w:tc>
        <w:tc>
          <w:tcPr>
            <w:tcW w:type="dxa" w:w="1662"/>
            <w:vAlign w:val="center"/>
          </w:tcPr>
          <w:p>
            <w:pPr>
              <w:pStyle w:val="97"/>
              <w:jc w:val="center"/>
              <w:spacing w:before="0" w:after="0" w:line="360" w:lineRule="exact"/>
              <w:ind w:firstLine="0" w:firstLineChars="0"/>
            </w:pPr>
            <w:r>
              <w:rPr>
                <w:rFonts w:ascii="Times New Roman" w:hAnsi="Times New Roman" w:eastAsia="仿宋_GB2312"/>
                <w:b w:val="0"/>
                <w:sz w:val="24"/>
              </w:rPr>
              <w:t>在运、在建规模、曲线系数、快照时间</w:t>
            </w:r>
          </w:p>
        </w:tc>
        <w:tc>
          <w:tcPr>
            <w:tcW w:type="dxa" w:w="1662"/>
            <w:vAlign w:val="center"/>
          </w:tcPr>
          <w:p>
            <w:pPr>
              <w:pStyle w:val="97"/>
              <w:jc w:val="center"/>
              <w:spacing w:before="0" w:after="0" w:line="360" w:lineRule="exact"/>
              <w:ind w:firstLine="0" w:firstLineChars="0"/>
            </w:pPr>
            <w:r>
              <w:rPr>
                <w:rFonts w:ascii="Times New Roman" w:hAnsi="Times New Roman" w:eastAsia="仿宋_GB2312"/>
                <w:b w:val="0"/>
                <w:sz w:val="24"/>
              </w:rPr>
              <w:t>当前空间背景和情景构建</w:t>
            </w:r>
          </w:p>
        </w:tc>
      </w:tr>
      <w:tr>
        <w:trPr>
          <w:cantSplit/>
        </w:trPr>
        <w:tc>
          <w:tcPr>
            <w:tcW w:type="dxa" w:w="1662"/>
            <w:vAlign w:val="center"/>
          </w:tcPr>
          <w:p>
            <w:pPr>
              <w:pStyle w:val="97"/>
              <w:jc w:val="left"/>
              <w:spacing w:before="0" w:after="0" w:line="360" w:lineRule="exact"/>
              <w:ind w:firstLine="0" w:firstLineChars="0"/>
            </w:pPr>
            <w:r>
              <w:rPr>
                <w:rFonts w:ascii="Times New Roman" w:hAnsi="Times New Roman" w:eastAsia="仿宋_GB2312"/>
                <w:b w:val="0"/>
                <w:sz w:val="24"/>
              </w:rPr>
              <w:t>网络与候选层</w:t>
            </w:r>
          </w:p>
        </w:tc>
        <w:tc>
          <w:tcPr>
            <w:tcW w:type="dxa" w:w="1662"/>
            <w:vAlign w:val="center"/>
          </w:tcPr>
          <w:p>
            <w:pPr>
              <w:pStyle w:val="97"/>
              <w:jc w:val="center"/>
              <w:spacing w:before="0" w:after="0" w:line="360" w:lineRule="exact"/>
              <w:ind w:firstLine="0" w:firstLineChars="0"/>
            </w:pPr>
            <w:r>
              <w:rPr>
                <w:rFonts w:ascii="Times New Roman" w:hAnsi="Times New Roman" w:eastAsia="仿宋_GB2312"/>
                <w:b w:val="0"/>
                <w:sz w:val="24"/>
              </w:rPr>
              <w:t>110 kV 线路、扩建候选、实际资产动作</w:t>
            </w:r>
          </w:p>
        </w:tc>
        <w:tc>
          <w:tcPr>
            <w:tcW w:type="dxa" w:w="1662"/>
            <w:vAlign w:val="center"/>
          </w:tcPr>
          <w:p>
            <w:pPr>
              <w:pStyle w:val="97"/>
              <w:jc w:val="center"/>
              <w:spacing w:before="0" w:after="0" w:line="360" w:lineRule="exact"/>
              <w:ind w:firstLine="0" w:firstLineChars="0"/>
            </w:pPr>
            <w:r>
              <w:rPr>
                <w:rFonts w:ascii="Times New Roman" w:hAnsi="Times New Roman" w:eastAsia="仿宋_GB2312"/>
                <w:b w:val="0"/>
                <w:sz w:val="24"/>
              </w:rPr>
              <w:t>线路或措施级</w:t>
            </w:r>
          </w:p>
        </w:tc>
        <w:tc>
          <w:tcPr>
            <w:tcW w:type="dxa" w:w="1662"/>
            <w:vAlign w:val="center"/>
          </w:tcPr>
          <w:p>
            <w:pPr>
              <w:pStyle w:val="97"/>
              <w:jc w:val="center"/>
              <w:spacing w:before="0" w:after="0" w:line="360" w:lineRule="exact"/>
              <w:ind w:firstLine="0" w:firstLineChars="0"/>
            </w:pPr>
            <w:r>
              <w:rPr>
                <w:rFonts w:ascii="Times New Roman" w:hAnsi="Times New Roman" w:eastAsia="仿宋_GB2312"/>
                <w:b w:val="0"/>
                <w:sz w:val="24"/>
              </w:rPr>
              <w:t>连接关系、离散容量、动作类型、投运年</w:t>
            </w:r>
          </w:p>
        </w:tc>
        <w:tc>
          <w:tcPr>
            <w:tcW w:type="dxa" w:w="1662"/>
            <w:vAlign w:val="center"/>
          </w:tcPr>
          <w:p>
            <w:pPr>
              <w:pStyle w:val="97"/>
              <w:jc w:val="center"/>
              <w:spacing w:before="0" w:after="0" w:line="360" w:lineRule="exact"/>
              <w:ind w:firstLine="0" w:firstLineChars="0"/>
            </w:pPr>
            <w:r>
              <w:rPr>
                <w:rFonts w:ascii="Times New Roman" w:hAnsi="Times New Roman" w:eastAsia="仿宋_GB2312"/>
                <w:b w:val="0"/>
                <w:sz w:val="24"/>
              </w:rPr>
              <w:t>网络压力检查和规划措施输入</w:t>
            </w:r>
          </w:p>
        </w:tc>
      </w:tr>
      <w:tr>
        <w:trPr>
          <w:cantSplit/>
        </w:trPr>
        <w:tc>
          <w:tcPr>
            <w:tcW w:type="dxa" w:w="1662"/>
            <w:vAlign w:val="center"/>
          </w:tcPr>
          <w:p>
            <w:pPr>
              <w:pStyle w:val="97"/>
              <w:jc w:val="left"/>
              <w:spacing w:before="0" w:after="0" w:line="360" w:lineRule="exact"/>
              <w:ind w:firstLine="0" w:firstLineChars="0"/>
            </w:pPr>
            <w:r>
              <w:rPr>
                <w:rFonts w:ascii="Times New Roman" w:hAnsi="Times New Roman" w:eastAsia="仿宋_GB2312"/>
                <w:b w:val="0"/>
                <w:sz w:val="24"/>
              </w:rPr>
              <w:t>证据追溯层</w:t>
            </w:r>
          </w:p>
        </w:tc>
        <w:tc>
          <w:tcPr>
            <w:tcW w:type="dxa" w:w="1662"/>
            <w:vAlign w:val="center"/>
          </w:tcPr>
          <w:p>
            <w:pPr>
              <w:pStyle w:val="97"/>
              <w:jc w:val="center"/>
              <w:spacing w:before="0" w:after="0" w:line="360" w:lineRule="exact"/>
              <w:ind w:firstLine="0" w:firstLineChars="0"/>
            </w:pPr>
            <w:r>
              <w:rPr>
                <w:rFonts w:ascii="Times New Roman" w:hAnsi="Times New Roman" w:eastAsia="仿宋_GB2312"/>
                <w:b w:val="0"/>
                <w:sz w:val="24"/>
              </w:rPr>
              <w:t>数据质量台账、映射审批、数据文件清单</w:t>
            </w:r>
          </w:p>
        </w:tc>
        <w:tc>
          <w:tcPr>
            <w:tcW w:type="dxa" w:w="1662"/>
            <w:vAlign w:val="center"/>
          </w:tcPr>
          <w:p>
            <w:pPr>
              <w:pStyle w:val="97"/>
              <w:jc w:val="center"/>
              <w:spacing w:before="0" w:after="0" w:line="360" w:lineRule="exact"/>
              <w:ind w:firstLine="0" w:firstLineChars="0"/>
            </w:pPr>
            <w:r>
              <w:rPr>
                <w:rFonts w:ascii="Times New Roman" w:hAnsi="Times New Roman" w:eastAsia="仿宋_GB2312"/>
                <w:b w:val="0"/>
                <w:sz w:val="24"/>
              </w:rPr>
              <w:t>问题或文件级</w:t>
            </w:r>
          </w:p>
        </w:tc>
        <w:tc>
          <w:tcPr>
            <w:tcW w:type="dxa" w:w="1662"/>
            <w:vAlign w:val="center"/>
          </w:tcPr>
          <w:p>
            <w:pPr>
              <w:pStyle w:val="97"/>
              <w:jc w:val="center"/>
              <w:spacing w:before="0" w:after="0" w:line="360" w:lineRule="exact"/>
              <w:ind w:firstLine="0" w:firstLineChars="0"/>
            </w:pPr>
            <w:r>
              <w:rPr>
                <w:rFonts w:ascii="Times New Roman" w:hAnsi="Times New Roman" w:eastAsia="仿宋_GB2312"/>
                <w:b w:val="0"/>
                <w:sz w:val="24"/>
              </w:rPr>
              <w:t>来源、版本、转换、场景、质量、校验值</w:t>
            </w:r>
          </w:p>
        </w:tc>
        <w:tc>
          <w:tcPr>
            <w:tcW w:type="dxa" w:w="1662"/>
            <w:vAlign w:val="center"/>
          </w:tcPr>
          <w:p>
            <w:pPr>
              <w:pStyle w:val="97"/>
              <w:jc w:val="center"/>
              <w:spacing w:before="0" w:after="0" w:line="360" w:lineRule="exact"/>
              <w:ind w:firstLine="0" w:firstLineChars="0"/>
            </w:pPr>
            <w:r>
              <w:rPr>
                <w:rFonts w:ascii="Times New Roman" w:hAnsi="Times New Roman" w:eastAsia="仿宋_GB2312"/>
                <w:b w:val="0"/>
                <w:sz w:val="24"/>
              </w:rPr>
              <w:t>支撑复核、降级和问题追踪</w:t>
            </w:r>
          </w:p>
        </w:tc>
      </w:tr>
    </w:tbl>
    <w:p>
      <w:pPr>
        <w:spacing w:before="0" w:after="0" w:line="560" w:lineRule="exact"/>
        <w:jc w:val="both"/>
        <w:ind w:firstLineChars="200" w:firstLine="200"/>
      </w:pPr>
      <w:r>
        <w:rPr>
          <w:rFonts w:ascii="Times New Roman" w:hAnsi="Times New Roman" w:eastAsia="仿宋_GB2312"/>
          <w:b w:val="0"/>
          <w:sz w:val="28"/>
        </w:rPr>
        <w:t>当前标准化数据库包括 235 座站、425 台主变、364 条 110 kV 线路、2550 条年度在役设备清单记录、92 条离散扩建候选和 66 条实际资产动作。年度基准数据为 80 条，光伏标准曲线为 8760 点，数据质量台账记录 27 项问题。上述数量反映数据库的覆盖范围，不代表每一对象在每一年都具备同等级证据；正式使用资格仍按年度资产范围和数据质量校核逐项判断。</w:t>
      </w:r>
    </w:p>
    <w:p>
      <w:pPr>
        <w:spacing w:before="0" w:after="0" w:line="560" w:lineRule="exact"/>
        <w:jc w:val="both"/>
        <w:ind w:firstLineChars="200" w:firstLine="200"/>
      </w:pPr>
      <w:r>
        <w:rPr>
          <w:rFonts w:ascii="Times New Roman" w:hAnsi="Times New Roman" w:eastAsia="仿宋_GB2312"/>
          <w:b w:val="0"/>
          <w:sz w:val="28"/>
        </w:rPr>
        <w:t>数据质量处理遵循“原值保留、问题显式、可用对象继续”的原则。不会改变方向、容量单位、电压归属或年度口径的问题，记录后降低证据等级，不阻断其他对象分析；可能改变上述关键口径且无法按权威顺序消解的问题，则不得进入正式计算。主要问题和处理规则列于表 3-11。</w:t>
      </w:r>
    </w:p>
    <w:p>
      <w:pPr>
        <w:pStyle w:val="12"/>
        <w:keepNext/>
        <w:spacing w:before="120" w:after="60" w:line="400" w:lineRule="exact"/>
        <w:jc w:val="center"/>
        <w:ind w:firstLine="0" w:firstLineChars="0"/>
      </w:pPr>
      <w:r>
        <w:rPr>
          <w:rFonts w:ascii="Times New Roman" w:hAnsi="Times New Roman" w:eastAsia="仿宋_GB2312"/>
          <w:b w:val="0"/>
          <w:sz w:val="24"/>
        </w:rPr>
        <w:t>表 3-11 主要数据质量问题及处理规则</w:t>
      </w:r>
    </w:p>
    <w:tbl>
      <w:tblPr>
        <w:tblW w:type="auto" w:w="0"/>
        <w:tblLayout w:type="autofi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078"/>
        <w:gridCol w:w="2078"/>
        <w:gridCol w:w="2078"/>
        <w:gridCol w:w="2078"/>
      </w:tblGrid>
      <w:tr>
        <w:trPr>
          <w:cantSplit/>
          <w:tblHeader w:val="true"/>
        </w:trPr>
        <w:tc>
          <w:tcPr>
            <w:tcW w:type="dxa" w:w="2078"/>
            <w:vAlign w:val="center"/>
          </w:tcPr>
          <w:p>
            <w:pPr>
              <w:pStyle w:val="97"/>
              <w:jc w:val="center"/>
              <w:spacing w:before="0" w:after="0" w:line="360" w:lineRule="exact"/>
              <w:ind w:firstLine="0" w:firstLineChars="0"/>
            </w:pPr>
            <w:r>
              <w:rPr>
                <w:rFonts w:ascii="Times New Roman" w:hAnsi="Times New Roman" w:eastAsia="仿宋_GB2312"/>
                <w:b/>
                <w:sz w:val="24"/>
              </w:rPr>
              <w:t>问题类型</w:t>
            </w:r>
          </w:p>
        </w:tc>
        <w:tc>
          <w:tcPr>
            <w:tcW w:type="dxa" w:w="2078"/>
            <w:vAlign w:val="center"/>
          </w:tcPr>
          <w:p>
            <w:pPr>
              <w:pStyle w:val="97"/>
              <w:jc w:val="center"/>
              <w:spacing w:before="0" w:after="0" w:line="360" w:lineRule="exact"/>
              <w:ind w:firstLine="0" w:firstLineChars="0"/>
            </w:pPr>
            <w:r>
              <w:rPr>
                <w:rFonts w:ascii="Times New Roman" w:hAnsi="Times New Roman" w:eastAsia="仿宋_GB2312"/>
                <w:b/>
                <w:sz w:val="24"/>
              </w:rPr>
              <w:t>具体表现</w:t>
            </w:r>
          </w:p>
        </w:tc>
        <w:tc>
          <w:tcPr>
            <w:tcW w:type="dxa" w:w="2078"/>
            <w:vAlign w:val="center"/>
          </w:tcPr>
          <w:p>
            <w:pPr>
              <w:pStyle w:val="97"/>
              <w:jc w:val="center"/>
              <w:spacing w:before="0" w:after="0" w:line="360" w:lineRule="exact"/>
              <w:ind w:firstLine="0" w:firstLineChars="0"/>
            </w:pPr>
            <w:r>
              <w:rPr>
                <w:rFonts w:ascii="Times New Roman" w:hAnsi="Times New Roman" w:eastAsia="仿宋_GB2312"/>
                <w:b/>
                <w:sz w:val="24"/>
              </w:rPr>
              <w:t>处理规则</w:t>
            </w:r>
          </w:p>
        </w:tc>
        <w:tc>
          <w:tcPr>
            <w:tcW w:type="dxa" w:w="2078"/>
            <w:vAlign w:val="center"/>
          </w:tcPr>
          <w:p>
            <w:pPr>
              <w:pStyle w:val="97"/>
              <w:jc w:val="center"/>
              <w:spacing w:before="0" w:after="0" w:line="360" w:lineRule="exact"/>
              <w:ind w:firstLine="0" w:firstLineChars="0"/>
            </w:pPr>
            <w:r>
              <w:rPr>
                <w:rFonts w:ascii="Times New Roman" w:hAnsi="Times New Roman" w:eastAsia="仿宋_GB2312"/>
                <w:b/>
                <w:sz w:val="24"/>
              </w:rPr>
              <w:t>对本章影响</w:t>
            </w:r>
          </w:p>
        </w:tc>
      </w:tr>
      <w:tr>
        <w:trPr>
          <w:cantSplit/>
        </w:trPr>
        <w:tc>
          <w:tcPr>
            <w:tcW w:type="dxa" w:w="2078"/>
            <w:vAlign w:val="center"/>
          </w:tcPr>
          <w:p>
            <w:pPr>
              <w:pStyle w:val="97"/>
              <w:jc w:val="left"/>
              <w:spacing w:before="0" w:after="0" w:line="360" w:lineRule="exact"/>
              <w:ind w:firstLine="0" w:firstLineChars="0"/>
            </w:pPr>
            <w:r>
              <w:rPr>
                <w:rFonts w:ascii="Times New Roman" w:hAnsi="Times New Roman" w:eastAsia="仿宋_GB2312"/>
                <w:b w:val="0"/>
                <w:sz w:val="24"/>
              </w:rPr>
              <w:t>历史设备范围未闭合</w:t>
            </w:r>
          </w:p>
        </w:tc>
        <w:tc>
          <w:tcPr>
            <w:tcW w:type="dxa" w:w="2078"/>
            <w:vAlign w:val="center"/>
          </w:tcPr>
          <w:p>
            <w:pPr>
              <w:pStyle w:val="97"/>
              <w:jc w:val="center"/>
              <w:spacing w:before="0" w:after="0" w:line="360" w:lineRule="exact"/>
              <w:ind w:firstLine="0" w:firstLineChars="0"/>
            </w:pPr>
            <w:r>
              <w:rPr>
                <w:rFonts w:ascii="Times New Roman" w:hAnsi="Times New Roman" w:eastAsia="仿宋_GB2312"/>
                <w:b w:val="0"/>
                <w:sz w:val="24"/>
              </w:rPr>
              <w:t>2021—2024 年设备表不能完整还原实际在役范围</w:t>
            </w:r>
          </w:p>
        </w:tc>
        <w:tc>
          <w:tcPr>
            <w:tcW w:type="dxa" w:w="2078"/>
            <w:vAlign w:val="center"/>
          </w:tcPr>
          <w:p>
            <w:pPr>
              <w:pStyle w:val="97"/>
              <w:jc w:val="center"/>
              <w:spacing w:before="0" w:after="0" w:line="360" w:lineRule="exact"/>
              <w:ind w:firstLine="0" w:firstLineChars="0"/>
            </w:pPr>
            <w:r>
              <w:rPr>
                <w:rFonts w:ascii="Times New Roman" w:hAnsi="Times New Roman" w:eastAsia="仿宋_GB2312"/>
                <w:b w:val="0"/>
                <w:sz w:val="24"/>
              </w:rPr>
              <w:t>年度总量使用官方基准数据，不以当前设备投运年份回溯替代</w:t>
            </w:r>
          </w:p>
        </w:tc>
        <w:tc>
          <w:tcPr>
            <w:tcW w:type="dxa" w:w="2078"/>
            <w:vAlign w:val="center"/>
          </w:tcPr>
          <w:p>
            <w:pPr>
              <w:pStyle w:val="97"/>
              <w:jc w:val="center"/>
              <w:spacing w:before="0" w:after="0" w:line="360" w:lineRule="exact"/>
              <w:ind w:firstLine="0" w:firstLineChars="0"/>
            </w:pPr>
            <w:r>
              <w:rPr>
                <w:rFonts w:ascii="Times New Roman" w:hAnsi="Times New Roman" w:eastAsia="仿宋_GB2312"/>
                <w:b w:val="0"/>
                <w:sz w:val="24"/>
              </w:rPr>
              <w:t>2022—2024 年逐时数据仅作审计，不形成正式设备级结论</w:t>
            </w:r>
          </w:p>
        </w:tc>
      </w:tr>
      <w:tr>
        <w:trPr>
          <w:cantSplit/>
        </w:trPr>
        <w:tc>
          <w:tcPr>
            <w:tcW w:type="dxa" w:w="2078"/>
            <w:vAlign w:val="center"/>
          </w:tcPr>
          <w:p>
            <w:pPr>
              <w:pStyle w:val="97"/>
              <w:jc w:val="left"/>
              <w:spacing w:before="0" w:after="0" w:line="360" w:lineRule="exact"/>
              <w:ind w:firstLine="0" w:firstLineChars="0"/>
            </w:pPr>
            <w:r>
              <w:rPr>
                <w:rFonts w:ascii="Times New Roman" w:hAnsi="Times New Roman" w:eastAsia="仿宋_GB2312"/>
                <w:b w:val="0"/>
                <w:sz w:val="24"/>
              </w:rPr>
              <w:t>2025 年运行与年末范围不同</w:t>
            </w:r>
          </w:p>
        </w:tc>
        <w:tc>
          <w:tcPr>
            <w:tcW w:type="dxa" w:w="2078"/>
            <w:vAlign w:val="center"/>
          </w:tcPr>
          <w:p>
            <w:pPr>
              <w:pStyle w:val="97"/>
              <w:jc w:val="center"/>
              <w:spacing w:before="0" w:after="0" w:line="360" w:lineRule="exact"/>
              <w:ind w:firstLine="0" w:firstLineChars="0"/>
            </w:pPr>
            <w:r>
              <w:rPr>
                <w:rFonts w:ascii="Times New Roman" w:hAnsi="Times New Roman" w:eastAsia="仿宋_GB2312"/>
                <w:b w:val="0"/>
                <w:sz w:val="24"/>
              </w:rPr>
              <w:t>QX-00005 年末新增 1 座站、2 台主变</w:t>
            </w:r>
          </w:p>
        </w:tc>
        <w:tc>
          <w:tcPr>
            <w:tcW w:type="dxa" w:w="2078"/>
            <w:vAlign w:val="center"/>
          </w:tcPr>
          <w:p>
            <w:pPr>
              <w:pStyle w:val="97"/>
              <w:jc w:val="center"/>
              <w:spacing w:before="0" w:after="0" w:line="360" w:lineRule="exact"/>
              <w:ind w:firstLine="0" w:firstLineChars="0"/>
            </w:pPr>
            <w:r>
              <w:rPr>
                <w:rFonts w:ascii="Times New Roman" w:hAnsi="Times New Roman" w:eastAsia="仿宋_GB2312"/>
                <w:b w:val="0"/>
                <w:sz w:val="24"/>
              </w:rPr>
              <w:t>正式运行采用 20 座站、40 台主变，年末设备单列</w:t>
            </w:r>
          </w:p>
        </w:tc>
        <w:tc>
          <w:tcPr>
            <w:tcW w:type="dxa" w:w="2078"/>
            <w:vAlign w:val="center"/>
          </w:tcPr>
          <w:p>
            <w:pPr>
              <w:pStyle w:val="97"/>
              <w:jc w:val="center"/>
              <w:spacing w:before="0" w:after="0" w:line="360" w:lineRule="exact"/>
              <w:ind w:firstLine="0" w:firstLineChars="0"/>
            </w:pPr>
            <w:r>
              <w:rPr>
                <w:rFonts w:ascii="Times New Roman" w:hAnsi="Times New Roman" w:eastAsia="仿宋_GB2312"/>
                <w:b w:val="0"/>
                <w:sz w:val="24"/>
              </w:rPr>
              <w:t>不让年末新增设备阻断 40 台正式逐时证据</w:t>
            </w:r>
          </w:p>
        </w:tc>
      </w:tr>
      <w:tr>
        <w:trPr>
          <w:cantSplit/>
        </w:trPr>
        <w:tc>
          <w:tcPr>
            <w:tcW w:type="dxa" w:w="2078"/>
            <w:vAlign w:val="center"/>
          </w:tcPr>
          <w:p>
            <w:pPr>
              <w:pStyle w:val="97"/>
              <w:jc w:val="left"/>
              <w:spacing w:before="0" w:after="0" w:line="360" w:lineRule="exact"/>
              <w:ind w:firstLine="0" w:firstLineChars="0"/>
            </w:pPr>
            <w:r>
              <w:rPr>
                <w:rFonts w:ascii="Times New Roman" w:hAnsi="Times New Roman" w:eastAsia="仿宋_GB2312"/>
                <w:b w:val="0"/>
                <w:sz w:val="24"/>
              </w:rPr>
              <w:t>2024 年量级异常</w:t>
            </w:r>
          </w:p>
        </w:tc>
        <w:tc>
          <w:tcPr>
            <w:tcW w:type="dxa" w:w="2078"/>
            <w:vAlign w:val="center"/>
          </w:tcPr>
          <w:p>
            <w:pPr>
              <w:pStyle w:val="97"/>
              <w:jc w:val="center"/>
              <w:spacing w:before="0" w:after="0" w:line="360" w:lineRule="exact"/>
              <w:ind w:firstLine="0" w:firstLineChars="0"/>
            </w:pPr>
            <w:r>
              <w:rPr>
                <w:rFonts w:ascii="Times New Roman" w:hAnsi="Times New Roman" w:eastAsia="仿宋_GB2312"/>
                <w:b w:val="0"/>
                <w:sz w:val="24"/>
              </w:rPr>
              <w:t>-7319 MW、-6858 MW、16630 MW</w:t>
            </w:r>
          </w:p>
        </w:tc>
        <w:tc>
          <w:tcPr>
            <w:tcW w:type="dxa" w:w="2078"/>
            <w:vAlign w:val="center"/>
          </w:tcPr>
          <w:p>
            <w:pPr>
              <w:pStyle w:val="97"/>
              <w:jc w:val="center"/>
              <w:spacing w:before="0" w:after="0" w:line="360" w:lineRule="exact"/>
              <w:ind w:firstLine="0" w:firstLineChars="0"/>
            </w:pPr>
            <w:r>
              <w:rPr>
                <w:rFonts w:ascii="Times New Roman" w:hAnsi="Times New Roman" w:eastAsia="仿宋_GB2312"/>
                <w:b w:val="0"/>
                <w:sz w:val="24"/>
              </w:rPr>
              <w:t>原值、时刻和列号留存，统计前隔离</w:t>
            </w:r>
          </w:p>
        </w:tc>
        <w:tc>
          <w:tcPr>
            <w:tcW w:type="dxa" w:w="2078"/>
            <w:vAlign w:val="center"/>
          </w:tcPr>
          <w:p>
            <w:pPr>
              <w:pStyle w:val="97"/>
              <w:jc w:val="center"/>
              <w:spacing w:before="0" w:after="0" w:line="360" w:lineRule="exact"/>
              <w:ind w:firstLine="0" w:firstLineChars="0"/>
            </w:pPr>
            <w:r>
              <w:rPr>
                <w:rFonts w:ascii="Times New Roman" w:hAnsi="Times New Roman" w:eastAsia="仿宋_GB2312"/>
                <w:b w:val="0"/>
                <w:sz w:val="24"/>
              </w:rPr>
              <w:t>不进入峰值、持续曲线和多工况统计</w:t>
            </w:r>
          </w:p>
        </w:tc>
      </w:tr>
      <w:tr>
        <w:trPr>
          <w:cantSplit/>
        </w:trPr>
        <w:tc>
          <w:tcPr>
            <w:tcW w:type="dxa" w:w="2078"/>
            <w:vAlign w:val="center"/>
          </w:tcPr>
          <w:p>
            <w:pPr>
              <w:pStyle w:val="97"/>
              <w:jc w:val="left"/>
              <w:spacing w:before="0" w:after="0" w:line="360" w:lineRule="exact"/>
              <w:ind w:firstLine="0" w:firstLineChars="0"/>
            </w:pPr>
            <w:r>
              <w:rPr>
                <w:rFonts w:ascii="Times New Roman" w:hAnsi="Times New Roman" w:eastAsia="仿宋_GB2312"/>
                <w:b w:val="0"/>
                <w:sz w:val="24"/>
              </w:rPr>
              <w:t>时序源表头冲突</w:t>
            </w:r>
          </w:p>
        </w:tc>
        <w:tc>
          <w:tcPr>
            <w:tcW w:type="dxa" w:w="2078"/>
            <w:vAlign w:val="center"/>
          </w:tcPr>
          <w:p>
            <w:pPr>
              <w:pStyle w:val="97"/>
              <w:jc w:val="center"/>
              <w:spacing w:before="0" w:after="0" w:line="360" w:lineRule="exact"/>
              <w:ind w:firstLine="0" w:firstLineChars="0"/>
            </w:pPr>
            <w:r>
              <w:rPr>
                <w:rFonts w:ascii="Times New Roman" w:hAnsi="Times New Roman" w:eastAsia="仿宋_GB2312"/>
                <w:b w:val="0"/>
                <w:sz w:val="24"/>
              </w:rPr>
              <w:t>个别列的源表头与审批映射存在冲突</w:t>
            </w:r>
          </w:p>
        </w:tc>
        <w:tc>
          <w:tcPr>
            <w:tcW w:type="dxa" w:w="2078"/>
            <w:vAlign w:val="center"/>
          </w:tcPr>
          <w:p>
            <w:pPr>
              <w:pStyle w:val="97"/>
              <w:jc w:val="center"/>
              <w:spacing w:before="0" w:after="0" w:line="360" w:lineRule="exact"/>
              <w:ind w:firstLine="0" w:firstLineChars="0"/>
            </w:pPr>
            <w:r>
              <w:rPr>
                <w:rFonts w:ascii="Times New Roman" w:hAnsi="Times New Roman" w:eastAsia="仿宋_GB2312"/>
                <w:b w:val="0"/>
                <w:sz w:val="24"/>
              </w:rPr>
              <w:t>同时保留源表头和审批后目标设备，不静默覆盖</w:t>
            </w:r>
          </w:p>
        </w:tc>
        <w:tc>
          <w:tcPr>
            <w:tcW w:type="dxa" w:w="2078"/>
            <w:vAlign w:val="center"/>
          </w:tcPr>
          <w:p>
            <w:pPr>
              <w:pStyle w:val="97"/>
              <w:jc w:val="center"/>
              <w:spacing w:before="0" w:after="0" w:line="360" w:lineRule="exact"/>
              <w:ind w:firstLine="0" w:firstLineChars="0"/>
            </w:pPr>
            <w:r>
              <w:rPr>
                <w:rFonts w:ascii="Times New Roman" w:hAnsi="Times New Roman" w:eastAsia="仿宋_GB2312"/>
                <w:b w:val="0"/>
                <w:sz w:val="24"/>
              </w:rPr>
              <w:t>设备身份可审计</w:t>
            </w:r>
          </w:p>
        </w:tc>
      </w:tr>
      <w:tr>
        <w:trPr>
          <w:cantSplit/>
        </w:trPr>
        <w:tc>
          <w:tcPr>
            <w:tcW w:type="dxa" w:w="2078"/>
            <w:vAlign w:val="center"/>
          </w:tcPr>
          <w:p>
            <w:pPr>
              <w:pStyle w:val="97"/>
              <w:jc w:val="left"/>
              <w:spacing w:before="0" w:after="0" w:line="360" w:lineRule="exact"/>
              <w:ind w:firstLine="0" w:firstLineChars="0"/>
            </w:pPr>
            <w:r>
              <w:rPr>
                <w:rFonts w:ascii="Times New Roman" w:hAnsi="Times New Roman" w:eastAsia="仿宋_GB2312"/>
                <w:b w:val="0"/>
                <w:sz w:val="24"/>
              </w:rPr>
              <w:t>35 kV 容量范围待核</w:t>
            </w:r>
          </w:p>
        </w:tc>
        <w:tc>
          <w:tcPr>
            <w:tcW w:type="dxa" w:w="2078"/>
            <w:vAlign w:val="center"/>
          </w:tcPr>
          <w:p>
            <w:pPr>
              <w:pStyle w:val="97"/>
              <w:jc w:val="center"/>
              <w:spacing w:before="0" w:after="0" w:line="360" w:lineRule="exact"/>
              <w:ind w:firstLine="0" w:firstLineChars="0"/>
            </w:pPr>
            <w:r>
              <w:rPr>
                <w:rFonts w:ascii="Times New Roman" w:hAnsi="Times New Roman" w:eastAsia="仿宋_GB2312"/>
                <w:b w:val="0"/>
                <w:sz w:val="24"/>
              </w:rPr>
              <w:t>个别片区官方容量与设备汇总口径不一致</w:t>
            </w:r>
          </w:p>
        </w:tc>
        <w:tc>
          <w:tcPr>
            <w:tcW w:type="dxa" w:w="2078"/>
            <w:vAlign w:val="center"/>
          </w:tcPr>
          <w:p>
            <w:pPr>
              <w:pStyle w:val="97"/>
              <w:jc w:val="center"/>
              <w:spacing w:before="0" w:after="0" w:line="360" w:lineRule="exact"/>
              <w:ind w:firstLine="0" w:firstLineChars="0"/>
            </w:pPr>
            <w:r>
              <w:rPr>
                <w:rFonts w:ascii="Times New Roman" w:hAnsi="Times New Roman" w:eastAsia="仿宋_GB2312"/>
                <w:b w:val="0"/>
                <w:sz w:val="24"/>
              </w:rPr>
              <w:t>35 kV 使用官方年度基准数据作辅助分析，设备级结果降级</w:t>
            </w:r>
          </w:p>
        </w:tc>
        <w:tc>
          <w:tcPr>
            <w:tcW w:type="dxa" w:w="2078"/>
            <w:vAlign w:val="center"/>
          </w:tcPr>
          <w:p>
            <w:pPr>
              <w:pStyle w:val="97"/>
              <w:jc w:val="center"/>
              <w:spacing w:before="0" w:after="0" w:line="360" w:lineRule="exact"/>
              <w:ind w:firstLine="0" w:firstLineChars="0"/>
            </w:pPr>
            <w:r>
              <w:rPr>
                <w:rFonts w:ascii="Times New Roman" w:hAnsi="Times New Roman" w:eastAsia="仿宋_GB2312"/>
                <w:b w:val="0"/>
                <w:sz w:val="24"/>
              </w:rPr>
              <w:t>不与 110 kV 混算，不输出伪精确设备结论</w:t>
            </w:r>
          </w:p>
        </w:tc>
      </w:tr>
      <w:tr>
        <w:trPr>
          <w:cantSplit/>
        </w:trPr>
        <w:tc>
          <w:tcPr>
            <w:tcW w:type="dxa" w:w="2078"/>
            <w:vAlign w:val="center"/>
          </w:tcPr>
          <w:p>
            <w:pPr>
              <w:pStyle w:val="97"/>
              <w:jc w:val="left"/>
              <w:spacing w:before="0" w:after="0" w:line="360" w:lineRule="exact"/>
              <w:ind w:firstLine="0" w:firstLineChars="0"/>
            </w:pPr>
            <w:r>
              <w:rPr>
                <w:rFonts w:ascii="Times New Roman" w:hAnsi="Times New Roman" w:eastAsia="仿宋_GB2312"/>
                <w:b w:val="0"/>
                <w:sz w:val="24"/>
              </w:rPr>
              <w:t>光伏快照跨年</w:t>
            </w:r>
          </w:p>
        </w:tc>
        <w:tc>
          <w:tcPr>
            <w:tcW w:type="dxa" w:w="2078"/>
            <w:vAlign w:val="center"/>
          </w:tcPr>
          <w:p>
            <w:pPr>
              <w:pStyle w:val="97"/>
              <w:jc w:val="center"/>
              <w:spacing w:before="0" w:after="0" w:line="360" w:lineRule="exact"/>
              <w:ind w:firstLine="0" w:firstLineChars="0"/>
            </w:pPr>
            <w:r>
              <w:rPr>
                <w:rFonts w:ascii="Times New Roman" w:hAnsi="Times New Roman" w:eastAsia="仿宋_GB2312"/>
                <w:b w:val="0"/>
                <w:sz w:val="24"/>
              </w:rPr>
              <w:t>站级光伏主要为 2026 年快照</w:t>
            </w:r>
          </w:p>
        </w:tc>
        <w:tc>
          <w:tcPr>
            <w:tcW w:type="dxa" w:w="2078"/>
            <w:vAlign w:val="center"/>
          </w:tcPr>
          <w:p>
            <w:pPr>
              <w:pStyle w:val="97"/>
              <w:jc w:val="center"/>
              <w:spacing w:before="0" w:after="0" w:line="360" w:lineRule="exact"/>
              <w:ind w:firstLine="0" w:firstLineChars="0"/>
            </w:pPr>
            <w:r>
              <w:rPr>
                <w:rFonts w:ascii="Times New Roman" w:hAnsi="Times New Roman" w:eastAsia="仿宋_GB2312"/>
                <w:b w:val="0"/>
                <w:sz w:val="24"/>
              </w:rPr>
              <w:t>标记快照时间，仅作当前背景和场景输入</w:t>
            </w:r>
          </w:p>
        </w:tc>
        <w:tc>
          <w:tcPr>
            <w:tcW w:type="dxa" w:w="2078"/>
            <w:vAlign w:val="center"/>
          </w:tcPr>
          <w:p>
            <w:pPr>
              <w:pStyle w:val="97"/>
              <w:jc w:val="center"/>
              <w:spacing w:before="0" w:after="0" w:line="360" w:lineRule="exact"/>
              <w:ind w:firstLine="0" w:firstLineChars="0"/>
            </w:pPr>
            <w:r>
              <w:rPr>
                <w:rFonts w:ascii="Times New Roman" w:hAnsi="Times New Roman" w:eastAsia="仿宋_GB2312"/>
                <w:b w:val="0"/>
                <w:sz w:val="24"/>
              </w:rPr>
              <w:t>不计算历史年度伪精确源荷相关性</w:t>
            </w:r>
          </w:p>
        </w:tc>
      </w:tr>
      <w:tr>
        <w:trPr>
          <w:cantSplit/>
        </w:trPr>
        <w:tc>
          <w:tcPr>
            <w:tcW w:type="dxa" w:w="2078"/>
            <w:vAlign w:val="center"/>
          </w:tcPr>
          <w:p>
            <w:pPr>
              <w:pStyle w:val="97"/>
              <w:jc w:val="left"/>
              <w:spacing w:before="0" w:after="0" w:line="360" w:lineRule="exact"/>
              <w:ind w:firstLine="0" w:firstLineChars="0"/>
            </w:pPr>
            <w:r>
              <w:rPr>
                <w:rFonts w:ascii="Times New Roman" w:hAnsi="Times New Roman" w:eastAsia="仿宋_GB2312"/>
                <w:b w:val="0"/>
                <w:sz w:val="24"/>
              </w:rPr>
              <w:t>馈线字段含义易混淆</w:t>
            </w:r>
          </w:p>
        </w:tc>
        <w:tc>
          <w:tcPr>
            <w:tcW w:type="dxa" w:w="2078"/>
            <w:vAlign w:val="center"/>
          </w:tcPr>
          <w:p>
            <w:pPr>
              <w:pStyle w:val="97"/>
              <w:jc w:val="center"/>
              <w:spacing w:before="0" w:after="0" w:line="360" w:lineRule="exact"/>
              <w:ind w:firstLine="0" w:firstLineChars="0"/>
            </w:pPr>
            <w:r>
              <w:rPr>
                <w:rFonts w:ascii="Times New Roman" w:hAnsi="Times New Roman" w:eastAsia="仿宋_GB2312"/>
                <w:b w:val="0"/>
                <w:sz w:val="24"/>
              </w:rPr>
              <w:t>馈线“装机容量(kVA)”为下挂配变或用户装见容量</w:t>
            </w:r>
          </w:p>
        </w:tc>
        <w:tc>
          <w:tcPr>
            <w:tcW w:type="dxa" w:w="2078"/>
            <w:vAlign w:val="center"/>
          </w:tcPr>
          <w:p>
            <w:pPr>
              <w:pStyle w:val="97"/>
              <w:jc w:val="center"/>
              <w:spacing w:before="0" w:after="0" w:line="360" w:lineRule="exact"/>
              <w:ind w:firstLine="0" w:firstLineChars="0"/>
            </w:pPr>
            <w:r>
              <w:rPr>
                <w:rFonts w:ascii="Times New Roman" w:hAnsi="Times New Roman" w:eastAsia="仿宋_GB2312"/>
                <w:b w:val="0"/>
                <w:sz w:val="24"/>
              </w:rPr>
              <w:t>不作为光伏容量、线路允许输送能力或光伏曲线乘数</w:t>
            </w:r>
          </w:p>
        </w:tc>
        <w:tc>
          <w:tcPr>
            <w:tcW w:type="dxa" w:w="2078"/>
            <w:vAlign w:val="center"/>
          </w:tcPr>
          <w:p>
            <w:pPr>
              <w:pStyle w:val="97"/>
              <w:jc w:val="center"/>
              <w:spacing w:before="0" w:after="0" w:line="360" w:lineRule="exact"/>
              <w:ind w:firstLine="0" w:firstLineChars="0"/>
            </w:pPr>
            <w:r>
              <w:rPr>
                <w:rFonts w:ascii="Times New Roman" w:hAnsi="Times New Roman" w:eastAsia="仿宋_GB2312"/>
                <w:b w:val="0"/>
                <w:sz w:val="24"/>
              </w:rPr>
              <w:t>防止 10 kV 数据误入新能源计算</w:t>
            </w:r>
          </w:p>
        </w:tc>
      </w:tr>
    </w:tbl>
    <w:p>
      <w:pPr>
        <w:spacing w:before="0" w:after="0" w:line="560" w:lineRule="exact"/>
        <w:jc w:val="both"/>
        <w:ind w:firstLineChars="200" w:firstLine="200"/>
      </w:pPr>
      <w:r>
        <w:rPr>
          <w:rFonts w:ascii="Times New Roman" w:hAnsi="Times New Roman" w:eastAsia="仿宋_GB2312"/>
          <w:b w:val="0"/>
          <w:sz w:val="28"/>
        </w:rPr>
        <w:t>数据库构建流程如图 3-6 所示。源数据进入标准化环节后，先统一对象、单位和电压层级，再通过映射审批、年度在役设备清单和异常隔离形成数据质量校核。年度状态层与时序运行层分别保留总量事实和设备运行证据，场景指标层只调用满足相应数据准入条件的数据。结构化明细表用于精确查值，研究报告用于人工审查和结论表达，版面化表格不替代可复核的底层数据。</w:t>
      </w:r>
    </w:p>
    <w:p>
      <w:pPr>
        <w:pStyle w:val="38"/>
        <w:jc w:val="center"/>
        <w:ind w:firstLine="0" w:firstLineChars="0"/>
      </w:pPr>
      <w:r>
        <w:drawing>
          <wp:inline xmlns:a="http://schemas.openxmlformats.org/drawingml/2006/main" xmlns:pic="http://schemas.openxmlformats.org/drawingml/2006/picture">
            <wp:extent cx="4968000" cy="2942738"/>
            <wp:docPr id="7" name="Picture 7"/>
            <wp:cNvGraphicFramePr>
              <a:graphicFrameLocks noChangeAspect="1"/>
            </wp:cNvGraphicFramePr>
            <a:graphic>
              <a:graphicData uri="http://schemas.openxmlformats.org/drawingml/2006/picture">
                <pic:pic>
                  <pic:nvPicPr>
                    <pic:cNvPr id="0" name="图3-6_数据库构建流程.png"/>
                    <pic:cNvPicPr/>
                  </pic:nvPicPr>
                  <pic:blipFill>
                    <a:blip r:embed="rId19"/>
                    <a:stretch>
                      <a:fillRect/>
                    </a:stretch>
                  </pic:blipFill>
                  <pic:spPr>
                    <a:xfrm>
                      <a:off x="0" y="0"/>
                      <a:ext cx="4968000" cy="2942738"/>
                    </a:xfrm>
                    <a:prstGeom prst="rect"/>
                  </pic:spPr>
                </pic:pic>
              </a:graphicData>
            </a:graphic>
          </wp:inline>
        </w:drawing>
      </w:r>
    </w:p>
    <w:p>
      <w:pPr>
        <w:pStyle w:val="12"/>
        <w:keepNext w:val="0"/>
        <w:spacing w:before="0" w:after="120" w:line="400" w:lineRule="exact"/>
        <w:jc w:val="center"/>
        <w:ind w:firstLine="0" w:firstLineChars="0"/>
      </w:pPr>
      <w:r>
        <w:rPr>
          <w:rFonts w:ascii="Times New Roman" w:hAnsi="Times New Roman" w:eastAsia="仿宋_GB2312"/>
          <w:b w:val="0"/>
          <w:sz w:val="24"/>
        </w:rPr>
        <w:t>图 3-6 “新能源渗透水平—电网运行状态”数据库构建流程</w:t>
      </w:r>
    </w:p>
    <w:p>
      <w:pPr>
        <w:spacing w:before="0" w:after="0" w:line="560" w:lineRule="exact"/>
        <w:jc w:val="both"/>
        <w:ind w:firstLineChars="200" w:firstLine="200"/>
      </w:pPr>
      <w:r>
        <w:rPr>
          <w:rFonts w:ascii="Times New Roman" w:hAnsi="Times New Roman" w:eastAsia="仿宋_GB2312"/>
          <w:b w:val="0"/>
          <w:sz w:val="28"/>
        </w:rPr>
        <w:t>徐州八片区的容载比年度轨迹差异明显，容量与同步正向峰值需要按片区、按电压逐年比较。QX-00005 的逐时数据还显示，同一片区既有 956.45 MW 的正向峰值，也有 397.23 MW 的反向峰值，反向送电累计 926 h。由此可见，年度总量不能替代逐时工况，单一静态容载比也不能替代正、反向物理校核。所建数据库将年度状态、逐时证据、质量边界和候选输入关联起来，为后续成本测算和规划方案比较提供数据基础。</w:t>
      </w:r>
    </w:p>
    <w:p>
      <w:pPr>
        <w:pStyle w:val="2"/>
        <w:pageBreakBefore/>
        <w:jc w:val="left"/>
      </w:pPr>
      <w:bookmarkStart w:id="14" w:name="_TocReport0014"/>
      <w:r>
        <w:rPr>
          <w:rFonts w:ascii="Times New Roman" w:hAnsi="Times New Roman" w:eastAsia="仿宋_GB2312"/>
          <w:b/>
          <w:sz w:val="36"/>
        </w:rPr>
        <w:t>第四章 基于实际工程的电网建设成本模型</w:t>
      </w:r>
      <w:bookmarkEnd w:id="14"/>
    </w:p>
    <w:p>
      <w:pPr>
        <w:pStyle w:val="3"/>
        <w:pageBreakBefore w:val="0"/>
        <w:jc w:val="left"/>
      </w:pPr>
      <w:bookmarkStart w:id="15" w:name="_TocReport0015"/>
      <w:r>
        <w:rPr>
          <w:rFonts w:ascii="Times New Roman" w:hAnsi="Times New Roman" w:eastAsia="仿宋_GB2312"/>
          <w:b/>
          <w:sz w:val="28"/>
        </w:rPr>
        <w:t>4.1 分布式新能源配套工程成本数据收集与处理</w:t>
      </w:r>
      <w:bookmarkEnd w:id="15"/>
    </w:p>
    <w:p>
      <w:pPr>
        <w:spacing w:before="0" w:after="0" w:line="560" w:lineRule="exact"/>
        <w:jc w:val="both"/>
        <w:ind w:firstLineChars="200" w:firstLine="200"/>
      </w:pPr>
      <w:r>
        <w:rPr>
          <w:rFonts w:ascii="Times New Roman" w:hAnsi="Times New Roman" w:eastAsia="仿宋_GB2312"/>
          <w:b w:val="0"/>
          <w:sz w:val="28"/>
        </w:rPr>
        <w:t>成本数据的收集范围覆盖主变扩建、替换增容、新建变电站和储能四类措施。主变扩建与替换成本取自徐州地区 110 kV 输变电工程投资资料，储能成本取自公开招标与中标结果，全部价格统一折算至 2025 年价格水平。进入成本库的每条记录保留工程类型、容量档位、价格性质和来源行号，结果表可以回溯到对应的成本依据。</w:t>
      </w:r>
    </w:p>
    <w:p>
      <w:pPr>
        <w:spacing w:before="0" w:after="0" w:line="560" w:lineRule="exact"/>
        <w:jc w:val="both"/>
        <w:ind w:firstLineChars="200" w:firstLine="200"/>
      </w:pPr>
      <w:r>
        <w:rPr>
          <w:rFonts w:ascii="Times New Roman" w:hAnsi="Times New Roman" w:eastAsia="仿宋_GB2312"/>
          <w:b w:val="0"/>
          <w:sz w:val="28"/>
        </w:rPr>
        <w:t>主变扩建成本方面，50 MVA 第三台主变扩建样本的动态投资为 1170 万～1516 万元，中位值 1343 万元。63、80、100 MVA 档位缺少同规模工程案例，模型按同类型工程区间匹配放大，不虚构点估计；替换增容的成本增量按新额定容量与旧额定容量之差计算。新建变电站虽然保留在候选登记中，但因缺少可直接匹配的整站造价案例，不进入本轮成本优化。</w:t>
      </w:r>
    </w:p>
    <w:p>
      <w:pPr>
        <w:spacing w:before="0" w:after="0" w:line="560" w:lineRule="exact"/>
        <w:jc w:val="both"/>
        <w:ind w:firstLineChars="200" w:firstLine="200"/>
      </w:pPr>
      <w:r>
        <w:rPr>
          <w:rFonts w:ascii="Times New Roman" w:hAnsi="Times New Roman" w:eastAsia="仿宋_GB2312"/>
          <w:b w:val="0"/>
          <w:sz w:val="28"/>
        </w:rPr>
        <w:t>储能采用 100 kW/215 kWh 磷酸铁锂一体化柜的整数柜组合。单套采购最高限价为 27.2 万元，十柜批量项目中标价为 210.456 万元。柜数不超过 10 柜时使用单柜价格基准；超过 10 柜后按十柜批量块叠加余数柜，不对两个价格点直接作无限外推。这一处理保留了小规模接入和批量采购的差异，也使储能柜数、功率和能量之间具有明确换算关系。</w:t>
      </w:r>
    </w:p>
    <w:p>
      <w:pPr>
        <w:spacing w:before="0" w:after="0" w:line="560" w:lineRule="exact"/>
        <w:jc w:val="both"/>
        <w:ind w:firstLineChars="200" w:firstLine="200"/>
      </w:pPr>
      <w:r>
        <w:rPr>
          <w:rFonts w:ascii="Times New Roman" w:hAnsi="Times New Roman" w:eastAsia="仿宋_GB2312"/>
          <w:b w:val="0"/>
          <w:sz w:val="28"/>
        </w:rPr>
        <w:t>年化参数取折现率 6%、储能寿命 10 年、储能固定运维费率 3%/年、主变措施寿命 30 年、主变固定运维费率 1.8%/年。上述参数属于模型假设，不是设备强制寿命。本轮将年化假设作为补充敏感性证据，按契约登记范围设置 10 个定向场景，覆盖折现率、储能寿命、主变措施寿命、储能固定运维费率、主变固定运维费率及储能有利/不利组合；每个场景对 QX-00001、QX-00005 扫描粗网格和阈值附近的局部 Rcap 点。正式参数敏感性仍采用储能成本和扩建成本上下浮动 20% 检验成本不确定性，并同时考察净负荷、功率因数和反向承载系数。</w:t>
      </w:r>
    </w:p>
    <w:p>
      <w:pPr>
        <w:pStyle w:val="12"/>
        <w:keepNext/>
        <w:spacing w:before="120" w:after="60" w:line="400" w:lineRule="exact"/>
        <w:jc w:val="center"/>
        <w:ind w:firstLine="0" w:firstLineChars="0"/>
      </w:pPr>
      <w:r>
        <w:rPr>
          <w:rFonts w:ascii="Times New Roman" w:hAnsi="Times New Roman" w:eastAsia="仿宋_GB2312"/>
          <w:b w:val="0"/>
          <w:sz w:val="24"/>
        </w:rPr>
        <w:t>表 4-1 年化参数基准值与契约登记范围</w:t>
      </w:r>
    </w:p>
    <w:tbl>
      <w:tblPr>
        <w:tblW w:type="auto" w:w="0"/>
        <w:tblLayout w:type="autofi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078"/>
        <w:gridCol w:w="2078"/>
        <w:gridCol w:w="2078"/>
        <w:gridCol w:w="2078"/>
      </w:tblGrid>
      <w:tr>
        <w:trPr>
          <w:cantSplit/>
          <w:tblHeader w:val="true"/>
        </w:trPr>
        <w:tc>
          <w:tcPr>
            <w:tcW w:type="dxa" w:w="2078"/>
            <w:vAlign w:val="center"/>
          </w:tcPr>
          <w:p>
            <w:pPr>
              <w:pStyle w:val="97"/>
              <w:jc w:val="center"/>
              <w:spacing w:before="0" w:after="0" w:line="360" w:lineRule="exact"/>
              <w:ind w:firstLine="0" w:firstLineChars="0"/>
            </w:pPr>
            <w:r>
              <w:rPr>
                <w:rFonts w:ascii="Times New Roman" w:hAnsi="Times New Roman" w:eastAsia="仿宋_GB2312"/>
                <w:b/>
                <w:sz w:val="24"/>
              </w:rPr>
              <w:t>参数</w:t>
            </w:r>
          </w:p>
        </w:tc>
        <w:tc>
          <w:tcPr>
            <w:tcW w:type="dxa" w:w="2078"/>
            <w:vAlign w:val="center"/>
          </w:tcPr>
          <w:p>
            <w:pPr>
              <w:pStyle w:val="97"/>
              <w:jc w:val="center"/>
              <w:spacing w:before="0" w:after="0" w:line="360" w:lineRule="exact"/>
              <w:ind w:firstLine="0" w:firstLineChars="0"/>
            </w:pPr>
            <w:r>
              <w:rPr>
                <w:rFonts w:ascii="Times New Roman" w:hAnsi="Times New Roman" w:eastAsia="仿宋_GB2312"/>
                <w:b/>
                <w:sz w:val="24"/>
              </w:rPr>
              <w:t>基准值</w:t>
            </w:r>
          </w:p>
        </w:tc>
        <w:tc>
          <w:tcPr>
            <w:tcW w:type="dxa" w:w="2078"/>
            <w:vAlign w:val="center"/>
          </w:tcPr>
          <w:p>
            <w:pPr>
              <w:pStyle w:val="97"/>
              <w:jc w:val="center"/>
              <w:spacing w:before="0" w:after="0" w:line="360" w:lineRule="exact"/>
              <w:ind w:firstLine="0" w:firstLineChars="0"/>
            </w:pPr>
            <w:r>
              <w:rPr>
                <w:rFonts w:ascii="Times New Roman" w:hAnsi="Times New Roman" w:eastAsia="仿宋_GB2312"/>
                <w:b/>
                <w:sz w:val="24"/>
              </w:rPr>
              <w:t>契约登记范围</w:t>
            </w:r>
          </w:p>
        </w:tc>
        <w:tc>
          <w:tcPr>
            <w:tcW w:type="dxa" w:w="2078"/>
            <w:vAlign w:val="center"/>
          </w:tcPr>
          <w:p>
            <w:pPr>
              <w:pStyle w:val="97"/>
              <w:jc w:val="center"/>
              <w:spacing w:before="0" w:after="0" w:line="360" w:lineRule="exact"/>
              <w:ind w:firstLine="0" w:firstLineChars="0"/>
            </w:pPr>
            <w:r>
              <w:rPr>
                <w:rFonts w:ascii="Times New Roman" w:hAnsi="Times New Roman" w:eastAsia="仿宋_GB2312"/>
                <w:b/>
                <w:sz w:val="24"/>
              </w:rPr>
              <w:t>本轮敏感性处理</w:t>
            </w:r>
          </w:p>
        </w:tc>
      </w:tr>
      <w:tr>
        <w:trPr>
          <w:cantSplit/>
        </w:trPr>
        <w:tc>
          <w:tcPr>
            <w:tcW w:type="dxa" w:w="2078"/>
            <w:vAlign w:val="center"/>
          </w:tcPr>
          <w:p>
            <w:pPr>
              <w:pStyle w:val="97"/>
              <w:jc w:val="left"/>
              <w:spacing w:before="0" w:after="0" w:line="360" w:lineRule="exact"/>
              <w:ind w:firstLine="0" w:firstLineChars="0"/>
            </w:pPr>
            <w:r>
              <w:rPr>
                <w:rFonts w:ascii="Times New Roman" w:hAnsi="Times New Roman" w:eastAsia="仿宋_GB2312"/>
                <w:b w:val="0"/>
                <w:sz w:val="24"/>
              </w:rPr>
              <w:t>折现率</w:t>
            </w:r>
          </w:p>
        </w:tc>
        <w:tc>
          <w:tcPr>
            <w:tcW w:type="dxa" w:w="2078"/>
            <w:vAlign w:val="center"/>
          </w:tcPr>
          <w:p>
            <w:pPr>
              <w:pStyle w:val="97"/>
              <w:jc w:val="center"/>
              <w:spacing w:before="0" w:after="0" w:line="360" w:lineRule="exact"/>
              <w:ind w:firstLine="0" w:firstLineChars="0"/>
            </w:pPr>
            <w:r>
              <w:rPr>
                <w:rFonts w:ascii="Times New Roman" w:hAnsi="Times New Roman" w:eastAsia="仿宋_GB2312"/>
                <w:b w:val="0"/>
                <w:sz w:val="24"/>
              </w:rPr>
              <w:t>6%</w:t>
            </w:r>
          </w:p>
        </w:tc>
        <w:tc>
          <w:tcPr>
            <w:tcW w:type="dxa" w:w="2078"/>
            <w:vAlign w:val="center"/>
          </w:tcPr>
          <w:p>
            <w:pPr>
              <w:pStyle w:val="97"/>
              <w:jc w:val="center"/>
              <w:spacing w:before="0" w:after="0" w:line="360" w:lineRule="exact"/>
              <w:ind w:firstLine="0" w:firstLineChars="0"/>
            </w:pPr>
            <w:r>
              <w:rPr>
                <w:rFonts w:ascii="Times New Roman" w:hAnsi="Times New Roman" w:eastAsia="仿宋_GB2312"/>
                <w:b w:val="0"/>
                <w:sz w:val="24"/>
              </w:rPr>
              <w:t>4%、6%、8%</w:t>
            </w:r>
          </w:p>
        </w:tc>
        <w:tc>
          <w:tcPr>
            <w:tcW w:type="dxa" w:w="2078"/>
            <w:vAlign w:val="center"/>
          </w:tcPr>
          <w:p>
            <w:pPr>
              <w:pStyle w:val="97"/>
              <w:jc w:val="center"/>
              <w:spacing w:before="0" w:after="0" w:line="360" w:lineRule="exact"/>
              <w:ind w:firstLine="0" w:firstLineChars="0"/>
            </w:pPr>
            <w:r>
              <w:rPr>
                <w:rFonts w:ascii="Times New Roman" w:hAnsi="Times New Roman" w:eastAsia="仿宋_GB2312"/>
                <w:b w:val="0"/>
                <w:sz w:val="24"/>
              </w:rPr>
              <w:t>已纳入低、高折现率场景</w:t>
            </w:r>
          </w:p>
        </w:tc>
      </w:tr>
      <w:tr>
        <w:trPr>
          <w:cantSplit/>
        </w:trPr>
        <w:tc>
          <w:tcPr>
            <w:tcW w:type="dxa" w:w="2078"/>
            <w:vAlign w:val="center"/>
          </w:tcPr>
          <w:p>
            <w:pPr>
              <w:pStyle w:val="97"/>
              <w:jc w:val="left"/>
              <w:spacing w:before="0" w:after="0" w:line="360" w:lineRule="exact"/>
              <w:ind w:firstLine="0" w:firstLineChars="0"/>
            </w:pPr>
            <w:r>
              <w:rPr>
                <w:rFonts w:ascii="Times New Roman" w:hAnsi="Times New Roman" w:eastAsia="仿宋_GB2312"/>
                <w:b w:val="0"/>
                <w:sz w:val="24"/>
              </w:rPr>
              <w:t>储能寿命</w:t>
            </w:r>
          </w:p>
        </w:tc>
        <w:tc>
          <w:tcPr>
            <w:tcW w:type="dxa" w:w="2078"/>
            <w:vAlign w:val="center"/>
          </w:tcPr>
          <w:p>
            <w:pPr>
              <w:pStyle w:val="97"/>
              <w:jc w:val="center"/>
              <w:spacing w:before="0" w:after="0" w:line="360" w:lineRule="exact"/>
              <w:ind w:firstLine="0" w:firstLineChars="0"/>
            </w:pPr>
            <w:r>
              <w:rPr>
                <w:rFonts w:ascii="Times New Roman" w:hAnsi="Times New Roman" w:eastAsia="仿宋_GB2312"/>
                <w:b w:val="0"/>
                <w:sz w:val="24"/>
              </w:rPr>
              <w:t>10 年</w:t>
            </w:r>
          </w:p>
        </w:tc>
        <w:tc>
          <w:tcPr>
            <w:tcW w:type="dxa" w:w="2078"/>
            <w:vAlign w:val="center"/>
          </w:tcPr>
          <w:p>
            <w:pPr>
              <w:pStyle w:val="97"/>
              <w:jc w:val="center"/>
              <w:spacing w:before="0" w:after="0" w:line="360" w:lineRule="exact"/>
              <w:ind w:firstLine="0" w:firstLineChars="0"/>
            </w:pPr>
            <w:r>
              <w:rPr>
                <w:rFonts w:ascii="Times New Roman" w:hAnsi="Times New Roman" w:eastAsia="仿宋_GB2312"/>
                <w:b w:val="0"/>
                <w:sz w:val="24"/>
              </w:rPr>
              <w:t>8、10、12 年</w:t>
            </w:r>
          </w:p>
        </w:tc>
        <w:tc>
          <w:tcPr>
            <w:tcW w:type="dxa" w:w="2078"/>
            <w:vAlign w:val="center"/>
          </w:tcPr>
          <w:p>
            <w:pPr>
              <w:pStyle w:val="97"/>
              <w:jc w:val="center"/>
              <w:spacing w:before="0" w:after="0" w:line="360" w:lineRule="exact"/>
              <w:ind w:firstLine="0" w:firstLineChars="0"/>
            </w:pPr>
            <w:r>
              <w:rPr>
                <w:rFonts w:ascii="Times New Roman" w:hAnsi="Times New Roman" w:eastAsia="仿宋_GB2312"/>
                <w:b w:val="0"/>
                <w:sz w:val="24"/>
              </w:rPr>
              <w:t>已纳入短、长寿命场景及储能组合场景</w:t>
            </w:r>
          </w:p>
        </w:tc>
      </w:tr>
      <w:tr>
        <w:trPr>
          <w:cantSplit/>
        </w:trPr>
        <w:tc>
          <w:tcPr>
            <w:tcW w:type="dxa" w:w="2078"/>
            <w:vAlign w:val="center"/>
          </w:tcPr>
          <w:p>
            <w:pPr>
              <w:pStyle w:val="97"/>
              <w:jc w:val="left"/>
              <w:spacing w:before="0" w:after="0" w:line="360" w:lineRule="exact"/>
              <w:ind w:firstLine="0" w:firstLineChars="0"/>
            </w:pPr>
            <w:r>
              <w:rPr>
                <w:rFonts w:ascii="Times New Roman" w:hAnsi="Times New Roman" w:eastAsia="仿宋_GB2312"/>
                <w:b w:val="0"/>
                <w:sz w:val="24"/>
              </w:rPr>
              <w:t>储能固定运维费率</w:t>
            </w:r>
          </w:p>
        </w:tc>
        <w:tc>
          <w:tcPr>
            <w:tcW w:type="dxa" w:w="2078"/>
            <w:vAlign w:val="center"/>
          </w:tcPr>
          <w:p>
            <w:pPr>
              <w:pStyle w:val="97"/>
              <w:jc w:val="center"/>
              <w:spacing w:before="0" w:after="0" w:line="360" w:lineRule="exact"/>
              <w:ind w:firstLine="0" w:firstLineChars="0"/>
            </w:pPr>
            <w:r>
              <w:rPr>
                <w:rFonts w:ascii="Times New Roman" w:hAnsi="Times New Roman" w:eastAsia="仿宋_GB2312"/>
                <w:b w:val="0"/>
                <w:sz w:val="24"/>
              </w:rPr>
              <w:t>3%/年</w:t>
            </w:r>
          </w:p>
        </w:tc>
        <w:tc>
          <w:tcPr>
            <w:tcW w:type="dxa" w:w="2078"/>
            <w:vAlign w:val="center"/>
          </w:tcPr>
          <w:p>
            <w:pPr>
              <w:pStyle w:val="97"/>
              <w:jc w:val="center"/>
              <w:spacing w:before="0" w:after="0" w:line="360" w:lineRule="exact"/>
              <w:ind w:firstLine="0" w:firstLineChars="0"/>
            </w:pPr>
            <w:r>
              <w:rPr>
                <w:rFonts w:ascii="Times New Roman" w:hAnsi="Times New Roman" w:eastAsia="仿宋_GB2312"/>
                <w:b w:val="0"/>
                <w:sz w:val="24"/>
              </w:rPr>
              <w:t>1.5%、3%、4.5%</w:t>
            </w:r>
          </w:p>
        </w:tc>
        <w:tc>
          <w:tcPr>
            <w:tcW w:type="dxa" w:w="2078"/>
            <w:vAlign w:val="center"/>
          </w:tcPr>
          <w:p>
            <w:pPr>
              <w:pStyle w:val="97"/>
              <w:jc w:val="center"/>
              <w:spacing w:before="0" w:after="0" w:line="360" w:lineRule="exact"/>
              <w:ind w:firstLine="0" w:firstLineChars="0"/>
            </w:pPr>
            <w:r>
              <w:rPr>
                <w:rFonts w:ascii="Times New Roman" w:hAnsi="Times New Roman" w:eastAsia="仿宋_GB2312"/>
                <w:b w:val="0"/>
                <w:sz w:val="24"/>
              </w:rPr>
              <w:t>已纳入高、低运维费率及储能组合场景</w:t>
            </w:r>
          </w:p>
        </w:tc>
      </w:tr>
      <w:tr>
        <w:trPr>
          <w:cantSplit/>
        </w:trPr>
        <w:tc>
          <w:tcPr>
            <w:tcW w:type="dxa" w:w="2078"/>
            <w:vAlign w:val="center"/>
          </w:tcPr>
          <w:p>
            <w:pPr>
              <w:pStyle w:val="97"/>
              <w:jc w:val="left"/>
              <w:spacing w:before="0" w:after="0" w:line="360" w:lineRule="exact"/>
              <w:ind w:firstLine="0" w:firstLineChars="0"/>
            </w:pPr>
            <w:r>
              <w:rPr>
                <w:rFonts w:ascii="Times New Roman" w:hAnsi="Times New Roman" w:eastAsia="仿宋_GB2312"/>
                <w:b w:val="0"/>
                <w:sz w:val="24"/>
              </w:rPr>
              <w:t>主变措施寿命</w:t>
            </w:r>
          </w:p>
        </w:tc>
        <w:tc>
          <w:tcPr>
            <w:tcW w:type="dxa" w:w="2078"/>
            <w:vAlign w:val="center"/>
          </w:tcPr>
          <w:p>
            <w:pPr>
              <w:pStyle w:val="97"/>
              <w:jc w:val="center"/>
              <w:spacing w:before="0" w:after="0" w:line="360" w:lineRule="exact"/>
              <w:ind w:firstLine="0" w:firstLineChars="0"/>
            </w:pPr>
            <w:r>
              <w:rPr>
                <w:rFonts w:ascii="Times New Roman" w:hAnsi="Times New Roman" w:eastAsia="仿宋_GB2312"/>
                <w:b w:val="0"/>
                <w:sz w:val="24"/>
              </w:rPr>
              <w:t>30 年</w:t>
            </w:r>
          </w:p>
        </w:tc>
        <w:tc>
          <w:tcPr>
            <w:tcW w:type="dxa" w:w="2078"/>
            <w:vAlign w:val="center"/>
          </w:tcPr>
          <w:p>
            <w:pPr>
              <w:pStyle w:val="97"/>
              <w:jc w:val="center"/>
              <w:spacing w:before="0" w:after="0" w:line="360" w:lineRule="exact"/>
              <w:ind w:firstLine="0" w:firstLineChars="0"/>
            </w:pPr>
            <w:r>
              <w:rPr>
                <w:rFonts w:ascii="Times New Roman" w:hAnsi="Times New Roman" w:eastAsia="仿宋_GB2312"/>
                <w:b w:val="0"/>
                <w:sz w:val="24"/>
              </w:rPr>
              <w:t>25、30、35 年</w:t>
            </w:r>
          </w:p>
        </w:tc>
        <w:tc>
          <w:tcPr>
            <w:tcW w:type="dxa" w:w="2078"/>
            <w:vAlign w:val="center"/>
          </w:tcPr>
          <w:p>
            <w:pPr>
              <w:pStyle w:val="97"/>
              <w:jc w:val="center"/>
              <w:spacing w:before="0" w:after="0" w:line="360" w:lineRule="exact"/>
              <w:ind w:firstLine="0" w:firstLineChars="0"/>
            </w:pPr>
            <w:r>
              <w:rPr>
                <w:rFonts w:ascii="Times New Roman" w:hAnsi="Times New Roman" w:eastAsia="仿宋_GB2312"/>
                <w:b w:val="0"/>
                <w:sz w:val="24"/>
              </w:rPr>
              <w:t>已纳入短、长寿命场景</w:t>
            </w:r>
          </w:p>
        </w:tc>
      </w:tr>
      <w:tr>
        <w:trPr>
          <w:cantSplit/>
        </w:trPr>
        <w:tc>
          <w:tcPr>
            <w:tcW w:type="dxa" w:w="2078"/>
            <w:vAlign w:val="center"/>
          </w:tcPr>
          <w:p>
            <w:pPr>
              <w:pStyle w:val="97"/>
              <w:jc w:val="left"/>
              <w:spacing w:before="0" w:after="0" w:line="360" w:lineRule="exact"/>
              <w:ind w:firstLine="0" w:firstLineChars="0"/>
            </w:pPr>
            <w:r>
              <w:rPr>
                <w:rFonts w:ascii="Times New Roman" w:hAnsi="Times New Roman" w:eastAsia="仿宋_GB2312"/>
                <w:b w:val="0"/>
                <w:sz w:val="24"/>
              </w:rPr>
              <w:t>主变固定运维费率</w:t>
            </w:r>
          </w:p>
        </w:tc>
        <w:tc>
          <w:tcPr>
            <w:tcW w:type="dxa" w:w="2078"/>
            <w:vAlign w:val="center"/>
          </w:tcPr>
          <w:p>
            <w:pPr>
              <w:pStyle w:val="97"/>
              <w:jc w:val="center"/>
              <w:spacing w:before="0" w:after="0" w:line="360" w:lineRule="exact"/>
              <w:ind w:firstLine="0" w:firstLineChars="0"/>
            </w:pPr>
            <w:r>
              <w:rPr>
                <w:rFonts w:ascii="Times New Roman" w:hAnsi="Times New Roman" w:eastAsia="仿宋_GB2312"/>
                <w:b w:val="0"/>
                <w:sz w:val="24"/>
              </w:rPr>
              <w:t>1.8%</w:t>
            </w:r>
          </w:p>
        </w:tc>
        <w:tc>
          <w:tcPr>
            <w:tcW w:type="dxa" w:w="2078"/>
            <w:vAlign w:val="center"/>
          </w:tcPr>
          <w:p>
            <w:pPr>
              <w:pStyle w:val="97"/>
              <w:jc w:val="center"/>
              <w:spacing w:before="0" w:after="0" w:line="360" w:lineRule="exact"/>
              <w:ind w:firstLine="0" w:firstLineChars="0"/>
            </w:pPr>
            <w:r>
              <w:rPr>
                <w:rFonts w:ascii="Times New Roman" w:hAnsi="Times New Roman" w:eastAsia="仿宋_GB2312"/>
                <w:b w:val="0"/>
                <w:sz w:val="24"/>
              </w:rPr>
              <w:t>1%、1.8%、2.5%</w:t>
            </w:r>
          </w:p>
        </w:tc>
        <w:tc>
          <w:tcPr>
            <w:tcW w:type="dxa" w:w="2078"/>
            <w:vAlign w:val="center"/>
          </w:tcPr>
          <w:p>
            <w:pPr>
              <w:pStyle w:val="97"/>
              <w:jc w:val="center"/>
              <w:spacing w:before="0" w:after="0" w:line="360" w:lineRule="exact"/>
              <w:ind w:firstLine="0" w:firstLineChars="0"/>
            </w:pPr>
            <w:r>
              <w:rPr>
                <w:rFonts w:ascii="Times New Roman" w:hAnsi="Times New Roman" w:eastAsia="仿宋_GB2312"/>
                <w:b w:val="0"/>
                <w:sz w:val="24"/>
              </w:rPr>
              <w:t>已纳入与储能运维费率联动的组合场景</w:t>
            </w:r>
          </w:p>
        </w:tc>
      </w:tr>
    </w:tbl>
    <w:p>
      <w:pPr>
        <w:pStyle w:val="3"/>
        <w:pageBreakBefore w:val="0"/>
        <w:jc w:val="left"/>
      </w:pPr>
      <w:bookmarkStart w:id="16" w:name="_TocReport0016"/>
      <w:r>
        <w:rPr>
          <w:rFonts w:ascii="Times New Roman" w:hAnsi="Times New Roman" w:eastAsia="仿宋_GB2312"/>
          <w:b/>
          <w:sz w:val="28"/>
        </w:rPr>
        <w:t>4.2 成本驱动因子识别与参数化模型建立</w:t>
      </w:r>
      <w:bookmarkEnd w:id="16"/>
    </w:p>
    <w:p>
      <w:pPr>
        <w:spacing w:before="0" w:after="0" w:line="560" w:lineRule="exact"/>
        <w:jc w:val="both"/>
        <w:ind w:firstLineChars="200" w:firstLine="200"/>
      </w:pPr>
      <w:r>
        <w:rPr>
          <w:rFonts w:ascii="Times New Roman" w:hAnsi="Times New Roman" w:eastAsia="仿宋_GB2312"/>
          <w:b w:val="0"/>
          <w:sz w:val="28"/>
        </w:rPr>
        <w:t>影响措施成本和可行性的因素包括电压等级、容量档位、措施类型和站址条件。110 kV 与 35 kV 工程分开建模，不共用成本曲线；容量档位决定主变工程能否找到同类型案例；措施类型区分新建第三台主变、替换增容、新建站和储能；站址条件以可用 10 kV 接入间隔等工程条件进入硬约束。</w:t>
      </w:r>
    </w:p>
    <w:p>
      <w:pPr>
        <w:spacing w:before="0" w:after="0" w:line="560" w:lineRule="exact"/>
        <w:jc w:val="both"/>
        <w:ind w:firstLineChars="200" w:firstLine="200"/>
      </w:pPr>
      <w:r>
        <w:rPr>
          <w:rFonts w:ascii="Times New Roman" w:hAnsi="Times New Roman" w:eastAsia="仿宋_GB2312"/>
          <w:b w:val="0"/>
          <w:sz w:val="28"/>
        </w:rPr>
        <w:t>参数化模型将上述因素落实为可追溯的离散候选。110 kV 主变工程成本库共登记 92 条记录，其中 89 条为新增第三台主变候选，3 条新建站候选因缺少整站造价而不进入本轮优化；储能按站址接入条件另行生成整数柜候选。正式主模型不启用退役候选，当前实际资产候选集中也不包含替换增容动作。所有入选动作在投运后都重新接受正向容量、反向承载和内部容量网络压力筛查。</w:t>
      </w:r>
    </w:p>
    <w:p>
      <w:pPr>
        <w:spacing w:before="0" w:after="0" w:line="560" w:lineRule="exact"/>
        <w:jc w:val="both"/>
        <w:ind w:firstLineChars="200" w:firstLine="200"/>
      </w:pPr>
      <w:r>
        <w:rPr>
          <w:rFonts w:ascii="Times New Roman" w:hAnsi="Times New Roman" w:eastAsia="仿宋_GB2312"/>
          <w:b w:val="0"/>
          <w:sz w:val="28"/>
        </w:rPr>
        <w:t>成本目标不是一次性建设投资，而是 2022—2025 年累计在役等效年成本。若候选在某年投运，则只从投运年起计入当年及以后在役成本；2021 年既有资产为共同存量，不进入增量成本。年度结果同时输出 CAPEX、年度在役等效年成本、累计 CAPEX 和累计年化成本，未知实际措施成本保留为“未识别”，不以零填充。</w:t>
      </w:r>
    </w:p>
    <w:p>
      <w:pPr>
        <w:pStyle w:val="3"/>
        <w:pageBreakBefore w:val="0"/>
        <w:jc w:val="left"/>
      </w:pPr>
      <w:bookmarkStart w:id="17" w:name="_TocReport0017"/>
      <w:r>
        <w:rPr>
          <w:rFonts w:ascii="Times New Roman" w:hAnsi="Times New Roman" w:eastAsia="仿宋_GB2312"/>
          <w:b/>
          <w:sz w:val="28"/>
        </w:rPr>
        <w:t>4.3 共同资产基线与严格控制模型</w:t>
      </w:r>
      <w:bookmarkEnd w:id="17"/>
    </w:p>
    <w:p>
      <w:pPr>
        <w:spacing w:before="0" w:after="0" w:line="560" w:lineRule="exact"/>
        <w:jc w:val="both"/>
        <w:ind w:firstLineChars="200" w:firstLine="200"/>
      </w:pPr>
      <w:r>
        <w:rPr>
          <w:rFonts w:ascii="Times New Roman" w:hAnsi="Times New Roman" w:eastAsia="仿宋_GB2312"/>
          <w:b w:val="0"/>
          <w:sz w:val="28"/>
        </w:rPr>
        <w:t>三类正式方案的关系如下：实际发展情况用于记录 2021—2025 年事实，不参与最优排名；弹性优化方案从 2021 年实际在役资产出发，不设置统一 Rcap 上限；严格优化方案也从同一实际在役资产出发，既有容量存量豁免，自 2022 年起仅对 110 kV 规划期新增容量施加 Rcap=2.0 的控制。</w:t>
      </w:r>
    </w:p>
    <w:p>
      <w:pPr>
        <w:spacing w:before="0" w:after="0" w:line="560" w:lineRule="exact"/>
        <w:jc w:val="both"/>
        <w:ind w:firstLineChars="200" w:firstLine="200"/>
      </w:pPr>
      <w:r>
        <w:rPr>
          <w:rFonts w:ascii="Times New Roman" w:hAnsi="Times New Roman" w:eastAsia="仿宋_GB2312"/>
          <w:b w:val="0"/>
          <w:sz w:val="28"/>
        </w:rPr>
        <w:t>对片区 (q)、电压等级 (v) 和年份 (y)，规划容量分解为</w:t>
      </w:r>
    </w:p>
    <w:p>
      <w:pPr>
        <w:spacing w:before="0" w:after="0" w:line="560" w:lineRule="exact"/>
        <w:jc w:val="both"/>
        <w:ind w:firstLineChars="200" w:firstLine="200"/>
      </w:pPr>
      <w:r>
        <w:rPr>
          <w:rFonts w:ascii="Times New Roman" w:hAnsi="Times New Roman" w:eastAsia="仿宋_GB2312"/>
          <w:b w:val="0"/>
          <w:sz w:val="28"/>
        </w:rPr>
        <w:t>[</w:t>
      </w:r>
    </w:p>
    <w:p>
      <w:pPr>
        <w:spacing w:before="0" w:after="0" w:line="560" w:lineRule="exact"/>
        <w:jc w:val="both"/>
        <w:ind w:firstLineChars="200" w:firstLine="200"/>
      </w:pPr>
      <w:r>
        <w:rPr>
          <w:rFonts w:ascii="Times New Roman" w:hAnsi="Times New Roman" w:eastAsia="仿宋_GB2312"/>
          <w:b w:val="0"/>
          <w:sz w:val="28"/>
        </w:rPr>
        <w:t>S_{y,q,v}=S_{2021,q,v}^{existing}+\Delta S_{y,q,v},</w:t>
      </w:r>
    </w:p>
    <w:p>
      <w:pPr>
        <w:spacing w:before="0" w:after="0" w:line="560" w:lineRule="exact"/>
        <w:jc w:val="both"/>
        <w:ind w:firstLineChars="200" w:firstLine="200"/>
      </w:pPr>
      <w:r>
        <w:rPr>
          <w:rFonts w:ascii="Times New Roman" w:hAnsi="Times New Roman" w:eastAsia="仿宋_GB2312"/>
          <w:b w:val="0"/>
          <w:sz w:val="28"/>
        </w:rPr>
        <w:t>]</w:t>
      </w:r>
    </w:p>
    <w:p>
      <w:pPr>
        <w:spacing w:before="0" w:after="0" w:line="560" w:lineRule="exact"/>
        <w:jc w:val="both"/>
        <w:ind w:firstLineChars="200" w:firstLine="200"/>
      </w:pPr>
      <w:r>
        <w:rPr>
          <w:rFonts w:ascii="Times New Roman" w:hAnsi="Times New Roman" w:eastAsia="仿宋_GB2312"/>
          <w:b w:val="0"/>
          <w:sz w:val="28"/>
        </w:rPr>
        <w:t>其中 (S_{2021,q,v}^{existing}) 是 2021 年已确认的实际在役容量，\(\Delta S\) 是由离散候选形成的规划期新增容量。严格控制的增量约束写为</w:t>
      </w:r>
    </w:p>
    <w:p>
      <w:pPr>
        <w:spacing w:before="0" w:after="0" w:line="560" w:lineRule="exact"/>
        <w:jc w:val="both"/>
        <w:ind w:firstLineChars="200" w:firstLine="200"/>
      </w:pPr>
      <w:r>
        <w:rPr>
          <w:rFonts w:ascii="Times New Roman" w:hAnsi="Times New Roman" w:eastAsia="仿宋_GB2312"/>
          <w:b w:val="0"/>
          <w:sz w:val="28"/>
        </w:rPr>
        <w:t>[</w:t>
      </w:r>
    </w:p>
    <w:p>
      <w:pPr>
        <w:spacing w:before="0" w:after="0" w:line="560" w:lineRule="exact"/>
        <w:jc w:val="both"/>
        <w:ind w:firstLineChars="200" w:firstLine="200"/>
      </w:pPr>
      <w:r>
        <w:rPr>
          <w:rFonts w:ascii="Times New Roman" w:hAnsi="Times New Roman" w:eastAsia="仿宋_GB2312"/>
          <w:b w:val="0"/>
          <w:sz w:val="28"/>
        </w:rPr>
        <w:t>\Delta S_{y,q,110}\leq\max\left(Rcap\cdot P^+_{y,q,110}-S_{2021,q,110}^{existing},0\right).</w:t>
      </w:r>
    </w:p>
    <w:p>
      <w:pPr>
        <w:spacing w:before="0" w:after="0" w:line="560" w:lineRule="exact"/>
        <w:jc w:val="both"/>
        <w:ind w:firstLineChars="200" w:firstLine="200"/>
      </w:pPr>
      <w:r>
        <w:rPr>
          <w:rFonts w:ascii="Times New Roman" w:hAnsi="Times New Roman" w:eastAsia="仿宋_GB2312"/>
          <w:b w:val="0"/>
          <w:sz w:val="28"/>
        </w:rPr>
        <w:t>]</w:t>
      </w:r>
    </w:p>
    <w:p>
      <w:pPr>
        <w:spacing w:before="0" w:after="0" w:line="560" w:lineRule="exact"/>
        <w:jc w:val="both"/>
        <w:ind w:firstLineChars="200" w:firstLine="200"/>
      </w:pPr>
      <w:r>
        <w:rPr>
          <w:rFonts w:ascii="Times New Roman" w:hAnsi="Times New Roman" w:eastAsia="仿宋_GB2312"/>
          <w:b w:val="0"/>
          <w:sz w:val="28"/>
        </w:rPr>
        <w:t>该式表示政策控制作用于新增容量，不要求通过减容或退役把既有资产强行压到 Rcap 以内。因此，正式输出中同时保留“物理实现容载比”和“政策控制比”：前者按实际在役总容量除以同步正向最大净负荷计算，后者用于表示新增容量的控制上限。严格方案的物理实现容载比可能高于 2.0，这不是约束失效，而是存量容量豁免规则的直接结果。</w:t>
      </w:r>
    </w:p>
    <w:p>
      <w:pPr>
        <w:spacing w:before="0" w:after="0" w:line="560" w:lineRule="exact"/>
        <w:jc w:val="both"/>
        <w:ind w:firstLineChars="200" w:firstLine="200"/>
      </w:pPr>
      <w:r>
        <w:rPr>
          <w:rFonts w:ascii="Times New Roman" w:hAnsi="Times New Roman" w:eastAsia="仿宋_GB2312"/>
          <w:b w:val="0"/>
          <w:sz w:val="28"/>
        </w:rPr>
        <w:t>以 (2P^+_{2021}) 构造的标准化状态只用于反事实对照或敏感性分析，不进入正式规划基线，也不改变设备级物理容量、站址和网络约束。</w:t>
      </w:r>
    </w:p>
    <w:p>
      <w:pPr>
        <w:pStyle w:val="3"/>
        <w:pageBreakBefore w:val="0"/>
        <w:jc w:val="left"/>
      </w:pPr>
      <w:bookmarkStart w:id="18" w:name="_TocReport0018"/>
      <w:r>
        <w:rPr>
          <w:rFonts w:ascii="Times New Roman" w:hAnsi="Times New Roman" w:eastAsia="仿宋_GB2312"/>
          <w:b/>
          <w:sz w:val="28"/>
        </w:rPr>
        <w:t>4.4 物理触发原因与正式方案结果</w:t>
      </w:r>
      <w:bookmarkEnd w:id="18"/>
    </w:p>
    <w:p>
      <w:pPr>
        <w:spacing w:before="0" w:after="0" w:line="560" w:lineRule="exact"/>
        <w:jc w:val="both"/>
        <w:ind w:firstLineChars="200" w:firstLine="200"/>
      </w:pPr>
      <w:r>
        <w:rPr>
          <w:rFonts w:ascii="Times New Roman" w:hAnsi="Times New Roman" w:eastAsia="仿宋_GB2312"/>
          <w:b w:val="0"/>
          <w:sz w:val="28"/>
        </w:rPr>
        <w:t>本轮 110 kV 结果显示，正式措施触发不能由“容载比大于 2.0”单独推出。2025 年零动作诊断中的正向容量缺口均为零；QX-00001、QX-00003、QX-00004、QX-00005 形成反向承载缺口，分别为 7.885 MW、9.455 MW、10.460 MW 和 52.800 MW，对应缺口设备数为 3、1、2 和 4。QX-00007 未形成设备级正反向缺口，成本优化不配置新增措施。QX-00008、QX-00009、QX-00010 虽有反向约束诊断，但无上限方案未形成完整物理可行集，先按技术约束优先处理。</w:t>
      </w:r>
    </w:p>
    <w:p>
      <w:pPr>
        <w:pStyle w:val="12"/>
        <w:keepNext/>
        <w:spacing w:before="120" w:after="60" w:line="400" w:lineRule="exact"/>
        <w:jc w:val="center"/>
        <w:ind w:firstLine="0" w:firstLineChars="0"/>
      </w:pPr>
      <w:r>
        <w:rPr>
          <w:rFonts w:ascii="Times New Roman" w:hAnsi="Times New Roman" w:eastAsia="仿宋_GB2312"/>
          <w:b w:val="0"/>
          <w:sz w:val="24"/>
        </w:rPr>
        <w:t>表 4-2 110 kV 片区措施触发与 2025 年结果</w:t>
      </w:r>
    </w:p>
    <w:tbl>
      <w:tblPr>
        <w:tblW w:type="auto" w:w="0"/>
        <w:tblLayout w:type="autofi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39"/>
        <w:gridCol w:w="1039"/>
        <w:gridCol w:w="1039"/>
        <w:gridCol w:w="1039"/>
        <w:gridCol w:w="1039"/>
        <w:gridCol w:w="1039"/>
        <w:gridCol w:w="1039"/>
        <w:gridCol w:w="1039"/>
      </w:tblGrid>
      <w:tr>
        <w:trPr>
          <w:cantSplit/>
          <w:tblHeader w:val="true"/>
        </w:trPr>
        <w:tc>
          <w:tcPr>
            <w:tcW w:type="dxa" w:w="1039"/>
            <w:vAlign w:val="center"/>
          </w:tcPr>
          <w:p>
            <w:pPr>
              <w:pStyle w:val="97"/>
              <w:jc w:val="center"/>
              <w:spacing w:before="0" w:after="0" w:line="360" w:lineRule="exact"/>
              <w:ind w:firstLine="0" w:firstLineChars="0"/>
            </w:pPr>
            <w:r>
              <w:rPr>
                <w:rFonts w:ascii="Times New Roman" w:hAnsi="Times New Roman" w:eastAsia="仿宋_GB2312"/>
                <w:b/>
                <w:sz w:val="24"/>
              </w:rPr>
              <w:t>片区</w:t>
            </w:r>
          </w:p>
        </w:tc>
        <w:tc>
          <w:tcPr>
            <w:tcW w:type="dxa" w:w="1039"/>
            <w:vAlign w:val="center"/>
          </w:tcPr>
          <w:p>
            <w:pPr>
              <w:pStyle w:val="97"/>
              <w:jc w:val="center"/>
              <w:spacing w:before="0" w:after="0" w:line="360" w:lineRule="exact"/>
              <w:ind w:firstLine="0" w:firstLineChars="0"/>
            </w:pPr>
            <w:r>
              <w:rPr>
                <w:rFonts w:ascii="Times New Roman" w:hAnsi="Times New Roman" w:eastAsia="仿宋_GB2312"/>
                <w:b/>
                <w:sz w:val="24"/>
              </w:rPr>
              <w:t>正向容量缺口（MW）</w:t>
            </w:r>
          </w:p>
        </w:tc>
        <w:tc>
          <w:tcPr>
            <w:tcW w:type="dxa" w:w="1039"/>
            <w:vAlign w:val="center"/>
          </w:tcPr>
          <w:p>
            <w:pPr>
              <w:pStyle w:val="97"/>
              <w:jc w:val="center"/>
              <w:spacing w:before="0" w:after="0" w:line="360" w:lineRule="exact"/>
              <w:ind w:firstLine="0" w:firstLineChars="0"/>
            </w:pPr>
            <w:r>
              <w:rPr>
                <w:rFonts w:ascii="Times New Roman" w:hAnsi="Times New Roman" w:eastAsia="仿宋_GB2312"/>
                <w:b/>
                <w:sz w:val="24"/>
              </w:rPr>
              <w:t>反向承载缺口（MW）</w:t>
            </w:r>
          </w:p>
        </w:tc>
        <w:tc>
          <w:tcPr>
            <w:tcW w:type="dxa" w:w="1039"/>
            <w:vAlign w:val="center"/>
          </w:tcPr>
          <w:p>
            <w:pPr>
              <w:pStyle w:val="97"/>
              <w:jc w:val="center"/>
              <w:spacing w:before="0" w:after="0" w:line="360" w:lineRule="exact"/>
              <w:ind w:firstLine="0" w:firstLineChars="0"/>
            </w:pPr>
            <w:r>
              <w:rPr>
                <w:rFonts w:ascii="Times New Roman" w:hAnsi="Times New Roman" w:eastAsia="仿宋_GB2312"/>
                <w:b/>
                <w:sz w:val="24"/>
              </w:rPr>
              <w:t>反向缺口设备数</w:t>
            </w:r>
          </w:p>
        </w:tc>
        <w:tc>
          <w:tcPr>
            <w:tcW w:type="dxa" w:w="1039"/>
            <w:vAlign w:val="center"/>
          </w:tcPr>
          <w:p>
            <w:pPr>
              <w:pStyle w:val="97"/>
              <w:jc w:val="center"/>
              <w:spacing w:before="0" w:after="0" w:line="360" w:lineRule="exact"/>
              <w:ind w:firstLine="0" w:firstLineChars="0"/>
            </w:pPr>
            <w:r>
              <w:rPr>
                <w:rFonts w:ascii="Times New Roman" w:hAnsi="Times New Roman" w:eastAsia="仿宋_GB2312"/>
                <w:b/>
                <w:sz w:val="24"/>
              </w:rPr>
              <w:t>弹性方案措施</w:t>
            </w:r>
          </w:p>
        </w:tc>
        <w:tc>
          <w:tcPr>
            <w:tcW w:type="dxa" w:w="1039"/>
            <w:vAlign w:val="center"/>
          </w:tcPr>
          <w:p>
            <w:pPr>
              <w:pStyle w:val="97"/>
              <w:jc w:val="center"/>
              <w:spacing w:before="0" w:after="0" w:line="360" w:lineRule="exact"/>
              <w:ind w:firstLine="0" w:firstLineChars="0"/>
            </w:pPr>
            <w:r>
              <w:rPr>
                <w:rFonts w:ascii="Times New Roman" w:hAnsi="Times New Roman" w:eastAsia="仿宋_GB2312"/>
                <w:b/>
                <w:sz w:val="24"/>
              </w:rPr>
              <w:t>弹性方案累计年化成本（万元）</w:t>
            </w:r>
          </w:p>
        </w:tc>
        <w:tc>
          <w:tcPr>
            <w:tcW w:type="dxa" w:w="1039"/>
            <w:vAlign w:val="center"/>
          </w:tcPr>
          <w:p>
            <w:pPr>
              <w:pStyle w:val="97"/>
              <w:jc w:val="center"/>
              <w:spacing w:before="0" w:after="0" w:line="360" w:lineRule="exact"/>
              <w:ind w:firstLine="0" w:firstLineChars="0"/>
            </w:pPr>
            <w:r>
              <w:rPr>
                <w:rFonts w:ascii="Times New Roman" w:hAnsi="Times New Roman" w:eastAsia="仿宋_GB2312"/>
                <w:b/>
                <w:sz w:val="24"/>
              </w:rPr>
              <w:t>严格方案措施</w:t>
            </w:r>
          </w:p>
        </w:tc>
        <w:tc>
          <w:tcPr>
            <w:tcW w:type="dxa" w:w="1039"/>
            <w:vAlign w:val="center"/>
          </w:tcPr>
          <w:p>
            <w:pPr>
              <w:pStyle w:val="97"/>
              <w:jc w:val="center"/>
              <w:spacing w:before="0" w:after="0" w:line="360" w:lineRule="exact"/>
              <w:ind w:firstLine="0" w:firstLineChars="0"/>
            </w:pPr>
            <w:r>
              <w:rPr>
                <w:rFonts w:ascii="Times New Roman" w:hAnsi="Times New Roman" w:eastAsia="仿宋_GB2312"/>
                <w:b/>
                <w:sz w:val="24"/>
              </w:rPr>
              <w:t>严格方案累计年化成本（万元）</w:t>
            </w:r>
          </w:p>
        </w:tc>
      </w:tr>
      <w:tr>
        <w:trPr>
          <w:cantSplit/>
        </w:trPr>
        <w:tc>
          <w:tcPr>
            <w:tcW w:type="dxa" w:w="1039"/>
            <w:vAlign w:val="center"/>
          </w:tcPr>
          <w:p>
            <w:pPr>
              <w:pStyle w:val="97"/>
              <w:jc w:val="left"/>
              <w:spacing w:before="0" w:after="0" w:line="360" w:lineRule="exact"/>
              <w:ind w:firstLine="0" w:firstLineChars="0"/>
            </w:pPr>
            <w:r>
              <w:rPr>
                <w:rFonts w:ascii="Times New Roman" w:hAnsi="Times New Roman" w:eastAsia="仿宋_GB2312"/>
                <w:b w:val="0"/>
                <w:sz w:val="24"/>
              </w:rPr>
              <w:t>QX-00001</w:t>
            </w:r>
          </w:p>
        </w:tc>
        <w:tc>
          <w:tcPr>
            <w:tcW w:type="dxa" w:w="1039"/>
            <w:vAlign w:val="center"/>
          </w:tcPr>
          <w:p>
            <w:pPr>
              <w:pStyle w:val="97"/>
              <w:jc w:val="center"/>
              <w:spacing w:before="0" w:after="0" w:line="360" w:lineRule="exact"/>
              <w:ind w:firstLine="0" w:firstLineChars="0"/>
            </w:pPr>
            <w:r>
              <w:rPr>
                <w:rFonts w:ascii="Times New Roman" w:hAnsi="Times New Roman" w:eastAsia="仿宋_GB2312"/>
                <w:b w:val="0"/>
                <w:sz w:val="24"/>
              </w:rPr>
              <w:t>0</w:t>
            </w:r>
          </w:p>
        </w:tc>
        <w:tc>
          <w:tcPr>
            <w:tcW w:type="dxa" w:w="1039"/>
            <w:vAlign w:val="center"/>
          </w:tcPr>
          <w:p>
            <w:pPr>
              <w:pStyle w:val="97"/>
              <w:jc w:val="center"/>
              <w:spacing w:before="0" w:after="0" w:line="360" w:lineRule="exact"/>
              <w:ind w:firstLine="0" w:firstLineChars="0"/>
            </w:pPr>
            <w:r>
              <w:rPr>
                <w:rFonts w:ascii="Times New Roman" w:hAnsi="Times New Roman" w:eastAsia="仿宋_GB2312"/>
                <w:b w:val="0"/>
                <w:sz w:val="24"/>
              </w:rPr>
              <w:t>7.885</w:t>
            </w:r>
          </w:p>
        </w:tc>
        <w:tc>
          <w:tcPr>
            <w:tcW w:type="dxa" w:w="1039"/>
            <w:vAlign w:val="center"/>
          </w:tcPr>
          <w:p>
            <w:pPr>
              <w:pStyle w:val="97"/>
              <w:jc w:val="center"/>
              <w:spacing w:before="0" w:after="0" w:line="360" w:lineRule="exact"/>
              <w:ind w:firstLine="0" w:firstLineChars="0"/>
            </w:pPr>
            <w:r>
              <w:rPr>
                <w:rFonts w:ascii="Times New Roman" w:hAnsi="Times New Roman" w:eastAsia="仿宋_GB2312"/>
                <w:b w:val="0"/>
                <w:sz w:val="24"/>
              </w:rPr>
              <w:t>3</w:t>
            </w:r>
          </w:p>
        </w:tc>
        <w:tc>
          <w:tcPr>
            <w:tcW w:type="dxa" w:w="1039"/>
            <w:vAlign w:val="center"/>
          </w:tcPr>
          <w:p>
            <w:pPr>
              <w:pStyle w:val="97"/>
              <w:jc w:val="center"/>
              <w:spacing w:before="0" w:after="0" w:line="360" w:lineRule="exact"/>
              <w:ind w:firstLine="0" w:firstLineChars="0"/>
            </w:pPr>
            <w:r>
              <w:rPr>
                <w:rFonts w:ascii="Times New Roman" w:hAnsi="Times New Roman" w:eastAsia="仿宋_GB2312"/>
                <w:b w:val="0"/>
                <w:sz w:val="24"/>
              </w:rPr>
              <w:t>新增第三台主变、储能 19 柜</w:t>
            </w:r>
          </w:p>
        </w:tc>
        <w:tc>
          <w:tcPr>
            <w:tcW w:type="dxa" w:w="1039"/>
            <w:vAlign w:val="center"/>
          </w:tcPr>
          <w:p>
            <w:pPr>
              <w:pStyle w:val="97"/>
              <w:jc w:val="center"/>
              <w:spacing w:before="0" w:after="0" w:line="360" w:lineRule="exact"/>
              <w:ind w:firstLine="0" w:firstLineChars="0"/>
            </w:pPr>
            <w:r>
              <w:rPr>
                <w:rFonts w:ascii="Times New Roman" w:hAnsi="Times New Roman" w:eastAsia="仿宋_GB2312"/>
                <w:b w:val="0"/>
                <w:sz w:val="24"/>
              </w:rPr>
              <w:t>188.18</w:t>
            </w:r>
          </w:p>
        </w:tc>
        <w:tc>
          <w:tcPr>
            <w:tcW w:type="dxa" w:w="1039"/>
            <w:vAlign w:val="center"/>
          </w:tcPr>
          <w:p>
            <w:pPr>
              <w:pStyle w:val="97"/>
              <w:jc w:val="center"/>
              <w:spacing w:before="0" w:after="0" w:line="360" w:lineRule="exact"/>
              <w:ind w:firstLine="0" w:firstLineChars="0"/>
            </w:pPr>
            <w:r>
              <w:rPr>
                <w:rFonts w:ascii="Times New Roman" w:hAnsi="Times New Roman" w:eastAsia="仿宋_GB2312"/>
                <w:b w:val="0"/>
                <w:sz w:val="24"/>
              </w:rPr>
              <w:t>储能 138 柜</w:t>
            </w:r>
          </w:p>
        </w:tc>
        <w:tc>
          <w:tcPr>
            <w:tcW w:type="dxa" w:w="1039"/>
            <w:vAlign w:val="center"/>
          </w:tcPr>
          <w:p>
            <w:pPr>
              <w:pStyle w:val="97"/>
              <w:jc w:val="center"/>
              <w:spacing w:before="0" w:after="0" w:line="360" w:lineRule="exact"/>
              <w:ind w:firstLine="0" w:firstLineChars="0"/>
            </w:pPr>
            <w:r>
              <w:rPr>
                <w:rFonts w:ascii="Times New Roman" w:hAnsi="Times New Roman" w:eastAsia="仿宋_GB2312"/>
                <w:b w:val="0"/>
                <w:sz w:val="24"/>
              </w:rPr>
              <w:t>481.96</w:t>
            </w:r>
          </w:p>
        </w:tc>
      </w:tr>
      <w:tr>
        <w:trPr>
          <w:cantSplit/>
        </w:trPr>
        <w:tc>
          <w:tcPr>
            <w:tcW w:type="dxa" w:w="1039"/>
            <w:vAlign w:val="center"/>
          </w:tcPr>
          <w:p>
            <w:pPr>
              <w:pStyle w:val="97"/>
              <w:jc w:val="left"/>
              <w:spacing w:before="0" w:after="0" w:line="360" w:lineRule="exact"/>
              <w:ind w:firstLine="0" w:firstLineChars="0"/>
            </w:pPr>
            <w:r>
              <w:rPr>
                <w:rFonts w:ascii="Times New Roman" w:hAnsi="Times New Roman" w:eastAsia="仿宋_GB2312"/>
                <w:b w:val="0"/>
                <w:sz w:val="24"/>
              </w:rPr>
              <w:t>QX-00003</w:t>
            </w:r>
          </w:p>
        </w:tc>
        <w:tc>
          <w:tcPr>
            <w:tcW w:type="dxa" w:w="1039"/>
            <w:vAlign w:val="center"/>
          </w:tcPr>
          <w:p>
            <w:pPr>
              <w:pStyle w:val="97"/>
              <w:jc w:val="center"/>
              <w:spacing w:before="0" w:after="0" w:line="360" w:lineRule="exact"/>
              <w:ind w:firstLine="0" w:firstLineChars="0"/>
            </w:pPr>
            <w:r>
              <w:rPr>
                <w:rFonts w:ascii="Times New Roman" w:hAnsi="Times New Roman" w:eastAsia="仿宋_GB2312"/>
                <w:b w:val="0"/>
                <w:sz w:val="24"/>
              </w:rPr>
              <w:t>0</w:t>
            </w:r>
          </w:p>
        </w:tc>
        <w:tc>
          <w:tcPr>
            <w:tcW w:type="dxa" w:w="1039"/>
            <w:vAlign w:val="center"/>
          </w:tcPr>
          <w:p>
            <w:pPr>
              <w:pStyle w:val="97"/>
              <w:jc w:val="center"/>
              <w:spacing w:before="0" w:after="0" w:line="360" w:lineRule="exact"/>
              <w:ind w:firstLine="0" w:firstLineChars="0"/>
            </w:pPr>
            <w:r>
              <w:rPr>
                <w:rFonts w:ascii="Times New Roman" w:hAnsi="Times New Roman" w:eastAsia="仿宋_GB2312"/>
                <w:b w:val="0"/>
                <w:sz w:val="24"/>
              </w:rPr>
              <w:t>9.455</w:t>
            </w:r>
          </w:p>
        </w:tc>
        <w:tc>
          <w:tcPr>
            <w:tcW w:type="dxa" w:w="1039"/>
            <w:vAlign w:val="center"/>
          </w:tcPr>
          <w:p>
            <w:pPr>
              <w:pStyle w:val="97"/>
              <w:jc w:val="center"/>
              <w:spacing w:before="0" w:after="0" w:line="360" w:lineRule="exact"/>
              <w:ind w:firstLine="0" w:firstLineChars="0"/>
            </w:pPr>
            <w:r>
              <w:rPr>
                <w:rFonts w:ascii="Times New Roman" w:hAnsi="Times New Roman" w:eastAsia="仿宋_GB2312"/>
                <w:b w:val="0"/>
                <w:sz w:val="24"/>
              </w:rPr>
              <w:t>1</w:t>
            </w:r>
          </w:p>
        </w:tc>
        <w:tc>
          <w:tcPr>
            <w:tcW w:type="dxa" w:w="1039"/>
            <w:vAlign w:val="center"/>
          </w:tcPr>
          <w:p>
            <w:pPr>
              <w:pStyle w:val="97"/>
              <w:jc w:val="center"/>
              <w:spacing w:before="0" w:after="0" w:line="360" w:lineRule="exact"/>
              <w:ind w:firstLine="0" w:firstLineChars="0"/>
            </w:pPr>
            <w:r>
              <w:rPr>
                <w:rFonts w:ascii="Times New Roman" w:hAnsi="Times New Roman" w:eastAsia="仿宋_GB2312"/>
                <w:b w:val="0"/>
                <w:sz w:val="24"/>
              </w:rPr>
              <w:t>储能 173 柜</w:t>
            </w:r>
          </w:p>
        </w:tc>
        <w:tc>
          <w:tcPr>
            <w:tcW w:type="dxa" w:w="1039"/>
            <w:vAlign w:val="center"/>
          </w:tcPr>
          <w:p>
            <w:pPr>
              <w:pStyle w:val="97"/>
              <w:jc w:val="center"/>
              <w:spacing w:before="0" w:after="0" w:line="360" w:lineRule="exact"/>
              <w:ind w:firstLine="0" w:firstLineChars="0"/>
            </w:pPr>
            <w:r>
              <w:rPr>
                <w:rFonts w:ascii="Times New Roman" w:hAnsi="Times New Roman" w:eastAsia="仿宋_GB2312"/>
                <w:b w:val="0"/>
                <w:sz w:val="24"/>
              </w:rPr>
              <w:t>604.70</w:t>
            </w:r>
          </w:p>
        </w:tc>
        <w:tc>
          <w:tcPr>
            <w:tcW w:type="dxa" w:w="1039"/>
            <w:vAlign w:val="center"/>
          </w:tcPr>
          <w:p>
            <w:pPr>
              <w:pStyle w:val="97"/>
              <w:jc w:val="center"/>
              <w:spacing w:before="0" w:after="0" w:line="360" w:lineRule="exact"/>
              <w:ind w:firstLine="0" w:firstLineChars="0"/>
            </w:pPr>
            <w:r>
              <w:rPr>
                <w:rFonts w:ascii="Times New Roman" w:hAnsi="Times New Roman" w:eastAsia="仿宋_GB2312"/>
                <w:b w:val="0"/>
                <w:sz w:val="24"/>
              </w:rPr>
              <w:t>储能 173 柜</w:t>
            </w:r>
          </w:p>
        </w:tc>
        <w:tc>
          <w:tcPr>
            <w:tcW w:type="dxa" w:w="1039"/>
            <w:vAlign w:val="center"/>
          </w:tcPr>
          <w:p>
            <w:pPr>
              <w:pStyle w:val="97"/>
              <w:jc w:val="center"/>
              <w:spacing w:before="0" w:after="0" w:line="360" w:lineRule="exact"/>
              <w:ind w:firstLine="0" w:firstLineChars="0"/>
            </w:pPr>
            <w:r>
              <w:rPr>
                <w:rFonts w:ascii="Times New Roman" w:hAnsi="Times New Roman" w:eastAsia="仿宋_GB2312"/>
                <w:b w:val="0"/>
                <w:sz w:val="24"/>
              </w:rPr>
              <w:t>604.70</w:t>
            </w:r>
          </w:p>
        </w:tc>
      </w:tr>
      <w:tr>
        <w:trPr>
          <w:cantSplit/>
        </w:trPr>
        <w:tc>
          <w:tcPr>
            <w:tcW w:type="dxa" w:w="1039"/>
            <w:vAlign w:val="center"/>
          </w:tcPr>
          <w:p>
            <w:pPr>
              <w:pStyle w:val="97"/>
              <w:jc w:val="left"/>
              <w:spacing w:before="0" w:after="0" w:line="360" w:lineRule="exact"/>
              <w:ind w:firstLine="0" w:firstLineChars="0"/>
            </w:pPr>
            <w:r>
              <w:rPr>
                <w:rFonts w:ascii="Times New Roman" w:hAnsi="Times New Roman" w:eastAsia="仿宋_GB2312"/>
                <w:b w:val="0"/>
                <w:sz w:val="24"/>
              </w:rPr>
              <w:t>QX-00004</w:t>
            </w:r>
          </w:p>
        </w:tc>
        <w:tc>
          <w:tcPr>
            <w:tcW w:type="dxa" w:w="1039"/>
            <w:vAlign w:val="center"/>
          </w:tcPr>
          <w:p>
            <w:pPr>
              <w:pStyle w:val="97"/>
              <w:jc w:val="center"/>
              <w:spacing w:before="0" w:after="0" w:line="360" w:lineRule="exact"/>
              <w:ind w:firstLine="0" w:firstLineChars="0"/>
            </w:pPr>
            <w:r>
              <w:rPr>
                <w:rFonts w:ascii="Times New Roman" w:hAnsi="Times New Roman" w:eastAsia="仿宋_GB2312"/>
                <w:b w:val="0"/>
                <w:sz w:val="24"/>
              </w:rPr>
              <w:t>0</w:t>
            </w:r>
          </w:p>
        </w:tc>
        <w:tc>
          <w:tcPr>
            <w:tcW w:type="dxa" w:w="1039"/>
            <w:vAlign w:val="center"/>
          </w:tcPr>
          <w:p>
            <w:pPr>
              <w:pStyle w:val="97"/>
              <w:jc w:val="center"/>
              <w:spacing w:before="0" w:after="0" w:line="360" w:lineRule="exact"/>
              <w:ind w:firstLine="0" w:firstLineChars="0"/>
            </w:pPr>
            <w:r>
              <w:rPr>
                <w:rFonts w:ascii="Times New Roman" w:hAnsi="Times New Roman" w:eastAsia="仿宋_GB2312"/>
                <w:b w:val="0"/>
                <w:sz w:val="24"/>
              </w:rPr>
              <w:t>10.460</w:t>
            </w:r>
          </w:p>
        </w:tc>
        <w:tc>
          <w:tcPr>
            <w:tcW w:type="dxa" w:w="1039"/>
            <w:vAlign w:val="center"/>
          </w:tcPr>
          <w:p>
            <w:pPr>
              <w:pStyle w:val="97"/>
              <w:jc w:val="center"/>
              <w:spacing w:before="0" w:after="0" w:line="360" w:lineRule="exact"/>
              <w:ind w:firstLine="0" w:firstLineChars="0"/>
            </w:pPr>
            <w:r>
              <w:rPr>
                <w:rFonts w:ascii="Times New Roman" w:hAnsi="Times New Roman" w:eastAsia="仿宋_GB2312"/>
                <w:b w:val="0"/>
                <w:sz w:val="24"/>
              </w:rPr>
              <w:t>2</w:t>
            </w:r>
          </w:p>
        </w:tc>
        <w:tc>
          <w:tcPr>
            <w:tcW w:type="dxa" w:w="1039"/>
            <w:vAlign w:val="center"/>
          </w:tcPr>
          <w:p>
            <w:pPr>
              <w:pStyle w:val="97"/>
              <w:jc w:val="center"/>
              <w:spacing w:before="0" w:after="0" w:line="360" w:lineRule="exact"/>
              <w:ind w:firstLine="0" w:firstLineChars="0"/>
            </w:pPr>
            <w:r>
              <w:rPr>
                <w:rFonts w:ascii="Times New Roman" w:hAnsi="Times New Roman" w:eastAsia="仿宋_GB2312"/>
                <w:b w:val="0"/>
                <w:sz w:val="24"/>
              </w:rPr>
              <w:t>储能 124 柜</w:t>
            </w:r>
          </w:p>
        </w:tc>
        <w:tc>
          <w:tcPr>
            <w:tcW w:type="dxa" w:w="1039"/>
            <w:vAlign w:val="center"/>
          </w:tcPr>
          <w:p>
            <w:pPr>
              <w:pStyle w:val="97"/>
              <w:jc w:val="center"/>
              <w:spacing w:before="0" w:after="0" w:line="360" w:lineRule="exact"/>
              <w:ind w:firstLine="0" w:firstLineChars="0"/>
            </w:pPr>
            <w:r>
              <w:rPr>
                <w:rFonts w:ascii="Times New Roman" w:hAnsi="Times New Roman" w:eastAsia="仿宋_GB2312"/>
                <w:b w:val="0"/>
                <w:sz w:val="24"/>
              </w:rPr>
              <w:t>433.54</w:t>
            </w:r>
          </w:p>
        </w:tc>
        <w:tc>
          <w:tcPr>
            <w:tcW w:type="dxa" w:w="1039"/>
            <w:vAlign w:val="center"/>
          </w:tcPr>
          <w:p>
            <w:pPr>
              <w:pStyle w:val="97"/>
              <w:jc w:val="center"/>
              <w:spacing w:before="0" w:after="0" w:line="360" w:lineRule="exact"/>
              <w:ind w:firstLine="0" w:firstLineChars="0"/>
            </w:pPr>
            <w:r>
              <w:rPr>
                <w:rFonts w:ascii="Times New Roman" w:hAnsi="Times New Roman" w:eastAsia="仿宋_GB2312"/>
                <w:b w:val="0"/>
                <w:sz w:val="24"/>
              </w:rPr>
              <w:t>储能 124 柜</w:t>
            </w:r>
          </w:p>
        </w:tc>
        <w:tc>
          <w:tcPr>
            <w:tcW w:type="dxa" w:w="1039"/>
            <w:vAlign w:val="center"/>
          </w:tcPr>
          <w:p>
            <w:pPr>
              <w:pStyle w:val="97"/>
              <w:jc w:val="center"/>
              <w:spacing w:before="0" w:after="0" w:line="360" w:lineRule="exact"/>
              <w:ind w:firstLine="0" w:firstLineChars="0"/>
            </w:pPr>
            <w:r>
              <w:rPr>
                <w:rFonts w:ascii="Times New Roman" w:hAnsi="Times New Roman" w:eastAsia="仿宋_GB2312"/>
                <w:b w:val="0"/>
                <w:sz w:val="24"/>
              </w:rPr>
              <w:t>433.54</w:t>
            </w:r>
          </w:p>
        </w:tc>
      </w:tr>
      <w:tr>
        <w:trPr>
          <w:cantSplit/>
        </w:trPr>
        <w:tc>
          <w:tcPr>
            <w:tcW w:type="dxa" w:w="1039"/>
            <w:vAlign w:val="center"/>
          </w:tcPr>
          <w:p>
            <w:pPr>
              <w:pStyle w:val="97"/>
              <w:jc w:val="left"/>
              <w:spacing w:before="0" w:after="0" w:line="360" w:lineRule="exact"/>
              <w:ind w:firstLine="0" w:firstLineChars="0"/>
            </w:pPr>
            <w:r>
              <w:rPr>
                <w:rFonts w:ascii="Times New Roman" w:hAnsi="Times New Roman" w:eastAsia="仿宋_GB2312"/>
                <w:b w:val="0"/>
                <w:sz w:val="24"/>
              </w:rPr>
              <w:t>QX-00005</w:t>
            </w:r>
          </w:p>
        </w:tc>
        <w:tc>
          <w:tcPr>
            <w:tcW w:type="dxa" w:w="1039"/>
            <w:vAlign w:val="center"/>
          </w:tcPr>
          <w:p>
            <w:pPr>
              <w:pStyle w:val="97"/>
              <w:jc w:val="center"/>
              <w:spacing w:before="0" w:after="0" w:line="360" w:lineRule="exact"/>
              <w:ind w:firstLine="0" w:firstLineChars="0"/>
            </w:pPr>
            <w:r>
              <w:rPr>
                <w:rFonts w:ascii="Times New Roman" w:hAnsi="Times New Roman" w:eastAsia="仿宋_GB2312"/>
                <w:b w:val="0"/>
                <w:sz w:val="24"/>
              </w:rPr>
              <w:t>0</w:t>
            </w:r>
          </w:p>
        </w:tc>
        <w:tc>
          <w:tcPr>
            <w:tcW w:type="dxa" w:w="1039"/>
            <w:vAlign w:val="center"/>
          </w:tcPr>
          <w:p>
            <w:pPr>
              <w:pStyle w:val="97"/>
              <w:jc w:val="center"/>
              <w:spacing w:before="0" w:after="0" w:line="360" w:lineRule="exact"/>
              <w:ind w:firstLine="0" w:firstLineChars="0"/>
            </w:pPr>
            <w:r>
              <w:rPr>
                <w:rFonts w:ascii="Times New Roman" w:hAnsi="Times New Roman" w:eastAsia="仿宋_GB2312"/>
                <w:b w:val="0"/>
                <w:sz w:val="24"/>
              </w:rPr>
              <w:t>52.800</w:t>
            </w:r>
          </w:p>
        </w:tc>
        <w:tc>
          <w:tcPr>
            <w:tcW w:type="dxa" w:w="1039"/>
            <w:vAlign w:val="center"/>
          </w:tcPr>
          <w:p>
            <w:pPr>
              <w:pStyle w:val="97"/>
              <w:jc w:val="center"/>
              <w:spacing w:before="0" w:after="0" w:line="360" w:lineRule="exact"/>
              <w:ind w:firstLine="0" w:firstLineChars="0"/>
            </w:pPr>
            <w:r>
              <w:rPr>
                <w:rFonts w:ascii="Times New Roman" w:hAnsi="Times New Roman" w:eastAsia="仿宋_GB2312"/>
                <w:b w:val="0"/>
                <w:sz w:val="24"/>
              </w:rPr>
              <w:t>4</w:t>
            </w:r>
          </w:p>
        </w:tc>
        <w:tc>
          <w:tcPr>
            <w:tcW w:type="dxa" w:w="1039"/>
            <w:vAlign w:val="center"/>
          </w:tcPr>
          <w:p>
            <w:pPr>
              <w:pStyle w:val="97"/>
              <w:jc w:val="center"/>
              <w:spacing w:before="0" w:after="0" w:line="360" w:lineRule="exact"/>
              <w:ind w:firstLine="0" w:firstLineChars="0"/>
            </w:pPr>
            <w:r>
              <w:rPr>
                <w:rFonts w:ascii="Times New Roman" w:hAnsi="Times New Roman" w:eastAsia="仿宋_GB2312"/>
                <w:b w:val="0"/>
                <w:sz w:val="24"/>
              </w:rPr>
              <w:t>新增第三台主变、储能 465 柜</w:t>
            </w:r>
          </w:p>
        </w:tc>
        <w:tc>
          <w:tcPr>
            <w:tcW w:type="dxa" w:w="1039"/>
            <w:vAlign w:val="center"/>
          </w:tcPr>
          <w:p>
            <w:pPr>
              <w:pStyle w:val="97"/>
              <w:jc w:val="center"/>
              <w:spacing w:before="0" w:after="0" w:line="360" w:lineRule="exact"/>
              <w:ind w:firstLine="0" w:firstLineChars="0"/>
            </w:pPr>
            <w:r>
              <w:rPr>
                <w:rFonts w:ascii="Times New Roman" w:hAnsi="Times New Roman" w:eastAsia="仿宋_GB2312"/>
                <w:b w:val="0"/>
                <w:sz w:val="24"/>
              </w:rPr>
              <w:t>1745.53</w:t>
            </w:r>
          </w:p>
        </w:tc>
        <w:tc>
          <w:tcPr>
            <w:tcW w:type="dxa" w:w="1039"/>
            <w:vAlign w:val="center"/>
          </w:tcPr>
          <w:p>
            <w:pPr>
              <w:pStyle w:val="97"/>
              <w:jc w:val="center"/>
              <w:spacing w:before="0" w:after="0" w:line="360" w:lineRule="exact"/>
              <w:ind w:firstLine="0" w:firstLineChars="0"/>
            </w:pPr>
            <w:r>
              <w:rPr>
                <w:rFonts w:ascii="Times New Roman" w:hAnsi="Times New Roman" w:eastAsia="仿宋_GB2312"/>
                <w:b w:val="0"/>
                <w:sz w:val="24"/>
              </w:rPr>
              <w:t>储能 962 柜</w:t>
            </w:r>
          </w:p>
        </w:tc>
        <w:tc>
          <w:tcPr>
            <w:tcW w:type="dxa" w:w="1039"/>
            <w:vAlign w:val="center"/>
          </w:tcPr>
          <w:p>
            <w:pPr>
              <w:pStyle w:val="97"/>
              <w:jc w:val="center"/>
              <w:spacing w:before="0" w:after="0" w:line="360" w:lineRule="exact"/>
              <w:ind w:firstLine="0" w:firstLineChars="0"/>
            </w:pPr>
            <w:r>
              <w:rPr>
                <w:rFonts w:ascii="Times New Roman" w:hAnsi="Times New Roman" w:eastAsia="仿宋_GB2312"/>
                <w:b w:val="0"/>
                <w:sz w:val="24"/>
              </w:rPr>
              <w:t>3359.05</w:t>
            </w:r>
          </w:p>
        </w:tc>
      </w:tr>
      <w:tr>
        <w:trPr>
          <w:cantSplit/>
        </w:trPr>
        <w:tc>
          <w:tcPr>
            <w:tcW w:type="dxa" w:w="1039"/>
            <w:vAlign w:val="center"/>
          </w:tcPr>
          <w:p>
            <w:pPr>
              <w:pStyle w:val="97"/>
              <w:jc w:val="left"/>
              <w:spacing w:before="0" w:after="0" w:line="360" w:lineRule="exact"/>
              <w:ind w:firstLine="0" w:firstLineChars="0"/>
            </w:pPr>
            <w:r>
              <w:rPr>
                <w:rFonts w:ascii="Times New Roman" w:hAnsi="Times New Roman" w:eastAsia="仿宋_GB2312"/>
                <w:b w:val="0"/>
                <w:sz w:val="24"/>
              </w:rPr>
              <w:t>QX-00007</w:t>
            </w:r>
          </w:p>
        </w:tc>
        <w:tc>
          <w:tcPr>
            <w:tcW w:type="dxa" w:w="1039"/>
            <w:vAlign w:val="center"/>
          </w:tcPr>
          <w:p>
            <w:pPr>
              <w:pStyle w:val="97"/>
              <w:jc w:val="center"/>
              <w:spacing w:before="0" w:after="0" w:line="360" w:lineRule="exact"/>
              <w:ind w:firstLine="0" w:firstLineChars="0"/>
            </w:pPr>
            <w:r>
              <w:rPr>
                <w:rFonts w:ascii="Times New Roman" w:hAnsi="Times New Roman" w:eastAsia="仿宋_GB2312"/>
                <w:b w:val="0"/>
                <w:sz w:val="24"/>
              </w:rPr>
              <w:t>0</w:t>
            </w:r>
          </w:p>
        </w:tc>
        <w:tc>
          <w:tcPr>
            <w:tcW w:type="dxa" w:w="1039"/>
            <w:vAlign w:val="center"/>
          </w:tcPr>
          <w:p>
            <w:pPr>
              <w:pStyle w:val="97"/>
              <w:jc w:val="center"/>
              <w:spacing w:before="0" w:after="0" w:line="360" w:lineRule="exact"/>
              <w:ind w:firstLine="0" w:firstLineChars="0"/>
            </w:pPr>
            <w:r>
              <w:rPr>
                <w:rFonts w:ascii="Times New Roman" w:hAnsi="Times New Roman" w:eastAsia="仿宋_GB2312"/>
                <w:b w:val="0"/>
                <w:sz w:val="24"/>
              </w:rPr>
              <w:t>0</w:t>
            </w:r>
          </w:p>
        </w:tc>
        <w:tc>
          <w:tcPr>
            <w:tcW w:type="dxa" w:w="1039"/>
            <w:vAlign w:val="center"/>
          </w:tcPr>
          <w:p>
            <w:pPr>
              <w:pStyle w:val="97"/>
              <w:jc w:val="center"/>
              <w:spacing w:before="0" w:after="0" w:line="360" w:lineRule="exact"/>
              <w:ind w:firstLine="0" w:firstLineChars="0"/>
            </w:pPr>
            <w:r>
              <w:rPr>
                <w:rFonts w:ascii="Times New Roman" w:hAnsi="Times New Roman" w:eastAsia="仿宋_GB2312"/>
                <w:b w:val="0"/>
                <w:sz w:val="24"/>
              </w:rPr>
              <w:t>0</w:t>
            </w:r>
          </w:p>
        </w:tc>
        <w:tc>
          <w:tcPr>
            <w:tcW w:type="dxa" w:w="1039"/>
            <w:vAlign w:val="center"/>
          </w:tcPr>
          <w:p>
            <w:pPr>
              <w:pStyle w:val="97"/>
              <w:jc w:val="center"/>
              <w:spacing w:before="0" w:after="0" w:line="360" w:lineRule="exact"/>
              <w:ind w:firstLine="0" w:firstLineChars="0"/>
            </w:pPr>
            <w:r>
              <w:rPr>
                <w:rFonts w:ascii="Times New Roman" w:hAnsi="Times New Roman" w:eastAsia="仿宋_GB2312"/>
                <w:b w:val="0"/>
                <w:sz w:val="24"/>
              </w:rPr>
              <w:t>无</w:t>
            </w:r>
          </w:p>
        </w:tc>
        <w:tc>
          <w:tcPr>
            <w:tcW w:type="dxa" w:w="1039"/>
            <w:vAlign w:val="center"/>
          </w:tcPr>
          <w:p>
            <w:pPr>
              <w:pStyle w:val="97"/>
              <w:jc w:val="center"/>
              <w:spacing w:before="0" w:after="0" w:line="360" w:lineRule="exact"/>
              <w:ind w:firstLine="0" w:firstLineChars="0"/>
            </w:pPr>
            <w:r>
              <w:rPr>
                <w:rFonts w:ascii="Times New Roman" w:hAnsi="Times New Roman" w:eastAsia="仿宋_GB2312"/>
                <w:b w:val="0"/>
                <w:sz w:val="24"/>
              </w:rPr>
              <w:t>0</w:t>
            </w:r>
          </w:p>
        </w:tc>
        <w:tc>
          <w:tcPr>
            <w:tcW w:type="dxa" w:w="1039"/>
            <w:vAlign w:val="center"/>
          </w:tcPr>
          <w:p>
            <w:pPr>
              <w:pStyle w:val="97"/>
              <w:jc w:val="center"/>
              <w:spacing w:before="0" w:after="0" w:line="360" w:lineRule="exact"/>
              <w:ind w:firstLine="0" w:firstLineChars="0"/>
            </w:pPr>
            <w:r>
              <w:rPr>
                <w:rFonts w:ascii="Times New Roman" w:hAnsi="Times New Roman" w:eastAsia="仿宋_GB2312"/>
                <w:b w:val="0"/>
                <w:sz w:val="24"/>
              </w:rPr>
              <w:t>无</w:t>
            </w:r>
          </w:p>
        </w:tc>
        <w:tc>
          <w:tcPr>
            <w:tcW w:type="dxa" w:w="1039"/>
            <w:vAlign w:val="center"/>
          </w:tcPr>
          <w:p>
            <w:pPr>
              <w:pStyle w:val="97"/>
              <w:jc w:val="center"/>
              <w:spacing w:before="0" w:after="0" w:line="360" w:lineRule="exact"/>
              <w:ind w:firstLine="0" w:firstLineChars="0"/>
            </w:pPr>
            <w:r>
              <w:rPr>
                <w:rFonts w:ascii="Times New Roman" w:hAnsi="Times New Roman" w:eastAsia="仿宋_GB2312"/>
                <w:b w:val="0"/>
                <w:sz w:val="24"/>
              </w:rPr>
              <w:t>0</w:t>
            </w:r>
          </w:p>
        </w:tc>
      </w:tr>
      <w:tr>
        <w:trPr>
          <w:cantSplit/>
        </w:trPr>
        <w:tc>
          <w:tcPr>
            <w:tcW w:type="dxa" w:w="1039"/>
            <w:vAlign w:val="center"/>
          </w:tcPr>
          <w:p>
            <w:pPr>
              <w:pStyle w:val="97"/>
              <w:jc w:val="left"/>
              <w:spacing w:before="0" w:after="0" w:line="360" w:lineRule="exact"/>
              <w:ind w:firstLine="0" w:firstLineChars="0"/>
            </w:pPr>
            <w:r>
              <w:rPr>
                <w:rFonts w:ascii="Times New Roman" w:hAnsi="Times New Roman" w:eastAsia="仿宋_GB2312"/>
                <w:b w:val="0"/>
                <w:sz w:val="24"/>
              </w:rPr>
              <w:t>QX-00008</w:t>
            </w:r>
          </w:p>
        </w:tc>
        <w:tc>
          <w:tcPr>
            <w:tcW w:type="dxa" w:w="1039"/>
            <w:vAlign w:val="center"/>
          </w:tcPr>
          <w:p>
            <w:pPr>
              <w:pStyle w:val="97"/>
              <w:jc w:val="center"/>
              <w:spacing w:before="0" w:after="0" w:line="360" w:lineRule="exact"/>
              <w:ind w:firstLine="0" w:firstLineChars="0"/>
            </w:pPr>
            <w:r>
              <w:rPr>
                <w:rFonts w:ascii="Times New Roman" w:hAnsi="Times New Roman" w:eastAsia="仿宋_GB2312"/>
                <w:b w:val="0"/>
                <w:sz w:val="24"/>
              </w:rPr>
              <w:t>0</w:t>
            </w:r>
          </w:p>
        </w:tc>
        <w:tc>
          <w:tcPr>
            <w:tcW w:type="dxa" w:w="1039"/>
            <w:vAlign w:val="center"/>
          </w:tcPr>
          <w:p>
            <w:pPr>
              <w:pStyle w:val="97"/>
              <w:jc w:val="center"/>
              <w:spacing w:before="0" w:after="0" w:line="360" w:lineRule="exact"/>
              <w:ind w:firstLine="0" w:firstLineChars="0"/>
            </w:pPr>
            <w:r>
              <w:rPr>
                <w:rFonts w:ascii="Times New Roman" w:hAnsi="Times New Roman" w:eastAsia="仿宋_GB2312"/>
                <w:b w:val="0"/>
                <w:sz w:val="24"/>
              </w:rPr>
              <w:t>12.520</w:t>
            </w:r>
          </w:p>
        </w:tc>
        <w:tc>
          <w:tcPr>
            <w:tcW w:type="dxa" w:w="1039"/>
            <w:vAlign w:val="center"/>
          </w:tcPr>
          <w:p>
            <w:pPr>
              <w:pStyle w:val="97"/>
              <w:jc w:val="center"/>
              <w:spacing w:before="0" w:after="0" w:line="360" w:lineRule="exact"/>
              <w:ind w:firstLine="0" w:firstLineChars="0"/>
            </w:pPr>
            <w:r>
              <w:rPr>
                <w:rFonts w:ascii="Times New Roman" w:hAnsi="Times New Roman" w:eastAsia="仿宋_GB2312"/>
                <w:b w:val="0"/>
                <w:sz w:val="24"/>
              </w:rPr>
              <w:t>3</w:t>
            </w:r>
          </w:p>
        </w:tc>
        <w:tc>
          <w:tcPr>
            <w:tcW w:type="dxa" w:w="1039"/>
            <w:vAlign w:val="center"/>
          </w:tcPr>
          <w:p>
            <w:pPr>
              <w:pStyle w:val="97"/>
              <w:jc w:val="center"/>
              <w:spacing w:before="0" w:after="0" w:line="360" w:lineRule="exact"/>
              <w:ind w:firstLine="0" w:firstLineChars="0"/>
            </w:pPr>
            <w:r>
              <w:rPr>
                <w:rFonts w:ascii="Times New Roman" w:hAnsi="Times New Roman" w:eastAsia="仿宋_GB2312"/>
                <w:b w:val="0"/>
                <w:sz w:val="24"/>
              </w:rPr>
              <w:t>未形成完整可行方案</w:t>
            </w:r>
          </w:p>
        </w:tc>
        <w:tc>
          <w:tcPr>
            <w:tcW w:type="dxa" w:w="1039"/>
            <w:vAlign w:val="center"/>
          </w:tcPr>
          <w:p>
            <w:pPr>
              <w:pStyle w:val="97"/>
              <w:jc w:val="center"/>
              <w:spacing w:before="0" w:after="0" w:line="360" w:lineRule="exact"/>
              <w:ind w:firstLine="0" w:firstLineChars="0"/>
            </w:pPr>
            <w:r>
              <w:rPr>
                <w:rFonts w:ascii="Times New Roman" w:hAnsi="Times New Roman" w:eastAsia="仿宋_GB2312"/>
                <w:b w:val="0"/>
                <w:sz w:val="24"/>
              </w:rPr>
              <w:t>—</w:t>
            </w:r>
          </w:p>
        </w:tc>
        <w:tc>
          <w:tcPr>
            <w:tcW w:type="dxa" w:w="1039"/>
            <w:vAlign w:val="center"/>
          </w:tcPr>
          <w:p>
            <w:pPr>
              <w:pStyle w:val="97"/>
              <w:jc w:val="center"/>
              <w:spacing w:before="0" w:after="0" w:line="360" w:lineRule="exact"/>
              <w:ind w:firstLine="0" w:firstLineChars="0"/>
            </w:pPr>
            <w:r>
              <w:rPr>
                <w:rFonts w:ascii="Times New Roman" w:hAnsi="Times New Roman" w:eastAsia="仿宋_GB2312"/>
                <w:b w:val="0"/>
                <w:sz w:val="24"/>
              </w:rPr>
              <w:t>未形成完整可行方案</w:t>
            </w:r>
          </w:p>
        </w:tc>
        <w:tc>
          <w:tcPr>
            <w:tcW w:type="dxa" w:w="1039"/>
            <w:vAlign w:val="center"/>
          </w:tcPr>
          <w:p>
            <w:pPr>
              <w:pStyle w:val="97"/>
              <w:jc w:val="center"/>
              <w:spacing w:before="0" w:after="0" w:line="360" w:lineRule="exact"/>
              <w:ind w:firstLine="0" w:firstLineChars="0"/>
            </w:pPr>
            <w:r>
              <w:rPr>
                <w:rFonts w:ascii="Times New Roman" w:hAnsi="Times New Roman" w:eastAsia="仿宋_GB2312"/>
                <w:b w:val="0"/>
                <w:sz w:val="24"/>
              </w:rPr>
              <w:t>—</w:t>
            </w:r>
          </w:p>
        </w:tc>
      </w:tr>
      <w:tr>
        <w:trPr>
          <w:cantSplit/>
        </w:trPr>
        <w:tc>
          <w:tcPr>
            <w:tcW w:type="dxa" w:w="1039"/>
            <w:vAlign w:val="center"/>
          </w:tcPr>
          <w:p>
            <w:pPr>
              <w:pStyle w:val="97"/>
              <w:jc w:val="left"/>
              <w:spacing w:before="0" w:after="0" w:line="360" w:lineRule="exact"/>
              <w:ind w:firstLine="0" w:firstLineChars="0"/>
            </w:pPr>
            <w:r>
              <w:rPr>
                <w:rFonts w:ascii="Times New Roman" w:hAnsi="Times New Roman" w:eastAsia="仿宋_GB2312"/>
                <w:b w:val="0"/>
                <w:sz w:val="24"/>
              </w:rPr>
              <w:t>QX-00009</w:t>
            </w:r>
          </w:p>
        </w:tc>
        <w:tc>
          <w:tcPr>
            <w:tcW w:type="dxa" w:w="1039"/>
            <w:vAlign w:val="center"/>
          </w:tcPr>
          <w:p>
            <w:pPr>
              <w:pStyle w:val="97"/>
              <w:jc w:val="center"/>
              <w:spacing w:before="0" w:after="0" w:line="360" w:lineRule="exact"/>
              <w:ind w:firstLine="0" w:firstLineChars="0"/>
            </w:pPr>
            <w:r>
              <w:rPr>
                <w:rFonts w:ascii="Times New Roman" w:hAnsi="Times New Roman" w:eastAsia="仿宋_GB2312"/>
                <w:b w:val="0"/>
                <w:sz w:val="24"/>
              </w:rPr>
              <w:t>0</w:t>
            </w:r>
          </w:p>
        </w:tc>
        <w:tc>
          <w:tcPr>
            <w:tcW w:type="dxa" w:w="1039"/>
            <w:vAlign w:val="center"/>
          </w:tcPr>
          <w:p>
            <w:pPr>
              <w:pStyle w:val="97"/>
              <w:jc w:val="center"/>
              <w:spacing w:before="0" w:after="0" w:line="360" w:lineRule="exact"/>
              <w:ind w:firstLine="0" w:firstLineChars="0"/>
            </w:pPr>
            <w:r>
              <w:rPr>
                <w:rFonts w:ascii="Times New Roman" w:hAnsi="Times New Roman" w:eastAsia="仿宋_GB2312"/>
                <w:b w:val="0"/>
                <w:sz w:val="24"/>
              </w:rPr>
              <w:t>37.815</w:t>
            </w:r>
          </w:p>
        </w:tc>
        <w:tc>
          <w:tcPr>
            <w:tcW w:type="dxa" w:w="1039"/>
            <w:vAlign w:val="center"/>
          </w:tcPr>
          <w:p>
            <w:pPr>
              <w:pStyle w:val="97"/>
              <w:jc w:val="center"/>
              <w:spacing w:before="0" w:after="0" w:line="360" w:lineRule="exact"/>
              <w:ind w:firstLine="0" w:firstLineChars="0"/>
            </w:pPr>
            <w:r>
              <w:rPr>
                <w:rFonts w:ascii="Times New Roman" w:hAnsi="Times New Roman" w:eastAsia="仿宋_GB2312"/>
                <w:b w:val="0"/>
                <w:sz w:val="24"/>
              </w:rPr>
              <w:t>3</w:t>
            </w:r>
          </w:p>
        </w:tc>
        <w:tc>
          <w:tcPr>
            <w:tcW w:type="dxa" w:w="1039"/>
            <w:vAlign w:val="center"/>
          </w:tcPr>
          <w:p>
            <w:pPr>
              <w:pStyle w:val="97"/>
              <w:jc w:val="center"/>
              <w:spacing w:before="0" w:after="0" w:line="360" w:lineRule="exact"/>
              <w:ind w:firstLine="0" w:firstLineChars="0"/>
            </w:pPr>
            <w:r>
              <w:rPr>
                <w:rFonts w:ascii="Times New Roman" w:hAnsi="Times New Roman" w:eastAsia="仿宋_GB2312"/>
                <w:b w:val="0"/>
                <w:sz w:val="24"/>
              </w:rPr>
              <w:t>未形成完整可行方案</w:t>
            </w:r>
          </w:p>
        </w:tc>
        <w:tc>
          <w:tcPr>
            <w:tcW w:type="dxa" w:w="1039"/>
            <w:vAlign w:val="center"/>
          </w:tcPr>
          <w:p>
            <w:pPr>
              <w:pStyle w:val="97"/>
              <w:jc w:val="center"/>
              <w:spacing w:before="0" w:after="0" w:line="360" w:lineRule="exact"/>
              <w:ind w:firstLine="0" w:firstLineChars="0"/>
            </w:pPr>
            <w:r>
              <w:rPr>
                <w:rFonts w:ascii="Times New Roman" w:hAnsi="Times New Roman" w:eastAsia="仿宋_GB2312"/>
                <w:b w:val="0"/>
                <w:sz w:val="24"/>
              </w:rPr>
              <w:t>—</w:t>
            </w:r>
          </w:p>
        </w:tc>
        <w:tc>
          <w:tcPr>
            <w:tcW w:type="dxa" w:w="1039"/>
            <w:vAlign w:val="center"/>
          </w:tcPr>
          <w:p>
            <w:pPr>
              <w:pStyle w:val="97"/>
              <w:jc w:val="center"/>
              <w:spacing w:before="0" w:after="0" w:line="360" w:lineRule="exact"/>
              <w:ind w:firstLine="0" w:firstLineChars="0"/>
            </w:pPr>
            <w:r>
              <w:rPr>
                <w:rFonts w:ascii="Times New Roman" w:hAnsi="Times New Roman" w:eastAsia="仿宋_GB2312"/>
                <w:b w:val="0"/>
                <w:sz w:val="24"/>
              </w:rPr>
              <w:t>未形成完整可行方案</w:t>
            </w:r>
          </w:p>
        </w:tc>
        <w:tc>
          <w:tcPr>
            <w:tcW w:type="dxa" w:w="1039"/>
            <w:vAlign w:val="center"/>
          </w:tcPr>
          <w:p>
            <w:pPr>
              <w:pStyle w:val="97"/>
              <w:jc w:val="center"/>
              <w:spacing w:before="0" w:after="0" w:line="360" w:lineRule="exact"/>
              <w:ind w:firstLine="0" w:firstLineChars="0"/>
            </w:pPr>
            <w:r>
              <w:rPr>
                <w:rFonts w:ascii="Times New Roman" w:hAnsi="Times New Roman" w:eastAsia="仿宋_GB2312"/>
                <w:b w:val="0"/>
                <w:sz w:val="24"/>
              </w:rPr>
              <w:t>—</w:t>
            </w:r>
          </w:p>
        </w:tc>
      </w:tr>
      <w:tr>
        <w:trPr>
          <w:cantSplit/>
        </w:trPr>
        <w:tc>
          <w:tcPr>
            <w:tcW w:type="dxa" w:w="1039"/>
            <w:vAlign w:val="center"/>
          </w:tcPr>
          <w:p>
            <w:pPr>
              <w:pStyle w:val="97"/>
              <w:jc w:val="left"/>
              <w:spacing w:before="0" w:after="0" w:line="360" w:lineRule="exact"/>
              <w:ind w:firstLine="0" w:firstLineChars="0"/>
            </w:pPr>
            <w:r>
              <w:rPr>
                <w:rFonts w:ascii="Times New Roman" w:hAnsi="Times New Roman" w:eastAsia="仿宋_GB2312"/>
                <w:b w:val="0"/>
                <w:sz w:val="24"/>
              </w:rPr>
              <w:t>QX-00010</w:t>
            </w:r>
          </w:p>
        </w:tc>
        <w:tc>
          <w:tcPr>
            <w:tcW w:type="dxa" w:w="1039"/>
            <w:vAlign w:val="center"/>
          </w:tcPr>
          <w:p>
            <w:pPr>
              <w:pStyle w:val="97"/>
              <w:jc w:val="center"/>
              <w:spacing w:before="0" w:after="0" w:line="360" w:lineRule="exact"/>
              <w:ind w:firstLine="0" w:firstLineChars="0"/>
            </w:pPr>
            <w:r>
              <w:rPr>
                <w:rFonts w:ascii="Times New Roman" w:hAnsi="Times New Roman" w:eastAsia="仿宋_GB2312"/>
                <w:b w:val="0"/>
                <w:sz w:val="24"/>
              </w:rPr>
              <w:t>0</w:t>
            </w:r>
          </w:p>
        </w:tc>
        <w:tc>
          <w:tcPr>
            <w:tcW w:type="dxa" w:w="1039"/>
            <w:vAlign w:val="center"/>
          </w:tcPr>
          <w:p>
            <w:pPr>
              <w:pStyle w:val="97"/>
              <w:jc w:val="center"/>
              <w:spacing w:before="0" w:after="0" w:line="360" w:lineRule="exact"/>
              <w:ind w:firstLine="0" w:firstLineChars="0"/>
            </w:pPr>
            <w:r>
              <w:rPr>
                <w:rFonts w:ascii="Times New Roman" w:hAnsi="Times New Roman" w:eastAsia="仿宋_GB2312"/>
                <w:b w:val="0"/>
                <w:sz w:val="24"/>
              </w:rPr>
              <w:t>87.805</w:t>
            </w:r>
          </w:p>
        </w:tc>
        <w:tc>
          <w:tcPr>
            <w:tcW w:type="dxa" w:w="1039"/>
            <w:vAlign w:val="center"/>
          </w:tcPr>
          <w:p>
            <w:pPr>
              <w:pStyle w:val="97"/>
              <w:jc w:val="center"/>
              <w:spacing w:before="0" w:after="0" w:line="360" w:lineRule="exact"/>
              <w:ind w:firstLine="0" w:firstLineChars="0"/>
            </w:pPr>
            <w:r>
              <w:rPr>
                <w:rFonts w:ascii="Times New Roman" w:hAnsi="Times New Roman" w:eastAsia="仿宋_GB2312"/>
                <w:b w:val="0"/>
                <w:sz w:val="24"/>
              </w:rPr>
              <w:t>5</w:t>
            </w:r>
          </w:p>
        </w:tc>
        <w:tc>
          <w:tcPr>
            <w:tcW w:type="dxa" w:w="1039"/>
            <w:vAlign w:val="center"/>
          </w:tcPr>
          <w:p>
            <w:pPr>
              <w:pStyle w:val="97"/>
              <w:jc w:val="center"/>
              <w:spacing w:before="0" w:after="0" w:line="360" w:lineRule="exact"/>
              <w:ind w:firstLine="0" w:firstLineChars="0"/>
            </w:pPr>
            <w:r>
              <w:rPr>
                <w:rFonts w:ascii="Times New Roman" w:hAnsi="Times New Roman" w:eastAsia="仿宋_GB2312"/>
                <w:b w:val="0"/>
                <w:sz w:val="24"/>
              </w:rPr>
              <w:t>未形成完整可行方案</w:t>
            </w:r>
          </w:p>
        </w:tc>
        <w:tc>
          <w:tcPr>
            <w:tcW w:type="dxa" w:w="1039"/>
            <w:vAlign w:val="center"/>
          </w:tcPr>
          <w:p>
            <w:pPr>
              <w:pStyle w:val="97"/>
              <w:jc w:val="center"/>
              <w:spacing w:before="0" w:after="0" w:line="360" w:lineRule="exact"/>
              <w:ind w:firstLine="0" w:firstLineChars="0"/>
            </w:pPr>
            <w:r>
              <w:rPr>
                <w:rFonts w:ascii="Times New Roman" w:hAnsi="Times New Roman" w:eastAsia="仿宋_GB2312"/>
                <w:b w:val="0"/>
                <w:sz w:val="24"/>
              </w:rPr>
              <w:t>—</w:t>
            </w:r>
          </w:p>
        </w:tc>
        <w:tc>
          <w:tcPr>
            <w:tcW w:type="dxa" w:w="1039"/>
            <w:vAlign w:val="center"/>
          </w:tcPr>
          <w:p>
            <w:pPr>
              <w:pStyle w:val="97"/>
              <w:jc w:val="center"/>
              <w:spacing w:before="0" w:after="0" w:line="360" w:lineRule="exact"/>
              <w:ind w:firstLine="0" w:firstLineChars="0"/>
            </w:pPr>
            <w:r>
              <w:rPr>
                <w:rFonts w:ascii="Times New Roman" w:hAnsi="Times New Roman" w:eastAsia="仿宋_GB2312"/>
                <w:b w:val="0"/>
                <w:sz w:val="24"/>
              </w:rPr>
              <w:t>未形成完整可行方案</w:t>
            </w:r>
          </w:p>
        </w:tc>
        <w:tc>
          <w:tcPr>
            <w:tcW w:type="dxa" w:w="1039"/>
            <w:vAlign w:val="center"/>
          </w:tcPr>
          <w:p>
            <w:pPr>
              <w:pStyle w:val="97"/>
              <w:jc w:val="center"/>
              <w:spacing w:before="0" w:after="0" w:line="360" w:lineRule="exact"/>
              <w:ind w:firstLine="0" w:firstLineChars="0"/>
            </w:pPr>
            <w:r>
              <w:rPr>
                <w:rFonts w:ascii="Times New Roman" w:hAnsi="Times New Roman" w:eastAsia="仿宋_GB2312"/>
                <w:b w:val="0"/>
                <w:sz w:val="24"/>
              </w:rPr>
              <w:t>—</w:t>
            </w:r>
          </w:p>
        </w:tc>
      </w:tr>
    </w:tbl>
    <w:p>
      <w:pPr>
        <w:spacing w:before="0" w:after="0" w:line="560" w:lineRule="exact"/>
        <w:jc w:val="both"/>
        <w:ind w:firstLineChars="200" w:firstLine="200"/>
      </w:pPr>
      <w:r>
        <w:rPr>
          <w:rFonts w:ascii="Times New Roman" w:hAnsi="Times New Roman" w:eastAsia="仿宋_GB2312"/>
          <w:b w:val="0"/>
          <w:sz w:val="28"/>
        </w:rPr>
        <w:t>表 4-2 中的反向承载缺口是物理触发证据，最终是否扩容、配储及其组合由离散候选成本和全部约束共同决定。QX-00001 和 QX-00005 的第三台主变并非由正向容量缺口直接触发，而是与储能共同构成累计年化成本最小的可行组合；严格控制收紧后，新增容量受到限制，储能规模随之增加。</w:t>
      </w:r>
    </w:p>
    <w:p>
      <w:pPr>
        <w:pStyle w:val="3"/>
        <w:pageBreakBefore w:val="0"/>
        <w:jc w:val="left"/>
      </w:pPr>
      <w:bookmarkStart w:id="19" w:name="_TocReport0019"/>
      <w:r>
        <w:rPr>
          <w:rFonts w:ascii="Times New Roman" w:hAnsi="Times New Roman" w:eastAsia="仿宋_GB2312"/>
          <w:b/>
          <w:sz w:val="28"/>
        </w:rPr>
        <w:t>4.5 容载比上限弹性扫描与经济释放阈值</w:t>
      </w:r>
      <w:bookmarkEnd w:id="19"/>
    </w:p>
    <w:p>
      <w:pPr>
        <w:spacing w:before="0" w:after="0" w:line="560" w:lineRule="exact"/>
        <w:jc w:val="both"/>
        <w:ind w:firstLineChars="200" w:firstLine="200"/>
      </w:pPr>
      <w:r>
        <w:rPr>
          <w:rFonts w:ascii="Times New Roman" w:hAnsi="Times New Roman" w:eastAsia="仿宋_GB2312"/>
          <w:b w:val="0"/>
          <w:sz w:val="28"/>
        </w:rPr>
        <w:t>为识别控制要求开始产生经济代价的位置，模型在同一 2021 年实际资产基线上扫描 Rcap=1.5～3.0，步长 0.1，并保留无上限对照。每个扫描点使用相同的候选、正反向物理约束、储能时序规则、成本库和求解精度。Rcap 是政策控制上限，优化后的物理实现容载比是结果指标，二者不作数值交集。</w:t>
      </w:r>
    </w:p>
    <w:p>
      <w:pPr>
        <w:pStyle w:val="12"/>
        <w:keepNext/>
        <w:spacing w:before="120" w:after="60" w:line="400" w:lineRule="exact"/>
        <w:jc w:val="center"/>
        <w:ind w:firstLine="0" w:firstLineChars="0"/>
      </w:pPr>
      <w:r>
        <w:rPr>
          <w:rFonts w:ascii="Times New Roman" w:hAnsi="Times New Roman" w:eastAsia="仿宋_GB2312"/>
          <w:b w:val="0"/>
          <w:sz w:val="24"/>
        </w:rPr>
        <w:t>表 4-3 110 kV Rcap 阈值识别结果</w:t>
      </w:r>
    </w:p>
    <w:tbl>
      <w:tblPr>
        <w:tblW w:type="auto" w:w="0"/>
        <w:tblLayout w:type="autofi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385"/>
        <w:gridCol w:w="1385"/>
        <w:gridCol w:w="1385"/>
        <w:gridCol w:w="1385"/>
        <w:gridCol w:w="1385"/>
        <w:gridCol w:w="1385"/>
      </w:tblGrid>
      <w:tr>
        <w:trPr>
          <w:cantSplit/>
          <w:tblHeader w:val="true"/>
        </w:trPr>
        <w:tc>
          <w:tcPr>
            <w:tcW w:type="dxa" w:w="1385"/>
            <w:vAlign w:val="center"/>
          </w:tcPr>
          <w:p>
            <w:pPr>
              <w:pStyle w:val="97"/>
              <w:jc w:val="center"/>
              <w:spacing w:before="0" w:after="0" w:line="360" w:lineRule="exact"/>
              <w:ind w:firstLine="0" w:firstLineChars="0"/>
            </w:pPr>
            <w:r>
              <w:rPr>
                <w:rFonts w:ascii="Times New Roman" w:hAnsi="Times New Roman" w:eastAsia="仿宋_GB2312"/>
                <w:b/>
                <w:sz w:val="24"/>
              </w:rPr>
              <w:t>片区</w:t>
            </w:r>
          </w:p>
        </w:tc>
        <w:tc>
          <w:tcPr>
            <w:tcW w:type="dxa" w:w="1385"/>
            <w:vAlign w:val="center"/>
          </w:tcPr>
          <w:p>
            <w:pPr>
              <w:pStyle w:val="97"/>
              <w:jc w:val="center"/>
              <w:spacing w:before="0" w:after="0" w:line="360" w:lineRule="exact"/>
              <w:ind w:firstLine="0" w:firstLineChars="0"/>
            </w:pPr>
            <w:r>
              <w:rPr>
                <w:rFonts w:ascii="Times New Roman" w:hAnsi="Times New Roman" w:eastAsia="仿宋_GB2312"/>
                <w:b/>
                <w:sz w:val="24"/>
              </w:rPr>
              <w:t>粗扫描阈值</w:t>
            </w:r>
          </w:p>
        </w:tc>
        <w:tc>
          <w:tcPr>
            <w:tcW w:type="dxa" w:w="1385"/>
            <w:vAlign w:val="center"/>
          </w:tcPr>
          <w:p>
            <w:pPr>
              <w:pStyle w:val="97"/>
              <w:jc w:val="center"/>
              <w:spacing w:before="0" w:after="0" w:line="360" w:lineRule="exact"/>
              <w:ind w:firstLine="0" w:firstLineChars="0"/>
            </w:pPr>
            <w:r>
              <w:rPr>
                <w:rFonts w:ascii="Times New Roman" w:hAnsi="Times New Roman" w:eastAsia="仿宋_GB2312"/>
                <w:b/>
                <w:sz w:val="24"/>
              </w:rPr>
              <w:t>局部细化阈值</w:t>
            </w:r>
          </w:p>
        </w:tc>
        <w:tc>
          <w:tcPr>
            <w:tcW w:type="dxa" w:w="1385"/>
            <w:vAlign w:val="center"/>
          </w:tcPr>
          <w:p>
            <w:pPr>
              <w:pStyle w:val="97"/>
              <w:jc w:val="center"/>
              <w:spacing w:before="0" w:after="0" w:line="360" w:lineRule="exact"/>
              <w:ind w:firstLine="0" w:firstLineChars="0"/>
            </w:pPr>
            <w:r>
              <w:rPr>
                <w:rFonts w:ascii="Times New Roman" w:hAnsi="Times New Roman" w:eastAsia="仿宋_GB2312"/>
                <w:b/>
                <w:sz w:val="24"/>
              </w:rPr>
              <w:t>稳健近优下限</w:t>
            </w:r>
          </w:p>
        </w:tc>
        <w:tc>
          <w:tcPr>
            <w:tcW w:type="dxa" w:w="1385"/>
            <w:vAlign w:val="center"/>
          </w:tcPr>
          <w:p>
            <w:pPr>
              <w:pStyle w:val="97"/>
              <w:jc w:val="center"/>
              <w:spacing w:before="0" w:after="0" w:line="360" w:lineRule="exact"/>
              <w:ind w:firstLine="0" w:firstLineChars="0"/>
            </w:pPr>
            <w:r>
              <w:rPr>
                <w:rFonts w:ascii="Times New Roman" w:hAnsi="Times New Roman" w:eastAsia="仿宋_GB2312"/>
                <w:b/>
                <w:sz w:val="24"/>
              </w:rPr>
              <w:t>扫描上界是否识别</w:t>
            </w:r>
          </w:p>
        </w:tc>
        <w:tc>
          <w:tcPr>
            <w:tcW w:type="dxa" w:w="1385"/>
            <w:vAlign w:val="center"/>
          </w:tcPr>
          <w:p>
            <w:pPr>
              <w:pStyle w:val="97"/>
              <w:jc w:val="center"/>
              <w:spacing w:before="0" w:after="0" w:line="360" w:lineRule="exact"/>
              <w:ind w:firstLine="0" w:firstLineChars="0"/>
            </w:pPr>
            <w:r>
              <w:rPr>
                <w:rFonts w:ascii="Times New Roman" w:hAnsi="Times New Roman" w:eastAsia="仿宋_GB2312"/>
                <w:b/>
                <w:sz w:val="24"/>
              </w:rPr>
              <w:t>解释</w:t>
            </w:r>
          </w:p>
        </w:tc>
      </w:tr>
      <w:tr>
        <w:trPr>
          <w:cantSplit/>
        </w:trPr>
        <w:tc>
          <w:tcPr>
            <w:tcW w:type="dxa" w:w="1385"/>
            <w:vAlign w:val="center"/>
          </w:tcPr>
          <w:p>
            <w:pPr>
              <w:pStyle w:val="97"/>
              <w:jc w:val="left"/>
              <w:spacing w:before="0" w:after="0" w:line="360" w:lineRule="exact"/>
              <w:ind w:firstLine="0" w:firstLineChars="0"/>
            </w:pPr>
            <w:r>
              <w:rPr>
                <w:rFonts w:ascii="Times New Roman" w:hAnsi="Times New Roman" w:eastAsia="仿宋_GB2312"/>
                <w:b w:val="0"/>
                <w:sz w:val="24"/>
              </w:rPr>
              <w:t>QX-00001</w:t>
            </w:r>
          </w:p>
        </w:tc>
        <w:tc>
          <w:tcPr>
            <w:tcW w:type="dxa" w:w="1385"/>
            <w:vAlign w:val="center"/>
          </w:tcPr>
          <w:p>
            <w:pPr>
              <w:pStyle w:val="97"/>
              <w:jc w:val="center"/>
              <w:spacing w:before="0" w:after="0" w:line="360" w:lineRule="exact"/>
              <w:ind w:firstLine="0" w:firstLineChars="0"/>
            </w:pPr>
            <w:r>
              <w:rPr>
                <w:rFonts w:ascii="Times New Roman" w:hAnsi="Times New Roman" w:eastAsia="仿宋_GB2312"/>
                <w:b w:val="0"/>
                <w:sz w:val="24"/>
              </w:rPr>
              <w:t>2.3～2.4</w:t>
            </w:r>
          </w:p>
        </w:tc>
        <w:tc>
          <w:tcPr>
            <w:tcW w:type="dxa" w:w="1385"/>
            <w:vAlign w:val="center"/>
          </w:tcPr>
          <w:p>
            <w:pPr>
              <w:pStyle w:val="97"/>
              <w:jc w:val="center"/>
              <w:spacing w:before="0" w:after="0" w:line="360" w:lineRule="exact"/>
              <w:ind w:firstLine="0" w:firstLineChars="0"/>
            </w:pPr>
            <w:r>
              <w:rPr>
                <w:rFonts w:ascii="Times New Roman" w:hAnsi="Times New Roman" w:eastAsia="仿宋_GB2312"/>
                <w:b w:val="0"/>
                <w:sz w:val="24"/>
              </w:rPr>
              <w:t>2.359～2.360</w:t>
            </w:r>
          </w:p>
        </w:tc>
        <w:tc>
          <w:tcPr>
            <w:tcW w:type="dxa" w:w="1385"/>
            <w:vAlign w:val="center"/>
          </w:tcPr>
          <w:p>
            <w:pPr>
              <w:pStyle w:val="97"/>
              <w:jc w:val="center"/>
              <w:spacing w:before="0" w:after="0" w:line="360" w:lineRule="exact"/>
              <w:ind w:firstLine="0" w:firstLineChars="0"/>
            </w:pPr>
            <w:r>
              <w:rPr>
                <w:rFonts w:ascii="Times New Roman" w:hAnsi="Times New Roman" w:eastAsia="仿宋_GB2312"/>
                <w:b w:val="0"/>
                <w:sz w:val="24"/>
              </w:rPr>
              <w:t>≥2.5</w:t>
            </w:r>
          </w:p>
        </w:tc>
        <w:tc>
          <w:tcPr>
            <w:tcW w:type="dxa" w:w="1385"/>
            <w:vAlign w:val="center"/>
          </w:tcPr>
          <w:p>
            <w:pPr>
              <w:pStyle w:val="97"/>
              <w:jc w:val="center"/>
              <w:spacing w:before="0" w:after="0" w:line="360" w:lineRule="exact"/>
              <w:ind w:firstLine="0" w:firstLineChars="0"/>
            </w:pPr>
            <w:r>
              <w:rPr>
                <w:rFonts w:ascii="Times New Roman" w:hAnsi="Times New Roman" w:eastAsia="仿宋_GB2312"/>
                <w:b w:val="0"/>
                <w:sz w:val="24"/>
              </w:rPr>
              <w:t>否</w:t>
            </w:r>
          </w:p>
        </w:tc>
        <w:tc>
          <w:tcPr>
            <w:tcW w:type="dxa" w:w="1385"/>
            <w:vAlign w:val="center"/>
          </w:tcPr>
          <w:p>
            <w:pPr>
              <w:pStyle w:val="97"/>
              <w:jc w:val="center"/>
              <w:spacing w:before="0" w:after="0" w:line="360" w:lineRule="exact"/>
              <w:ind w:firstLine="0" w:firstLineChars="0"/>
            </w:pPr>
            <w:r>
              <w:rPr>
                <w:rFonts w:ascii="Times New Roman" w:hAnsi="Times New Roman" w:eastAsia="仿宋_GB2312"/>
                <w:b w:val="0"/>
                <w:sz w:val="24"/>
              </w:rPr>
              <w:t>收紧至局部阈值以下开始释放经济代价</w:t>
            </w:r>
          </w:p>
        </w:tc>
      </w:tr>
      <w:tr>
        <w:trPr>
          <w:cantSplit/>
        </w:trPr>
        <w:tc>
          <w:tcPr>
            <w:tcW w:type="dxa" w:w="1385"/>
            <w:vAlign w:val="center"/>
          </w:tcPr>
          <w:p>
            <w:pPr>
              <w:pStyle w:val="97"/>
              <w:jc w:val="left"/>
              <w:spacing w:before="0" w:after="0" w:line="360" w:lineRule="exact"/>
              <w:ind w:firstLine="0" w:firstLineChars="0"/>
            </w:pPr>
            <w:r>
              <w:rPr>
                <w:rFonts w:ascii="Times New Roman" w:hAnsi="Times New Roman" w:eastAsia="仿宋_GB2312"/>
                <w:b w:val="0"/>
                <w:sz w:val="24"/>
              </w:rPr>
              <w:t>QX-00003</w:t>
            </w:r>
          </w:p>
        </w:tc>
        <w:tc>
          <w:tcPr>
            <w:tcW w:type="dxa" w:w="1385"/>
            <w:vAlign w:val="center"/>
          </w:tcPr>
          <w:p>
            <w:pPr>
              <w:pStyle w:val="97"/>
              <w:jc w:val="center"/>
              <w:spacing w:before="0" w:after="0" w:line="360" w:lineRule="exact"/>
              <w:ind w:firstLine="0" w:firstLineChars="0"/>
            </w:pPr>
            <w:r>
              <w:rPr>
                <w:rFonts w:ascii="Times New Roman" w:hAnsi="Times New Roman" w:eastAsia="仿宋_GB2312"/>
                <w:b w:val="0"/>
                <w:sz w:val="24"/>
              </w:rPr>
              <w:t>未识别</w:t>
            </w:r>
          </w:p>
        </w:tc>
        <w:tc>
          <w:tcPr>
            <w:tcW w:type="dxa" w:w="1385"/>
            <w:vAlign w:val="center"/>
          </w:tcPr>
          <w:p>
            <w:pPr>
              <w:pStyle w:val="97"/>
              <w:jc w:val="center"/>
              <w:spacing w:before="0" w:after="0" w:line="360" w:lineRule="exact"/>
              <w:ind w:firstLine="0" w:firstLineChars="0"/>
            </w:pPr>
            <w:r>
              <w:rPr>
                <w:rFonts w:ascii="Times New Roman" w:hAnsi="Times New Roman" w:eastAsia="仿宋_GB2312"/>
                <w:b w:val="0"/>
                <w:sz w:val="24"/>
              </w:rPr>
              <w:t>未识别</w:t>
            </w:r>
          </w:p>
        </w:tc>
        <w:tc>
          <w:tcPr>
            <w:tcW w:type="dxa" w:w="1385"/>
            <w:vAlign w:val="center"/>
          </w:tcPr>
          <w:p>
            <w:pPr>
              <w:pStyle w:val="97"/>
              <w:jc w:val="center"/>
              <w:spacing w:before="0" w:after="0" w:line="360" w:lineRule="exact"/>
              <w:ind w:firstLine="0" w:firstLineChars="0"/>
            </w:pPr>
            <w:r>
              <w:rPr>
                <w:rFonts w:ascii="Times New Roman" w:hAnsi="Times New Roman" w:eastAsia="仿宋_GB2312"/>
                <w:b w:val="0"/>
                <w:sz w:val="24"/>
              </w:rPr>
              <w:t>不适用（非绑定）</w:t>
            </w:r>
          </w:p>
        </w:tc>
        <w:tc>
          <w:tcPr>
            <w:tcW w:type="dxa" w:w="1385"/>
            <w:vAlign w:val="center"/>
          </w:tcPr>
          <w:p>
            <w:pPr>
              <w:pStyle w:val="97"/>
              <w:jc w:val="center"/>
              <w:spacing w:before="0" w:after="0" w:line="360" w:lineRule="exact"/>
              <w:ind w:firstLine="0" w:firstLineChars="0"/>
            </w:pPr>
            <w:r>
              <w:rPr>
                <w:rFonts w:ascii="Times New Roman" w:hAnsi="Times New Roman" w:eastAsia="仿宋_GB2312"/>
                <w:b w:val="0"/>
                <w:sz w:val="24"/>
              </w:rPr>
              <w:t>否</w:t>
            </w:r>
          </w:p>
        </w:tc>
        <w:tc>
          <w:tcPr>
            <w:tcW w:type="dxa" w:w="1385"/>
            <w:vAlign w:val="center"/>
          </w:tcPr>
          <w:p>
            <w:pPr>
              <w:pStyle w:val="97"/>
              <w:jc w:val="center"/>
              <w:spacing w:before="0" w:after="0" w:line="360" w:lineRule="exact"/>
              <w:ind w:firstLine="0" w:firstLineChars="0"/>
            </w:pPr>
            <w:r>
              <w:rPr>
                <w:rFonts w:ascii="Times New Roman" w:hAnsi="Times New Roman" w:eastAsia="仿宋_GB2312"/>
                <w:b w:val="0"/>
                <w:sz w:val="24"/>
              </w:rPr>
              <w:t>研究范围内 Rcap 不改变最优措施，不形成唯一阈值</w:t>
            </w:r>
          </w:p>
        </w:tc>
      </w:tr>
      <w:tr>
        <w:trPr>
          <w:cantSplit/>
        </w:trPr>
        <w:tc>
          <w:tcPr>
            <w:tcW w:type="dxa" w:w="1385"/>
            <w:vAlign w:val="center"/>
          </w:tcPr>
          <w:p>
            <w:pPr>
              <w:pStyle w:val="97"/>
              <w:jc w:val="left"/>
              <w:spacing w:before="0" w:after="0" w:line="360" w:lineRule="exact"/>
              <w:ind w:firstLine="0" w:firstLineChars="0"/>
            </w:pPr>
            <w:r>
              <w:rPr>
                <w:rFonts w:ascii="Times New Roman" w:hAnsi="Times New Roman" w:eastAsia="仿宋_GB2312"/>
                <w:b w:val="0"/>
                <w:sz w:val="24"/>
              </w:rPr>
              <w:t>QX-00004</w:t>
            </w:r>
          </w:p>
        </w:tc>
        <w:tc>
          <w:tcPr>
            <w:tcW w:type="dxa" w:w="1385"/>
            <w:vAlign w:val="center"/>
          </w:tcPr>
          <w:p>
            <w:pPr>
              <w:pStyle w:val="97"/>
              <w:jc w:val="center"/>
              <w:spacing w:before="0" w:after="0" w:line="360" w:lineRule="exact"/>
              <w:ind w:firstLine="0" w:firstLineChars="0"/>
            </w:pPr>
            <w:r>
              <w:rPr>
                <w:rFonts w:ascii="Times New Roman" w:hAnsi="Times New Roman" w:eastAsia="仿宋_GB2312"/>
                <w:b w:val="0"/>
                <w:sz w:val="24"/>
              </w:rPr>
              <w:t>未识别</w:t>
            </w:r>
          </w:p>
        </w:tc>
        <w:tc>
          <w:tcPr>
            <w:tcW w:type="dxa" w:w="1385"/>
            <w:vAlign w:val="center"/>
          </w:tcPr>
          <w:p>
            <w:pPr>
              <w:pStyle w:val="97"/>
              <w:jc w:val="center"/>
              <w:spacing w:before="0" w:after="0" w:line="360" w:lineRule="exact"/>
              <w:ind w:firstLine="0" w:firstLineChars="0"/>
            </w:pPr>
            <w:r>
              <w:rPr>
                <w:rFonts w:ascii="Times New Roman" w:hAnsi="Times New Roman" w:eastAsia="仿宋_GB2312"/>
                <w:b w:val="0"/>
                <w:sz w:val="24"/>
              </w:rPr>
              <w:t>未识别</w:t>
            </w:r>
          </w:p>
        </w:tc>
        <w:tc>
          <w:tcPr>
            <w:tcW w:type="dxa" w:w="1385"/>
            <w:vAlign w:val="center"/>
          </w:tcPr>
          <w:p>
            <w:pPr>
              <w:pStyle w:val="97"/>
              <w:jc w:val="center"/>
              <w:spacing w:before="0" w:after="0" w:line="360" w:lineRule="exact"/>
              <w:ind w:firstLine="0" w:firstLineChars="0"/>
            </w:pPr>
            <w:r>
              <w:rPr>
                <w:rFonts w:ascii="Times New Roman" w:hAnsi="Times New Roman" w:eastAsia="仿宋_GB2312"/>
                <w:b w:val="0"/>
                <w:sz w:val="24"/>
              </w:rPr>
              <w:t>不适用（非绑定）</w:t>
            </w:r>
          </w:p>
        </w:tc>
        <w:tc>
          <w:tcPr>
            <w:tcW w:type="dxa" w:w="1385"/>
            <w:vAlign w:val="center"/>
          </w:tcPr>
          <w:p>
            <w:pPr>
              <w:pStyle w:val="97"/>
              <w:jc w:val="center"/>
              <w:spacing w:before="0" w:after="0" w:line="360" w:lineRule="exact"/>
              <w:ind w:firstLine="0" w:firstLineChars="0"/>
            </w:pPr>
            <w:r>
              <w:rPr>
                <w:rFonts w:ascii="Times New Roman" w:hAnsi="Times New Roman" w:eastAsia="仿宋_GB2312"/>
                <w:b w:val="0"/>
                <w:sz w:val="24"/>
              </w:rPr>
              <w:t>否</w:t>
            </w:r>
          </w:p>
        </w:tc>
        <w:tc>
          <w:tcPr>
            <w:tcW w:type="dxa" w:w="1385"/>
            <w:vAlign w:val="center"/>
          </w:tcPr>
          <w:p>
            <w:pPr>
              <w:pStyle w:val="97"/>
              <w:jc w:val="center"/>
              <w:spacing w:before="0" w:after="0" w:line="360" w:lineRule="exact"/>
              <w:ind w:firstLine="0" w:firstLineChars="0"/>
            </w:pPr>
            <w:r>
              <w:rPr>
                <w:rFonts w:ascii="Times New Roman" w:hAnsi="Times New Roman" w:eastAsia="仿宋_GB2312"/>
                <w:b w:val="0"/>
                <w:sz w:val="24"/>
              </w:rPr>
              <w:t>研究范围内 Rcap 不改变最优措施，不形成唯一阈值</w:t>
            </w:r>
          </w:p>
        </w:tc>
      </w:tr>
      <w:tr>
        <w:trPr>
          <w:cantSplit/>
        </w:trPr>
        <w:tc>
          <w:tcPr>
            <w:tcW w:type="dxa" w:w="1385"/>
            <w:vAlign w:val="center"/>
          </w:tcPr>
          <w:p>
            <w:pPr>
              <w:pStyle w:val="97"/>
              <w:jc w:val="left"/>
              <w:spacing w:before="0" w:after="0" w:line="360" w:lineRule="exact"/>
              <w:ind w:firstLine="0" w:firstLineChars="0"/>
            </w:pPr>
            <w:r>
              <w:rPr>
                <w:rFonts w:ascii="Times New Roman" w:hAnsi="Times New Roman" w:eastAsia="仿宋_GB2312"/>
                <w:b w:val="0"/>
                <w:sz w:val="24"/>
              </w:rPr>
              <w:t>QX-00005</w:t>
            </w:r>
          </w:p>
        </w:tc>
        <w:tc>
          <w:tcPr>
            <w:tcW w:type="dxa" w:w="1385"/>
            <w:vAlign w:val="center"/>
          </w:tcPr>
          <w:p>
            <w:pPr>
              <w:pStyle w:val="97"/>
              <w:jc w:val="center"/>
              <w:spacing w:before="0" w:after="0" w:line="360" w:lineRule="exact"/>
              <w:ind w:firstLine="0" w:firstLineChars="0"/>
            </w:pPr>
            <w:r>
              <w:rPr>
                <w:rFonts w:ascii="Times New Roman" w:hAnsi="Times New Roman" w:eastAsia="仿宋_GB2312"/>
                <w:b w:val="0"/>
                <w:sz w:val="24"/>
              </w:rPr>
              <w:t>2.1～2.2</w:t>
            </w:r>
          </w:p>
        </w:tc>
        <w:tc>
          <w:tcPr>
            <w:tcW w:type="dxa" w:w="1385"/>
            <w:vAlign w:val="center"/>
          </w:tcPr>
          <w:p>
            <w:pPr>
              <w:pStyle w:val="97"/>
              <w:jc w:val="center"/>
              <w:spacing w:before="0" w:after="0" w:line="360" w:lineRule="exact"/>
              <w:ind w:firstLine="0" w:firstLineChars="0"/>
            </w:pPr>
            <w:r>
              <w:rPr>
                <w:rFonts w:ascii="Times New Roman" w:hAnsi="Times New Roman" w:eastAsia="仿宋_GB2312"/>
                <w:b w:val="0"/>
                <w:sz w:val="24"/>
              </w:rPr>
              <w:t>2.171～2.172</w:t>
            </w:r>
          </w:p>
        </w:tc>
        <w:tc>
          <w:tcPr>
            <w:tcW w:type="dxa" w:w="1385"/>
            <w:vAlign w:val="center"/>
          </w:tcPr>
          <w:p>
            <w:pPr>
              <w:pStyle w:val="97"/>
              <w:jc w:val="center"/>
              <w:spacing w:before="0" w:after="0" w:line="360" w:lineRule="exact"/>
              <w:ind w:firstLine="0" w:firstLineChars="0"/>
            </w:pPr>
            <w:r>
              <w:rPr>
                <w:rFonts w:ascii="Times New Roman" w:hAnsi="Times New Roman" w:eastAsia="仿宋_GB2312"/>
                <w:b w:val="0"/>
                <w:sz w:val="24"/>
              </w:rPr>
              <w:t>≥2.3</w:t>
            </w:r>
          </w:p>
        </w:tc>
        <w:tc>
          <w:tcPr>
            <w:tcW w:type="dxa" w:w="1385"/>
            <w:vAlign w:val="center"/>
          </w:tcPr>
          <w:p>
            <w:pPr>
              <w:pStyle w:val="97"/>
              <w:jc w:val="center"/>
              <w:spacing w:before="0" w:after="0" w:line="360" w:lineRule="exact"/>
              <w:ind w:firstLine="0" w:firstLineChars="0"/>
            </w:pPr>
            <w:r>
              <w:rPr>
                <w:rFonts w:ascii="Times New Roman" w:hAnsi="Times New Roman" w:eastAsia="仿宋_GB2312"/>
                <w:b w:val="0"/>
                <w:sz w:val="24"/>
              </w:rPr>
              <w:t>否</w:t>
            </w:r>
          </w:p>
        </w:tc>
        <w:tc>
          <w:tcPr>
            <w:tcW w:type="dxa" w:w="1385"/>
            <w:vAlign w:val="center"/>
          </w:tcPr>
          <w:p>
            <w:pPr>
              <w:pStyle w:val="97"/>
              <w:jc w:val="center"/>
              <w:spacing w:before="0" w:after="0" w:line="360" w:lineRule="exact"/>
              <w:ind w:firstLine="0" w:firstLineChars="0"/>
            </w:pPr>
            <w:r>
              <w:rPr>
                <w:rFonts w:ascii="Times New Roman" w:hAnsi="Times New Roman" w:eastAsia="仿宋_GB2312"/>
                <w:b w:val="0"/>
                <w:sz w:val="24"/>
              </w:rPr>
              <w:t>收紧至局部阈值以下开始释放经济代价</w:t>
            </w:r>
          </w:p>
        </w:tc>
      </w:tr>
      <w:tr>
        <w:trPr>
          <w:cantSplit/>
        </w:trPr>
        <w:tc>
          <w:tcPr>
            <w:tcW w:type="dxa" w:w="1385"/>
            <w:vAlign w:val="center"/>
          </w:tcPr>
          <w:p>
            <w:pPr>
              <w:pStyle w:val="97"/>
              <w:jc w:val="left"/>
              <w:spacing w:before="0" w:after="0" w:line="360" w:lineRule="exact"/>
              <w:ind w:firstLine="0" w:firstLineChars="0"/>
            </w:pPr>
            <w:r>
              <w:rPr>
                <w:rFonts w:ascii="Times New Roman" w:hAnsi="Times New Roman" w:eastAsia="仿宋_GB2312"/>
                <w:b w:val="0"/>
                <w:sz w:val="24"/>
              </w:rPr>
              <w:t>QX-00007</w:t>
            </w:r>
          </w:p>
        </w:tc>
        <w:tc>
          <w:tcPr>
            <w:tcW w:type="dxa" w:w="1385"/>
            <w:vAlign w:val="center"/>
          </w:tcPr>
          <w:p>
            <w:pPr>
              <w:pStyle w:val="97"/>
              <w:jc w:val="center"/>
              <w:spacing w:before="0" w:after="0" w:line="360" w:lineRule="exact"/>
              <w:ind w:firstLine="0" w:firstLineChars="0"/>
            </w:pPr>
            <w:r>
              <w:rPr>
                <w:rFonts w:ascii="Times New Roman" w:hAnsi="Times New Roman" w:eastAsia="仿宋_GB2312"/>
                <w:b w:val="0"/>
                <w:sz w:val="24"/>
              </w:rPr>
              <w:t>未识别</w:t>
            </w:r>
          </w:p>
        </w:tc>
        <w:tc>
          <w:tcPr>
            <w:tcW w:type="dxa" w:w="1385"/>
            <w:vAlign w:val="center"/>
          </w:tcPr>
          <w:p>
            <w:pPr>
              <w:pStyle w:val="97"/>
              <w:jc w:val="center"/>
              <w:spacing w:before="0" w:after="0" w:line="360" w:lineRule="exact"/>
              <w:ind w:firstLine="0" w:firstLineChars="0"/>
            </w:pPr>
            <w:r>
              <w:rPr>
                <w:rFonts w:ascii="Times New Roman" w:hAnsi="Times New Roman" w:eastAsia="仿宋_GB2312"/>
                <w:b w:val="0"/>
                <w:sz w:val="24"/>
              </w:rPr>
              <w:t>未识别</w:t>
            </w:r>
          </w:p>
        </w:tc>
        <w:tc>
          <w:tcPr>
            <w:tcW w:type="dxa" w:w="1385"/>
            <w:vAlign w:val="center"/>
          </w:tcPr>
          <w:p>
            <w:pPr>
              <w:pStyle w:val="97"/>
              <w:jc w:val="center"/>
              <w:spacing w:before="0" w:after="0" w:line="360" w:lineRule="exact"/>
              <w:ind w:firstLine="0" w:firstLineChars="0"/>
            </w:pPr>
            <w:r>
              <w:rPr>
                <w:rFonts w:ascii="Times New Roman" w:hAnsi="Times New Roman" w:eastAsia="仿宋_GB2312"/>
                <w:b w:val="0"/>
                <w:sz w:val="24"/>
              </w:rPr>
              <w:t>不适用（非绑定）</w:t>
            </w:r>
          </w:p>
        </w:tc>
        <w:tc>
          <w:tcPr>
            <w:tcW w:type="dxa" w:w="1385"/>
            <w:vAlign w:val="center"/>
          </w:tcPr>
          <w:p>
            <w:pPr>
              <w:pStyle w:val="97"/>
              <w:jc w:val="center"/>
              <w:spacing w:before="0" w:after="0" w:line="360" w:lineRule="exact"/>
              <w:ind w:firstLine="0" w:firstLineChars="0"/>
            </w:pPr>
            <w:r>
              <w:rPr>
                <w:rFonts w:ascii="Times New Roman" w:hAnsi="Times New Roman" w:eastAsia="仿宋_GB2312"/>
                <w:b w:val="0"/>
                <w:sz w:val="24"/>
              </w:rPr>
              <w:t>否</w:t>
            </w:r>
          </w:p>
        </w:tc>
        <w:tc>
          <w:tcPr>
            <w:tcW w:type="dxa" w:w="1385"/>
            <w:vAlign w:val="center"/>
          </w:tcPr>
          <w:p>
            <w:pPr>
              <w:pStyle w:val="97"/>
              <w:jc w:val="center"/>
              <w:spacing w:before="0" w:after="0" w:line="360" w:lineRule="exact"/>
              <w:ind w:firstLine="0" w:firstLineChars="0"/>
            </w:pPr>
            <w:r>
              <w:rPr>
                <w:rFonts w:ascii="Times New Roman" w:hAnsi="Times New Roman" w:eastAsia="仿宋_GB2312"/>
                <w:b w:val="0"/>
                <w:sz w:val="24"/>
              </w:rPr>
              <w:t>研究范围内没有新增投资，Rcap 不构成有效约束</w:t>
            </w:r>
          </w:p>
        </w:tc>
      </w:tr>
      <w:tr>
        <w:trPr>
          <w:cantSplit/>
        </w:trPr>
        <w:tc>
          <w:tcPr>
            <w:tcW w:type="dxa" w:w="1385"/>
            <w:vAlign w:val="center"/>
          </w:tcPr>
          <w:p>
            <w:pPr>
              <w:pStyle w:val="97"/>
              <w:jc w:val="left"/>
              <w:spacing w:before="0" w:after="0" w:line="360" w:lineRule="exact"/>
              <w:ind w:firstLine="0" w:firstLineChars="0"/>
            </w:pPr>
            <w:r>
              <w:rPr>
                <w:rFonts w:ascii="Times New Roman" w:hAnsi="Times New Roman" w:eastAsia="仿宋_GB2312"/>
                <w:b w:val="0"/>
                <w:sz w:val="24"/>
              </w:rPr>
              <w:t>QX-00008</w:t>
            </w:r>
          </w:p>
        </w:tc>
        <w:tc>
          <w:tcPr>
            <w:tcW w:type="dxa" w:w="1385"/>
            <w:vAlign w:val="center"/>
          </w:tcPr>
          <w:p>
            <w:pPr>
              <w:pStyle w:val="97"/>
              <w:jc w:val="center"/>
              <w:spacing w:before="0" w:after="0" w:line="360" w:lineRule="exact"/>
              <w:ind w:firstLine="0" w:firstLineChars="0"/>
            </w:pPr>
            <w:r>
              <w:rPr>
                <w:rFonts w:ascii="Times New Roman" w:hAnsi="Times New Roman" w:eastAsia="仿宋_GB2312"/>
                <w:b w:val="0"/>
                <w:sz w:val="24"/>
              </w:rPr>
              <w:t>不适用</w:t>
            </w:r>
          </w:p>
        </w:tc>
        <w:tc>
          <w:tcPr>
            <w:tcW w:type="dxa" w:w="1385"/>
            <w:vAlign w:val="center"/>
          </w:tcPr>
          <w:p>
            <w:pPr>
              <w:pStyle w:val="97"/>
              <w:jc w:val="center"/>
              <w:spacing w:before="0" w:after="0" w:line="360" w:lineRule="exact"/>
              <w:ind w:firstLine="0" w:firstLineChars="0"/>
            </w:pPr>
            <w:r>
              <w:rPr>
                <w:rFonts w:ascii="Times New Roman" w:hAnsi="Times New Roman" w:eastAsia="仿宋_GB2312"/>
                <w:b w:val="0"/>
                <w:sz w:val="24"/>
              </w:rPr>
              <w:t>不适用</w:t>
            </w:r>
          </w:p>
        </w:tc>
        <w:tc>
          <w:tcPr>
            <w:tcW w:type="dxa" w:w="1385"/>
            <w:vAlign w:val="center"/>
          </w:tcPr>
          <w:p>
            <w:pPr>
              <w:pStyle w:val="97"/>
              <w:jc w:val="center"/>
              <w:spacing w:before="0" w:after="0" w:line="360" w:lineRule="exact"/>
              <w:ind w:firstLine="0" w:firstLineChars="0"/>
            </w:pPr>
            <w:r>
              <w:rPr>
                <w:rFonts w:ascii="Times New Roman" w:hAnsi="Times New Roman" w:eastAsia="仿宋_GB2312"/>
                <w:b w:val="0"/>
                <w:sz w:val="24"/>
              </w:rPr>
              <w:t>—</w:t>
            </w:r>
          </w:p>
        </w:tc>
        <w:tc>
          <w:tcPr>
            <w:tcW w:type="dxa" w:w="1385"/>
            <w:vAlign w:val="center"/>
          </w:tcPr>
          <w:p>
            <w:pPr>
              <w:pStyle w:val="97"/>
              <w:jc w:val="center"/>
              <w:spacing w:before="0" w:after="0" w:line="360" w:lineRule="exact"/>
              <w:ind w:firstLine="0" w:firstLineChars="0"/>
            </w:pPr>
            <w:r>
              <w:rPr>
                <w:rFonts w:ascii="Times New Roman" w:hAnsi="Times New Roman" w:eastAsia="仿宋_GB2312"/>
                <w:b w:val="0"/>
                <w:sz w:val="24"/>
              </w:rPr>
              <w:t>否</w:t>
            </w:r>
          </w:p>
        </w:tc>
        <w:tc>
          <w:tcPr>
            <w:tcW w:type="dxa" w:w="1385"/>
            <w:vAlign w:val="center"/>
          </w:tcPr>
          <w:p>
            <w:pPr>
              <w:pStyle w:val="97"/>
              <w:jc w:val="center"/>
              <w:spacing w:before="0" w:after="0" w:line="360" w:lineRule="exact"/>
              <w:ind w:firstLine="0" w:firstLineChars="0"/>
            </w:pPr>
            <w:r>
              <w:rPr>
                <w:rFonts w:ascii="Times New Roman" w:hAnsi="Times New Roman" w:eastAsia="仿宋_GB2312"/>
                <w:b w:val="0"/>
                <w:sz w:val="24"/>
              </w:rPr>
              <w:t>无上限方案已不可行，先处理物理边界</w:t>
            </w:r>
          </w:p>
        </w:tc>
      </w:tr>
      <w:tr>
        <w:trPr>
          <w:cantSplit/>
        </w:trPr>
        <w:tc>
          <w:tcPr>
            <w:tcW w:type="dxa" w:w="1385"/>
            <w:vAlign w:val="center"/>
          </w:tcPr>
          <w:p>
            <w:pPr>
              <w:pStyle w:val="97"/>
              <w:jc w:val="left"/>
              <w:spacing w:before="0" w:after="0" w:line="360" w:lineRule="exact"/>
              <w:ind w:firstLine="0" w:firstLineChars="0"/>
            </w:pPr>
            <w:r>
              <w:rPr>
                <w:rFonts w:ascii="Times New Roman" w:hAnsi="Times New Roman" w:eastAsia="仿宋_GB2312"/>
                <w:b w:val="0"/>
                <w:sz w:val="24"/>
              </w:rPr>
              <w:t>QX-00009</w:t>
            </w:r>
          </w:p>
        </w:tc>
        <w:tc>
          <w:tcPr>
            <w:tcW w:type="dxa" w:w="1385"/>
            <w:vAlign w:val="center"/>
          </w:tcPr>
          <w:p>
            <w:pPr>
              <w:pStyle w:val="97"/>
              <w:jc w:val="center"/>
              <w:spacing w:before="0" w:after="0" w:line="360" w:lineRule="exact"/>
              <w:ind w:firstLine="0" w:firstLineChars="0"/>
            </w:pPr>
            <w:r>
              <w:rPr>
                <w:rFonts w:ascii="Times New Roman" w:hAnsi="Times New Roman" w:eastAsia="仿宋_GB2312"/>
                <w:b w:val="0"/>
                <w:sz w:val="24"/>
              </w:rPr>
              <w:t>不适用</w:t>
            </w:r>
          </w:p>
        </w:tc>
        <w:tc>
          <w:tcPr>
            <w:tcW w:type="dxa" w:w="1385"/>
            <w:vAlign w:val="center"/>
          </w:tcPr>
          <w:p>
            <w:pPr>
              <w:pStyle w:val="97"/>
              <w:jc w:val="center"/>
              <w:spacing w:before="0" w:after="0" w:line="360" w:lineRule="exact"/>
              <w:ind w:firstLine="0" w:firstLineChars="0"/>
            </w:pPr>
            <w:r>
              <w:rPr>
                <w:rFonts w:ascii="Times New Roman" w:hAnsi="Times New Roman" w:eastAsia="仿宋_GB2312"/>
                <w:b w:val="0"/>
                <w:sz w:val="24"/>
              </w:rPr>
              <w:t>不适用</w:t>
            </w:r>
          </w:p>
        </w:tc>
        <w:tc>
          <w:tcPr>
            <w:tcW w:type="dxa" w:w="1385"/>
            <w:vAlign w:val="center"/>
          </w:tcPr>
          <w:p>
            <w:pPr>
              <w:pStyle w:val="97"/>
              <w:jc w:val="center"/>
              <w:spacing w:before="0" w:after="0" w:line="360" w:lineRule="exact"/>
              <w:ind w:firstLine="0" w:firstLineChars="0"/>
            </w:pPr>
            <w:r>
              <w:rPr>
                <w:rFonts w:ascii="Times New Roman" w:hAnsi="Times New Roman" w:eastAsia="仿宋_GB2312"/>
                <w:b w:val="0"/>
                <w:sz w:val="24"/>
              </w:rPr>
              <w:t>—</w:t>
            </w:r>
          </w:p>
        </w:tc>
        <w:tc>
          <w:tcPr>
            <w:tcW w:type="dxa" w:w="1385"/>
            <w:vAlign w:val="center"/>
          </w:tcPr>
          <w:p>
            <w:pPr>
              <w:pStyle w:val="97"/>
              <w:jc w:val="center"/>
              <w:spacing w:before="0" w:after="0" w:line="360" w:lineRule="exact"/>
              <w:ind w:firstLine="0" w:firstLineChars="0"/>
            </w:pPr>
            <w:r>
              <w:rPr>
                <w:rFonts w:ascii="Times New Roman" w:hAnsi="Times New Roman" w:eastAsia="仿宋_GB2312"/>
                <w:b w:val="0"/>
                <w:sz w:val="24"/>
              </w:rPr>
              <w:t>否</w:t>
            </w:r>
          </w:p>
        </w:tc>
        <w:tc>
          <w:tcPr>
            <w:tcW w:type="dxa" w:w="1385"/>
            <w:vAlign w:val="center"/>
          </w:tcPr>
          <w:p>
            <w:pPr>
              <w:pStyle w:val="97"/>
              <w:jc w:val="center"/>
              <w:spacing w:before="0" w:after="0" w:line="360" w:lineRule="exact"/>
              <w:ind w:firstLine="0" w:firstLineChars="0"/>
            </w:pPr>
            <w:r>
              <w:rPr>
                <w:rFonts w:ascii="Times New Roman" w:hAnsi="Times New Roman" w:eastAsia="仿宋_GB2312"/>
                <w:b w:val="0"/>
                <w:sz w:val="24"/>
              </w:rPr>
              <w:t>无上限方案已不可行，先处理物理边界</w:t>
            </w:r>
          </w:p>
        </w:tc>
      </w:tr>
      <w:tr>
        <w:trPr>
          <w:cantSplit/>
        </w:trPr>
        <w:tc>
          <w:tcPr>
            <w:tcW w:type="dxa" w:w="1385"/>
            <w:vAlign w:val="center"/>
          </w:tcPr>
          <w:p>
            <w:pPr>
              <w:pStyle w:val="97"/>
              <w:jc w:val="left"/>
              <w:spacing w:before="0" w:after="0" w:line="360" w:lineRule="exact"/>
              <w:ind w:firstLine="0" w:firstLineChars="0"/>
            </w:pPr>
            <w:r>
              <w:rPr>
                <w:rFonts w:ascii="Times New Roman" w:hAnsi="Times New Roman" w:eastAsia="仿宋_GB2312"/>
                <w:b w:val="0"/>
                <w:sz w:val="24"/>
              </w:rPr>
              <w:t>QX-00010</w:t>
            </w:r>
          </w:p>
        </w:tc>
        <w:tc>
          <w:tcPr>
            <w:tcW w:type="dxa" w:w="1385"/>
            <w:vAlign w:val="center"/>
          </w:tcPr>
          <w:p>
            <w:pPr>
              <w:pStyle w:val="97"/>
              <w:jc w:val="center"/>
              <w:spacing w:before="0" w:after="0" w:line="360" w:lineRule="exact"/>
              <w:ind w:firstLine="0" w:firstLineChars="0"/>
            </w:pPr>
            <w:r>
              <w:rPr>
                <w:rFonts w:ascii="Times New Roman" w:hAnsi="Times New Roman" w:eastAsia="仿宋_GB2312"/>
                <w:b w:val="0"/>
                <w:sz w:val="24"/>
              </w:rPr>
              <w:t>不适用</w:t>
            </w:r>
          </w:p>
        </w:tc>
        <w:tc>
          <w:tcPr>
            <w:tcW w:type="dxa" w:w="1385"/>
            <w:vAlign w:val="center"/>
          </w:tcPr>
          <w:p>
            <w:pPr>
              <w:pStyle w:val="97"/>
              <w:jc w:val="center"/>
              <w:spacing w:before="0" w:after="0" w:line="360" w:lineRule="exact"/>
              <w:ind w:firstLine="0" w:firstLineChars="0"/>
            </w:pPr>
            <w:r>
              <w:rPr>
                <w:rFonts w:ascii="Times New Roman" w:hAnsi="Times New Roman" w:eastAsia="仿宋_GB2312"/>
                <w:b w:val="0"/>
                <w:sz w:val="24"/>
              </w:rPr>
              <w:t>不适用</w:t>
            </w:r>
          </w:p>
        </w:tc>
        <w:tc>
          <w:tcPr>
            <w:tcW w:type="dxa" w:w="1385"/>
            <w:vAlign w:val="center"/>
          </w:tcPr>
          <w:p>
            <w:pPr>
              <w:pStyle w:val="97"/>
              <w:jc w:val="center"/>
              <w:spacing w:before="0" w:after="0" w:line="360" w:lineRule="exact"/>
              <w:ind w:firstLine="0" w:firstLineChars="0"/>
            </w:pPr>
            <w:r>
              <w:rPr>
                <w:rFonts w:ascii="Times New Roman" w:hAnsi="Times New Roman" w:eastAsia="仿宋_GB2312"/>
                <w:b w:val="0"/>
                <w:sz w:val="24"/>
              </w:rPr>
              <w:t>—</w:t>
            </w:r>
          </w:p>
        </w:tc>
        <w:tc>
          <w:tcPr>
            <w:tcW w:type="dxa" w:w="1385"/>
            <w:vAlign w:val="center"/>
          </w:tcPr>
          <w:p>
            <w:pPr>
              <w:pStyle w:val="97"/>
              <w:jc w:val="center"/>
              <w:spacing w:before="0" w:after="0" w:line="360" w:lineRule="exact"/>
              <w:ind w:firstLine="0" w:firstLineChars="0"/>
            </w:pPr>
            <w:r>
              <w:rPr>
                <w:rFonts w:ascii="Times New Roman" w:hAnsi="Times New Roman" w:eastAsia="仿宋_GB2312"/>
                <w:b w:val="0"/>
                <w:sz w:val="24"/>
              </w:rPr>
              <w:t>否</w:t>
            </w:r>
          </w:p>
        </w:tc>
        <w:tc>
          <w:tcPr>
            <w:tcW w:type="dxa" w:w="1385"/>
            <w:vAlign w:val="center"/>
          </w:tcPr>
          <w:p>
            <w:pPr>
              <w:pStyle w:val="97"/>
              <w:jc w:val="center"/>
              <w:spacing w:before="0" w:after="0" w:line="360" w:lineRule="exact"/>
              <w:ind w:firstLine="0" w:firstLineChars="0"/>
            </w:pPr>
            <w:r>
              <w:rPr>
                <w:rFonts w:ascii="Times New Roman" w:hAnsi="Times New Roman" w:eastAsia="仿宋_GB2312"/>
                <w:b w:val="0"/>
                <w:sz w:val="24"/>
              </w:rPr>
              <w:t>无上限方案已不可行，先处理物理边界</w:t>
            </w:r>
          </w:p>
        </w:tc>
      </w:tr>
    </w:tbl>
    <w:p>
      <w:pPr>
        <w:spacing w:before="0" w:after="0" w:line="560" w:lineRule="exact"/>
        <w:jc w:val="both"/>
        <w:ind w:firstLineChars="200" w:firstLine="200"/>
      </w:pPr>
      <w:r>
        <w:rPr>
          <w:rFonts w:ascii="Times New Roman" w:hAnsi="Times New Roman" w:eastAsia="仿宋_GB2312"/>
          <w:b w:val="0"/>
          <w:sz w:val="28"/>
        </w:rPr>
        <w:t>QX-00001 的弹性方案累计年化成本为 188.18 万元，严格 Rcap=2.0 方案为 481.96 万元，同一实际资产基线下的直接增量为 293.78 万元。QX-00005 的对应成本为 1745.53 万元和 3359.05 万元，直接增量为 1613.52 万元。QX-00003、QX-00004 和 QX-00007 在两条可行方案下的结果相同，分别为 604.70 万元、433.54 万元和 0 万元。QX-00008、QX-00009、QX-00010 的无上限方案均未形成可行解，不作成本比较。</w:t>
      </w:r>
    </w:p>
    <w:p>
      <w:pPr>
        <w:spacing w:before="0" w:after="0" w:line="560" w:lineRule="exact"/>
        <w:jc w:val="both"/>
        <w:ind w:firstLineChars="200" w:firstLine="200"/>
      </w:pPr>
      <w:r>
        <w:rPr>
          <w:rFonts w:ascii="Times New Roman" w:hAnsi="Times New Roman" w:eastAsia="仿宋_GB2312"/>
          <w:b w:val="0"/>
          <w:sz w:val="28"/>
        </w:rPr>
        <w:t>局部阈值回答的是“从哪个位置继续收紧会触发新增经济代价”，不是设备安全限值。正式参数层共 17 个参数场景，其中 1 个为基准复现控制、16 个为敏感性扰动；16 个扰动中包含 6 个非笛卡尔联合压力场景。基准复现控制只用于检查可复现性，稳健交集按 Rcap 点集去重，不因同一基准结果重复计权。推荐结论采用 5% 近优带，并以 2% 和 10% 近优带辅助复核。六个联合情景均未改变 QX-00001、QX-00005 无上限方案的措施类型，两片区的稳健近优下限仍分别为 2.5 和 2.3。共同近优带均延伸至扫描上界 3.0，因而只能报告“下限已识别、上界未识别”，不能把 3.0 写成推荐上限。</w:t>
      </w:r>
    </w:p>
    <w:p>
      <w:pPr>
        <w:spacing w:before="0" w:after="0" w:line="560" w:lineRule="exact"/>
        <w:jc w:val="both"/>
        <w:ind w:firstLineChars="200" w:firstLine="200"/>
      </w:pPr>
      <w:r>
        <w:rPr>
          <w:rFonts w:ascii="Times New Roman" w:hAnsi="Times New Roman" w:eastAsia="仿宋_GB2312"/>
          <w:b w:val="0"/>
          <w:sz w:val="28"/>
        </w:rPr>
        <w:t>年化参数敏感性作为独立证据目录保存，不并入上述 17 个正式参数场景的计数。10 个定向场景的结果均为 ROBUST：QX-00001 的局部经济释放阈值保持在 2.359～2.360，稳健近优下限保持为 2.5；QX-00005 的局部阈值保持在 2.171～2.172，稳健近优下限保持为 2.3。两片区无上限方案的可行性和主要措施类型未改变，变化仅体现在储能与扩建措施的年化成本分解，详见 results/runs/real-2021-2025-v32-annualization-sensitivity/annualization_core_summary.csv、annualization_robust_summary.csv 和 annualization_action_eac.csv。</w:t>
      </w:r>
    </w:p>
    <w:p>
      <w:pPr>
        <w:pStyle w:val="38"/>
        <w:jc w:val="center"/>
        <w:ind w:firstLine="0" w:firstLineChars="0"/>
      </w:pPr>
      <w:r>
        <w:drawing>
          <wp:inline xmlns:a="http://schemas.openxmlformats.org/drawingml/2006/main" xmlns:pic="http://schemas.openxmlformats.org/drawingml/2006/picture">
            <wp:extent cx="4968000" cy="3011703"/>
            <wp:docPr id="8" name="Picture 8"/>
            <wp:cNvGraphicFramePr>
              <a:graphicFrameLocks noChangeAspect="1"/>
            </wp:cNvGraphicFramePr>
            <a:graphic>
              <a:graphicData uri="http://schemas.openxmlformats.org/drawingml/2006/picture">
                <pic:pic>
                  <pic:nvPicPr>
                    <pic:cNvPr id="0" name="图4-1_弹性扫描前沿_v3.2.png"/>
                    <pic:cNvPicPr/>
                  </pic:nvPicPr>
                  <pic:blipFill>
                    <a:blip r:embed="rId20"/>
                    <a:stretch>
                      <a:fillRect/>
                    </a:stretch>
                  </pic:blipFill>
                  <pic:spPr>
                    <a:xfrm>
                      <a:off x="0" y="0"/>
                      <a:ext cx="4968000" cy="3011703"/>
                    </a:xfrm>
                    <a:prstGeom prst="rect"/>
                  </pic:spPr>
                </pic:pic>
              </a:graphicData>
            </a:graphic>
          </wp:inline>
        </w:drawing>
      </w:r>
    </w:p>
    <w:p>
      <w:pPr>
        <w:pStyle w:val="12"/>
        <w:keepNext w:val="0"/>
        <w:spacing w:before="0" w:after="120" w:line="400" w:lineRule="exact"/>
        <w:jc w:val="center"/>
        <w:ind w:firstLine="0" w:firstLineChars="0"/>
      </w:pPr>
      <w:r>
        <w:rPr>
          <w:rFonts w:ascii="Times New Roman" w:hAnsi="Times New Roman" w:eastAsia="仿宋_GB2312"/>
          <w:b w:val="0"/>
          <w:sz w:val="24"/>
        </w:rPr>
        <w:t>图 4-1 110 kV 片区 Rcap—累计年化成本弹性前沿</w:t>
      </w:r>
    </w:p>
    <w:p>
      <w:pPr>
        <w:pStyle w:val="3"/>
        <w:pageBreakBefore w:val="0"/>
        <w:jc w:val="left"/>
      </w:pPr>
      <w:bookmarkStart w:id="20" w:name="_TocReport0020"/>
      <w:r>
        <w:rPr>
          <w:rFonts w:ascii="Times New Roman" w:hAnsi="Times New Roman" w:eastAsia="仿宋_GB2312"/>
          <w:b/>
          <w:sz w:val="28"/>
        </w:rPr>
        <w:t>4.6 35 kV 辅助层结果</w:t>
      </w:r>
      <w:bookmarkEnd w:id="20"/>
    </w:p>
    <w:p>
      <w:pPr>
        <w:spacing w:before="0" w:after="0" w:line="560" w:lineRule="exact"/>
        <w:jc w:val="both"/>
        <w:ind w:firstLineChars="200" w:firstLine="200"/>
      </w:pPr>
      <w:r>
        <w:rPr>
          <w:rFonts w:ascii="Times New Roman" w:hAnsi="Times New Roman" w:eastAsia="仿宋_GB2312"/>
          <w:b w:val="0"/>
          <w:sz w:val="28"/>
        </w:rPr>
        <w:t>35 kV 层单独聚合、单独求解，不施加逐年 Rcap 上界，也不与 110 kV 结果相加。当前形成可行辅助结果的片区为 QX-00003、QX-00009 和 QX-00010，2025 年物理实现容载比分别为 2.613、3.487 和 3.605，储能规模分别为 145、0 和 613 柜，累计年化成本分别为 506.73、0 和 2140.65 万元。其余片区未形成完整 35 kV 可行解，原因包括接入间隔、场景数据和设备边界，不能用 110 kV 结论替代。</w:t>
      </w:r>
    </w:p>
    <w:p>
      <w:pPr>
        <w:pStyle w:val="3"/>
        <w:pageBreakBefore w:val="0"/>
        <w:jc w:val="left"/>
      </w:pPr>
      <w:bookmarkStart w:id="21" w:name="_TocReport0021"/>
      <w:r>
        <w:rPr>
          <w:rFonts w:ascii="Times New Roman" w:hAnsi="Times New Roman" w:eastAsia="仿宋_GB2312"/>
          <w:b/>
          <w:sz w:val="28"/>
        </w:rPr>
        <w:t>4.7 本章小结</w:t>
      </w:r>
      <w:bookmarkEnd w:id="21"/>
    </w:p>
    <w:p>
      <w:pPr>
        <w:spacing w:before="0" w:after="0" w:line="560" w:lineRule="exact"/>
        <w:jc w:val="both"/>
        <w:ind w:firstLineChars="200" w:firstLine="200"/>
      </w:pPr>
      <w:r>
        <w:rPr>
          <w:rFonts w:ascii="Times New Roman" w:hAnsi="Times New Roman" w:eastAsia="仿宋_GB2312"/>
          <w:b w:val="0"/>
          <w:sz w:val="28"/>
        </w:rPr>
        <w:t>本章建立了以实际工程候选和在役成本为基础的多年经济模型。v3.2 的核心修正是保留 2021 年实际在役资产作为共同存量基线，将 Rcap 控制限定为规划期新增容量约束；由此可以在两条方案均可行时直接计算严格控制的增量经济代价。正式结果还表明，QX-00001 和 QX-00005 存在可识别的经济释放阈值，QX-00003、QX-00004 和 QX-00007 在研究范围内不识别唯一 Rcap 阈值，QX-00008、QX-00009、QX-00010 应先处理技术可行性。扩容和储能的触发原因已在结果表中与正向容量、反向承载及政策约束分列呈现。</w:t>
      </w:r>
    </w:p>
    <w:p>
      <w:pPr>
        <w:pStyle w:val="2"/>
        <w:pageBreakBefore/>
        <w:jc w:val="left"/>
      </w:pPr>
      <w:bookmarkStart w:id="22" w:name="_TocReport0022"/>
      <w:r>
        <w:rPr>
          <w:rFonts w:ascii="Times New Roman" w:hAnsi="Times New Roman" w:eastAsia="仿宋_GB2312"/>
          <w:b/>
          <w:sz w:val="36"/>
        </w:rPr>
        <w:t>第五章 “一片一策”弹性容载比规划建议</w:t>
      </w:r>
      <w:bookmarkEnd w:id="22"/>
    </w:p>
    <w:p>
      <w:pPr>
        <w:pStyle w:val="3"/>
        <w:pageBreakBefore w:val="0"/>
        <w:jc w:val="left"/>
      </w:pPr>
      <w:bookmarkStart w:id="23" w:name="_TocReport0023"/>
      <w:r>
        <w:rPr>
          <w:rFonts w:ascii="Times New Roman" w:hAnsi="Times New Roman" w:eastAsia="仿宋_GB2312"/>
          <w:b/>
          <w:sz w:val="28"/>
        </w:rPr>
        <w:t>5.1 总体思路</w:t>
      </w:r>
      <w:bookmarkEnd w:id="23"/>
    </w:p>
    <w:p>
      <w:pPr>
        <w:spacing w:before="0" w:after="0" w:line="560" w:lineRule="exact"/>
        <w:jc w:val="both"/>
        <w:ind w:firstLineChars="200" w:firstLine="200"/>
      </w:pPr>
      <w:r>
        <w:rPr>
          <w:rFonts w:ascii="Times New Roman" w:hAnsi="Times New Roman" w:eastAsia="仿宋_GB2312"/>
          <w:b w:val="0"/>
          <w:sz w:val="28"/>
        </w:rPr>
        <w:t>本研究不要求每个片区都给出一个容载比推荐数字。容载比是可能约束规划新增容量的政策参数，是否有效要由片区的物理可行性、投资需求和前沿变化共同判断。规划建议按“物理可行性—触发原因—Rcap 是否绑定—经济阈值—工程措施”的顺序形成。</w:t>
      </w:r>
    </w:p>
    <w:p>
      <w:pPr>
        <w:spacing w:before="0" w:after="0" w:line="560" w:lineRule="exact"/>
        <w:jc w:val="both"/>
        <w:ind w:firstLineChars="200" w:firstLine="200"/>
      </w:pPr>
      <w:r>
        <w:rPr>
          <w:rFonts w:ascii="Times New Roman" w:hAnsi="Times New Roman" w:eastAsia="仿宋_GB2312"/>
          <w:b w:val="0"/>
          <w:sz w:val="28"/>
        </w:rPr>
        <w:t>片区存在无上限物理可行方案时，才进入经济比较。若正向容量缺口或反向承载缺口已经决定措施，Rcap 只作为投资边界的解释变量；若改变 Rcap 不改变最优措施和成本，则报告“本规划期 Rcap 不构成有效约束”；若无上限方案已经不可行，则先处理网络、设备、储能接入间隔或数据边界，不用 Rcap 数值掩盖技术问题。</w:t>
      </w:r>
    </w:p>
    <w:p>
      <w:pPr>
        <w:pStyle w:val="3"/>
        <w:pageBreakBefore w:val="0"/>
        <w:jc w:val="left"/>
      </w:pPr>
      <w:bookmarkStart w:id="24" w:name="_TocReport0024"/>
      <w:r>
        <w:rPr>
          <w:rFonts w:ascii="Times New Roman" w:hAnsi="Times New Roman" w:eastAsia="仿宋_GB2312"/>
          <w:b/>
          <w:sz w:val="28"/>
        </w:rPr>
        <w:t>5.2 评价指标与判定链条</w:t>
      </w:r>
      <w:bookmarkEnd w:id="24"/>
    </w:p>
    <w:p>
      <w:pPr>
        <w:spacing w:before="0" w:after="0" w:line="560" w:lineRule="exact"/>
        <w:jc w:val="both"/>
        <w:ind w:firstLineChars="200" w:firstLine="200"/>
      </w:pPr>
      <w:r>
        <w:rPr>
          <w:rFonts w:ascii="Times New Roman" w:hAnsi="Times New Roman" w:eastAsia="仿宋_GB2312"/>
          <w:b w:val="0"/>
          <w:sz w:val="28"/>
        </w:rPr>
        <w:t>指标体系服务于约束类型识别，不通过主观权重直接生成推荐容载比。正式容载比采用同电压等级公用变在役容量与同步正向最大净负荷之比；正向容量缺口反映负荷高峰下的供电能力不足；反向峰值、反向持续时间和设备级反向承载缺口反映新能源高出力时段的设备压力；储能功率、能量、SOC 和站址条件决定时序措施是否可行；累计年化成本用于比较可行候选。</w:t>
      </w:r>
    </w:p>
    <w:p>
      <w:pPr>
        <w:spacing w:before="0" w:after="0" w:line="560" w:lineRule="exact"/>
        <w:jc w:val="both"/>
        <w:ind w:firstLineChars="200" w:firstLine="200"/>
      </w:pPr>
      <w:r>
        <w:rPr>
          <w:rFonts w:ascii="Times New Roman" w:hAnsi="Times New Roman" w:eastAsia="仿宋_GB2312"/>
          <w:b w:val="0"/>
          <w:sz w:val="28"/>
        </w:rPr>
        <w:t>源荷比和电量渗透率作为片区背景指标，不直接替代设备约束。2026 年光伏快照与 2025 年负荷组合时，结果明确标记为跨年背景量；缺少同步负荷—光伏分解时不形成同步能量渗透率，也不把馈线“装机容量”直接当作真实光伏点位。对 QX-00005，8760 点逐时序列能够支撑 A 级储能校核；其他片区采用官方年度基准数据和经验时长场景，证据等级不高于 B 级。</w:t>
      </w:r>
    </w:p>
    <w:p>
      <w:pPr>
        <w:spacing w:before="0" w:after="0" w:line="560" w:lineRule="exact"/>
        <w:jc w:val="both"/>
        <w:ind w:firstLineChars="200" w:firstLine="200"/>
      </w:pPr>
      <w:r>
        <w:rPr>
          <w:rFonts w:ascii="Times New Roman" w:hAnsi="Times New Roman" w:eastAsia="仿宋_GB2312"/>
          <w:b w:val="0"/>
          <w:sz w:val="28"/>
        </w:rPr>
        <w:t>推荐判定采用以下可复现规则：</w:t>
      </w:r>
    </w:p>
    <w:p>
      <w:pPr>
        <w:spacing w:before="0" w:after="0" w:line="560" w:lineRule="exact"/>
        <w:jc w:val="both"/>
        <w:ind w:firstLineChars="200" w:firstLine="200"/>
      </w:pPr>
      <w:r>
        <w:rPr>
          <w:rFonts w:ascii="Times New Roman" w:hAnsi="Times New Roman" w:eastAsia="仿宋_GB2312"/>
          <w:b w:val="0"/>
          <w:sz w:val="28"/>
        </w:rPr>
        <w:t>1. 在 Rcap=1.5～3.0 网格及无上限点上求解，保留完整的 2022—2025 年可行方案演进结果；</w:t>
      </w:r>
    </w:p>
    <w:p>
      <w:pPr>
        <w:spacing w:before="0" w:after="0" w:line="560" w:lineRule="exact"/>
        <w:jc w:val="both"/>
        <w:ind w:firstLineChars="200" w:firstLine="200"/>
      </w:pPr>
      <w:r>
        <w:rPr>
          <w:rFonts w:ascii="Times New Roman" w:hAnsi="Times New Roman" w:eastAsia="仿宋_GB2312"/>
          <w:b w:val="0"/>
          <w:sz w:val="28"/>
        </w:rPr>
        <w:t>2. 以累计在役等效年成本最低点为基准，筛选成本不超过最低值 5% 的近优 Rcap 点；</w:t>
      </w:r>
    </w:p>
    <w:p>
      <w:pPr>
        <w:spacing w:before="0" w:after="0" w:line="560" w:lineRule="exact"/>
        <w:jc w:val="both"/>
        <w:ind w:firstLineChars="200" w:firstLine="200"/>
      </w:pPr>
      <w:r>
        <w:rPr>
          <w:rFonts w:ascii="Times New Roman" w:hAnsi="Times New Roman" w:eastAsia="仿宋_GB2312"/>
          <w:b w:val="0"/>
          <w:sz w:val="28"/>
        </w:rPr>
        <w:t>3. 对成本或措施发生跃迁的区间进行局部细化；</w:t>
      </w:r>
    </w:p>
    <w:p>
      <w:pPr>
        <w:spacing w:before="0" w:after="0" w:line="560" w:lineRule="exact"/>
        <w:jc w:val="both"/>
        <w:ind w:firstLineChars="200" w:firstLine="200"/>
      </w:pPr>
      <w:r>
        <w:rPr>
          <w:rFonts w:ascii="Times New Roman" w:hAnsi="Times New Roman" w:eastAsia="仿宋_GB2312"/>
          <w:b w:val="0"/>
          <w:sz w:val="28"/>
        </w:rPr>
        <w:t>4. 在负荷、储能成本、扩容成本、功率因数和反向承载率等同维度敏感性结果中检查共同近优点集；</w:t>
      </w:r>
    </w:p>
    <w:p>
      <w:pPr>
        <w:spacing w:before="0" w:after="0" w:line="560" w:lineRule="exact"/>
        <w:jc w:val="both"/>
        <w:ind w:firstLineChars="200" w:firstLine="200"/>
      </w:pPr>
      <w:r>
        <w:rPr>
          <w:rFonts w:ascii="Times New Roman" w:hAnsi="Times New Roman" w:eastAsia="仿宋_GB2312"/>
          <w:b w:val="0"/>
          <w:sz w:val="28"/>
        </w:rPr>
        <w:t>5. 若近优点集为空、上界未覆盖或基础方案不可行，只报告相应限制，不强行输出单点值；</w:t>
      </w:r>
    </w:p>
    <w:p>
      <w:pPr>
        <w:spacing w:before="0" w:after="0" w:line="560" w:lineRule="exact"/>
        <w:jc w:val="both"/>
        <w:ind w:firstLineChars="200" w:firstLine="200"/>
      </w:pPr>
      <w:r>
        <w:rPr>
          <w:rFonts w:ascii="Times New Roman" w:hAnsi="Times New Roman" w:eastAsia="仿宋_GB2312"/>
          <w:b w:val="0"/>
          <w:sz w:val="28"/>
        </w:rPr>
        <w:t>6. Rcap 与优化后的物理实现容载比分列核算，不能用一个指标替代另一个指标。</w:t>
      </w:r>
    </w:p>
    <w:p>
      <w:pPr>
        <w:pStyle w:val="3"/>
        <w:pageBreakBefore w:val="0"/>
        <w:jc w:val="left"/>
      </w:pPr>
      <w:bookmarkStart w:id="25" w:name="_TocReport0025"/>
      <w:r>
        <w:rPr>
          <w:rFonts w:ascii="Times New Roman" w:hAnsi="Times New Roman" w:eastAsia="仿宋_GB2312"/>
          <w:b/>
          <w:sz w:val="28"/>
        </w:rPr>
        <w:t>5.3 片区分类及规划建议</w:t>
      </w:r>
      <w:bookmarkEnd w:id="25"/>
    </w:p>
    <w:p>
      <w:pPr>
        <w:spacing w:before="0" w:after="0" w:line="560" w:lineRule="exact"/>
        <w:jc w:val="both"/>
        <w:ind w:firstLineChars="200" w:firstLine="200"/>
      </w:pPr>
      <w:r>
        <w:rPr>
          <w:rFonts w:ascii="Times New Roman" w:hAnsi="Times New Roman" w:eastAsia="仿宋_GB2312"/>
          <w:b w:val="0"/>
          <w:sz w:val="28"/>
        </w:rPr>
        <w:t>110 kV 正式结果形成三类片区。</w:t>
      </w:r>
    </w:p>
    <w:p>
      <w:pPr>
        <w:spacing w:before="0" w:after="0" w:line="560" w:lineRule="exact"/>
        <w:jc w:val="both"/>
        <w:ind w:firstLineChars="200" w:firstLine="200"/>
      </w:pPr>
      <w:r>
        <w:rPr>
          <w:rFonts w:ascii="Times New Roman" w:hAnsi="Times New Roman" w:eastAsia="仿宋_GB2312"/>
          <w:b/>
          <w:sz w:val="28"/>
        </w:rPr>
        <w:t>经济释放阈值型：QX-00001、QX-00005。</w:t>
      </w:r>
      <w:r>
        <w:rPr>
          <w:rFonts w:ascii="Times New Roman" w:hAnsi="Times New Roman" w:eastAsia="仿宋_GB2312"/>
          <w:b w:val="0"/>
          <w:sz w:val="28"/>
        </w:rPr>
        <w:t xml:space="preserve"> 两片区的无上限方案和严格方案均可行，Rcap 收紧到局部阈值以下后成本或措施发生变化。QX-00001 的局部细化阈值为 2.359～2.360，QX-00005 为 2.171～2.172；正式参数层有 17 个参数场景，其中 1 个为基准复现控制、16 个为敏感性扰动，包含 6 个联合压力场景。基准控制仅作复现审计，稳健交集按 Rcap 点集去重。补充的 10 个年化参数定向场景均未改变两片区的阈值、主要措施和稳健近优下限；两片区的共同近优带仍分别从 2.5 和 2.3 向扫描上界延伸，未识别上界。工程上宜把局部阈值作为“开始释放经济代价”的警戒位置，把稳健近优下限作为进一步论证的控制候选，不宜写成脱离投资和物理条件的统一标准。</w:t>
      </w:r>
    </w:p>
    <w:p>
      <w:pPr>
        <w:spacing w:before="0" w:after="0" w:line="560" w:lineRule="exact"/>
        <w:jc w:val="both"/>
        <w:ind w:firstLineChars="200" w:firstLine="200"/>
      </w:pPr>
      <w:r>
        <w:rPr>
          <w:rFonts w:ascii="Times New Roman" w:hAnsi="Times New Roman" w:eastAsia="仿宋_GB2312"/>
          <w:b w:val="0"/>
          <w:sz w:val="28"/>
        </w:rPr>
        <w:t>QX-00001 的 2025 年反向承载缺口为 7.885 MW、涉及 3 台设备；弹性方案选择新增第三台主变和 19 柜储能，累计年化成本 188.18 万元，严格 Rcap=2.0 时改为 138 柜储能，累计年化成本 481.96 万元。两者同一实际资产基线下的严格控制增量为 293.78 万元。QX-00005 的反向承载缺口为 52.800 MW、涉及 4 台设备；弹性方案选择新增第三台主变和 465 柜储能，累计年化成本 1745.53 万元，严格方案在存量容量豁免下不增加主变、配置 962 柜储能，累计年化成本 3359.05 万元，严格控制增量为 1613.52 万元。上述扩容并非正向容量缺口的直接结果，而是与储能共同构成可行方案中的经济选择。</w:t>
      </w:r>
    </w:p>
    <w:p>
      <w:pPr>
        <w:spacing w:before="0" w:after="0" w:line="560" w:lineRule="exact"/>
        <w:jc w:val="both"/>
        <w:ind w:firstLineChars="200" w:firstLine="200"/>
      </w:pPr>
      <w:r>
        <w:rPr>
          <w:rFonts w:ascii="Times New Roman" w:hAnsi="Times New Roman" w:eastAsia="仿宋_GB2312"/>
          <w:b/>
          <w:sz w:val="28"/>
        </w:rPr>
        <w:t>当前不绑定型：QX-00003、QX-00004、QX-00007。</w:t>
      </w:r>
      <w:r>
        <w:rPr>
          <w:rFonts w:ascii="Times New Roman" w:hAnsi="Times New Roman" w:eastAsia="仿宋_GB2312"/>
          <w:b w:val="0"/>
          <w:sz w:val="28"/>
        </w:rPr>
        <w:t xml:space="preserve"> 三片区在 Rcap 扫描范围内未识别唯一经济释放阈值。QX-00003 存在 9.455 MW 反向承载缺口，弹性和严格方案均配置 173 柜储能，累计年化成本均为 604.70 万元；QX-00004 存在 10.460 MW 反向承载缺口，两方案均配置 124 柜储能，累计年化成本均为 433.54 万元；QX-00007 未形成设备级正反向缺口，也未配置新增措施。三片区的正式结论是“本规划期 Rcap 不构成有效约束”，而不是人为给出一个推荐容载比。</w:t>
      </w:r>
    </w:p>
    <w:p>
      <w:pPr>
        <w:spacing w:before="0" w:after="0" w:line="560" w:lineRule="exact"/>
        <w:jc w:val="both"/>
        <w:ind w:firstLineChars="200" w:firstLine="200"/>
      </w:pPr>
      <w:r>
        <w:rPr>
          <w:rFonts w:ascii="Times New Roman" w:hAnsi="Times New Roman" w:eastAsia="仿宋_GB2312"/>
          <w:b/>
          <w:sz w:val="28"/>
        </w:rPr>
        <w:t>技术约束优先型：QX-00008、QX-00009、QX-00010。</w:t>
      </w:r>
      <w:r>
        <w:rPr>
          <w:rFonts w:ascii="Times New Roman" w:hAnsi="Times New Roman" w:eastAsia="仿宋_GB2312"/>
          <w:b w:val="0"/>
          <w:sz w:val="28"/>
        </w:rPr>
        <w:t xml:space="preserve"> 三片区的无上限方案均未形成完整物理可行集，不能进入 Rcap 经济排序。应分别核查储能接入间隔、完整逐时或经验场景、反向承载设备边界以及网络运行方式；资料补齐并形成可行方案后，再按本章规则开展 Rcap 扫描。</w:t>
      </w:r>
    </w:p>
    <w:p>
      <w:pPr>
        <w:pStyle w:val="12"/>
        <w:keepNext/>
        <w:spacing w:before="120" w:after="60" w:line="400" w:lineRule="exact"/>
        <w:jc w:val="center"/>
        <w:ind w:firstLine="0" w:firstLineChars="0"/>
      </w:pPr>
      <w:r>
        <w:rPr>
          <w:rFonts w:ascii="Times New Roman" w:hAnsi="Times New Roman" w:eastAsia="仿宋_GB2312"/>
          <w:b w:val="0"/>
          <w:sz w:val="24"/>
        </w:rPr>
        <w:t>表 5-1 110 kV 片区分类与建议</w:t>
      </w:r>
    </w:p>
    <w:tbl>
      <w:tblPr>
        <w:tblW w:type="auto" w:w="0"/>
        <w:tblLayout w:type="autofi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39"/>
        <w:gridCol w:w="1039"/>
        <w:gridCol w:w="1039"/>
        <w:gridCol w:w="1039"/>
        <w:gridCol w:w="1039"/>
        <w:gridCol w:w="1039"/>
        <w:gridCol w:w="1039"/>
        <w:gridCol w:w="1039"/>
      </w:tblGrid>
      <w:tr>
        <w:trPr>
          <w:cantSplit/>
          <w:tblHeader w:val="true"/>
        </w:trPr>
        <w:tc>
          <w:tcPr>
            <w:tcW w:type="dxa" w:w="1039"/>
            <w:vAlign w:val="center"/>
          </w:tcPr>
          <w:p>
            <w:pPr>
              <w:pStyle w:val="97"/>
              <w:jc w:val="center"/>
              <w:spacing w:before="0" w:after="0" w:line="360" w:lineRule="exact"/>
              <w:ind w:firstLine="0" w:firstLineChars="0"/>
            </w:pPr>
            <w:r>
              <w:rPr>
                <w:rFonts w:ascii="Times New Roman" w:hAnsi="Times New Roman" w:eastAsia="仿宋_GB2312"/>
                <w:b/>
                <w:sz w:val="24"/>
              </w:rPr>
              <w:t>片区</w:t>
            </w:r>
          </w:p>
        </w:tc>
        <w:tc>
          <w:tcPr>
            <w:tcW w:type="dxa" w:w="1039"/>
            <w:vAlign w:val="center"/>
          </w:tcPr>
          <w:p>
            <w:pPr>
              <w:pStyle w:val="97"/>
              <w:jc w:val="center"/>
              <w:spacing w:before="0" w:after="0" w:line="360" w:lineRule="exact"/>
              <w:ind w:firstLine="0" w:firstLineChars="0"/>
            </w:pPr>
            <w:r>
              <w:rPr>
                <w:rFonts w:ascii="Times New Roman" w:hAnsi="Times New Roman" w:eastAsia="仿宋_GB2312"/>
                <w:b/>
                <w:sz w:val="24"/>
              </w:rPr>
              <w:t>分类</w:t>
            </w:r>
          </w:p>
        </w:tc>
        <w:tc>
          <w:tcPr>
            <w:tcW w:type="dxa" w:w="1039"/>
            <w:vAlign w:val="center"/>
          </w:tcPr>
          <w:p>
            <w:pPr>
              <w:pStyle w:val="97"/>
              <w:jc w:val="center"/>
              <w:spacing w:before="0" w:after="0" w:line="360" w:lineRule="exact"/>
              <w:ind w:firstLine="0" w:firstLineChars="0"/>
            </w:pPr>
            <w:r>
              <w:rPr>
                <w:rFonts w:ascii="Times New Roman" w:hAnsi="Times New Roman" w:eastAsia="仿宋_GB2312"/>
                <w:b/>
                <w:sz w:val="24"/>
              </w:rPr>
              <w:t>2025 年反向承载缺口</w:t>
            </w:r>
          </w:p>
        </w:tc>
        <w:tc>
          <w:tcPr>
            <w:tcW w:type="dxa" w:w="1039"/>
            <w:vAlign w:val="center"/>
          </w:tcPr>
          <w:p>
            <w:pPr>
              <w:pStyle w:val="97"/>
              <w:jc w:val="center"/>
              <w:spacing w:before="0" w:after="0" w:line="360" w:lineRule="exact"/>
              <w:ind w:firstLine="0" w:firstLineChars="0"/>
            </w:pPr>
            <w:r>
              <w:rPr>
                <w:rFonts w:ascii="Times New Roman" w:hAnsi="Times New Roman" w:eastAsia="仿宋_GB2312"/>
                <w:b/>
                <w:sz w:val="24"/>
              </w:rPr>
              <w:t>物理可行性</w:t>
            </w:r>
          </w:p>
        </w:tc>
        <w:tc>
          <w:tcPr>
            <w:tcW w:type="dxa" w:w="1039"/>
            <w:vAlign w:val="center"/>
          </w:tcPr>
          <w:p>
            <w:pPr>
              <w:pStyle w:val="97"/>
              <w:jc w:val="center"/>
              <w:spacing w:before="0" w:after="0" w:line="360" w:lineRule="exact"/>
              <w:ind w:firstLine="0" w:firstLineChars="0"/>
            </w:pPr>
            <w:r>
              <w:rPr>
                <w:rFonts w:ascii="Times New Roman" w:hAnsi="Times New Roman" w:eastAsia="仿宋_GB2312"/>
                <w:b/>
                <w:sz w:val="24"/>
              </w:rPr>
              <w:t>Rcap 结论</w:t>
            </w:r>
          </w:p>
        </w:tc>
        <w:tc>
          <w:tcPr>
            <w:tcW w:type="dxa" w:w="1039"/>
            <w:vAlign w:val="center"/>
          </w:tcPr>
          <w:p>
            <w:pPr>
              <w:pStyle w:val="97"/>
              <w:jc w:val="center"/>
              <w:spacing w:before="0" w:after="0" w:line="360" w:lineRule="exact"/>
              <w:ind w:firstLine="0" w:firstLineChars="0"/>
            </w:pPr>
            <w:r>
              <w:rPr>
                <w:rFonts w:ascii="Times New Roman" w:hAnsi="Times New Roman" w:eastAsia="仿宋_GB2312"/>
                <w:b/>
                <w:sz w:val="24"/>
              </w:rPr>
              <w:t>弹性方案主要措施</w:t>
            </w:r>
          </w:p>
        </w:tc>
        <w:tc>
          <w:tcPr>
            <w:tcW w:type="dxa" w:w="1039"/>
            <w:vAlign w:val="center"/>
          </w:tcPr>
          <w:p>
            <w:pPr>
              <w:pStyle w:val="97"/>
              <w:jc w:val="center"/>
              <w:spacing w:before="0" w:after="0" w:line="360" w:lineRule="exact"/>
              <w:ind w:firstLine="0" w:firstLineChars="0"/>
            </w:pPr>
            <w:r>
              <w:rPr>
                <w:rFonts w:ascii="Times New Roman" w:hAnsi="Times New Roman" w:eastAsia="仿宋_GB2312"/>
                <w:b/>
                <w:sz w:val="24"/>
              </w:rPr>
              <w:t>严格方案主要措施</w:t>
            </w:r>
          </w:p>
        </w:tc>
        <w:tc>
          <w:tcPr>
            <w:tcW w:type="dxa" w:w="1039"/>
            <w:vAlign w:val="center"/>
          </w:tcPr>
          <w:p>
            <w:pPr>
              <w:pStyle w:val="97"/>
              <w:jc w:val="center"/>
              <w:spacing w:before="0" w:after="0" w:line="360" w:lineRule="exact"/>
              <w:ind w:firstLine="0" w:firstLineChars="0"/>
            </w:pPr>
            <w:r>
              <w:rPr>
                <w:rFonts w:ascii="Times New Roman" w:hAnsi="Times New Roman" w:eastAsia="仿宋_GB2312"/>
                <w:b/>
                <w:sz w:val="24"/>
              </w:rPr>
              <w:t>证据等级</w:t>
            </w:r>
          </w:p>
        </w:tc>
      </w:tr>
      <w:tr>
        <w:trPr>
          <w:cantSplit/>
        </w:trPr>
        <w:tc>
          <w:tcPr>
            <w:tcW w:type="dxa" w:w="1039"/>
            <w:vAlign w:val="center"/>
          </w:tcPr>
          <w:p>
            <w:pPr>
              <w:pStyle w:val="97"/>
              <w:jc w:val="left"/>
              <w:spacing w:before="0" w:after="0" w:line="360" w:lineRule="exact"/>
              <w:ind w:firstLine="0" w:firstLineChars="0"/>
            </w:pPr>
            <w:r>
              <w:rPr>
                <w:rFonts w:ascii="Times New Roman" w:hAnsi="Times New Roman" w:eastAsia="仿宋_GB2312"/>
                <w:b w:val="0"/>
                <w:sz w:val="24"/>
              </w:rPr>
              <w:t>QX-00001</w:t>
            </w:r>
          </w:p>
        </w:tc>
        <w:tc>
          <w:tcPr>
            <w:tcW w:type="dxa" w:w="1039"/>
            <w:vAlign w:val="center"/>
          </w:tcPr>
          <w:p>
            <w:pPr>
              <w:pStyle w:val="97"/>
              <w:jc w:val="center"/>
              <w:spacing w:before="0" w:after="0" w:line="360" w:lineRule="exact"/>
              <w:ind w:firstLine="0" w:firstLineChars="0"/>
            </w:pPr>
            <w:r>
              <w:rPr>
                <w:rFonts w:ascii="Times New Roman" w:hAnsi="Times New Roman" w:eastAsia="仿宋_GB2312"/>
                <w:b w:val="0"/>
                <w:sz w:val="24"/>
              </w:rPr>
              <w:t>经济释放阈值型</w:t>
            </w:r>
          </w:p>
        </w:tc>
        <w:tc>
          <w:tcPr>
            <w:tcW w:type="dxa" w:w="1039"/>
            <w:vAlign w:val="center"/>
          </w:tcPr>
          <w:p>
            <w:pPr>
              <w:pStyle w:val="97"/>
              <w:jc w:val="center"/>
              <w:spacing w:before="0" w:after="0" w:line="360" w:lineRule="exact"/>
              <w:ind w:firstLine="0" w:firstLineChars="0"/>
            </w:pPr>
            <w:r>
              <w:rPr>
                <w:rFonts w:ascii="Times New Roman" w:hAnsi="Times New Roman" w:eastAsia="仿宋_GB2312"/>
                <w:b w:val="0"/>
                <w:sz w:val="24"/>
              </w:rPr>
              <w:t>7.885 MW，3 台</w:t>
            </w:r>
          </w:p>
        </w:tc>
        <w:tc>
          <w:tcPr>
            <w:tcW w:type="dxa" w:w="1039"/>
            <w:vAlign w:val="center"/>
          </w:tcPr>
          <w:p>
            <w:pPr>
              <w:pStyle w:val="97"/>
              <w:jc w:val="center"/>
              <w:spacing w:before="0" w:after="0" w:line="360" w:lineRule="exact"/>
              <w:ind w:firstLine="0" w:firstLineChars="0"/>
            </w:pPr>
            <w:r>
              <w:rPr>
                <w:rFonts w:ascii="Times New Roman" w:hAnsi="Times New Roman" w:eastAsia="仿宋_GB2312"/>
                <w:b w:val="0"/>
                <w:sz w:val="24"/>
              </w:rPr>
              <w:t>可行</w:t>
            </w:r>
          </w:p>
        </w:tc>
        <w:tc>
          <w:tcPr>
            <w:tcW w:type="dxa" w:w="1039"/>
            <w:vAlign w:val="center"/>
          </w:tcPr>
          <w:p>
            <w:pPr>
              <w:pStyle w:val="97"/>
              <w:jc w:val="center"/>
              <w:spacing w:before="0" w:after="0" w:line="360" w:lineRule="exact"/>
              <w:ind w:firstLine="0" w:firstLineChars="0"/>
            </w:pPr>
            <w:r>
              <w:rPr>
                <w:rFonts w:ascii="Times New Roman" w:hAnsi="Times New Roman" w:eastAsia="仿宋_GB2312"/>
                <w:b w:val="0"/>
                <w:sz w:val="24"/>
              </w:rPr>
              <w:t>2.359～2.360；稳健近优下限≥2.5，上界未识别</w:t>
            </w:r>
          </w:p>
        </w:tc>
        <w:tc>
          <w:tcPr>
            <w:tcW w:type="dxa" w:w="1039"/>
            <w:vAlign w:val="center"/>
          </w:tcPr>
          <w:p>
            <w:pPr>
              <w:pStyle w:val="97"/>
              <w:jc w:val="center"/>
              <w:spacing w:before="0" w:after="0" w:line="360" w:lineRule="exact"/>
              <w:ind w:firstLine="0" w:firstLineChars="0"/>
            </w:pPr>
            <w:r>
              <w:rPr>
                <w:rFonts w:ascii="Times New Roman" w:hAnsi="Times New Roman" w:eastAsia="仿宋_GB2312"/>
                <w:b w:val="0"/>
                <w:sz w:val="24"/>
              </w:rPr>
              <w:t>新增第三台主变、储能 19 柜</w:t>
            </w:r>
          </w:p>
        </w:tc>
        <w:tc>
          <w:tcPr>
            <w:tcW w:type="dxa" w:w="1039"/>
            <w:vAlign w:val="center"/>
          </w:tcPr>
          <w:p>
            <w:pPr>
              <w:pStyle w:val="97"/>
              <w:jc w:val="center"/>
              <w:spacing w:before="0" w:after="0" w:line="360" w:lineRule="exact"/>
              <w:ind w:firstLine="0" w:firstLineChars="0"/>
            </w:pPr>
            <w:r>
              <w:rPr>
                <w:rFonts w:ascii="Times New Roman" w:hAnsi="Times New Roman" w:eastAsia="仿宋_GB2312"/>
                <w:b w:val="0"/>
                <w:sz w:val="24"/>
              </w:rPr>
              <w:t>储能 138 柜</w:t>
            </w:r>
          </w:p>
        </w:tc>
        <w:tc>
          <w:tcPr>
            <w:tcW w:type="dxa" w:w="1039"/>
            <w:vAlign w:val="center"/>
          </w:tcPr>
          <w:p>
            <w:pPr>
              <w:pStyle w:val="97"/>
              <w:jc w:val="center"/>
              <w:spacing w:before="0" w:after="0" w:line="360" w:lineRule="exact"/>
              <w:ind w:firstLine="0" w:firstLineChars="0"/>
            </w:pPr>
            <w:r>
              <w:rPr>
                <w:rFonts w:ascii="Times New Roman" w:hAnsi="Times New Roman" w:eastAsia="仿宋_GB2312"/>
                <w:b w:val="0"/>
                <w:sz w:val="24"/>
              </w:rPr>
              <w:t>B</w:t>
            </w:r>
          </w:p>
        </w:tc>
      </w:tr>
      <w:tr>
        <w:trPr>
          <w:cantSplit/>
        </w:trPr>
        <w:tc>
          <w:tcPr>
            <w:tcW w:type="dxa" w:w="1039"/>
            <w:vAlign w:val="center"/>
          </w:tcPr>
          <w:p>
            <w:pPr>
              <w:pStyle w:val="97"/>
              <w:jc w:val="left"/>
              <w:spacing w:before="0" w:after="0" w:line="360" w:lineRule="exact"/>
              <w:ind w:firstLine="0" w:firstLineChars="0"/>
            </w:pPr>
            <w:r>
              <w:rPr>
                <w:rFonts w:ascii="Times New Roman" w:hAnsi="Times New Roman" w:eastAsia="仿宋_GB2312"/>
                <w:b w:val="0"/>
                <w:sz w:val="24"/>
              </w:rPr>
              <w:t>QX-00003</w:t>
            </w:r>
          </w:p>
        </w:tc>
        <w:tc>
          <w:tcPr>
            <w:tcW w:type="dxa" w:w="1039"/>
            <w:vAlign w:val="center"/>
          </w:tcPr>
          <w:p>
            <w:pPr>
              <w:pStyle w:val="97"/>
              <w:jc w:val="center"/>
              <w:spacing w:before="0" w:after="0" w:line="360" w:lineRule="exact"/>
              <w:ind w:firstLine="0" w:firstLineChars="0"/>
            </w:pPr>
            <w:r>
              <w:rPr>
                <w:rFonts w:ascii="Times New Roman" w:hAnsi="Times New Roman" w:eastAsia="仿宋_GB2312"/>
                <w:b w:val="0"/>
                <w:sz w:val="24"/>
              </w:rPr>
              <w:t>当前不绑定型</w:t>
            </w:r>
          </w:p>
        </w:tc>
        <w:tc>
          <w:tcPr>
            <w:tcW w:type="dxa" w:w="1039"/>
            <w:vAlign w:val="center"/>
          </w:tcPr>
          <w:p>
            <w:pPr>
              <w:pStyle w:val="97"/>
              <w:jc w:val="center"/>
              <w:spacing w:before="0" w:after="0" w:line="360" w:lineRule="exact"/>
              <w:ind w:firstLine="0" w:firstLineChars="0"/>
            </w:pPr>
            <w:r>
              <w:rPr>
                <w:rFonts w:ascii="Times New Roman" w:hAnsi="Times New Roman" w:eastAsia="仿宋_GB2312"/>
                <w:b w:val="0"/>
                <w:sz w:val="24"/>
              </w:rPr>
              <w:t>9.455 MW，1 台</w:t>
            </w:r>
          </w:p>
        </w:tc>
        <w:tc>
          <w:tcPr>
            <w:tcW w:type="dxa" w:w="1039"/>
            <w:vAlign w:val="center"/>
          </w:tcPr>
          <w:p>
            <w:pPr>
              <w:pStyle w:val="97"/>
              <w:jc w:val="center"/>
              <w:spacing w:before="0" w:after="0" w:line="360" w:lineRule="exact"/>
              <w:ind w:firstLine="0" w:firstLineChars="0"/>
            </w:pPr>
            <w:r>
              <w:rPr>
                <w:rFonts w:ascii="Times New Roman" w:hAnsi="Times New Roman" w:eastAsia="仿宋_GB2312"/>
                <w:b w:val="0"/>
                <w:sz w:val="24"/>
              </w:rPr>
              <w:t>可行</w:t>
            </w:r>
          </w:p>
        </w:tc>
        <w:tc>
          <w:tcPr>
            <w:tcW w:type="dxa" w:w="1039"/>
            <w:vAlign w:val="center"/>
          </w:tcPr>
          <w:p>
            <w:pPr>
              <w:pStyle w:val="97"/>
              <w:jc w:val="center"/>
              <w:spacing w:before="0" w:after="0" w:line="360" w:lineRule="exact"/>
              <w:ind w:firstLine="0" w:firstLineChars="0"/>
            </w:pPr>
            <w:r>
              <w:rPr>
                <w:rFonts w:ascii="Times New Roman" w:hAnsi="Times New Roman" w:eastAsia="仿宋_GB2312"/>
                <w:b w:val="0"/>
                <w:sz w:val="24"/>
              </w:rPr>
              <w:t>不构成有效约束</w:t>
            </w:r>
          </w:p>
        </w:tc>
        <w:tc>
          <w:tcPr>
            <w:tcW w:type="dxa" w:w="1039"/>
            <w:vAlign w:val="center"/>
          </w:tcPr>
          <w:p>
            <w:pPr>
              <w:pStyle w:val="97"/>
              <w:jc w:val="center"/>
              <w:spacing w:before="0" w:after="0" w:line="360" w:lineRule="exact"/>
              <w:ind w:firstLine="0" w:firstLineChars="0"/>
            </w:pPr>
            <w:r>
              <w:rPr>
                <w:rFonts w:ascii="Times New Roman" w:hAnsi="Times New Roman" w:eastAsia="仿宋_GB2312"/>
                <w:b w:val="0"/>
                <w:sz w:val="24"/>
              </w:rPr>
              <w:t>储能 173 柜</w:t>
            </w:r>
          </w:p>
        </w:tc>
        <w:tc>
          <w:tcPr>
            <w:tcW w:type="dxa" w:w="1039"/>
            <w:vAlign w:val="center"/>
          </w:tcPr>
          <w:p>
            <w:pPr>
              <w:pStyle w:val="97"/>
              <w:jc w:val="center"/>
              <w:spacing w:before="0" w:after="0" w:line="360" w:lineRule="exact"/>
              <w:ind w:firstLine="0" w:firstLineChars="0"/>
            </w:pPr>
            <w:r>
              <w:rPr>
                <w:rFonts w:ascii="Times New Roman" w:hAnsi="Times New Roman" w:eastAsia="仿宋_GB2312"/>
                <w:b w:val="0"/>
                <w:sz w:val="24"/>
              </w:rPr>
              <w:t>储能 173 柜</w:t>
            </w:r>
          </w:p>
        </w:tc>
        <w:tc>
          <w:tcPr>
            <w:tcW w:type="dxa" w:w="1039"/>
            <w:vAlign w:val="center"/>
          </w:tcPr>
          <w:p>
            <w:pPr>
              <w:pStyle w:val="97"/>
              <w:jc w:val="center"/>
              <w:spacing w:before="0" w:after="0" w:line="360" w:lineRule="exact"/>
              <w:ind w:firstLine="0" w:firstLineChars="0"/>
            </w:pPr>
            <w:r>
              <w:rPr>
                <w:rFonts w:ascii="Times New Roman" w:hAnsi="Times New Roman" w:eastAsia="仿宋_GB2312"/>
                <w:b w:val="0"/>
                <w:sz w:val="24"/>
              </w:rPr>
              <w:t>B</w:t>
            </w:r>
          </w:p>
        </w:tc>
      </w:tr>
      <w:tr>
        <w:trPr>
          <w:cantSplit/>
        </w:trPr>
        <w:tc>
          <w:tcPr>
            <w:tcW w:type="dxa" w:w="1039"/>
            <w:vAlign w:val="center"/>
          </w:tcPr>
          <w:p>
            <w:pPr>
              <w:pStyle w:val="97"/>
              <w:jc w:val="left"/>
              <w:spacing w:before="0" w:after="0" w:line="360" w:lineRule="exact"/>
              <w:ind w:firstLine="0" w:firstLineChars="0"/>
            </w:pPr>
            <w:r>
              <w:rPr>
                <w:rFonts w:ascii="Times New Roman" w:hAnsi="Times New Roman" w:eastAsia="仿宋_GB2312"/>
                <w:b w:val="0"/>
                <w:sz w:val="24"/>
              </w:rPr>
              <w:t>QX-00004</w:t>
            </w:r>
          </w:p>
        </w:tc>
        <w:tc>
          <w:tcPr>
            <w:tcW w:type="dxa" w:w="1039"/>
            <w:vAlign w:val="center"/>
          </w:tcPr>
          <w:p>
            <w:pPr>
              <w:pStyle w:val="97"/>
              <w:jc w:val="center"/>
              <w:spacing w:before="0" w:after="0" w:line="360" w:lineRule="exact"/>
              <w:ind w:firstLine="0" w:firstLineChars="0"/>
            </w:pPr>
            <w:r>
              <w:rPr>
                <w:rFonts w:ascii="Times New Roman" w:hAnsi="Times New Roman" w:eastAsia="仿宋_GB2312"/>
                <w:b w:val="0"/>
                <w:sz w:val="24"/>
              </w:rPr>
              <w:t>当前不绑定型</w:t>
            </w:r>
          </w:p>
        </w:tc>
        <w:tc>
          <w:tcPr>
            <w:tcW w:type="dxa" w:w="1039"/>
            <w:vAlign w:val="center"/>
          </w:tcPr>
          <w:p>
            <w:pPr>
              <w:pStyle w:val="97"/>
              <w:jc w:val="center"/>
              <w:spacing w:before="0" w:after="0" w:line="360" w:lineRule="exact"/>
              <w:ind w:firstLine="0" w:firstLineChars="0"/>
            </w:pPr>
            <w:r>
              <w:rPr>
                <w:rFonts w:ascii="Times New Roman" w:hAnsi="Times New Roman" w:eastAsia="仿宋_GB2312"/>
                <w:b w:val="0"/>
                <w:sz w:val="24"/>
              </w:rPr>
              <w:t>10.460 MW，2 台</w:t>
            </w:r>
          </w:p>
        </w:tc>
        <w:tc>
          <w:tcPr>
            <w:tcW w:type="dxa" w:w="1039"/>
            <w:vAlign w:val="center"/>
          </w:tcPr>
          <w:p>
            <w:pPr>
              <w:pStyle w:val="97"/>
              <w:jc w:val="center"/>
              <w:spacing w:before="0" w:after="0" w:line="360" w:lineRule="exact"/>
              <w:ind w:firstLine="0" w:firstLineChars="0"/>
            </w:pPr>
            <w:r>
              <w:rPr>
                <w:rFonts w:ascii="Times New Roman" w:hAnsi="Times New Roman" w:eastAsia="仿宋_GB2312"/>
                <w:b w:val="0"/>
                <w:sz w:val="24"/>
              </w:rPr>
              <w:t>可行</w:t>
            </w:r>
          </w:p>
        </w:tc>
        <w:tc>
          <w:tcPr>
            <w:tcW w:type="dxa" w:w="1039"/>
            <w:vAlign w:val="center"/>
          </w:tcPr>
          <w:p>
            <w:pPr>
              <w:pStyle w:val="97"/>
              <w:jc w:val="center"/>
              <w:spacing w:before="0" w:after="0" w:line="360" w:lineRule="exact"/>
              <w:ind w:firstLine="0" w:firstLineChars="0"/>
            </w:pPr>
            <w:r>
              <w:rPr>
                <w:rFonts w:ascii="Times New Roman" w:hAnsi="Times New Roman" w:eastAsia="仿宋_GB2312"/>
                <w:b w:val="0"/>
                <w:sz w:val="24"/>
              </w:rPr>
              <w:t>不构成有效约束</w:t>
            </w:r>
          </w:p>
        </w:tc>
        <w:tc>
          <w:tcPr>
            <w:tcW w:type="dxa" w:w="1039"/>
            <w:vAlign w:val="center"/>
          </w:tcPr>
          <w:p>
            <w:pPr>
              <w:pStyle w:val="97"/>
              <w:jc w:val="center"/>
              <w:spacing w:before="0" w:after="0" w:line="360" w:lineRule="exact"/>
              <w:ind w:firstLine="0" w:firstLineChars="0"/>
            </w:pPr>
            <w:r>
              <w:rPr>
                <w:rFonts w:ascii="Times New Roman" w:hAnsi="Times New Roman" w:eastAsia="仿宋_GB2312"/>
                <w:b w:val="0"/>
                <w:sz w:val="24"/>
              </w:rPr>
              <w:t>储能 124 柜</w:t>
            </w:r>
          </w:p>
        </w:tc>
        <w:tc>
          <w:tcPr>
            <w:tcW w:type="dxa" w:w="1039"/>
            <w:vAlign w:val="center"/>
          </w:tcPr>
          <w:p>
            <w:pPr>
              <w:pStyle w:val="97"/>
              <w:jc w:val="center"/>
              <w:spacing w:before="0" w:after="0" w:line="360" w:lineRule="exact"/>
              <w:ind w:firstLine="0" w:firstLineChars="0"/>
            </w:pPr>
            <w:r>
              <w:rPr>
                <w:rFonts w:ascii="Times New Roman" w:hAnsi="Times New Roman" w:eastAsia="仿宋_GB2312"/>
                <w:b w:val="0"/>
                <w:sz w:val="24"/>
              </w:rPr>
              <w:t>储能 124 柜</w:t>
            </w:r>
          </w:p>
        </w:tc>
        <w:tc>
          <w:tcPr>
            <w:tcW w:type="dxa" w:w="1039"/>
            <w:vAlign w:val="center"/>
          </w:tcPr>
          <w:p>
            <w:pPr>
              <w:pStyle w:val="97"/>
              <w:jc w:val="center"/>
              <w:spacing w:before="0" w:after="0" w:line="360" w:lineRule="exact"/>
              <w:ind w:firstLine="0" w:firstLineChars="0"/>
            </w:pPr>
            <w:r>
              <w:rPr>
                <w:rFonts w:ascii="Times New Roman" w:hAnsi="Times New Roman" w:eastAsia="仿宋_GB2312"/>
                <w:b w:val="0"/>
                <w:sz w:val="24"/>
              </w:rPr>
              <w:t>B</w:t>
            </w:r>
          </w:p>
        </w:tc>
      </w:tr>
      <w:tr>
        <w:trPr>
          <w:cantSplit/>
        </w:trPr>
        <w:tc>
          <w:tcPr>
            <w:tcW w:type="dxa" w:w="1039"/>
            <w:vAlign w:val="center"/>
          </w:tcPr>
          <w:p>
            <w:pPr>
              <w:pStyle w:val="97"/>
              <w:jc w:val="left"/>
              <w:spacing w:before="0" w:after="0" w:line="360" w:lineRule="exact"/>
              <w:ind w:firstLine="0" w:firstLineChars="0"/>
            </w:pPr>
            <w:r>
              <w:rPr>
                <w:rFonts w:ascii="Times New Roman" w:hAnsi="Times New Roman" w:eastAsia="仿宋_GB2312"/>
                <w:b w:val="0"/>
                <w:sz w:val="24"/>
              </w:rPr>
              <w:t>QX-00005</w:t>
            </w:r>
          </w:p>
        </w:tc>
        <w:tc>
          <w:tcPr>
            <w:tcW w:type="dxa" w:w="1039"/>
            <w:vAlign w:val="center"/>
          </w:tcPr>
          <w:p>
            <w:pPr>
              <w:pStyle w:val="97"/>
              <w:jc w:val="center"/>
              <w:spacing w:before="0" w:after="0" w:line="360" w:lineRule="exact"/>
              <w:ind w:firstLine="0" w:firstLineChars="0"/>
            </w:pPr>
            <w:r>
              <w:rPr>
                <w:rFonts w:ascii="Times New Roman" w:hAnsi="Times New Roman" w:eastAsia="仿宋_GB2312"/>
                <w:b w:val="0"/>
                <w:sz w:val="24"/>
              </w:rPr>
              <w:t>经济释放阈值型</w:t>
            </w:r>
          </w:p>
        </w:tc>
        <w:tc>
          <w:tcPr>
            <w:tcW w:type="dxa" w:w="1039"/>
            <w:vAlign w:val="center"/>
          </w:tcPr>
          <w:p>
            <w:pPr>
              <w:pStyle w:val="97"/>
              <w:jc w:val="center"/>
              <w:spacing w:before="0" w:after="0" w:line="360" w:lineRule="exact"/>
              <w:ind w:firstLine="0" w:firstLineChars="0"/>
            </w:pPr>
            <w:r>
              <w:rPr>
                <w:rFonts w:ascii="Times New Roman" w:hAnsi="Times New Roman" w:eastAsia="仿宋_GB2312"/>
                <w:b w:val="0"/>
                <w:sz w:val="24"/>
              </w:rPr>
              <w:t>52.800 MW，4 台</w:t>
            </w:r>
          </w:p>
        </w:tc>
        <w:tc>
          <w:tcPr>
            <w:tcW w:type="dxa" w:w="1039"/>
            <w:vAlign w:val="center"/>
          </w:tcPr>
          <w:p>
            <w:pPr>
              <w:pStyle w:val="97"/>
              <w:jc w:val="center"/>
              <w:spacing w:before="0" w:after="0" w:line="360" w:lineRule="exact"/>
              <w:ind w:firstLine="0" w:firstLineChars="0"/>
            </w:pPr>
            <w:r>
              <w:rPr>
                <w:rFonts w:ascii="Times New Roman" w:hAnsi="Times New Roman" w:eastAsia="仿宋_GB2312"/>
                <w:b w:val="0"/>
                <w:sz w:val="24"/>
              </w:rPr>
              <w:t>可行</w:t>
            </w:r>
          </w:p>
        </w:tc>
        <w:tc>
          <w:tcPr>
            <w:tcW w:type="dxa" w:w="1039"/>
            <w:vAlign w:val="center"/>
          </w:tcPr>
          <w:p>
            <w:pPr>
              <w:pStyle w:val="97"/>
              <w:jc w:val="center"/>
              <w:spacing w:before="0" w:after="0" w:line="360" w:lineRule="exact"/>
              <w:ind w:firstLine="0" w:firstLineChars="0"/>
            </w:pPr>
            <w:r>
              <w:rPr>
                <w:rFonts w:ascii="Times New Roman" w:hAnsi="Times New Roman" w:eastAsia="仿宋_GB2312"/>
                <w:b w:val="0"/>
                <w:sz w:val="24"/>
              </w:rPr>
              <w:t>2.171～2.172；稳健近优下限≥2.3，上界未识别</w:t>
            </w:r>
          </w:p>
        </w:tc>
        <w:tc>
          <w:tcPr>
            <w:tcW w:type="dxa" w:w="1039"/>
            <w:vAlign w:val="center"/>
          </w:tcPr>
          <w:p>
            <w:pPr>
              <w:pStyle w:val="97"/>
              <w:jc w:val="center"/>
              <w:spacing w:before="0" w:after="0" w:line="360" w:lineRule="exact"/>
              <w:ind w:firstLine="0" w:firstLineChars="0"/>
            </w:pPr>
            <w:r>
              <w:rPr>
                <w:rFonts w:ascii="Times New Roman" w:hAnsi="Times New Roman" w:eastAsia="仿宋_GB2312"/>
                <w:b w:val="0"/>
                <w:sz w:val="24"/>
              </w:rPr>
              <w:t>新增第三台主变、储能 465 柜</w:t>
            </w:r>
          </w:p>
        </w:tc>
        <w:tc>
          <w:tcPr>
            <w:tcW w:type="dxa" w:w="1039"/>
            <w:vAlign w:val="center"/>
          </w:tcPr>
          <w:p>
            <w:pPr>
              <w:pStyle w:val="97"/>
              <w:jc w:val="center"/>
              <w:spacing w:before="0" w:after="0" w:line="360" w:lineRule="exact"/>
              <w:ind w:firstLine="0" w:firstLineChars="0"/>
            </w:pPr>
            <w:r>
              <w:rPr>
                <w:rFonts w:ascii="Times New Roman" w:hAnsi="Times New Roman" w:eastAsia="仿宋_GB2312"/>
                <w:b w:val="0"/>
                <w:sz w:val="24"/>
              </w:rPr>
              <w:t>储能 962 柜</w:t>
            </w:r>
          </w:p>
        </w:tc>
        <w:tc>
          <w:tcPr>
            <w:tcW w:type="dxa" w:w="1039"/>
            <w:vAlign w:val="center"/>
          </w:tcPr>
          <w:p>
            <w:pPr>
              <w:pStyle w:val="97"/>
              <w:jc w:val="center"/>
              <w:spacing w:before="0" w:after="0" w:line="360" w:lineRule="exact"/>
              <w:ind w:firstLine="0" w:firstLineChars="0"/>
            </w:pPr>
            <w:r>
              <w:rPr>
                <w:rFonts w:ascii="Times New Roman" w:hAnsi="Times New Roman" w:eastAsia="仿宋_GB2312"/>
                <w:b w:val="0"/>
                <w:sz w:val="24"/>
              </w:rPr>
              <w:t>A</w:t>
            </w:r>
          </w:p>
        </w:tc>
      </w:tr>
      <w:tr>
        <w:trPr>
          <w:cantSplit/>
        </w:trPr>
        <w:tc>
          <w:tcPr>
            <w:tcW w:type="dxa" w:w="1039"/>
            <w:vAlign w:val="center"/>
          </w:tcPr>
          <w:p>
            <w:pPr>
              <w:pStyle w:val="97"/>
              <w:jc w:val="left"/>
              <w:spacing w:before="0" w:after="0" w:line="360" w:lineRule="exact"/>
              <w:ind w:firstLine="0" w:firstLineChars="0"/>
            </w:pPr>
            <w:r>
              <w:rPr>
                <w:rFonts w:ascii="Times New Roman" w:hAnsi="Times New Roman" w:eastAsia="仿宋_GB2312"/>
                <w:b w:val="0"/>
                <w:sz w:val="24"/>
              </w:rPr>
              <w:t>QX-00007</w:t>
            </w:r>
          </w:p>
        </w:tc>
        <w:tc>
          <w:tcPr>
            <w:tcW w:type="dxa" w:w="1039"/>
            <w:vAlign w:val="center"/>
          </w:tcPr>
          <w:p>
            <w:pPr>
              <w:pStyle w:val="97"/>
              <w:jc w:val="center"/>
              <w:spacing w:before="0" w:after="0" w:line="360" w:lineRule="exact"/>
              <w:ind w:firstLine="0" w:firstLineChars="0"/>
            </w:pPr>
            <w:r>
              <w:rPr>
                <w:rFonts w:ascii="Times New Roman" w:hAnsi="Times New Roman" w:eastAsia="仿宋_GB2312"/>
                <w:b w:val="0"/>
                <w:sz w:val="24"/>
              </w:rPr>
              <w:t>当前不绑定型</w:t>
            </w:r>
          </w:p>
        </w:tc>
        <w:tc>
          <w:tcPr>
            <w:tcW w:type="dxa" w:w="1039"/>
            <w:vAlign w:val="center"/>
          </w:tcPr>
          <w:p>
            <w:pPr>
              <w:pStyle w:val="97"/>
              <w:jc w:val="center"/>
              <w:spacing w:before="0" w:after="0" w:line="360" w:lineRule="exact"/>
              <w:ind w:firstLine="0" w:firstLineChars="0"/>
            </w:pPr>
            <w:r>
              <w:rPr>
                <w:rFonts w:ascii="Times New Roman" w:hAnsi="Times New Roman" w:eastAsia="仿宋_GB2312"/>
                <w:b w:val="0"/>
                <w:sz w:val="24"/>
              </w:rPr>
              <w:t>0，0 台</w:t>
            </w:r>
          </w:p>
        </w:tc>
        <w:tc>
          <w:tcPr>
            <w:tcW w:type="dxa" w:w="1039"/>
            <w:vAlign w:val="center"/>
          </w:tcPr>
          <w:p>
            <w:pPr>
              <w:pStyle w:val="97"/>
              <w:jc w:val="center"/>
              <w:spacing w:before="0" w:after="0" w:line="360" w:lineRule="exact"/>
              <w:ind w:firstLine="0" w:firstLineChars="0"/>
            </w:pPr>
            <w:r>
              <w:rPr>
                <w:rFonts w:ascii="Times New Roman" w:hAnsi="Times New Roman" w:eastAsia="仿宋_GB2312"/>
                <w:b w:val="0"/>
                <w:sz w:val="24"/>
              </w:rPr>
              <w:t>可行</w:t>
            </w:r>
          </w:p>
        </w:tc>
        <w:tc>
          <w:tcPr>
            <w:tcW w:type="dxa" w:w="1039"/>
            <w:vAlign w:val="center"/>
          </w:tcPr>
          <w:p>
            <w:pPr>
              <w:pStyle w:val="97"/>
              <w:jc w:val="center"/>
              <w:spacing w:before="0" w:after="0" w:line="360" w:lineRule="exact"/>
              <w:ind w:firstLine="0" w:firstLineChars="0"/>
            </w:pPr>
            <w:r>
              <w:rPr>
                <w:rFonts w:ascii="Times New Roman" w:hAnsi="Times New Roman" w:eastAsia="仿宋_GB2312"/>
                <w:b w:val="0"/>
                <w:sz w:val="24"/>
              </w:rPr>
              <w:t>不构成有效约束</w:t>
            </w:r>
          </w:p>
        </w:tc>
        <w:tc>
          <w:tcPr>
            <w:tcW w:type="dxa" w:w="1039"/>
            <w:vAlign w:val="center"/>
          </w:tcPr>
          <w:p>
            <w:pPr>
              <w:pStyle w:val="97"/>
              <w:jc w:val="center"/>
              <w:spacing w:before="0" w:after="0" w:line="360" w:lineRule="exact"/>
              <w:ind w:firstLine="0" w:firstLineChars="0"/>
            </w:pPr>
            <w:r>
              <w:rPr>
                <w:rFonts w:ascii="Times New Roman" w:hAnsi="Times New Roman" w:eastAsia="仿宋_GB2312"/>
                <w:b w:val="0"/>
                <w:sz w:val="24"/>
              </w:rPr>
              <w:t>无</w:t>
            </w:r>
          </w:p>
        </w:tc>
        <w:tc>
          <w:tcPr>
            <w:tcW w:type="dxa" w:w="1039"/>
            <w:vAlign w:val="center"/>
          </w:tcPr>
          <w:p>
            <w:pPr>
              <w:pStyle w:val="97"/>
              <w:jc w:val="center"/>
              <w:spacing w:before="0" w:after="0" w:line="360" w:lineRule="exact"/>
              <w:ind w:firstLine="0" w:firstLineChars="0"/>
            </w:pPr>
            <w:r>
              <w:rPr>
                <w:rFonts w:ascii="Times New Roman" w:hAnsi="Times New Roman" w:eastAsia="仿宋_GB2312"/>
                <w:b w:val="0"/>
                <w:sz w:val="24"/>
              </w:rPr>
              <w:t>无</w:t>
            </w:r>
          </w:p>
        </w:tc>
        <w:tc>
          <w:tcPr>
            <w:tcW w:type="dxa" w:w="1039"/>
            <w:vAlign w:val="center"/>
          </w:tcPr>
          <w:p>
            <w:pPr>
              <w:pStyle w:val="97"/>
              <w:jc w:val="center"/>
              <w:spacing w:before="0" w:after="0" w:line="360" w:lineRule="exact"/>
              <w:ind w:firstLine="0" w:firstLineChars="0"/>
            </w:pPr>
            <w:r>
              <w:rPr>
                <w:rFonts w:ascii="Times New Roman" w:hAnsi="Times New Roman" w:eastAsia="仿宋_GB2312"/>
                <w:b w:val="0"/>
                <w:sz w:val="24"/>
              </w:rPr>
              <w:t>B</w:t>
            </w:r>
          </w:p>
        </w:tc>
      </w:tr>
      <w:tr>
        <w:trPr>
          <w:cantSplit/>
        </w:trPr>
        <w:tc>
          <w:tcPr>
            <w:tcW w:type="dxa" w:w="1039"/>
            <w:vAlign w:val="center"/>
          </w:tcPr>
          <w:p>
            <w:pPr>
              <w:pStyle w:val="97"/>
              <w:jc w:val="left"/>
              <w:spacing w:before="0" w:after="0" w:line="360" w:lineRule="exact"/>
              <w:ind w:firstLine="0" w:firstLineChars="0"/>
            </w:pPr>
            <w:r>
              <w:rPr>
                <w:rFonts w:ascii="Times New Roman" w:hAnsi="Times New Roman" w:eastAsia="仿宋_GB2312"/>
                <w:b w:val="0"/>
                <w:sz w:val="24"/>
              </w:rPr>
              <w:t>QX-00008</w:t>
            </w:r>
          </w:p>
        </w:tc>
        <w:tc>
          <w:tcPr>
            <w:tcW w:type="dxa" w:w="1039"/>
            <w:vAlign w:val="center"/>
          </w:tcPr>
          <w:p>
            <w:pPr>
              <w:pStyle w:val="97"/>
              <w:jc w:val="center"/>
              <w:spacing w:before="0" w:after="0" w:line="360" w:lineRule="exact"/>
              <w:ind w:firstLine="0" w:firstLineChars="0"/>
            </w:pPr>
            <w:r>
              <w:rPr>
                <w:rFonts w:ascii="Times New Roman" w:hAnsi="Times New Roman" w:eastAsia="仿宋_GB2312"/>
                <w:b w:val="0"/>
                <w:sz w:val="24"/>
              </w:rPr>
              <w:t>技术约束优先型</w:t>
            </w:r>
          </w:p>
        </w:tc>
        <w:tc>
          <w:tcPr>
            <w:tcW w:type="dxa" w:w="1039"/>
            <w:vAlign w:val="center"/>
          </w:tcPr>
          <w:p>
            <w:pPr>
              <w:pStyle w:val="97"/>
              <w:jc w:val="center"/>
              <w:spacing w:before="0" w:after="0" w:line="360" w:lineRule="exact"/>
              <w:ind w:firstLine="0" w:firstLineChars="0"/>
            </w:pPr>
            <w:r>
              <w:rPr>
                <w:rFonts w:ascii="Times New Roman" w:hAnsi="Times New Roman" w:eastAsia="仿宋_GB2312"/>
                <w:b w:val="0"/>
                <w:sz w:val="24"/>
              </w:rPr>
              <w:t>12.520 MW，3 台</w:t>
            </w:r>
          </w:p>
        </w:tc>
        <w:tc>
          <w:tcPr>
            <w:tcW w:type="dxa" w:w="1039"/>
            <w:vAlign w:val="center"/>
          </w:tcPr>
          <w:p>
            <w:pPr>
              <w:pStyle w:val="97"/>
              <w:jc w:val="center"/>
              <w:spacing w:before="0" w:after="0" w:line="360" w:lineRule="exact"/>
              <w:ind w:firstLine="0" w:firstLineChars="0"/>
            </w:pPr>
            <w:r>
              <w:rPr>
                <w:rFonts w:ascii="Times New Roman" w:hAnsi="Times New Roman" w:eastAsia="仿宋_GB2312"/>
                <w:b w:val="0"/>
                <w:sz w:val="24"/>
              </w:rPr>
              <w:t>无上限方案不可行</w:t>
            </w:r>
          </w:p>
        </w:tc>
        <w:tc>
          <w:tcPr>
            <w:tcW w:type="dxa" w:w="1039"/>
            <w:vAlign w:val="center"/>
          </w:tcPr>
          <w:p>
            <w:pPr>
              <w:pStyle w:val="97"/>
              <w:jc w:val="center"/>
              <w:spacing w:before="0" w:after="0" w:line="360" w:lineRule="exact"/>
              <w:ind w:firstLine="0" w:firstLineChars="0"/>
            </w:pPr>
            <w:r>
              <w:rPr>
                <w:rFonts w:ascii="Times New Roman" w:hAnsi="Times New Roman" w:eastAsia="仿宋_GB2312"/>
                <w:b w:val="0"/>
                <w:sz w:val="24"/>
              </w:rPr>
              <w:t>不适用</w:t>
            </w:r>
          </w:p>
        </w:tc>
        <w:tc>
          <w:tcPr>
            <w:tcW w:type="dxa" w:w="1039"/>
            <w:vAlign w:val="center"/>
          </w:tcPr>
          <w:p>
            <w:pPr>
              <w:pStyle w:val="97"/>
              <w:jc w:val="center"/>
              <w:spacing w:before="0" w:after="0" w:line="360" w:lineRule="exact"/>
              <w:ind w:firstLine="0" w:firstLineChars="0"/>
            </w:pPr>
            <w:r>
              <w:rPr>
                <w:rFonts w:ascii="Times New Roman" w:hAnsi="Times New Roman" w:eastAsia="仿宋_GB2312"/>
                <w:b w:val="0"/>
                <w:sz w:val="24"/>
              </w:rPr>
              <w:t>暂不形成</w:t>
            </w:r>
          </w:p>
        </w:tc>
        <w:tc>
          <w:tcPr>
            <w:tcW w:type="dxa" w:w="1039"/>
            <w:vAlign w:val="center"/>
          </w:tcPr>
          <w:p>
            <w:pPr>
              <w:pStyle w:val="97"/>
              <w:jc w:val="center"/>
              <w:spacing w:before="0" w:after="0" w:line="360" w:lineRule="exact"/>
              <w:ind w:firstLine="0" w:firstLineChars="0"/>
            </w:pPr>
            <w:r>
              <w:rPr>
                <w:rFonts w:ascii="Times New Roman" w:hAnsi="Times New Roman" w:eastAsia="仿宋_GB2312"/>
                <w:b w:val="0"/>
                <w:sz w:val="24"/>
              </w:rPr>
              <w:t>暂不形成</w:t>
            </w:r>
          </w:p>
        </w:tc>
        <w:tc>
          <w:tcPr>
            <w:tcW w:type="dxa" w:w="1039"/>
            <w:vAlign w:val="center"/>
          </w:tcPr>
          <w:p>
            <w:pPr>
              <w:pStyle w:val="97"/>
              <w:jc w:val="center"/>
              <w:spacing w:before="0" w:after="0" w:line="360" w:lineRule="exact"/>
              <w:ind w:firstLine="0" w:firstLineChars="0"/>
            </w:pPr>
            <w:r>
              <w:rPr>
                <w:rFonts w:ascii="Times New Roman" w:hAnsi="Times New Roman" w:eastAsia="仿宋_GB2312"/>
                <w:b w:val="0"/>
                <w:sz w:val="24"/>
              </w:rPr>
              <w:t>B</w:t>
            </w:r>
          </w:p>
        </w:tc>
      </w:tr>
      <w:tr>
        <w:trPr>
          <w:cantSplit/>
        </w:trPr>
        <w:tc>
          <w:tcPr>
            <w:tcW w:type="dxa" w:w="1039"/>
            <w:vAlign w:val="center"/>
          </w:tcPr>
          <w:p>
            <w:pPr>
              <w:pStyle w:val="97"/>
              <w:jc w:val="left"/>
              <w:spacing w:before="0" w:after="0" w:line="360" w:lineRule="exact"/>
              <w:ind w:firstLine="0" w:firstLineChars="0"/>
            </w:pPr>
            <w:r>
              <w:rPr>
                <w:rFonts w:ascii="Times New Roman" w:hAnsi="Times New Roman" w:eastAsia="仿宋_GB2312"/>
                <w:b w:val="0"/>
                <w:sz w:val="24"/>
              </w:rPr>
              <w:t>QX-00009</w:t>
            </w:r>
          </w:p>
        </w:tc>
        <w:tc>
          <w:tcPr>
            <w:tcW w:type="dxa" w:w="1039"/>
            <w:vAlign w:val="center"/>
          </w:tcPr>
          <w:p>
            <w:pPr>
              <w:pStyle w:val="97"/>
              <w:jc w:val="center"/>
              <w:spacing w:before="0" w:after="0" w:line="360" w:lineRule="exact"/>
              <w:ind w:firstLine="0" w:firstLineChars="0"/>
            </w:pPr>
            <w:r>
              <w:rPr>
                <w:rFonts w:ascii="Times New Roman" w:hAnsi="Times New Roman" w:eastAsia="仿宋_GB2312"/>
                <w:b w:val="0"/>
                <w:sz w:val="24"/>
              </w:rPr>
              <w:t>技术约束优先型</w:t>
            </w:r>
          </w:p>
        </w:tc>
        <w:tc>
          <w:tcPr>
            <w:tcW w:type="dxa" w:w="1039"/>
            <w:vAlign w:val="center"/>
          </w:tcPr>
          <w:p>
            <w:pPr>
              <w:pStyle w:val="97"/>
              <w:jc w:val="center"/>
              <w:spacing w:before="0" w:after="0" w:line="360" w:lineRule="exact"/>
              <w:ind w:firstLine="0" w:firstLineChars="0"/>
            </w:pPr>
            <w:r>
              <w:rPr>
                <w:rFonts w:ascii="Times New Roman" w:hAnsi="Times New Roman" w:eastAsia="仿宋_GB2312"/>
                <w:b w:val="0"/>
                <w:sz w:val="24"/>
              </w:rPr>
              <w:t>37.815 MW，3 台</w:t>
            </w:r>
          </w:p>
        </w:tc>
        <w:tc>
          <w:tcPr>
            <w:tcW w:type="dxa" w:w="1039"/>
            <w:vAlign w:val="center"/>
          </w:tcPr>
          <w:p>
            <w:pPr>
              <w:pStyle w:val="97"/>
              <w:jc w:val="center"/>
              <w:spacing w:before="0" w:after="0" w:line="360" w:lineRule="exact"/>
              <w:ind w:firstLine="0" w:firstLineChars="0"/>
            </w:pPr>
            <w:r>
              <w:rPr>
                <w:rFonts w:ascii="Times New Roman" w:hAnsi="Times New Roman" w:eastAsia="仿宋_GB2312"/>
                <w:b w:val="0"/>
                <w:sz w:val="24"/>
              </w:rPr>
              <w:t>无上限方案不可行</w:t>
            </w:r>
          </w:p>
        </w:tc>
        <w:tc>
          <w:tcPr>
            <w:tcW w:type="dxa" w:w="1039"/>
            <w:vAlign w:val="center"/>
          </w:tcPr>
          <w:p>
            <w:pPr>
              <w:pStyle w:val="97"/>
              <w:jc w:val="center"/>
              <w:spacing w:before="0" w:after="0" w:line="360" w:lineRule="exact"/>
              <w:ind w:firstLine="0" w:firstLineChars="0"/>
            </w:pPr>
            <w:r>
              <w:rPr>
                <w:rFonts w:ascii="Times New Roman" w:hAnsi="Times New Roman" w:eastAsia="仿宋_GB2312"/>
                <w:b w:val="0"/>
                <w:sz w:val="24"/>
              </w:rPr>
              <w:t>不适用</w:t>
            </w:r>
          </w:p>
        </w:tc>
        <w:tc>
          <w:tcPr>
            <w:tcW w:type="dxa" w:w="1039"/>
            <w:vAlign w:val="center"/>
          </w:tcPr>
          <w:p>
            <w:pPr>
              <w:pStyle w:val="97"/>
              <w:jc w:val="center"/>
              <w:spacing w:before="0" w:after="0" w:line="360" w:lineRule="exact"/>
              <w:ind w:firstLine="0" w:firstLineChars="0"/>
            </w:pPr>
            <w:r>
              <w:rPr>
                <w:rFonts w:ascii="Times New Roman" w:hAnsi="Times New Roman" w:eastAsia="仿宋_GB2312"/>
                <w:b w:val="0"/>
                <w:sz w:val="24"/>
              </w:rPr>
              <w:t>暂不形成</w:t>
            </w:r>
          </w:p>
        </w:tc>
        <w:tc>
          <w:tcPr>
            <w:tcW w:type="dxa" w:w="1039"/>
            <w:vAlign w:val="center"/>
          </w:tcPr>
          <w:p>
            <w:pPr>
              <w:pStyle w:val="97"/>
              <w:jc w:val="center"/>
              <w:spacing w:before="0" w:after="0" w:line="360" w:lineRule="exact"/>
              <w:ind w:firstLine="0" w:firstLineChars="0"/>
            </w:pPr>
            <w:r>
              <w:rPr>
                <w:rFonts w:ascii="Times New Roman" w:hAnsi="Times New Roman" w:eastAsia="仿宋_GB2312"/>
                <w:b w:val="0"/>
                <w:sz w:val="24"/>
              </w:rPr>
              <w:t>暂不形成</w:t>
            </w:r>
          </w:p>
        </w:tc>
        <w:tc>
          <w:tcPr>
            <w:tcW w:type="dxa" w:w="1039"/>
            <w:vAlign w:val="center"/>
          </w:tcPr>
          <w:p>
            <w:pPr>
              <w:pStyle w:val="97"/>
              <w:jc w:val="center"/>
              <w:spacing w:before="0" w:after="0" w:line="360" w:lineRule="exact"/>
              <w:ind w:firstLine="0" w:firstLineChars="0"/>
            </w:pPr>
            <w:r>
              <w:rPr>
                <w:rFonts w:ascii="Times New Roman" w:hAnsi="Times New Roman" w:eastAsia="仿宋_GB2312"/>
                <w:b w:val="0"/>
                <w:sz w:val="24"/>
              </w:rPr>
              <w:t>B</w:t>
            </w:r>
          </w:p>
        </w:tc>
      </w:tr>
      <w:tr>
        <w:trPr>
          <w:cantSplit/>
        </w:trPr>
        <w:tc>
          <w:tcPr>
            <w:tcW w:type="dxa" w:w="1039"/>
            <w:vAlign w:val="center"/>
          </w:tcPr>
          <w:p>
            <w:pPr>
              <w:pStyle w:val="97"/>
              <w:jc w:val="left"/>
              <w:spacing w:before="0" w:after="0" w:line="360" w:lineRule="exact"/>
              <w:ind w:firstLine="0" w:firstLineChars="0"/>
            </w:pPr>
            <w:r>
              <w:rPr>
                <w:rFonts w:ascii="Times New Roman" w:hAnsi="Times New Roman" w:eastAsia="仿宋_GB2312"/>
                <w:b w:val="0"/>
                <w:sz w:val="24"/>
              </w:rPr>
              <w:t>QX-00010</w:t>
            </w:r>
          </w:p>
        </w:tc>
        <w:tc>
          <w:tcPr>
            <w:tcW w:type="dxa" w:w="1039"/>
            <w:vAlign w:val="center"/>
          </w:tcPr>
          <w:p>
            <w:pPr>
              <w:pStyle w:val="97"/>
              <w:jc w:val="center"/>
              <w:spacing w:before="0" w:after="0" w:line="360" w:lineRule="exact"/>
              <w:ind w:firstLine="0" w:firstLineChars="0"/>
            </w:pPr>
            <w:r>
              <w:rPr>
                <w:rFonts w:ascii="Times New Roman" w:hAnsi="Times New Roman" w:eastAsia="仿宋_GB2312"/>
                <w:b w:val="0"/>
                <w:sz w:val="24"/>
              </w:rPr>
              <w:t>技术约束优先型</w:t>
            </w:r>
          </w:p>
        </w:tc>
        <w:tc>
          <w:tcPr>
            <w:tcW w:type="dxa" w:w="1039"/>
            <w:vAlign w:val="center"/>
          </w:tcPr>
          <w:p>
            <w:pPr>
              <w:pStyle w:val="97"/>
              <w:jc w:val="center"/>
              <w:spacing w:before="0" w:after="0" w:line="360" w:lineRule="exact"/>
              <w:ind w:firstLine="0" w:firstLineChars="0"/>
            </w:pPr>
            <w:r>
              <w:rPr>
                <w:rFonts w:ascii="Times New Roman" w:hAnsi="Times New Roman" w:eastAsia="仿宋_GB2312"/>
                <w:b w:val="0"/>
                <w:sz w:val="24"/>
              </w:rPr>
              <w:t>87.805 MW，5 台</w:t>
            </w:r>
          </w:p>
        </w:tc>
        <w:tc>
          <w:tcPr>
            <w:tcW w:type="dxa" w:w="1039"/>
            <w:vAlign w:val="center"/>
          </w:tcPr>
          <w:p>
            <w:pPr>
              <w:pStyle w:val="97"/>
              <w:jc w:val="center"/>
              <w:spacing w:before="0" w:after="0" w:line="360" w:lineRule="exact"/>
              <w:ind w:firstLine="0" w:firstLineChars="0"/>
            </w:pPr>
            <w:r>
              <w:rPr>
                <w:rFonts w:ascii="Times New Roman" w:hAnsi="Times New Roman" w:eastAsia="仿宋_GB2312"/>
                <w:b w:val="0"/>
                <w:sz w:val="24"/>
              </w:rPr>
              <w:t>无上限方案不可行</w:t>
            </w:r>
          </w:p>
        </w:tc>
        <w:tc>
          <w:tcPr>
            <w:tcW w:type="dxa" w:w="1039"/>
            <w:vAlign w:val="center"/>
          </w:tcPr>
          <w:p>
            <w:pPr>
              <w:pStyle w:val="97"/>
              <w:jc w:val="center"/>
              <w:spacing w:before="0" w:after="0" w:line="360" w:lineRule="exact"/>
              <w:ind w:firstLine="0" w:firstLineChars="0"/>
            </w:pPr>
            <w:r>
              <w:rPr>
                <w:rFonts w:ascii="Times New Roman" w:hAnsi="Times New Roman" w:eastAsia="仿宋_GB2312"/>
                <w:b w:val="0"/>
                <w:sz w:val="24"/>
              </w:rPr>
              <w:t>不适用</w:t>
            </w:r>
          </w:p>
        </w:tc>
        <w:tc>
          <w:tcPr>
            <w:tcW w:type="dxa" w:w="1039"/>
            <w:vAlign w:val="center"/>
          </w:tcPr>
          <w:p>
            <w:pPr>
              <w:pStyle w:val="97"/>
              <w:jc w:val="center"/>
              <w:spacing w:before="0" w:after="0" w:line="360" w:lineRule="exact"/>
              <w:ind w:firstLine="0" w:firstLineChars="0"/>
            </w:pPr>
            <w:r>
              <w:rPr>
                <w:rFonts w:ascii="Times New Roman" w:hAnsi="Times New Roman" w:eastAsia="仿宋_GB2312"/>
                <w:b w:val="0"/>
                <w:sz w:val="24"/>
              </w:rPr>
              <w:t>暂不形成</w:t>
            </w:r>
          </w:p>
        </w:tc>
        <w:tc>
          <w:tcPr>
            <w:tcW w:type="dxa" w:w="1039"/>
            <w:vAlign w:val="center"/>
          </w:tcPr>
          <w:p>
            <w:pPr>
              <w:pStyle w:val="97"/>
              <w:jc w:val="center"/>
              <w:spacing w:before="0" w:after="0" w:line="360" w:lineRule="exact"/>
              <w:ind w:firstLine="0" w:firstLineChars="0"/>
            </w:pPr>
            <w:r>
              <w:rPr>
                <w:rFonts w:ascii="Times New Roman" w:hAnsi="Times New Roman" w:eastAsia="仿宋_GB2312"/>
                <w:b w:val="0"/>
                <w:sz w:val="24"/>
              </w:rPr>
              <w:t>暂不形成</w:t>
            </w:r>
          </w:p>
        </w:tc>
        <w:tc>
          <w:tcPr>
            <w:tcW w:type="dxa" w:w="1039"/>
            <w:vAlign w:val="center"/>
          </w:tcPr>
          <w:p>
            <w:pPr>
              <w:pStyle w:val="97"/>
              <w:jc w:val="center"/>
              <w:spacing w:before="0" w:after="0" w:line="360" w:lineRule="exact"/>
              <w:ind w:firstLine="0" w:firstLineChars="0"/>
            </w:pPr>
            <w:r>
              <w:rPr>
                <w:rFonts w:ascii="Times New Roman" w:hAnsi="Times New Roman" w:eastAsia="仿宋_GB2312"/>
                <w:b w:val="0"/>
                <w:sz w:val="24"/>
              </w:rPr>
              <w:t>B</w:t>
            </w:r>
          </w:p>
        </w:tc>
      </w:tr>
    </w:tbl>
    <w:p>
      <w:pPr>
        <w:spacing w:before="0" w:after="0" w:line="560" w:lineRule="exact"/>
        <w:jc w:val="both"/>
        <w:ind w:firstLineChars="200" w:firstLine="200"/>
      </w:pPr>
      <w:r>
        <w:rPr>
          <w:rFonts w:ascii="Times New Roman" w:hAnsi="Times New Roman" w:eastAsia="仿宋_GB2312"/>
          <w:b w:val="0"/>
          <w:sz w:val="28"/>
        </w:rPr>
        <w:t>表 5-1 的“反向承载缺口”用于回答为什么需要治理，不能把它当作正式容载比分母。由于正式正向容量缺口在上述 110 kV 零动作诊断中均为零，扩容动作的存在需要结合候选组合的成本、储能时序和其他约束解释；报告不把扩容自动归因于正向重载。</w:t>
      </w:r>
    </w:p>
    <w:p>
      <w:pPr>
        <w:pStyle w:val="3"/>
        <w:pageBreakBefore w:val="0"/>
        <w:jc w:val="left"/>
      </w:pPr>
      <w:bookmarkStart w:id="26" w:name="_TocReport0026"/>
      <w:r>
        <w:rPr>
          <w:rFonts w:ascii="Times New Roman" w:hAnsi="Times New Roman" w:eastAsia="仿宋_GB2312"/>
          <w:b/>
          <w:sz w:val="28"/>
        </w:rPr>
        <w:t>5.4 35 kV 辅助层建议</w:t>
      </w:r>
      <w:bookmarkEnd w:id="26"/>
    </w:p>
    <w:p>
      <w:pPr>
        <w:spacing w:before="0" w:after="0" w:line="560" w:lineRule="exact"/>
        <w:jc w:val="both"/>
        <w:ind w:firstLineChars="200" w:firstLine="200"/>
      </w:pPr>
      <w:r>
        <w:rPr>
          <w:rFonts w:ascii="Times New Roman" w:hAnsi="Times New Roman" w:eastAsia="仿宋_GB2312"/>
          <w:b w:val="0"/>
          <w:sz w:val="28"/>
        </w:rPr>
        <w:t>35 kV 结果只作为下级设备承载与措施选择的辅助信息，不施加逐年 Rcap，也不与 110 kV 容量或成本相加。当前 QX-00003、QX-00009、QX-00010 形成可行辅助结果，2025 年物理实现容载比分别为 2.613、3.487、3.605；储能规模分别为 145、0、613 柜，累计年化成本分别为 506.73、0、2140.65 万元。其余片区未形成完整 35 kV 可行解，结果不作跨层推断。</w:t>
      </w:r>
    </w:p>
    <w:p>
      <w:pPr>
        <w:pStyle w:val="3"/>
        <w:pageBreakBefore w:val="0"/>
        <w:jc w:val="left"/>
      </w:pPr>
      <w:bookmarkStart w:id="27" w:name="_TocReport0027"/>
      <w:r>
        <w:rPr>
          <w:rFonts w:ascii="Times New Roman" w:hAnsi="Times New Roman" w:eastAsia="仿宋_GB2312"/>
          <w:b/>
          <w:sz w:val="28"/>
        </w:rPr>
        <w:t>5.5 本章小结</w:t>
      </w:r>
      <w:bookmarkEnd w:id="27"/>
    </w:p>
    <w:p>
      <w:pPr>
        <w:spacing w:before="0" w:after="0" w:line="560" w:lineRule="exact"/>
        <w:jc w:val="both"/>
        <w:ind w:firstLineChars="200" w:firstLine="200"/>
      </w:pPr>
      <w:r>
        <w:rPr>
          <w:rFonts w:ascii="Times New Roman" w:hAnsi="Times New Roman" w:eastAsia="仿宋_GB2312"/>
          <w:b w:val="0"/>
          <w:sz w:val="28"/>
        </w:rPr>
        <w:t>本章把“是否给推荐值”本身纳入规划判定。QX-00001 和 QX-00005 可以用经济释放阈值说明 Rcap 收紧的代价；QX-00003、QX-00004 和 QX-00007 应报告 Rcap 不构成有效约束；QX-00008、QX-00009 和 QX-00010 应先解决物理可行性。推荐区间由前沿近优带、局部细化和同维度敏感性共同支撑，不由主观权重或物理实现容载比机械生成。</w:t>
      </w:r>
    </w:p>
    <w:p>
      <w:pPr>
        <w:pStyle w:val="2"/>
        <w:pageBreakBefore/>
        <w:jc w:val="left"/>
      </w:pPr>
      <w:bookmarkStart w:id="28" w:name="_TocReport0028"/>
      <w:r>
        <w:rPr>
          <w:rFonts w:ascii="Times New Roman" w:hAnsi="Times New Roman" w:eastAsia="仿宋_GB2312"/>
          <w:b/>
          <w:sz w:val="36"/>
        </w:rPr>
        <w:t>第六章 典型案例验证</w:t>
      </w:r>
      <w:bookmarkEnd w:id="28"/>
    </w:p>
    <w:p>
      <w:pPr>
        <w:pStyle w:val="3"/>
        <w:pageBreakBefore w:val="0"/>
        <w:jc w:val="left"/>
      </w:pPr>
      <w:bookmarkStart w:id="29" w:name="_TocReport0029"/>
      <w:r>
        <w:rPr>
          <w:rFonts w:ascii="Times New Roman" w:hAnsi="Times New Roman" w:eastAsia="仿宋_GB2312"/>
          <w:b/>
          <w:sz w:val="28"/>
        </w:rPr>
        <w:t>6.1 QX-00005 片区数据与年度状态复核</w:t>
      </w:r>
      <w:bookmarkEnd w:id="29"/>
    </w:p>
    <w:p>
      <w:pPr>
        <w:spacing w:before="0" w:after="0" w:line="560" w:lineRule="exact"/>
        <w:jc w:val="both"/>
        <w:ind w:firstLineChars="200" w:firstLine="200"/>
      </w:pPr>
      <w:r>
        <w:rPr>
          <w:rFonts w:ascii="Times New Roman" w:hAnsi="Times New Roman" w:eastAsia="仿宋_GB2312"/>
          <w:b w:val="0"/>
          <w:sz w:val="28"/>
        </w:rPr>
        <w:t>QX-00005 是八个片区中逐时数据条件最完整的片区。2025 年正式运行口径覆盖 20 座 110 kV 站、40 台主变，逐时净负荷经过年度在役设备清单、设备映射审批和质量标记校核，能够支撑 A 级年度连续回放。</w:t>
      </w:r>
    </w:p>
    <w:p>
      <w:pPr>
        <w:spacing w:before="0" w:after="0" w:line="560" w:lineRule="exact"/>
        <w:jc w:val="both"/>
        <w:ind w:firstLineChars="200" w:firstLine="200"/>
      </w:pPr>
      <w:r>
        <w:rPr>
          <w:rFonts w:ascii="Times New Roman" w:hAnsi="Times New Roman" w:eastAsia="仿宋_GB2312"/>
          <w:b w:val="0"/>
          <w:sz w:val="28"/>
        </w:rPr>
        <w:t>官方年度基准数据显示，公用变在役总容量由 2021 年的 2027 MVA 增至 2025 年的 2139.5 MVA，同期同步正向峰值由 731.77 MW 增至 956.45 MW，容载比由 2.77 降至 2.24。2023 年负荷回落使年度容载比短暂回升至 2.83，说明单年断面不能替代多年连续决策。容量、负荷和容载比的年度基准数据在正式结果中保持一致，没有把当前在役设备按投运年份回溯后冒充历史资产。</w:t>
      </w:r>
    </w:p>
    <w:p>
      <w:pPr>
        <w:spacing w:before="0" w:after="0" w:line="560" w:lineRule="exact"/>
        <w:jc w:val="both"/>
        <w:ind w:firstLineChars="200" w:firstLine="200"/>
      </w:pPr>
      <w:r>
        <w:rPr>
          <w:rFonts w:ascii="Times New Roman" w:hAnsi="Times New Roman" w:eastAsia="仿宋_GB2312"/>
          <w:b w:val="0"/>
          <w:sz w:val="28"/>
        </w:rPr>
        <w:t>2025 年逐时序列聚合后的正向峰值与官方 956.45 MW 基准值吻合。40 台主变均进入年度在役设备清单；年末新增但不属于该运行口径的设备没有混入逐时验证。该复核为后续储能 SOC 连续校核和两条优化方案比较提供了数据基础。</w:t>
      </w:r>
    </w:p>
    <w:p>
      <w:pPr>
        <w:pStyle w:val="3"/>
        <w:pageBreakBefore w:val="0"/>
        <w:jc w:val="left"/>
      </w:pPr>
      <w:bookmarkStart w:id="30" w:name="_TocReport0030"/>
      <w:r>
        <w:rPr>
          <w:rFonts w:ascii="Times New Roman" w:hAnsi="Times New Roman" w:eastAsia="仿宋_GB2312"/>
          <w:b/>
          <w:sz w:val="28"/>
        </w:rPr>
        <w:t>6.2 两条优化方案的结果对照</w:t>
      </w:r>
      <w:bookmarkEnd w:id="30"/>
    </w:p>
    <w:p>
      <w:pPr>
        <w:spacing w:before="0" w:after="0" w:line="560" w:lineRule="exact"/>
        <w:jc w:val="both"/>
        <w:ind w:firstLineChars="200" w:firstLine="200"/>
      </w:pPr>
      <w:r>
        <w:rPr>
          <w:rFonts w:ascii="Times New Roman" w:hAnsi="Times New Roman" w:eastAsia="仿宋_GB2312"/>
          <w:b w:val="0"/>
          <w:sz w:val="28"/>
        </w:rPr>
        <w:t>弹性优化方案与严格优化方案均从 2021 年实际在役资产起步，既有容量不计入规划期增量。弹性方案不设置统一 Rcap 上限；严格方案自 2022 年起对 110 kV 规划期新增容量施加 Rcap=2.0 的控制，但不通过减容或退役重构存量容量。因此严格方案的政策控制比为 2.0，按实际在役容量计算的物理实现容载比可以高于 2.0。</w:t>
      </w:r>
    </w:p>
    <w:p>
      <w:pPr>
        <w:pStyle w:val="12"/>
        <w:keepNext/>
        <w:spacing w:before="120" w:after="60" w:line="400" w:lineRule="exact"/>
        <w:jc w:val="center"/>
        <w:ind w:firstLine="0" w:firstLineChars="0"/>
      </w:pPr>
      <w:r>
        <w:rPr>
          <w:rFonts w:ascii="Times New Roman" w:hAnsi="Times New Roman" w:eastAsia="仿宋_GB2312"/>
          <w:b w:val="0"/>
          <w:sz w:val="24"/>
        </w:rPr>
        <w:t>表 6-1 QX-00005 片区 2025 年结果对照</w:t>
      </w:r>
    </w:p>
    <w:tbl>
      <w:tblPr>
        <w:tblW w:type="auto" w:w="0"/>
        <w:tblLayout w:type="autofi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078"/>
        <w:gridCol w:w="2078"/>
        <w:gridCol w:w="2078"/>
        <w:gridCol w:w="2078"/>
      </w:tblGrid>
      <w:tr>
        <w:trPr>
          <w:cantSplit/>
          <w:tblHeader w:val="true"/>
        </w:trPr>
        <w:tc>
          <w:tcPr>
            <w:tcW w:type="dxa" w:w="2078"/>
            <w:vAlign w:val="center"/>
          </w:tcPr>
          <w:p>
            <w:pPr>
              <w:pStyle w:val="97"/>
              <w:jc w:val="center"/>
              <w:spacing w:before="0" w:after="0" w:line="360" w:lineRule="exact"/>
              <w:ind w:firstLine="0" w:firstLineChars="0"/>
            </w:pPr>
            <w:r>
              <w:rPr>
                <w:rFonts w:ascii="Times New Roman" w:hAnsi="Times New Roman" w:eastAsia="仿宋_GB2312"/>
                <w:b/>
                <w:sz w:val="24"/>
              </w:rPr>
              <w:t>指标</w:t>
            </w:r>
          </w:p>
        </w:tc>
        <w:tc>
          <w:tcPr>
            <w:tcW w:type="dxa" w:w="2078"/>
            <w:vAlign w:val="center"/>
          </w:tcPr>
          <w:p>
            <w:pPr>
              <w:pStyle w:val="97"/>
              <w:jc w:val="center"/>
              <w:spacing w:before="0" w:after="0" w:line="360" w:lineRule="exact"/>
              <w:ind w:firstLine="0" w:firstLineChars="0"/>
            </w:pPr>
            <w:r>
              <w:rPr>
                <w:rFonts w:ascii="Times New Roman" w:hAnsi="Times New Roman" w:eastAsia="仿宋_GB2312"/>
                <w:b/>
                <w:sz w:val="24"/>
              </w:rPr>
              <w:t>实际发展情况</w:t>
            </w:r>
          </w:p>
        </w:tc>
        <w:tc>
          <w:tcPr>
            <w:tcW w:type="dxa" w:w="2078"/>
            <w:vAlign w:val="center"/>
          </w:tcPr>
          <w:p>
            <w:pPr>
              <w:pStyle w:val="97"/>
              <w:jc w:val="center"/>
              <w:spacing w:before="0" w:after="0" w:line="360" w:lineRule="exact"/>
              <w:ind w:firstLine="0" w:firstLineChars="0"/>
            </w:pPr>
            <w:r>
              <w:rPr>
                <w:rFonts w:ascii="Times New Roman" w:hAnsi="Times New Roman" w:eastAsia="仿宋_GB2312"/>
                <w:b/>
                <w:sz w:val="24"/>
              </w:rPr>
              <w:t>弹性优化方案</w:t>
            </w:r>
          </w:p>
        </w:tc>
        <w:tc>
          <w:tcPr>
            <w:tcW w:type="dxa" w:w="2078"/>
            <w:vAlign w:val="center"/>
          </w:tcPr>
          <w:p>
            <w:pPr>
              <w:pStyle w:val="97"/>
              <w:jc w:val="center"/>
              <w:spacing w:before="0" w:after="0" w:line="360" w:lineRule="exact"/>
              <w:ind w:firstLine="0" w:firstLineChars="0"/>
            </w:pPr>
            <w:r>
              <w:rPr>
                <w:rFonts w:ascii="Times New Roman" w:hAnsi="Times New Roman" w:eastAsia="仿宋_GB2312"/>
                <w:b/>
                <w:sz w:val="24"/>
              </w:rPr>
              <w:t>严格优化方案</w:t>
            </w:r>
          </w:p>
        </w:tc>
      </w:tr>
      <w:tr>
        <w:trPr>
          <w:cantSplit/>
        </w:trPr>
        <w:tc>
          <w:tcPr>
            <w:tcW w:type="dxa" w:w="2078"/>
            <w:vAlign w:val="center"/>
          </w:tcPr>
          <w:p>
            <w:pPr>
              <w:pStyle w:val="97"/>
              <w:jc w:val="left"/>
              <w:spacing w:before="0" w:after="0" w:line="360" w:lineRule="exact"/>
              <w:ind w:firstLine="0" w:firstLineChars="0"/>
            </w:pPr>
            <w:r>
              <w:rPr>
                <w:rFonts w:ascii="Times New Roman" w:hAnsi="Times New Roman" w:eastAsia="仿宋_GB2312"/>
                <w:b w:val="0"/>
                <w:sz w:val="24"/>
              </w:rPr>
              <w:t>2025 年物理实现容载比</w:t>
            </w:r>
          </w:p>
        </w:tc>
        <w:tc>
          <w:tcPr>
            <w:tcW w:type="dxa" w:w="2078"/>
            <w:vAlign w:val="center"/>
          </w:tcPr>
          <w:p>
            <w:pPr>
              <w:pStyle w:val="97"/>
              <w:jc w:val="center"/>
              <w:spacing w:before="0" w:after="0" w:line="360" w:lineRule="exact"/>
              <w:ind w:firstLine="0" w:firstLineChars="0"/>
            </w:pPr>
            <w:r>
              <w:rPr>
                <w:rFonts w:ascii="Times New Roman" w:hAnsi="Times New Roman" w:eastAsia="仿宋_GB2312"/>
                <w:b w:val="0"/>
                <w:sz w:val="24"/>
              </w:rPr>
              <w:t>2.240</w:t>
            </w:r>
          </w:p>
        </w:tc>
        <w:tc>
          <w:tcPr>
            <w:tcW w:type="dxa" w:w="2078"/>
            <w:vAlign w:val="center"/>
          </w:tcPr>
          <w:p>
            <w:pPr>
              <w:pStyle w:val="97"/>
              <w:jc w:val="center"/>
              <w:spacing w:before="0" w:after="0" w:line="360" w:lineRule="exact"/>
              <w:ind w:firstLine="0" w:firstLineChars="0"/>
            </w:pPr>
            <w:r>
              <w:rPr>
                <w:rFonts w:ascii="Times New Roman" w:hAnsi="Times New Roman" w:eastAsia="仿宋_GB2312"/>
                <w:b w:val="0"/>
                <w:sz w:val="24"/>
              </w:rPr>
              <w:t>2.172</w:t>
            </w:r>
          </w:p>
        </w:tc>
        <w:tc>
          <w:tcPr>
            <w:tcW w:type="dxa" w:w="2078"/>
            <w:vAlign w:val="center"/>
          </w:tcPr>
          <w:p>
            <w:pPr>
              <w:pStyle w:val="97"/>
              <w:jc w:val="center"/>
              <w:spacing w:before="0" w:after="0" w:line="360" w:lineRule="exact"/>
              <w:ind w:firstLine="0" w:firstLineChars="0"/>
            </w:pPr>
            <w:r>
              <w:rPr>
                <w:rFonts w:ascii="Times New Roman" w:hAnsi="Times New Roman" w:eastAsia="仿宋_GB2312"/>
                <w:b w:val="0"/>
                <w:sz w:val="24"/>
              </w:rPr>
              <w:t>2.119</w:t>
            </w:r>
          </w:p>
        </w:tc>
      </w:tr>
      <w:tr>
        <w:trPr>
          <w:cantSplit/>
        </w:trPr>
        <w:tc>
          <w:tcPr>
            <w:tcW w:type="dxa" w:w="2078"/>
            <w:vAlign w:val="center"/>
          </w:tcPr>
          <w:p>
            <w:pPr>
              <w:pStyle w:val="97"/>
              <w:jc w:val="left"/>
              <w:spacing w:before="0" w:after="0" w:line="360" w:lineRule="exact"/>
              <w:ind w:firstLine="0" w:firstLineChars="0"/>
            </w:pPr>
            <w:r>
              <w:rPr>
                <w:rFonts w:ascii="Times New Roman" w:hAnsi="Times New Roman" w:eastAsia="仿宋_GB2312"/>
                <w:b w:val="0"/>
                <w:sz w:val="24"/>
              </w:rPr>
              <w:t>2025 年政策控制比</w:t>
            </w:r>
          </w:p>
        </w:tc>
        <w:tc>
          <w:tcPr>
            <w:tcW w:type="dxa" w:w="2078"/>
            <w:vAlign w:val="center"/>
          </w:tcPr>
          <w:p>
            <w:pPr>
              <w:pStyle w:val="97"/>
              <w:jc w:val="center"/>
              <w:spacing w:before="0" w:after="0" w:line="360" w:lineRule="exact"/>
              <w:ind w:firstLine="0" w:firstLineChars="0"/>
            </w:pPr>
            <w:r>
              <w:rPr>
                <w:rFonts w:ascii="Times New Roman" w:hAnsi="Times New Roman" w:eastAsia="仿宋_GB2312"/>
                <w:b w:val="0"/>
                <w:sz w:val="24"/>
              </w:rPr>
              <w:t>—</w:t>
            </w:r>
          </w:p>
        </w:tc>
        <w:tc>
          <w:tcPr>
            <w:tcW w:type="dxa" w:w="2078"/>
            <w:vAlign w:val="center"/>
          </w:tcPr>
          <w:p>
            <w:pPr>
              <w:pStyle w:val="97"/>
              <w:jc w:val="center"/>
              <w:spacing w:before="0" w:after="0" w:line="360" w:lineRule="exact"/>
              <w:ind w:firstLine="0" w:firstLineChars="0"/>
            </w:pPr>
            <w:r>
              <w:rPr>
                <w:rFonts w:ascii="Times New Roman" w:hAnsi="Times New Roman" w:eastAsia="仿宋_GB2312"/>
                <w:b w:val="0"/>
                <w:sz w:val="24"/>
              </w:rPr>
              <w:t>2.172</w:t>
            </w:r>
          </w:p>
        </w:tc>
        <w:tc>
          <w:tcPr>
            <w:tcW w:type="dxa" w:w="2078"/>
            <w:vAlign w:val="center"/>
          </w:tcPr>
          <w:p>
            <w:pPr>
              <w:pStyle w:val="97"/>
              <w:jc w:val="center"/>
              <w:spacing w:before="0" w:after="0" w:line="360" w:lineRule="exact"/>
              <w:ind w:firstLine="0" w:firstLineChars="0"/>
            </w:pPr>
            <w:r>
              <w:rPr>
                <w:rFonts w:ascii="Times New Roman" w:hAnsi="Times New Roman" w:eastAsia="仿宋_GB2312"/>
                <w:b w:val="0"/>
                <w:sz w:val="24"/>
              </w:rPr>
              <w:t>2.000</w:t>
            </w:r>
          </w:p>
        </w:tc>
      </w:tr>
      <w:tr>
        <w:trPr>
          <w:cantSplit/>
        </w:trPr>
        <w:tc>
          <w:tcPr>
            <w:tcW w:type="dxa" w:w="2078"/>
            <w:vAlign w:val="center"/>
          </w:tcPr>
          <w:p>
            <w:pPr>
              <w:pStyle w:val="97"/>
              <w:jc w:val="left"/>
              <w:spacing w:before="0" w:after="0" w:line="360" w:lineRule="exact"/>
              <w:ind w:firstLine="0" w:firstLineChars="0"/>
            </w:pPr>
            <w:r>
              <w:rPr>
                <w:rFonts w:ascii="Times New Roman" w:hAnsi="Times New Roman" w:eastAsia="仿宋_GB2312"/>
                <w:b w:val="0"/>
                <w:sz w:val="24"/>
              </w:rPr>
              <w:t>在役容量（MVA）</w:t>
            </w:r>
          </w:p>
        </w:tc>
        <w:tc>
          <w:tcPr>
            <w:tcW w:type="dxa" w:w="2078"/>
            <w:vAlign w:val="center"/>
          </w:tcPr>
          <w:p>
            <w:pPr>
              <w:pStyle w:val="97"/>
              <w:jc w:val="center"/>
              <w:spacing w:before="0" w:after="0" w:line="360" w:lineRule="exact"/>
              <w:ind w:firstLine="0" w:firstLineChars="0"/>
            </w:pPr>
            <w:r>
              <w:rPr>
                <w:rFonts w:ascii="Times New Roman" w:hAnsi="Times New Roman" w:eastAsia="仿宋_GB2312"/>
                <w:b w:val="0"/>
                <w:sz w:val="24"/>
              </w:rPr>
              <w:t>2139.5</w:t>
            </w:r>
          </w:p>
        </w:tc>
        <w:tc>
          <w:tcPr>
            <w:tcW w:type="dxa" w:w="2078"/>
            <w:vAlign w:val="center"/>
          </w:tcPr>
          <w:p>
            <w:pPr>
              <w:pStyle w:val="97"/>
              <w:jc w:val="center"/>
              <w:spacing w:before="0" w:after="0" w:line="360" w:lineRule="exact"/>
              <w:ind w:firstLine="0" w:firstLineChars="0"/>
            </w:pPr>
            <w:r>
              <w:rPr>
                <w:rFonts w:ascii="Times New Roman" w:hAnsi="Times New Roman" w:eastAsia="仿宋_GB2312"/>
                <w:b w:val="0"/>
                <w:sz w:val="24"/>
              </w:rPr>
              <w:t>2077.0</w:t>
            </w:r>
          </w:p>
        </w:tc>
        <w:tc>
          <w:tcPr>
            <w:tcW w:type="dxa" w:w="2078"/>
            <w:vAlign w:val="center"/>
          </w:tcPr>
          <w:p>
            <w:pPr>
              <w:pStyle w:val="97"/>
              <w:jc w:val="center"/>
              <w:spacing w:before="0" w:after="0" w:line="360" w:lineRule="exact"/>
              <w:ind w:firstLine="0" w:firstLineChars="0"/>
            </w:pPr>
            <w:r>
              <w:rPr>
                <w:rFonts w:ascii="Times New Roman" w:hAnsi="Times New Roman" w:eastAsia="仿宋_GB2312"/>
                <w:b w:val="0"/>
                <w:sz w:val="24"/>
              </w:rPr>
              <w:t>2027.0</w:t>
            </w:r>
          </w:p>
        </w:tc>
      </w:tr>
      <w:tr>
        <w:trPr>
          <w:cantSplit/>
        </w:trPr>
        <w:tc>
          <w:tcPr>
            <w:tcW w:type="dxa" w:w="2078"/>
            <w:vAlign w:val="center"/>
          </w:tcPr>
          <w:p>
            <w:pPr>
              <w:pStyle w:val="97"/>
              <w:jc w:val="left"/>
              <w:spacing w:before="0" w:after="0" w:line="360" w:lineRule="exact"/>
              <w:ind w:firstLine="0" w:firstLineChars="0"/>
            </w:pPr>
            <w:r>
              <w:rPr>
                <w:rFonts w:ascii="Times New Roman" w:hAnsi="Times New Roman" w:eastAsia="仿宋_GB2312"/>
                <w:b w:val="0"/>
                <w:sz w:val="24"/>
              </w:rPr>
              <w:t>规划期新增容量（MVA）</w:t>
            </w:r>
          </w:p>
        </w:tc>
        <w:tc>
          <w:tcPr>
            <w:tcW w:type="dxa" w:w="2078"/>
            <w:vAlign w:val="center"/>
          </w:tcPr>
          <w:p>
            <w:pPr>
              <w:pStyle w:val="97"/>
              <w:jc w:val="center"/>
              <w:spacing w:before="0" w:after="0" w:line="360" w:lineRule="exact"/>
              <w:ind w:firstLine="0" w:firstLineChars="0"/>
            </w:pPr>
            <w:r>
              <w:rPr>
                <w:rFonts w:ascii="Times New Roman" w:hAnsi="Times New Roman" w:eastAsia="仿宋_GB2312"/>
                <w:b w:val="0"/>
                <w:sz w:val="24"/>
              </w:rPr>
              <w:t>未闭合</w:t>
            </w:r>
          </w:p>
        </w:tc>
        <w:tc>
          <w:tcPr>
            <w:tcW w:type="dxa" w:w="2078"/>
            <w:vAlign w:val="center"/>
          </w:tcPr>
          <w:p>
            <w:pPr>
              <w:pStyle w:val="97"/>
              <w:jc w:val="center"/>
              <w:spacing w:before="0" w:after="0" w:line="360" w:lineRule="exact"/>
              <w:ind w:firstLine="0" w:firstLineChars="0"/>
            </w:pPr>
            <w:r>
              <w:rPr>
                <w:rFonts w:ascii="Times New Roman" w:hAnsi="Times New Roman" w:eastAsia="仿宋_GB2312"/>
                <w:b w:val="0"/>
                <w:sz w:val="24"/>
              </w:rPr>
              <w:t>50.0</w:t>
            </w:r>
          </w:p>
        </w:tc>
        <w:tc>
          <w:tcPr>
            <w:tcW w:type="dxa" w:w="2078"/>
            <w:vAlign w:val="center"/>
          </w:tcPr>
          <w:p>
            <w:pPr>
              <w:pStyle w:val="97"/>
              <w:jc w:val="center"/>
              <w:spacing w:before="0" w:after="0" w:line="360" w:lineRule="exact"/>
              <w:ind w:firstLine="0" w:firstLineChars="0"/>
            </w:pPr>
            <w:r>
              <w:rPr>
                <w:rFonts w:ascii="Times New Roman" w:hAnsi="Times New Roman" w:eastAsia="仿宋_GB2312"/>
                <w:b w:val="0"/>
                <w:sz w:val="24"/>
              </w:rPr>
              <w:t>0</w:t>
            </w:r>
          </w:p>
        </w:tc>
      </w:tr>
      <w:tr>
        <w:trPr>
          <w:cantSplit/>
        </w:trPr>
        <w:tc>
          <w:tcPr>
            <w:tcW w:type="dxa" w:w="2078"/>
            <w:vAlign w:val="center"/>
          </w:tcPr>
          <w:p>
            <w:pPr>
              <w:pStyle w:val="97"/>
              <w:jc w:val="left"/>
              <w:spacing w:before="0" w:after="0" w:line="360" w:lineRule="exact"/>
              <w:ind w:firstLine="0" w:firstLineChars="0"/>
            </w:pPr>
            <w:r>
              <w:rPr>
                <w:rFonts w:ascii="Times New Roman" w:hAnsi="Times New Roman" w:eastAsia="仿宋_GB2312"/>
                <w:b w:val="0"/>
                <w:sz w:val="24"/>
              </w:rPr>
              <w:t>储能柜数</w:t>
            </w:r>
          </w:p>
        </w:tc>
        <w:tc>
          <w:tcPr>
            <w:tcW w:type="dxa" w:w="2078"/>
            <w:vAlign w:val="center"/>
          </w:tcPr>
          <w:p>
            <w:pPr>
              <w:pStyle w:val="97"/>
              <w:jc w:val="center"/>
              <w:spacing w:before="0" w:after="0" w:line="360" w:lineRule="exact"/>
              <w:ind w:firstLine="0" w:firstLineChars="0"/>
            </w:pPr>
            <w:r>
              <w:rPr>
                <w:rFonts w:ascii="Times New Roman" w:hAnsi="Times New Roman" w:eastAsia="仿宋_GB2312"/>
                <w:b w:val="0"/>
                <w:sz w:val="24"/>
              </w:rPr>
              <w:t>未识别</w:t>
            </w:r>
          </w:p>
        </w:tc>
        <w:tc>
          <w:tcPr>
            <w:tcW w:type="dxa" w:w="2078"/>
            <w:vAlign w:val="center"/>
          </w:tcPr>
          <w:p>
            <w:pPr>
              <w:pStyle w:val="97"/>
              <w:jc w:val="center"/>
              <w:spacing w:before="0" w:after="0" w:line="360" w:lineRule="exact"/>
              <w:ind w:firstLine="0" w:firstLineChars="0"/>
            </w:pPr>
            <w:r>
              <w:rPr>
                <w:rFonts w:ascii="Times New Roman" w:hAnsi="Times New Roman" w:eastAsia="仿宋_GB2312"/>
                <w:b w:val="0"/>
                <w:sz w:val="24"/>
              </w:rPr>
              <w:t>465</w:t>
            </w:r>
          </w:p>
        </w:tc>
        <w:tc>
          <w:tcPr>
            <w:tcW w:type="dxa" w:w="2078"/>
            <w:vAlign w:val="center"/>
          </w:tcPr>
          <w:p>
            <w:pPr>
              <w:pStyle w:val="97"/>
              <w:jc w:val="center"/>
              <w:spacing w:before="0" w:after="0" w:line="360" w:lineRule="exact"/>
              <w:ind w:firstLine="0" w:firstLineChars="0"/>
            </w:pPr>
            <w:r>
              <w:rPr>
                <w:rFonts w:ascii="Times New Roman" w:hAnsi="Times New Roman" w:eastAsia="仿宋_GB2312"/>
                <w:b w:val="0"/>
                <w:sz w:val="24"/>
              </w:rPr>
              <w:t>962</w:t>
            </w:r>
          </w:p>
        </w:tc>
      </w:tr>
      <w:tr>
        <w:trPr>
          <w:cantSplit/>
        </w:trPr>
        <w:tc>
          <w:tcPr>
            <w:tcW w:type="dxa" w:w="2078"/>
            <w:vAlign w:val="center"/>
          </w:tcPr>
          <w:p>
            <w:pPr>
              <w:pStyle w:val="97"/>
              <w:jc w:val="left"/>
              <w:spacing w:before="0" w:after="0" w:line="360" w:lineRule="exact"/>
              <w:ind w:firstLine="0" w:firstLineChars="0"/>
            </w:pPr>
            <w:r>
              <w:rPr>
                <w:rFonts w:ascii="Times New Roman" w:hAnsi="Times New Roman" w:eastAsia="仿宋_GB2312"/>
                <w:b w:val="0"/>
                <w:sz w:val="24"/>
              </w:rPr>
              <w:t>储能功率（MW）</w:t>
            </w:r>
          </w:p>
        </w:tc>
        <w:tc>
          <w:tcPr>
            <w:tcW w:type="dxa" w:w="2078"/>
            <w:vAlign w:val="center"/>
          </w:tcPr>
          <w:p>
            <w:pPr>
              <w:pStyle w:val="97"/>
              <w:jc w:val="center"/>
              <w:spacing w:before="0" w:after="0" w:line="360" w:lineRule="exact"/>
              <w:ind w:firstLine="0" w:firstLineChars="0"/>
            </w:pPr>
            <w:r>
              <w:rPr>
                <w:rFonts w:ascii="Times New Roman" w:hAnsi="Times New Roman" w:eastAsia="仿宋_GB2312"/>
                <w:b w:val="0"/>
                <w:sz w:val="24"/>
              </w:rPr>
              <w:t>未识别</w:t>
            </w:r>
          </w:p>
        </w:tc>
        <w:tc>
          <w:tcPr>
            <w:tcW w:type="dxa" w:w="2078"/>
            <w:vAlign w:val="center"/>
          </w:tcPr>
          <w:p>
            <w:pPr>
              <w:pStyle w:val="97"/>
              <w:jc w:val="center"/>
              <w:spacing w:before="0" w:after="0" w:line="360" w:lineRule="exact"/>
              <w:ind w:firstLine="0" w:firstLineChars="0"/>
            </w:pPr>
            <w:r>
              <w:rPr>
                <w:rFonts w:ascii="Times New Roman" w:hAnsi="Times New Roman" w:eastAsia="仿宋_GB2312"/>
                <w:b w:val="0"/>
                <w:sz w:val="24"/>
              </w:rPr>
              <w:t>46.5</w:t>
            </w:r>
          </w:p>
        </w:tc>
        <w:tc>
          <w:tcPr>
            <w:tcW w:type="dxa" w:w="2078"/>
            <w:vAlign w:val="center"/>
          </w:tcPr>
          <w:p>
            <w:pPr>
              <w:pStyle w:val="97"/>
              <w:jc w:val="center"/>
              <w:spacing w:before="0" w:after="0" w:line="360" w:lineRule="exact"/>
              <w:ind w:firstLine="0" w:firstLineChars="0"/>
            </w:pPr>
            <w:r>
              <w:rPr>
                <w:rFonts w:ascii="Times New Roman" w:hAnsi="Times New Roman" w:eastAsia="仿宋_GB2312"/>
                <w:b w:val="0"/>
                <w:sz w:val="24"/>
              </w:rPr>
              <w:t>96.2</w:t>
            </w:r>
          </w:p>
        </w:tc>
      </w:tr>
      <w:tr>
        <w:trPr>
          <w:cantSplit/>
        </w:trPr>
        <w:tc>
          <w:tcPr>
            <w:tcW w:type="dxa" w:w="2078"/>
            <w:vAlign w:val="center"/>
          </w:tcPr>
          <w:p>
            <w:pPr>
              <w:pStyle w:val="97"/>
              <w:jc w:val="left"/>
              <w:spacing w:before="0" w:after="0" w:line="360" w:lineRule="exact"/>
              <w:ind w:firstLine="0" w:firstLineChars="0"/>
            </w:pPr>
            <w:r>
              <w:rPr>
                <w:rFonts w:ascii="Times New Roman" w:hAnsi="Times New Roman" w:eastAsia="仿宋_GB2312"/>
                <w:b w:val="0"/>
                <w:sz w:val="24"/>
              </w:rPr>
              <w:t>累计年化成本（万元）</w:t>
            </w:r>
          </w:p>
        </w:tc>
        <w:tc>
          <w:tcPr>
            <w:tcW w:type="dxa" w:w="2078"/>
            <w:vAlign w:val="center"/>
          </w:tcPr>
          <w:p>
            <w:pPr>
              <w:pStyle w:val="97"/>
              <w:jc w:val="center"/>
              <w:spacing w:before="0" w:after="0" w:line="360" w:lineRule="exact"/>
              <w:ind w:firstLine="0" w:firstLineChars="0"/>
            </w:pPr>
            <w:r>
              <w:rPr>
                <w:rFonts w:ascii="Times New Roman" w:hAnsi="Times New Roman" w:eastAsia="仿宋_GB2312"/>
                <w:b w:val="0"/>
                <w:sz w:val="24"/>
              </w:rPr>
              <w:t>未识别</w:t>
            </w:r>
          </w:p>
        </w:tc>
        <w:tc>
          <w:tcPr>
            <w:tcW w:type="dxa" w:w="2078"/>
            <w:vAlign w:val="center"/>
          </w:tcPr>
          <w:p>
            <w:pPr>
              <w:pStyle w:val="97"/>
              <w:jc w:val="center"/>
              <w:spacing w:before="0" w:after="0" w:line="360" w:lineRule="exact"/>
              <w:ind w:firstLine="0" w:firstLineChars="0"/>
            </w:pPr>
            <w:r>
              <w:rPr>
                <w:rFonts w:ascii="Times New Roman" w:hAnsi="Times New Roman" w:eastAsia="仿宋_GB2312"/>
                <w:b w:val="0"/>
                <w:sz w:val="24"/>
              </w:rPr>
              <w:t>1745.53</w:t>
            </w:r>
          </w:p>
        </w:tc>
        <w:tc>
          <w:tcPr>
            <w:tcW w:type="dxa" w:w="2078"/>
            <w:vAlign w:val="center"/>
          </w:tcPr>
          <w:p>
            <w:pPr>
              <w:pStyle w:val="97"/>
              <w:jc w:val="center"/>
              <w:spacing w:before="0" w:after="0" w:line="360" w:lineRule="exact"/>
              <w:ind w:firstLine="0" w:firstLineChars="0"/>
            </w:pPr>
            <w:r>
              <w:rPr>
                <w:rFonts w:ascii="Times New Roman" w:hAnsi="Times New Roman" w:eastAsia="仿宋_GB2312"/>
                <w:b w:val="0"/>
                <w:sz w:val="24"/>
              </w:rPr>
              <w:t>3359.05</w:t>
            </w:r>
          </w:p>
        </w:tc>
      </w:tr>
      <w:tr>
        <w:trPr>
          <w:cantSplit/>
        </w:trPr>
        <w:tc>
          <w:tcPr>
            <w:tcW w:type="dxa" w:w="2078"/>
            <w:vAlign w:val="center"/>
          </w:tcPr>
          <w:p>
            <w:pPr>
              <w:pStyle w:val="97"/>
              <w:jc w:val="left"/>
              <w:spacing w:before="0" w:after="0" w:line="360" w:lineRule="exact"/>
              <w:ind w:firstLine="0" w:firstLineChars="0"/>
            </w:pPr>
            <w:r>
              <w:rPr>
                <w:rFonts w:ascii="Times New Roman" w:hAnsi="Times New Roman" w:eastAsia="仿宋_GB2312"/>
                <w:b w:val="0"/>
                <w:sz w:val="24"/>
              </w:rPr>
              <w:t>2025 年反向峰值（MW）</w:t>
            </w:r>
          </w:p>
        </w:tc>
        <w:tc>
          <w:tcPr>
            <w:tcW w:type="dxa" w:w="2078"/>
            <w:vAlign w:val="center"/>
          </w:tcPr>
          <w:p>
            <w:pPr>
              <w:pStyle w:val="97"/>
              <w:jc w:val="center"/>
              <w:spacing w:before="0" w:after="0" w:line="360" w:lineRule="exact"/>
              <w:ind w:firstLine="0" w:firstLineChars="0"/>
            </w:pPr>
            <w:r>
              <w:rPr>
                <w:rFonts w:ascii="Times New Roman" w:hAnsi="Times New Roman" w:eastAsia="仿宋_GB2312"/>
                <w:b w:val="0"/>
                <w:sz w:val="24"/>
              </w:rPr>
              <w:t>—</w:t>
            </w:r>
          </w:p>
        </w:tc>
        <w:tc>
          <w:tcPr>
            <w:tcW w:type="dxa" w:w="2078"/>
            <w:vAlign w:val="center"/>
          </w:tcPr>
          <w:p>
            <w:pPr>
              <w:pStyle w:val="97"/>
              <w:jc w:val="center"/>
              <w:spacing w:before="0" w:after="0" w:line="360" w:lineRule="exact"/>
              <w:ind w:firstLine="0" w:firstLineChars="0"/>
            </w:pPr>
            <w:r>
              <w:rPr>
                <w:rFonts w:ascii="Times New Roman" w:hAnsi="Times New Roman" w:eastAsia="仿宋_GB2312"/>
                <w:b w:val="0"/>
                <w:sz w:val="24"/>
              </w:rPr>
              <w:t>375.60</w:t>
            </w:r>
          </w:p>
        </w:tc>
        <w:tc>
          <w:tcPr>
            <w:tcW w:type="dxa" w:w="2078"/>
            <w:vAlign w:val="center"/>
          </w:tcPr>
          <w:p>
            <w:pPr>
              <w:pStyle w:val="97"/>
              <w:jc w:val="center"/>
              <w:spacing w:before="0" w:after="0" w:line="360" w:lineRule="exact"/>
              <w:ind w:firstLine="0" w:firstLineChars="0"/>
            </w:pPr>
            <w:r>
              <w:rPr>
                <w:rFonts w:ascii="Times New Roman" w:hAnsi="Times New Roman" w:eastAsia="仿宋_GB2312"/>
                <w:b w:val="0"/>
                <w:sz w:val="24"/>
              </w:rPr>
              <w:t>364.95</w:t>
            </w:r>
          </w:p>
        </w:tc>
      </w:tr>
    </w:tbl>
    <w:p>
      <w:pPr>
        <w:spacing w:before="0" w:after="0" w:line="560" w:lineRule="exact"/>
        <w:jc w:val="both"/>
        <w:ind w:firstLineChars="200" w:firstLine="200"/>
      </w:pPr>
      <w:r>
        <w:rPr>
          <w:rFonts w:ascii="Times New Roman" w:hAnsi="Times New Roman" w:eastAsia="仿宋_GB2312"/>
          <w:b w:val="0"/>
          <w:sz w:val="28"/>
        </w:rPr>
        <w:t>弹性方案选择新增第三台主变和 465 柜储能，严格方案在存量容量豁免条件下不增加主变、配置 962 柜储能。两条方案的累计年化成本差额为 1613.52 万元，这一差额建立在相同实际资产基线上，可解释为 Rcap=2.0 新增容量控制在本案例中的直接经济代价。该差额不应推广为所有片区的固定比例，QX-00003、QX-00004 和 QX-00007 的两条可行方案成本相同，QX-00008、QX-00009、QX-00010 则尚未形成完整可行方案。</w:t>
      </w:r>
    </w:p>
    <w:p>
      <w:pPr>
        <w:pStyle w:val="3"/>
        <w:pageBreakBefore w:val="0"/>
        <w:jc w:val="left"/>
      </w:pPr>
      <w:bookmarkStart w:id="31" w:name="_TocReport0031"/>
      <w:r>
        <w:rPr>
          <w:rFonts w:ascii="Times New Roman" w:hAnsi="Times New Roman" w:eastAsia="仿宋_GB2312"/>
          <w:b/>
          <w:sz w:val="28"/>
        </w:rPr>
        <w:t>6.3 储能 8760 h 连续 SOC 校核</w:t>
      </w:r>
      <w:bookmarkEnd w:id="31"/>
    </w:p>
    <w:p>
      <w:pPr>
        <w:spacing w:before="0" w:after="0" w:line="560" w:lineRule="exact"/>
        <w:jc w:val="both"/>
        <w:ind w:firstLineChars="200" w:firstLine="200"/>
      </w:pPr>
      <w:r>
        <w:rPr>
          <w:rFonts w:ascii="Times New Roman" w:hAnsi="Times New Roman" w:eastAsia="仿宋_GB2312"/>
          <w:b w:val="0"/>
          <w:sz w:val="28"/>
        </w:rPr>
        <w:t>QX-00005 的储能验证采用 8760 个小时的真实时间顺序连续回放，只在年首和年末设置 SOC 闭合，不在每个自然日强制回到同一状态。每个储能柜额定功率为 0.1 MW、额定能量为 0.215 MWh，充放电效率分别为 0.95，SOC 约束为 10%～90%。充电只吸收同一时段已有的反向功率，放电只服务本地正向负荷；模型禁止跨零充电、放电反送和同时充放电。</w:t>
      </w:r>
    </w:p>
    <w:p>
      <w:pPr>
        <w:spacing w:before="0" w:after="0" w:line="560" w:lineRule="exact"/>
        <w:jc w:val="both"/>
        <w:ind w:firstLineChars="200" w:firstLine="200"/>
      </w:pPr>
      <w:r>
        <w:rPr>
          <w:rFonts w:ascii="Times New Roman" w:hAnsi="Times New Roman" w:eastAsia="仿宋_GB2312"/>
          <w:b w:val="0"/>
          <w:sz w:val="28"/>
        </w:rPr>
        <w:t>SOC 汇总表包含 20 座站、两条优化方案的 40 条站点—方案审计记录；其中 7 个实际配置储能的站点—方案组合输出连续曲线，共 61320 条逐时记录。弹性方案 465 柜、严格方案 962 柜的回放均通过 SOC 审计。曲线审计结果显示，SOC 全部处于 10%～90% 范围内，功率和能量约束无越界，年初与年末 SOC 闭合，未发现充放电方向或效率计算错误。465 柜是弹性方案的实际选型规模，962 柜是严格 Rcap=2.0 方案的实际选型规模，二者不能混写为同一方案结果。</w:t>
      </w:r>
    </w:p>
    <w:p>
      <w:pPr>
        <w:spacing w:before="0" w:after="0" w:line="560" w:lineRule="exact"/>
        <w:jc w:val="both"/>
        <w:ind w:firstLineChars="200" w:firstLine="200"/>
      </w:pPr>
      <w:r>
        <w:rPr>
          <w:rFonts w:ascii="Times New Roman" w:hAnsi="Times New Roman" w:eastAsia="仿宋_GB2312"/>
          <w:b w:val="0"/>
          <w:sz w:val="28"/>
        </w:rPr>
        <w:t>该校核只能证明已选储能方案在现有 QX-00005 时序输入和模型边界内可行，不能替代储能并网、电能质量、保护和现场控制策略审查。其他片区没有同等完整的同步 8760 h 证据，仍按经验时长场景降为 B 级。</w:t>
      </w:r>
    </w:p>
    <w:p>
      <w:pPr>
        <w:pStyle w:val="38"/>
        <w:jc w:val="center"/>
        <w:ind w:firstLine="0" w:firstLineChars="0"/>
      </w:pPr>
      <w:r>
        <w:drawing>
          <wp:inline xmlns:a="http://schemas.openxmlformats.org/drawingml/2006/main" xmlns:pic="http://schemas.openxmlformats.org/drawingml/2006/picture">
            <wp:extent cx="4968000" cy="3014620"/>
            <wp:docPr id="9" name="Picture 9"/>
            <wp:cNvGraphicFramePr>
              <a:graphicFrameLocks noChangeAspect="1"/>
            </wp:cNvGraphicFramePr>
            <a:graphic>
              <a:graphicData uri="http://schemas.openxmlformats.org/drawingml/2006/picture">
                <pic:pic>
                  <pic:nvPicPr>
                    <pic:cNvPr id="0" name="图6-1_QX-00005储能8760h连续SOC.png"/>
                    <pic:cNvPicPr/>
                  </pic:nvPicPr>
                  <pic:blipFill>
                    <a:blip r:embed="rId21"/>
                    <a:stretch>
                      <a:fillRect/>
                    </a:stretch>
                  </pic:blipFill>
                  <pic:spPr>
                    <a:xfrm>
                      <a:off x="0" y="0"/>
                      <a:ext cx="4968000" cy="3014620"/>
                    </a:xfrm>
                    <a:prstGeom prst="rect"/>
                  </pic:spPr>
                </pic:pic>
              </a:graphicData>
            </a:graphic>
          </wp:inline>
        </w:drawing>
      </w:r>
    </w:p>
    <w:p>
      <w:pPr>
        <w:pStyle w:val="12"/>
        <w:keepNext w:val="0"/>
        <w:spacing w:before="0" w:after="120" w:line="400" w:lineRule="exact"/>
        <w:jc w:val="center"/>
        <w:ind w:firstLine="0" w:firstLineChars="0"/>
      </w:pPr>
      <w:r>
        <w:rPr>
          <w:rFonts w:ascii="Times New Roman" w:hAnsi="Times New Roman" w:eastAsia="仿宋_GB2312"/>
          <w:b w:val="0"/>
          <w:sz w:val="24"/>
        </w:rPr>
        <w:t>图 6-1 QX-00005 储能 8760 h 连续 SOC 校核</w:t>
      </w:r>
    </w:p>
    <w:p>
      <w:pPr>
        <w:pStyle w:val="3"/>
        <w:pageBreakBefore w:val="0"/>
        <w:jc w:val="left"/>
      </w:pPr>
      <w:bookmarkStart w:id="32" w:name="_TocReport0032"/>
      <w:r>
        <w:rPr>
          <w:rFonts w:ascii="Times New Roman" w:hAnsi="Times New Roman" w:eastAsia="仿宋_GB2312"/>
          <w:b/>
          <w:sz w:val="28"/>
        </w:rPr>
        <w:t>6.4 10 kV 局部联络案例验证</w:t>
      </w:r>
      <w:bookmarkEnd w:id="32"/>
    </w:p>
    <w:p>
      <w:pPr>
        <w:spacing w:before="0" w:after="0" w:line="560" w:lineRule="exact"/>
        <w:jc w:val="both"/>
        <w:ind w:firstLineChars="200" w:firstLine="200"/>
      </w:pPr>
      <w:r>
        <w:rPr>
          <w:rFonts w:ascii="Times New Roman" w:hAnsi="Times New Roman" w:eastAsia="仿宋_GB2312"/>
          <w:b w:val="0"/>
          <w:sz w:val="28"/>
        </w:rPr>
        <w:t>10 kV 案例只研究六条指定馈线及其关联的既有联络和新建候选，采用 110 kV 站级等值源端分析。该案例的结论是局部工程化互济能力或容量包络，不是完整配电网 AC/DC 潮流结果。</w:t>
      </w:r>
    </w:p>
    <w:p>
      <w:pPr>
        <w:spacing w:before="0" w:after="0" w:line="560" w:lineRule="exact"/>
        <w:jc w:val="both"/>
        <w:ind w:firstLineChars="200" w:firstLine="200"/>
      </w:pPr>
      <w:r>
        <w:rPr>
          <w:rFonts w:ascii="Times New Roman" w:hAnsi="Times New Roman" w:eastAsia="仿宋_GB2312"/>
          <w:b w:val="0"/>
          <w:sz w:val="28"/>
        </w:rPr>
        <w:t>既有联络 TIE-002 的正向和反向转供能力分别为 4.75 MW 和 1.75 MW。正向受路径最小有效热限 4.94 MVA 绑定，反向受受端馈线可转出负荷规模限制。TIE-003 的正向和反向能力分别为 3.25 MW 和 1.75 MW，正向主要受送侧可转出负荷限制。TIE-001 因拓扑断点无法满足连通性判据，按负责人确认不再补充收资，最终不形成定量结论。</w:t>
      </w:r>
    </w:p>
    <w:p>
      <w:pPr>
        <w:spacing w:before="0" w:after="0" w:line="560" w:lineRule="exact"/>
        <w:jc w:val="both"/>
        <w:ind w:firstLineChars="200" w:firstLine="200"/>
      </w:pPr>
      <w:r>
        <w:rPr>
          <w:rFonts w:ascii="Times New Roman" w:hAnsi="Times New Roman" w:eastAsia="仿宋_GB2312"/>
          <w:b w:val="0"/>
          <w:sz w:val="28"/>
        </w:rPr>
        <w:t>新建联络候选 NEW-TIE-01 以现有六馈线数据计算，中心容量包络为 8.0 MW，考虑弱段是否位于实际转供路径的不确定性，报告区间为 4.0～8.0 MW。中心造价按 2.5 km、60 万元/km 的已确认工程假设计为 150 万元，单位能力投资为 18.8 万元/MW，长度和造价敏感性范围为 10.5～29.2 万元/MW。该数值没有把馈线内碎片化拓扑误写成完整支路潮流结论。</w:t>
      </w:r>
    </w:p>
    <w:p>
      <w:pPr>
        <w:spacing w:before="0" w:after="0" w:line="560" w:lineRule="exact"/>
        <w:jc w:val="both"/>
        <w:ind w:firstLineChars="200" w:firstLine="200"/>
      </w:pPr>
      <w:r>
        <w:rPr>
          <w:rFonts w:ascii="Times New Roman" w:hAnsi="Times New Roman" w:eastAsia="仿宋_GB2312"/>
          <w:b w:val="0"/>
          <w:sz w:val="28"/>
        </w:rPr>
        <w:t>六条馈线的结构化拓扑存在缺杆段形成的碎片森林，负荷记录的源端可达率为 0%～100%。因此，现有电压与支路负载判断仅对源端可达分量成立，跨站联络后的电压和支路负载校核在现有数据下不可实现；转供能力数字按送侧可转负荷、受端站正常余量和路径有效热限的三重容量约束取最先绑定，并携带受端同时段余量前置条件。该边界与数据质量记录一并进入正式结果包。</w:t>
      </w:r>
    </w:p>
    <w:p>
      <w:pPr>
        <w:pStyle w:val="38"/>
        <w:jc w:val="center"/>
        <w:ind w:firstLine="0" w:firstLineChars="0"/>
      </w:pPr>
      <w:r>
        <w:drawing>
          <wp:inline xmlns:a="http://schemas.openxmlformats.org/drawingml/2006/main" xmlns:pic="http://schemas.openxmlformats.org/drawingml/2006/picture">
            <wp:extent cx="4968000" cy="2931894"/>
            <wp:docPr id="10" name="Picture 10"/>
            <wp:cNvGraphicFramePr>
              <a:graphicFrameLocks noChangeAspect="1"/>
            </wp:cNvGraphicFramePr>
            <a:graphic>
              <a:graphicData uri="http://schemas.openxmlformats.org/drawingml/2006/picture">
                <pic:pic>
                  <pic:nvPicPr>
                    <pic:cNvPr id="0" name="图6-2_10kV局部联络案例边界.png"/>
                    <pic:cNvPicPr/>
                  </pic:nvPicPr>
                  <pic:blipFill>
                    <a:blip r:embed="rId22"/>
                    <a:stretch>
                      <a:fillRect/>
                    </a:stretch>
                  </pic:blipFill>
                  <pic:spPr>
                    <a:xfrm>
                      <a:off x="0" y="0"/>
                      <a:ext cx="4968000" cy="2931894"/>
                    </a:xfrm>
                    <a:prstGeom prst="rect"/>
                  </pic:spPr>
                </pic:pic>
              </a:graphicData>
            </a:graphic>
          </wp:inline>
        </w:drawing>
      </w:r>
    </w:p>
    <w:p>
      <w:pPr>
        <w:pStyle w:val="12"/>
        <w:keepNext w:val="0"/>
        <w:spacing w:before="0" w:after="120" w:line="400" w:lineRule="exact"/>
        <w:jc w:val="center"/>
        <w:ind w:firstLine="0" w:firstLineChars="0"/>
      </w:pPr>
      <w:r>
        <w:rPr>
          <w:rFonts w:ascii="Times New Roman" w:hAnsi="Times New Roman" w:eastAsia="仿宋_GB2312"/>
          <w:b w:val="0"/>
          <w:sz w:val="24"/>
        </w:rPr>
        <w:t>图 6-2 10 kV 局部联络案例边界</w:t>
      </w:r>
    </w:p>
    <w:p>
      <w:pPr>
        <w:pStyle w:val="3"/>
        <w:pageBreakBefore w:val="0"/>
        <w:jc w:val="left"/>
      </w:pPr>
      <w:bookmarkStart w:id="33" w:name="_TocReport0033"/>
      <w:r>
        <w:rPr>
          <w:rFonts w:ascii="Times New Roman" w:hAnsi="Times New Roman" w:eastAsia="仿宋_GB2312"/>
          <w:b/>
          <w:sz w:val="28"/>
        </w:rPr>
        <w:t>6.5 方法有效性与适用范围</w:t>
      </w:r>
      <w:bookmarkEnd w:id="33"/>
    </w:p>
    <w:p>
      <w:pPr>
        <w:spacing w:before="0" w:after="0" w:line="560" w:lineRule="exact"/>
        <w:jc w:val="both"/>
        <w:ind w:firstLineChars="200" w:firstLine="200"/>
      </w:pPr>
      <w:r>
        <w:rPr>
          <w:rFonts w:ascii="Times New Roman" w:hAnsi="Times New Roman" w:eastAsia="仿宋_GB2312"/>
          <w:b w:val="0"/>
          <w:sz w:val="28"/>
        </w:rPr>
        <w:t>本章验证覆盖三个层面。官方年度基准数据和年度在役设备清单验证了历史状态与正式运行口径的一致性；QX-00005 的 8760 h 连续 SOC 审计验证了储能方案的时序可行性；10 kV 案例复算验证了 TIE-002、TIE-003 和 NEW-TIE-01 的容量包络计算，并对 TIE-001 保留不可定量的边界结论。</w:t>
      </w:r>
    </w:p>
    <w:p>
      <w:pPr>
        <w:spacing w:before="0" w:after="0" w:line="560" w:lineRule="exact"/>
        <w:jc w:val="both"/>
        <w:ind w:firstLineChars="200" w:firstLine="200"/>
      </w:pPr>
      <w:r>
        <w:rPr>
          <w:rFonts w:ascii="Times New Roman" w:hAnsi="Times New Roman" w:eastAsia="仿宋_GB2312"/>
          <w:b w:val="0"/>
          <w:sz w:val="28"/>
        </w:rPr>
        <w:t>验证结果不支持以下扩展性表述：不能把经验时长场景当作完整逐时证据，不能把容量网络压力筛查当作精确潮流，不能把局部联络能力直接推广为全片区同步削峰能力，也不能把 2026 年光伏快照与 2025 年负荷组合解释为同年度能源渗透率。具体工程实施仍需补充阻抗、拓扑、运行方式、保护、电压和短路校核。</w:t>
      </w:r>
    </w:p>
    <w:p>
      <w:pPr>
        <w:pStyle w:val="3"/>
        <w:pageBreakBefore w:val="0"/>
        <w:jc w:val="left"/>
      </w:pPr>
      <w:bookmarkStart w:id="34" w:name="_TocReport0034"/>
      <w:r>
        <w:rPr>
          <w:rFonts w:ascii="Times New Roman" w:hAnsi="Times New Roman" w:eastAsia="仿宋_GB2312"/>
          <w:b/>
          <w:sz w:val="28"/>
        </w:rPr>
        <w:t>6.6 本章小结</w:t>
      </w:r>
      <w:bookmarkEnd w:id="34"/>
    </w:p>
    <w:p>
      <w:pPr>
        <w:spacing w:before="0" w:after="0" w:line="560" w:lineRule="exact"/>
        <w:jc w:val="both"/>
        <w:ind w:firstLineChars="200" w:firstLine="200"/>
      </w:pPr>
      <w:r>
        <w:rPr>
          <w:rFonts w:ascii="Times New Roman" w:hAnsi="Times New Roman" w:eastAsia="仿宋_GB2312"/>
          <w:b w:val="0"/>
          <w:sz w:val="28"/>
        </w:rPr>
        <w:t>QX-00005 的连续年度回放表明，465 柜弹性方案和 962 柜严格方案均满足当前 SOC、功率和方向约束。两条方案从同一实际存量基线出发，严格控制的直接增量成本为 1613.52 万元。10 kV 案例形成了 TIE-002、TIE-003 和 NEW-TIE-01 的容量包络结论，TIE-001 保留为不可定量案例；拓扑碎片化和受端同时段余量条件明确限定了局部结果的适用范围。</w:t>
      </w:r>
    </w:p>
    <w:p>
      <w:pPr>
        <w:pStyle w:val="2"/>
        <w:pageBreakBefore/>
        <w:jc w:val="left"/>
      </w:pPr>
      <w:bookmarkStart w:id="35" w:name="_TocReport0035"/>
      <w:r>
        <w:rPr>
          <w:rFonts w:ascii="Times New Roman" w:hAnsi="Times New Roman" w:eastAsia="仿宋_GB2312"/>
          <w:b/>
          <w:sz w:val="36"/>
        </w:rPr>
        <w:t>第七章 结论与展望</w:t>
      </w:r>
      <w:bookmarkEnd w:id="35"/>
    </w:p>
    <w:p>
      <w:pPr>
        <w:pStyle w:val="3"/>
        <w:pageBreakBefore w:val="0"/>
        <w:jc w:val="left"/>
      </w:pPr>
      <w:bookmarkStart w:id="36" w:name="_TocReport0036"/>
      <w:r>
        <w:rPr>
          <w:rFonts w:ascii="Times New Roman" w:hAnsi="Times New Roman" w:eastAsia="仿宋_GB2312"/>
          <w:b/>
          <w:sz w:val="28"/>
        </w:rPr>
        <w:t>7.1 主要结论</w:t>
      </w:r>
      <w:bookmarkEnd w:id="36"/>
    </w:p>
    <w:p>
      <w:pPr>
        <w:spacing w:before="0" w:after="0" w:line="560" w:lineRule="exact"/>
        <w:jc w:val="both"/>
        <w:ind w:firstLineChars="200" w:firstLine="200"/>
      </w:pPr>
      <w:r>
        <w:rPr>
          <w:rFonts w:ascii="Times New Roman" w:hAnsi="Times New Roman" w:eastAsia="仿宋_GB2312"/>
          <w:b w:val="0"/>
          <w:sz w:val="28"/>
        </w:rPr>
        <w:t>本研究以徐州地区分布式新能源高渗透率 110 kV 电网为对象，基于 2021—2025 年官方年度基准数据和经审批的逐时运行数据，构建了正向容量配置、反向承载校核、储能时序约束与多年建设成本相互衔接的规划分析框架。模型终审和 v3.2 冻结结果形成以下结论。</w:t>
      </w:r>
    </w:p>
    <w:p>
      <w:pPr>
        <w:spacing w:before="0" w:after="0" w:line="560" w:lineRule="exact"/>
        <w:jc w:val="both"/>
        <w:ind w:firstLineChars="200" w:firstLine="200"/>
      </w:pPr>
      <w:r>
        <w:rPr>
          <w:rFonts w:ascii="Times New Roman" w:hAnsi="Times New Roman" w:eastAsia="仿宋_GB2312"/>
          <w:b w:val="0"/>
          <w:sz w:val="28"/>
        </w:rPr>
        <w:t>容载比不能单独概括高渗透率地区的容量合理性。同步正向最大净负荷决定正式容载比，新能源高出力时段的反向峰值、设备级反向承载和潮流方向转换则是另一组约束。当前 110 kV 零动作诊断未形成正向容量缺口，QX-00001、QX-00003、QX-00004、QX-00005 的反向承载缺口分别为 7.885 MW、9.455 MW、10.460 MW 和 52.800 MW；QX-00007 未形成设备级正反向缺口。扩容或配储的原因因此不能用“容载比超过 2.0”一项解释。</w:t>
      </w:r>
    </w:p>
    <w:p>
      <w:pPr>
        <w:spacing w:before="0" w:after="0" w:line="560" w:lineRule="exact"/>
        <w:jc w:val="both"/>
        <w:ind w:firstLineChars="200" w:firstLine="200"/>
      </w:pPr>
      <w:r>
        <w:rPr>
          <w:rFonts w:ascii="Times New Roman" w:hAnsi="Times New Roman" w:eastAsia="仿宋_GB2312"/>
          <w:b w:val="0"/>
          <w:sz w:val="28"/>
        </w:rPr>
        <w:t>2021 年实际在役资产应作为正式规划的共同起点。2021 年既有主变和其他存量容量视为共同沉没成本，不能为了使历史断面满足统一 Rcap 而减容、退役既有容量或虚构设备动作。严格方案只对 2022—2025 年 110 kV 规划期新增容量施加 Rcap=2.0 控制，物理实现容载比和政策控制比分别记录。以 2×P2021 构造的状态仅作为标准化反事实或敏感性分析，不进入甲方正式规划模型。</w:t>
      </w:r>
    </w:p>
    <w:p>
      <w:pPr>
        <w:spacing w:before="0" w:after="0" w:line="560" w:lineRule="exact"/>
        <w:jc w:val="both"/>
        <w:ind w:firstLineChars="200" w:firstLine="200"/>
      </w:pPr>
      <w:r>
        <w:rPr>
          <w:rFonts w:ascii="Times New Roman" w:hAnsi="Times New Roman" w:eastAsia="仿宋_GB2312"/>
          <w:b w:val="0"/>
          <w:sz w:val="28"/>
        </w:rPr>
        <w:t>Rcap 的作用是一个可能约束新增投资的规划参数，而不是每个片区必须填写的目标数字。QX-00001 和 QX-00005 的前沿分别在 2.359～2.360 和 2.171～2.172 附近出现经济释放阈值；纳入 6 个联合压力情景后，两片区的共同近优带下限仍分别为 2.5 和 2.3，扫描上界 3.0 内均未识别上界。QX-00003、QX-00004、QX-00007 在研究范围内不识别唯一阈值，QX-00008、QX-00009、QX-00010 因无上限方案不可行而应先处理技术边界。</w:t>
      </w:r>
    </w:p>
    <w:p>
      <w:pPr>
        <w:spacing w:before="0" w:after="0" w:line="560" w:lineRule="exact"/>
        <w:jc w:val="both"/>
        <w:ind w:firstLineChars="200" w:firstLine="200"/>
      </w:pPr>
      <w:r>
        <w:rPr>
          <w:rFonts w:ascii="Times New Roman" w:hAnsi="Times New Roman" w:eastAsia="仿宋_GB2312"/>
          <w:b w:val="0"/>
          <w:sz w:val="28"/>
        </w:rPr>
        <w:t>在同一实际资产基线上，QX-00001 的弹性方案累计年化成本为 188.18 万元，严格方案为 481.96 万元，严格控制增量为 293.78 万元；QX-00005 的对应数值为 1745.53 万元、3359.05 万元和 1613.52 万元。QX-00003、QX-00004 和 QX-00007 的两条可行方案成本相同。该结果说明，统一 Rcap=2.0 并非在所有片区产生同样的经济影响，也不能据此为所有片区设置同一推荐容载比。</w:t>
      </w:r>
    </w:p>
    <w:p>
      <w:pPr>
        <w:spacing w:before="0" w:after="0" w:line="560" w:lineRule="exact"/>
        <w:jc w:val="both"/>
        <w:ind w:firstLineChars="200" w:firstLine="200"/>
      </w:pPr>
      <w:r>
        <w:rPr>
          <w:rFonts w:ascii="Times New Roman" w:hAnsi="Times New Roman" w:eastAsia="仿宋_GB2312"/>
          <w:b w:val="0"/>
          <w:sz w:val="28"/>
        </w:rPr>
        <w:t>QX-00005 的 8760 h 连续回放为模型提供了 A 级储能证据。SOC 汇总表包含 40 条站点—方案记录，实际配置储能的 7 个站点—方案组合形成 61320 条连续曲线记录；465 柜弹性方案和 962 柜严格方案均通过 SOC、充放电功率、能量、效率、方向和年首末闭合校核。其他片区仍采用经验时长场景，结论强度不高于 B 级。</w:t>
      </w:r>
    </w:p>
    <w:p>
      <w:pPr>
        <w:spacing w:before="0" w:after="0" w:line="560" w:lineRule="exact"/>
        <w:jc w:val="both"/>
        <w:ind w:firstLineChars="200" w:firstLine="200"/>
      </w:pPr>
      <w:r>
        <w:rPr>
          <w:rFonts w:ascii="Times New Roman" w:hAnsi="Times New Roman" w:eastAsia="仿宋_GB2312"/>
          <w:b w:val="0"/>
          <w:sz w:val="28"/>
        </w:rPr>
        <w:t>10 kV 局部案例可以为站间互济和局部措施比选提供工程化依据，但不能替代完整配电网潮流。TIE-002 的正向转供能力为 4.75 MW，TIE-003 为 3.25 MW，NEW-TIE-01 的容量包络中心值为 8.0 MW、考虑路径弱段不确定性为 4.0～8.0 MW；TIE-001 不形成定量结论。由于六馈线结构化拓扑存在缺杆段形成的碎片森林，联络后的电压与支路负载校核尚不能实现，转供能力必须携带受端同时段余量前置条件。</w:t>
      </w:r>
    </w:p>
    <w:p>
      <w:pPr>
        <w:spacing w:before="0" w:after="0" w:line="560" w:lineRule="exact"/>
        <w:jc w:val="both"/>
        <w:ind w:firstLineChars="200" w:firstLine="200"/>
      </w:pPr>
      <w:r>
        <w:rPr>
          <w:rFonts w:ascii="Times New Roman" w:hAnsi="Times New Roman" w:eastAsia="仿宋_GB2312"/>
          <w:b w:val="0"/>
          <w:sz w:val="28"/>
        </w:rPr>
        <w:t>针对“新能源高渗透率地区是否仍应统一采用刚性容载比 2.0”这一问题，冻结结果不支持简单否定现行标准，也不支持把 2.0 作为脱离片区条件的唯一规划答案。统一 2.0 可继续作为规划政策对照和新增容量控制基准，但不能替代设备容量、反向承载、运行方式和网络压力等物理安全校核。正式规划还应把存量容量、正向容量缺口、反向承载、局部互济、储能时序和片区经济边界纳入差异化判定。对 Rcap 不绑定的片区，应明确报告“不构成有效约束”；对物理不可行的片区，应先解决技术问题；只有出现可复现经济释放阈值的片区，才讨论 Rcap 控制范围。</w:t>
      </w:r>
    </w:p>
    <w:p>
      <w:pPr>
        <w:pStyle w:val="3"/>
        <w:pageBreakBefore w:val="0"/>
        <w:jc w:val="left"/>
      </w:pPr>
      <w:bookmarkStart w:id="37" w:name="_TocReport0037"/>
      <w:r>
        <w:rPr>
          <w:rFonts w:ascii="Times New Roman" w:hAnsi="Times New Roman" w:eastAsia="仿宋_GB2312"/>
          <w:b/>
          <w:sz w:val="28"/>
        </w:rPr>
        <w:t>7.2 研究限制与后续工作</w:t>
      </w:r>
      <w:bookmarkEnd w:id="37"/>
    </w:p>
    <w:p>
      <w:pPr>
        <w:spacing w:before="0" w:after="0" w:line="560" w:lineRule="exact"/>
        <w:jc w:val="both"/>
        <w:ind w:firstLineChars="200" w:firstLine="200"/>
      </w:pPr>
      <w:r>
        <w:rPr>
          <w:rFonts w:ascii="Times New Roman" w:hAnsi="Times New Roman" w:eastAsia="仿宋_GB2312"/>
          <w:b w:val="0"/>
          <w:sz w:val="28"/>
        </w:rPr>
        <w:t>年度历史资产动作的设备级毛动作尚未全部闭合，因而实际发展情况不形成增量成本结论；2026 年光伏快照与 2025 年负荷组合仅作跨年背景量，缺少同步负荷—光伏分解时不形成同年度能量渗透率。非 QX-00005 片区的经验时长场景没有完整同步 8760 h 证据，推荐结论应维持 B 级和区间化表达。</w:t>
      </w:r>
    </w:p>
    <w:p>
      <w:pPr>
        <w:spacing w:before="0" w:after="0" w:line="560" w:lineRule="exact"/>
        <w:jc w:val="both"/>
        <w:ind w:firstLineChars="200" w:firstLine="200"/>
      </w:pPr>
      <w:r>
        <w:rPr>
          <w:rFonts w:ascii="Times New Roman" w:hAnsi="Times New Roman" w:eastAsia="仿宋_GB2312"/>
          <w:b w:val="0"/>
          <w:sz w:val="28"/>
        </w:rPr>
        <w:t>现有网络数据缺少部分线路阻抗、完整杆段和运行方式信息，内部 N-1 容量网络压力筛查不能替代 AC/DC 潮流、短路电流、保护、电压质量和接入系统专题。10 kV 局部案例的转供能力按容量包络计算，TIE-001 的拓扑断点按负责人决定不再收资；转供后的电压和支路负载校核作为已明确的数据边界保留。</w:t>
      </w:r>
    </w:p>
    <w:p>
      <w:pPr>
        <w:spacing w:before="0" w:after="0" w:line="560" w:lineRule="exact"/>
        <w:jc w:val="both"/>
        <w:ind w:firstLineChars="200" w:firstLine="200"/>
      </w:pPr>
      <w:r>
        <w:rPr>
          <w:rFonts w:ascii="Times New Roman" w:hAnsi="Times New Roman" w:eastAsia="仿宋_GB2312"/>
          <w:b w:val="0"/>
          <w:sz w:val="28"/>
        </w:rPr>
        <w:t>后续工程应用可沿三条线推进：补齐真实同步负荷与光伏时序，提升非 QX-00005 片区证据等级；在实施联络或扩容前补充 GIS、杆段、阻抗和运行方式资料，完成具体工程潮流校核；随着负荷、新能源和成本参数更新，沿用同一 Rcap 扫描、局部细化和敏感性流程复核经济释放阈值。补充数据后仍应保持 110 kV 与 35 kV 分层、正反向指标分列和存量资产豁免等 v3.2 约束。</w:t>
      </w:r>
    </w:p>
    <w:p>
      <w:pPr>
        <w:spacing w:before="0" w:after="0" w:line="560" w:lineRule="exact"/>
        <w:jc w:val="both"/>
        <w:ind w:firstLineChars="200" w:firstLine="200"/>
      </w:pPr>
      <w:r>
        <w:rPr>
          <w:rFonts w:ascii="Times New Roman" w:hAnsi="Times New Roman" w:eastAsia="仿宋_GB2312"/>
          <w:b w:val="0"/>
          <w:sz w:val="28"/>
        </w:rPr>
        <w:t>本研究形成的数据库、成本库、候选体系、储能时序校核和局部联络案例方法，可复用于同类县域 110 kV 电网的容载比规划研究。应用时应根据证据等级选择结论强度，不能把本轮片区阈值直接外推为普遍标准。</w:t>
      </w:r>
    </w:p>
    <w:p>
      <w:pPr>
        <w:pStyle w:val="2"/>
        <w:pageBreakBefore/>
        <w:jc w:val="left"/>
      </w:pPr>
      <w:bookmarkStart w:id="38" w:name="_TocReport0038"/>
      <w:r>
        <w:rPr>
          <w:rFonts w:ascii="Times New Roman" w:hAnsi="Times New Roman" w:eastAsia="仿宋_GB2312"/>
          <w:b/>
          <w:sz w:val="36"/>
        </w:rPr>
        <w:t>参考文献</w:t>
      </w:r>
      <w:bookmarkEnd w:id="38"/>
    </w:p>
    <w:p>
      <w:pPr>
        <w:spacing w:before="0" w:after="0" w:line="560" w:lineRule="exact"/>
        <w:jc w:val="both"/>
        <w:ind w:leftChars="200" w:hangingChars="200" w:left="560" w:hanging="560"/>
      </w:pPr>
      <w:r>
        <w:rPr>
          <w:rFonts w:ascii="Times New Roman" w:hAnsi="Times New Roman" w:eastAsia="仿宋_GB2312"/>
          <w:b w:val="0"/>
          <w:sz w:val="28"/>
        </w:rPr>
        <w:t>[1] 国家能源局. 2025 年可再生能源并网运行情况[EB/OL]. 2026-02-12.</w:t>
      </w:r>
    </w:p>
    <w:p>
      <w:pPr>
        <w:spacing w:before="0" w:after="0" w:line="560" w:lineRule="exact"/>
        <w:jc w:val="both"/>
        <w:ind w:leftChars="200" w:hangingChars="200" w:left="560" w:hanging="560"/>
      </w:pPr>
      <w:r>
        <w:rPr>
          <w:rFonts w:ascii="Times New Roman" w:hAnsi="Times New Roman" w:eastAsia="仿宋_GB2312"/>
          <w:b w:val="0"/>
          <w:sz w:val="28"/>
        </w:rPr>
        <w:t>[2] 国家发展改革委, 国家能源局. 关于新形势下配电网高质量发展的指导意见：发改能源〔2024〕187 号[Z]. 2024.</w:t>
      </w:r>
    </w:p>
    <w:p>
      <w:pPr>
        <w:spacing w:before="0" w:after="0" w:line="560" w:lineRule="exact"/>
        <w:jc w:val="both"/>
        <w:ind w:leftChars="200" w:hangingChars="200" w:left="560" w:hanging="560"/>
      </w:pPr>
      <w:r>
        <w:rPr>
          <w:rFonts w:ascii="Times New Roman" w:hAnsi="Times New Roman" w:eastAsia="仿宋_GB2312"/>
          <w:b w:val="0"/>
          <w:sz w:val="28"/>
        </w:rPr>
        <w:t>[3] 国家发展改革委, 国家能源局. 加快构建新型电力系统行动方案（2024—2027 年）[Z]. 2024.</w:t>
      </w:r>
    </w:p>
    <w:p>
      <w:pPr>
        <w:spacing w:before="0" w:after="0" w:line="560" w:lineRule="exact"/>
        <w:jc w:val="both"/>
        <w:ind w:leftChars="200" w:hangingChars="200" w:left="560" w:hanging="560"/>
      </w:pPr>
      <w:r>
        <w:rPr>
          <w:rFonts w:ascii="Times New Roman" w:hAnsi="Times New Roman" w:eastAsia="仿宋_GB2312"/>
          <w:b w:val="0"/>
          <w:sz w:val="28"/>
        </w:rPr>
        <w:t>[4] 国家能源局. 配电网高质量发展行动实施方案（2024—2027 年）[Z]. 2024.</w:t>
      </w:r>
    </w:p>
    <w:p>
      <w:pPr>
        <w:spacing w:before="0" w:after="0" w:line="560" w:lineRule="exact"/>
        <w:jc w:val="both"/>
        <w:ind w:leftChars="200" w:hangingChars="200" w:left="560" w:hanging="560"/>
      </w:pPr>
      <w:r>
        <w:rPr>
          <w:rFonts w:ascii="Times New Roman" w:hAnsi="Times New Roman" w:eastAsia="仿宋_GB2312"/>
          <w:b w:val="0"/>
          <w:sz w:val="28"/>
        </w:rPr>
        <w:t>[5] DL/T 5729—2023 配电网规划设计技术导则[S].</w:t>
      </w:r>
    </w:p>
    <w:p>
      <w:pPr>
        <w:spacing w:before="0" w:after="0" w:line="560" w:lineRule="exact"/>
        <w:jc w:val="both"/>
        <w:ind w:leftChars="200" w:hangingChars="200" w:left="560" w:hanging="560"/>
      </w:pPr>
      <w:r>
        <w:rPr>
          <w:rFonts w:ascii="Times New Roman" w:hAnsi="Times New Roman" w:eastAsia="仿宋_GB2312"/>
          <w:b w:val="0"/>
          <w:sz w:val="28"/>
        </w:rPr>
        <w:t>[6] DL/T 2041—2025 分布式电源接入电力系统承载力评估导则[S].</w:t>
      </w:r>
    </w:p>
    <w:p>
      <w:pPr>
        <w:spacing w:before="0" w:after="0" w:line="560" w:lineRule="exact"/>
        <w:jc w:val="both"/>
        <w:ind w:leftChars="200" w:hangingChars="200" w:left="560" w:hanging="560"/>
      </w:pPr>
      <w:r>
        <w:rPr>
          <w:rFonts w:ascii="Times New Roman" w:hAnsi="Times New Roman" w:eastAsia="仿宋_GB2312"/>
          <w:b w:val="0"/>
          <w:sz w:val="28"/>
        </w:rPr>
        <w:t>[7] LIN T, WU G, LAI S, et al. Calculation of distribution network PV hosting capacity considering source–load uncertainty and active management[J]. Electronics, 2024, 13(20): 4048.</w:t>
      </w:r>
    </w:p>
    <w:p>
      <w:pPr>
        <w:spacing w:before="0" w:after="0" w:line="560" w:lineRule="exact"/>
        <w:jc w:val="both"/>
        <w:ind w:leftChars="200" w:hangingChars="200" w:left="560" w:hanging="560"/>
      </w:pPr>
      <w:r>
        <w:rPr>
          <w:rFonts w:ascii="Times New Roman" w:hAnsi="Times New Roman" w:eastAsia="仿宋_GB2312"/>
          <w:b w:val="0"/>
          <w:sz w:val="28"/>
        </w:rPr>
        <w:t>[8] CHEN C, PENG W, XIE C, et al. Photovoltaic hosting capacity assessment of distribution networks considering source–load uncertainty[J]. Energies, 2025, 18(8): 2134.</w:t>
      </w:r>
    </w:p>
    <w:p>
      <w:pPr>
        <w:spacing w:before="0" w:after="0" w:line="560" w:lineRule="exact"/>
        <w:jc w:val="both"/>
        <w:ind w:leftChars="200" w:hangingChars="200" w:left="560" w:hanging="560"/>
      </w:pPr>
      <w:r>
        <w:rPr>
          <w:rFonts w:ascii="Times New Roman" w:hAnsi="Times New Roman" w:eastAsia="仿宋_GB2312"/>
          <w:b w:val="0"/>
          <w:sz w:val="28"/>
        </w:rPr>
        <w:t>[9] LIU H, HE J, DENG L, et al. Assessment of distribution network hosting capacity incorporating multiple uncertainty factors[J]. Electronics, 2025, 14(22): 4495.</w:t>
      </w:r>
    </w:p>
    <w:p>
      <w:pPr>
        <w:spacing w:before="0" w:after="0" w:line="560" w:lineRule="exact"/>
        <w:jc w:val="both"/>
        <w:ind w:leftChars="200" w:hangingChars="200" w:left="560" w:hanging="560"/>
      </w:pPr>
      <w:r>
        <w:rPr>
          <w:rFonts w:ascii="Times New Roman" w:hAnsi="Times New Roman" w:eastAsia="仿宋_GB2312"/>
          <w:b w:val="0"/>
          <w:sz w:val="28"/>
        </w:rPr>
        <w:t>[10] MAJEED I B, NWULU N I. Impact of reverse power flow on distributed transformers in a solar-photovoltaic-integrated low-voltage network[J]. Energies, 2022, 15(23): 9238.</w:t>
      </w:r>
    </w:p>
    <w:p>
      <w:pPr>
        <w:spacing w:before="0" w:after="0" w:line="560" w:lineRule="exact"/>
        <w:jc w:val="both"/>
        <w:ind w:leftChars="200" w:hangingChars="200" w:left="560" w:hanging="560"/>
      </w:pPr>
      <w:r>
        <w:rPr>
          <w:rFonts w:ascii="Times New Roman" w:hAnsi="Times New Roman" w:eastAsia="仿宋_GB2312"/>
          <w:b w:val="0"/>
          <w:sz w:val="28"/>
        </w:rPr>
        <w:t>[11] HOU Q, ZHANG N, DU E, et al. Probabilistic duck curve in high PV penetration power system: concept, modeling, and empirical analysis in China[J]. Applied Energy, 2019, 242: 205-215.</w:t>
      </w:r>
    </w:p>
    <w:p>
      <w:pPr>
        <w:spacing w:before="0" w:after="0" w:line="560" w:lineRule="exact"/>
        <w:jc w:val="both"/>
        <w:ind w:leftChars="200" w:hangingChars="200" w:left="560" w:hanging="560"/>
      </w:pPr>
      <w:r>
        <w:rPr>
          <w:rFonts w:ascii="Times New Roman" w:hAnsi="Times New Roman" w:eastAsia="仿宋_GB2312"/>
          <w:b w:val="0"/>
          <w:sz w:val="28"/>
        </w:rPr>
        <w:t>[12] XIE Y, LI Q, YANG L, et al. The phenomenon and suppression strategy of overvoltage caused by PV power reverse flow[J]. Frontiers in Energy Research, 2024, 12: 1495742.</w:t>
      </w:r>
    </w:p>
    <w:p>
      <w:pPr>
        <w:spacing w:before="0" w:after="0" w:line="560" w:lineRule="exact"/>
        <w:jc w:val="both"/>
        <w:ind w:leftChars="200" w:hangingChars="200" w:left="560" w:hanging="560"/>
      </w:pPr>
      <w:r>
        <w:rPr>
          <w:rFonts w:ascii="Times New Roman" w:hAnsi="Times New Roman" w:eastAsia="仿宋_GB2312"/>
          <w:b w:val="0"/>
          <w:sz w:val="28"/>
        </w:rPr>
        <w:t>[13] WANG R, JI H, LI P, et al. Multi-resource dynamic coordinated planning of flexible distribution network[J]. Nature Communications, 2024, 15: 4576.</w:t>
      </w:r>
    </w:p>
    <w:p>
      <w:pPr>
        <w:spacing w:before="0" w:after="0" w:line="560" w:lineRule="exact"/>
        <w:jc w:val="both"/>
        <w:ind w:leftChars="200" w:hangingChars="200" w:left="560" w:hanging="560"/>
      </w:pPr>
      <w:r>
        <w:rPr>
          <w:rFonts w:ascii="Times New Roman" w:hAnsi="Times New Roman" w:eastAsia="仿宋_GB2312"/>
          <w:b w:val="0"/>
          <w:sz w:val="28"/>
        </w:rPr>
        <w:t>[14] MARTÍNEZ M, MATEO C, GÓMEZ T, et al. Distributed battery energy storage systems for deferring distribution network reinforcements under sustained load growth scenarios[J]. Journal of Energy Storage, 2024, 100: 113404.</w:t>
      </w:r>
    </w:p>
    <w:p>
      <w:pPr>
        <w:spacing w:before="0" w:after="0" w:line="560" w:lineRule="exact"/>
        <w:jc w:val="both"/>
        <w:ind w:leftChars="200" w:hangingChars="200" w:left="560" w:hanging="560"/>
      </w:pPr>
      <w:r>
        <w:rPr>
          <w:rFonts w:ascii="Times New Roman" w:hAnsi="Times New Roman" w:eastAsia="仿宋_GB2312"/>
          <w:b w:val="0"/>
          <w:sz w:val="28"/>
        </w:rPr>
        <w:t>[15] HOLWEGER J, BALLIF C, WYRSCH N. Distributed flexibility as a cost-effective alternative to grid reinforcement[C]. 22nd Power Systems Computation Conference, 2022.</w:t>
      </w:r>
    </w:p>
    <w:p>
      <w:pPr>
        <w:spacing w:before="0" w:after="0" w:line="560" w:lineRule="exact"/>
        <w:jc w:val="both"/>
        <w:ind w:leftChars="200" w:hangingChars="200" w:left="560" w:hanging="560"/>
      </w:pPr>
      <w:r>
        <w:rPr>
          <w:rFonts w:ascii="Times New Roman" w:hAnsi="Times New Roman" w:eastAsia="仿宋_GB2312"/>
          <w:b w:val="0"/>
          <w:sz w:val="28"/>
        </w:rPr>
        <w:t>[16] MATTHISS B, MOMENIFARAHANI A, BINDER J. Storage placement and sizing in a distribution grid with high PV-generation[EB/OL]. arXiv:2001.05814, 2020.</w:t>
      </w:r>
    </w:p>
    <w:p>
      <w:pPr>
        <w:spacing w:before="0" w:after="0" w:line="560" w:lineRule="exact"/>
        <w:jc w:val="both"/>
        <w:ind w:leftChars="200" w:hangingChars="200" w:left="560" w:hanging="560"/>
      </w:pPr>
      <w:r>
        <w:rPr>
          <w:rFonts w:ascii="Times New Roman" w:hAnsi="Times New Roman" w:eastAsia="仿宋_GB2312"/>
          <w:b w:val="0"/>
          <w:sz w:val="28"/>
        </w:rPr>
        <w:t>[17] XU T, MENG H, ZHU J, et al. Considering the life-cycle cost of distributed energy-storage planning in distribution grids[J]. Applied Sciences, 2018, 8(12): 2615.</w:t>
      </w:r>
    </w:p>
    <w:p>
      <w:pPr>
        <w:spacing w:before="0" w:after="0" w:line="560" w:lineRule="exact"/>
        <w:jc w:val="both"/>
        <w:ind w:leftChars="200" w:hangingChars="200" w:left="560" w:hanging="560"/>
      </w:pPr>
      <w:r>
        <w:rPr>
          <w:rFonts w:ascii="Times New Roman" w:hAnsi="Times New Roman" w:eastAsia="仿宋_GB2312"/>
          <w:b w:val="0"/>
          <w:sz w:val="28"/>
        </w:rPr>
        <w:t>[18] HUANG J, SUN Z, XIE H, et al. Optimal substation capacity planning method in high-density load areas considering renewable energy[J]. Energy Reports, 2023, 9: 1520-1530.</w:t>
      </w:r>
    </w:p>
    <w:p>
      <w:pPr>
        <w:spacing w:before="0" w:after="0" w:line="560" w:lineRule="exact"/>
        <w:jc w:val="both"/>
        <w:ind w:leftChars="200" w:hangingChars="200" w:left="560" w:hanging="560"/>
      </w:pPr>
      <w:r>
        <w:rPr>
          <w:rFonts w:ascii="Times New Roman" w:hAnsi="Times New Roman" w:eastAsia="仿宋_GB2312"/>
          <w:b w:val="0"/>
          <w:sz w:val="28"/>
        </w:rPr>
        <w:t>[19] ZENG W, FAN J, ZHANG W, et al. Whole life cycle cost analysis of transmission lines using the economic life interval method[J]. Energies, 2023, 16(23): 7804.</w:t>
      </w:r>
    </w:p>
    <w:p>
      <w:pPr>
        <w:spacing w:before="0" w:after="0" w:line="560" w:lineRule="exact"/>
        <w:jc w:val="both"/>
        <w:ind w:leftChars="200" w:hangingChars="200" w:left="560" w:hanging="560"/>
      </w:pPr>
      <w:r>
        <w:rPr>
          <w:rFonts w:ascii="Times New Roman" w:hAnsi="Times New Roman" w:eastAsia="仿宋_GB2312"/>
          <w:b w:val="0"/>
          <w:sz w:val="28"/>
        </w:rPr>
        <w:t>[20] 肖峻, 刘柔嘉, 龙梦皓. 变电容载比与下一级中压配电网络关系的量化分析[J]. 电力建设, 2015, 36(11): 45-50.</w:t>
      </w:r>
    </w:p>
    <w:p>
      <w:pPr>
        <w:spacing w:before="0" w:after="0" w:line="560" w:lineRule="exact"/>
        <w:jc w:val="both"/>
        <w:ind w:leftChars="200" w:hangingChars="200" w:left="560" w:hanging="560"/>
      </w:pPr>
      <w:r>
        <w:rPr>
          <w:rFonts w:ascii="Times New Roman" w:hAnsi="Times New Roman" w:eastAsia="仿宋_GB2312"/>
          <w:b w:val="0"/>
          <w:sz w:val="28"/>
        </w:rPr>
        <w:t>[21] 陈浩, 张焰, 俞国勤, 等. 多电压等级配电网最优容载比的计算方法[J]. 电气应用, 2011, 30(1): 25-29.</w:t>
      </w:r>
    </w:p>
    <w:p>
      <w:pPr>
        <w:spacing w:before="0" w:after="0" w:line="560" w:lineRule="exact"/>
        <w:jc w:val="both"/>
        <w:ind w:leftChars="200" w:hangingChars="200" w:left="560" w:hanging="560"/>
      </w:pPr>
      <w:r>
        <w:rPr>
          <w:rFonts w:ascii="Times New Roman" w:hAnsi="Times New Roman" w:eastAsia="仿宋_GB2312"/>
          <w:b w:val="0"/>
          <w:sz w:val="28"/>
        </w:rPr>
        <w:t>[22] 王凯亮, 何卓怡, 叶健鹏, 等. 多电压等级电网协同规划的容载比优化配置方法[J]. 南方电网技术, 2025, 19(7): 131-139.</w:t>
      </w:r>
    </w:p>
    <w:p>
      <w:pPr>
        <w:spacing w:before="0" w:after="0" w:line="560" w:lineRule="exact"/>
        <w:jc w:val="both"/>
        <w:ind w:leftChars="200" w:hangingChars="200" w:left="560" w:hanging="560"/>
      </w:pPr>
      <w:r>
        <w:rPr>
          <w:rFonts w:ascii="Times New Roman" w:hAnsi="Times New Roman" w:eastAsia="仿宋_GB2312"/>
          <w:b w:val="0"/>
          <w:sz w:val="28"/>
        </w:rPr>
        <w:t>[23] 刘文霞, 刘其达, 邓诗语, 等. 基于容载比色带的区域配电网充裕性分析[J]. 华北电力大学学报（自然科学版）, 2022, 49(2): 1-12, 22.</w:t>
      </w:r>
    </w:p>
    <w:p>
      <w:pPr>
        <w:spacing w:before="0" w:after="0" w:line="560" w:lineRule="exact"/>
        <w:jc w:val="both"/>
        <w:ind w:leftChars="200" w:hangingChars="200" w:left="560" w:hanging="560"/>
      </w:pPr>
      <w:r>
        <w:rPr>
          <w:rFonts w:ascii="Times New Roman" w:hAnsi="Times New Roman" w:eastAsia="仿宋_GB2312"/>
          <w:b w:val="0"/>
          <w:sz w:val="28"/>
        </w:rPr>
        <w:t>[24] 刘炜彬, 梁咏秋, 李锡刚, 等. 面向精细化规划的容载比参数优化方法研究[J]. 电气工程学报, 2025, 20(1): 208-217.</w:t>
      </w:r>
    </w:p>
    <w:p>
      <w:pPr>
        <w:spacing w:before="0" w:after="0" w:line="560" w:lineRule="exact"/>
        <w:jc w:val="both"/>
        <w:ind w:leftChars="200" w:hangingChars="200" w:left="560" w:hanging="560"/>
      </w:pPr>
      <w:r>
        <w:rPr>
          <w:rFonts w:ascii="Times New Roman" w:hAnsi="Times New Roman" w:eastAsia="仿宋_GB2312"/>
          <w:b w:val="0"/>
          <w:sz w:val="28"/>
        </w:rPr>
        <w:t>[25] 马雨欣, 林凌雪. 面向配电网精准规划的最大供电能力评估方法[J]. 现代电力, 2025, 42(6): 1120-1130.</w:t>
      </w:r>
    </w:p>
    <w:p>
      <w:pPr>
        <w:spacing w:before="0" w:after="0" w:line="560" w:lineRule="exact"/>
        <w:jc w:val="both"/>
        <w:ind w:leftChars="200" w:hangingChars="200" w:left="560" w:hanging="560"/>
      </w:pPr>
      <w:r>
        <w:rPr>
          <w:rFonts w:ascii="Times New Roman" w:hAnsi="Times New Roman" w:eastAsia="仿宋_GB2312"/>
          <w:b w:val="0"/>
          <w:sz w:val="28"/>
        </w:rPr>
        <w:t>[26] 王守相, 尹孜阳, 赵倩宇. 考虑多供电层级耦合的中低压配电网分布式光伏承载力一体化精细评估方法[J]. 电工技术学报, 2025, 40(6): 1930-1942.</w:t>
      </w:r>
    </w:p>
    <w:p>
      <w:pPr>
        <w:spacing w:before="0" w:after="0" w:line="560" w:lineRule="exact"/>
        <w:jc w:val="both"/>
        <w:ind w:leftChars="200" w:hangingChars="200" w:left="560" w:hanging="560"/>
      </w:pPr>
      <w:r>
        <w:rPr>
          <w:rFonts w:ascii="Times New Roman" w:hAnsi="Times New Roman" w:eastAsia="仿宋_GB2312"/>
          <w:b w:val="0"/>
          <w:sz w:val="28"/>
        </w:rPr>
        <w:t>[27] 王方敏, 顼佳宇, 苏宁, 等. 新型电力系统风险抑制下分布式光伏承载力概率评估方法[J]. 中国电力, 2025, 58(6): 33-44.</w:t>
      </w:r>
    </w:p>
    <w:p>
      <w:pPr>
        <w:spacing w:before="0" w:after="0" w:line="560" w:lineRule="exact"/>
        <w:jc w:val="both"/>
        <w:ind w:leftChars="200" w:hangingChars="200" w:left="560" w:hanging="560"/>
      </w:pPr>
      <w:r>
        <w:rPr>
          <w:rFonts w:ascii="Times New Roman" w:hAnsi="Times New Roman" w:eastAsia="仿宋_GB2312"/>
          <w:b w:val="0"/>
          <w:sz w:val="28"/>
        </w:rPr>
        <w:t>[28] 宋钰, 郭玥, 王旭阳, 等. 分布式光伏接入配电网安全经济承载力评估[J]. 浙江电力, 2025, 44(11): 93-102.</w:t>
      </w:r>
    </w:p>
    <w:p>
      <w:pPr>
        <w:spacing w:before="0" w:after="0" w:line="560" w:lineRule="exact"/>
        <w:jc w:val="both"/>
        <w:ind w:leftChars="200" w:hangingChars="200" w:left="560" w:hanging="560"/>
      </w:pPr>
      <w:r>
        <w:rPr>
          <w:rFonts w:ascii="Times New Roman" w:hAnsi="Times New Roman" w:eastAsia="仿宋_GB2312"/>
          <w:b w:val="0"/>
          <w:sz w:val="28"/>
        </w:rPr>
        <w:t>[29] 李敬如, 白宇, 王旭阳, 等. 考虑主配协同的分布式光伏接入电网安全经济承载力计算方法[J]. 电力建设, 2025, 46(10): 113-121.</w:t>
      </w:r>
    </w:p>
    <w:p>
      <w:pPr>
        <w:spacing w:before="0" w:after="0" w:line="560" w:lineRule="exact"/>
        <w:jc w:val="both"/>
        <w:ind w:leftChars="200" w:hangingChars="200" w:left="560" w:hanging="560"/>
      </w:pPr>
      <w:r>
        <w:rPr>
          <w:rFonts w:ascii="Times New Roman" w:hAnsi="Times New Roman" w:eastAsia="仿宋_GB2312"/>
          <w:b w:val="0"/>
          <w:sz w:val="28"/>
        </w:rPr>
        <w:t>[30] 徐非非, 等. 计及不确定性的配电网分布式光伏承载能力区间分析方法[J]. 浙江电力, 2023, 42(11): 86-95.</w:t>
      </w:r>
    </w:p>
    <w:p>
      <w:pPr>
        <w:spacing w:before="0" w:after="0" w:line="560" w:lineRule="exact"/>
        <w:jc w:val="both"/>
        <w:ind w:leftChars="200" w:hangingChars="200" w:left="560" w:hanging="560"/>
      </w:pPr>
      <w:r>
        <w:rPr>
          <w:rFonts w:ascii="Times New Roman" w:hAnsi="Times New Roman" w:eastAsia="仿宋_GB2312"/>
          <w:b w:val="0"/>
          <w:sz w:val="28"/>
        </w:rPr>
        <w:t>[31] 龚锐, 李华强, 许立雄. 面向配电网综合承载力提升的储能优化配置方法[J]. 电网技术, 2025, 49(9): 3860-3868.</w:t>
      </w:r>
    </w:p>
    <w:p>
      <w:pPr>
        <w:spacing w:before="0" w:after="0" w:line="560" w:lineRule="exact"/>
        <w:jc w:val="both"/>
        <w:ind w:leftChars="200" w:hangingChars="200" w:left="560" w:hanging="560"/>
      </w:pPr>
      <w:r>
        <w:rPr>
          <w:rFonts w:ascii="Times New Roman" w:hAnsi="Times New Roman" w:eastAsia="仿宋_GB2312"/>
          <w:b w:val="0"/>
          <w:sz w:val="28"/>
        </w:rPr>
        <w:t>[32] 梁志峰, 康重庆, 隋凌峰, 等. 含高比例分布式光伏的主配网运行风险评估与防控策略研究[J]. 清华大学学报（自然科学版）, 2024, 64(11): 1964-1978.</w:t>
      </w:r>
    </w:p>
    <w:p>
      <w:pPr>
        <w:spacing w:before="0" w:after="0" w:line="560" w:lineRule="exact"/>
        <w:jc w:val="both"/>
        <w:ind w:leftChars="200" w:hangingChars="200" w:left="560" w:hanging="560"/>
      </w:pPr>
      <w:r>
        <w:rPr>
          <w:rFonts w:ascii="Times New Roman" w:hAnsi="Times New Roman" w:eastAsia="仿宋_GB2312"/>
          <w:b w:val="0"/>
          <w:sz w:val="28"/>
        </w:rPr>
        <w:t>[33] 黄海泉, 等. 新型配电网分布式储能系统方案及配置研究综述[J]. 南方能源建设, 2024, 11(4): 42-53.</w:t>
      </w:r>
    </w:p>
    <w:p>
      <w:pPr>
        <w:spacing w:before="0" w:after="0" w:line="560" w:lineRule="exact"/>
        <w:jc w:val="both"/>
        <w:ind w:leftChars="200" w:hangingChars="200" w:left="560" w:hanging="560"/>
      </w:pPr>
      <w:r>
        <w:rPr>
          <w:rFonts w:ascii="Times New Roman" w:hAnsi="Times New Roman" w:eastAsia="仿宋_GB2312"/>
          <w:b w:val="0"/>
          <w:sz w:val="28"/>
        </w:rPr>
        <w:t>[34] 贺春光, 王林峰, 曹媛, 等. 考虑综合收益的多电压等级配电网柔性互联装置协同规划方法[J]. 中国电力, 2025, 58(1): 78-84.</w:t>
      </w:r>
    </w:p>
    <w:p>
      <w:pPr>
        <w:spacing w:before="0" w:after="0" w:line="560" w:lineRule="exact"/>
        <w:jc w:val="both"/>
        <w:ind w:leftChars="200" w:hangingChars="200" w:left="560" w:hanging="560"/>
      </w:pPr>
      <w:r>
        <w:rPr>
          <w:rFonts w:ascii="Times New Roman" w:hAnsi="Times New Roman" w:eastAsia="仿宋_GB2312"/>
          <w:b w:val="0"/>
          <w:sz w:val="28"/>
        </w:rPr>
        <w:t>[35] 徐峰亮, 王克谦, 等. 计及运行灵活性的中压配电系统源—网—储协同扩展规划[J]. 中国电力, 2024, 57(7): 98-108.</w:t>
      </w:r>
    </w:p>
    <w:p>
      <w:pPr>
        <w:spacing w:before="0" w:after="0" w:line="560" w:lineRule="exact"/>
        <w:jc w:val="both"/>
        <w:ind w:leftChars="200" w:hangingChars="200" w:left="560" w:hanging="560"/>
      </w:pPr>
      <w:r>
        <w:rPr>
          <w:rFonts w:ascii="Times New Roman" w:hAnsi="Times New Roman" w:eastAsia="仿宋_GB2312"/>
          <w:b w:val="0"/>
          <w:sz w:val="28"/>
        </w:rPr>
        <w:t>[36] 乐健, 王靖, 廖小兵, 等. 基于随机场景的配电网源网储协同规划方法[J]. 电力系统保护与控制, 2025, 53(4): 132-147.</w:t>
      </w:r>
    </w:p>
    <w:p>
      <w:pPr>
        <w:spacing w:before="0" w:after="0" w:line="560" w:lineRule="exact"/>
        <w:jc w:val="both"/>
        <w:ind w:leftChars="200" w:hangingChars="200" w:left="560" w:hanging="560"/>
      </w:pPr>
      <w:r>
        <w:rPr>
          <w:rFonts w:ascii="Times New Roman" w:hAnsi="Times New Roman" w:eastAsia="仿宋_GB2312"/>
          <w:b w:val="0"/>
          <w:sz w:val="28"/>
        </w:rPr>
        <w:t>[37] 龚玺, 徐金阁, 卢炜. 江苏电网负荷变化特征研究[J]. 电气工程, 2023, 11(3): 137-143.</w:t>
      </w:r>
    </w:p>
    <w:p>
      <w:pPr>
        <w:spacing w:before="0" w:after="0" w:line="560" w:lineRule="exact"/>
        <w:jc w:val="both"/>
        <w:ind w:leftChars="200" w:hangingChars="200" w:left="560" w:hanging="560"/>
      </w:pPr>
      <w:r>
        <w:rPr>
          <w:rFonts w:ascii="Times New Roman" w:hAnsi="Times New Roman" w:eastAsia="仿宋_GB2312"/>
          <w:b w:val="0"/>
          <w:sz w:val="28"/>
        </w:rPr>
        <w:t>[38] 吕达夫. 考虑源荷不确定性的分布式光伏承载能力评估[J]. 上海电力大学学报, 2024, 40(6): 579-586.</w:t>
      </w:r>
    </w:p>
    <w:p>
      <w:pPr>
        <w:spacing w:before="0" w:after="0" w:line="560" w:lineRule="exact"/>
        <w:jc w:val="both"/>
        <w:ind w:leftChars="200" w:hangingChars="200" w:left="560" w:hanging="560"/>
      </w:pPr>
      <w:r>
        <w:rPr>
          <w:rFonts w:ascii="Times New Roman" w:hAnsi="Times New Roman" w:eastAsia="仿宋_GB2312"/>
          <w:b w:val="0"/>
          <w:sz w:val="28"/>
        </w:rPr>
        <w:t>[39] 张全, 等. 基于全生命周期投入产出效益的电网规划精准投资方法[J]. 中国电力, 2018, 51(10): 171-177.</w:t>
      </w:r>
    </w:p>
    <w:p>
      <w:pPr>
        <w:spacing w:before="0" w:after="0" w:line="560" w:lineRule="exact"/>
        <w:jc w:val="both"/>
        <w:ind w:leftChars="200" w:hangingChars="200" w:left="560" w:hanging="560"/>
      </w:pPr>
      <w:r>
        <w:rPr>
          <w:rFonts w:ascii="Times New Roman" w:hAnsi="Times New Roman" w:eastAsia="仿宋_GB2312"/>
          <w:b w:val="0"/>
          <w:sz w:val="28"/>
        </w:rPr>
        <w:t>[40] 何凯, 等. 基于全成本电价的电网规划方案评估与优选[J]. 中国电力, 2020, 53(3): 66-75.</w:t>
      </w:r>
    </w:p>
    <w:p>
      <w:pPr>
        <w:spacing w:before="0" w:after="0" w:line="560" w:lineRule="exact"/>
        <w:jc w:val="both"/>
        <w:ind w:leftChars="200" w:hangingChars="200" w:left="560" w:hanging="560"/>
      </w:pPr>
      <w:r>
        <w:rPr>
          <w:rFonts w:ascii="Times New Roman" w:hAnsi="Times New Roman" w:eastAsia="仿宋_GB2312"/>
          <w:b w:val="0"/>
          <w:sz w:val="28"/>
        </w:rPr>
        <w:t>[41] 武小琳, 等. 基于 LM-CNN 的输变电工程造价自动计算模型[J]. 中国电力, 2023, 56(2): 157-163.</w:t>
      </w:r>
    </w:p>
    <w:p>
      <w:pPr>
        <w:spacing w:before="0" w:after="0" w:line="560" w:lineRule="exact"/>
        <w:jc w:val="both"/>
        <w:ind w:leftChars="200" w:hangingChars="200" w:left="560" w:hanging="560"/>
      </w:pPr>
      <w:r>
        <w:rPr>
          <w:rFonts w:ascii="Times New Roman" w:hAnsi="Times New Roman" w:eastAsia="仿宋_GB2312"/>
          <w:b w:val="0"/>
          <w:sz w:val="28"/>
        </w:rPr>
        <w:t>[42] 黄碧斌, 等. 计及电网改造的高渗透率分布式光伏优化规划[J]. 电力建设, 2015, 36(10): 82-86.</w:t>
      </w:r>
    </w:p>
    <w:p>
      <w:pPr>
        <w:spacing w:before="0" w:after="0" w:line="560" w:lineRule="exact"/>
        <w:jc w:val="both"/>
        <w:ind w:leftChars="200" w:hangingChars="200" w:left="560" w:hanging="560"/>
      </w:pPr>
      <w:r>
        <w:rPr>
          <w:rFonts w:ascii="Times New Roman" w:hAnsi="Times New Roman" w:eastAsia="仿宋_GB2312"/>
          <w:b w:val="0"/>
          <w:sz w:val="28"/>
        </w:rPr>
        <w:t>[43] 罗宁, 贺墨琳, 高华, 等. 基于改进的 AHP-CRITIC 组合赋权与可拓评估模型的配电网综合评价方法[J]. 电力系统保护与控制, 2021, 49(16): 86-96.</w:t>
      </w:r>
    </w:p>
    <w:p>
      <w:pPr>
        <w:spacing w:before="0" w:after="0" w:line="560" w:lineRule="exact"/>
        <w:jc w:val="both"/>
        <w:ind w:leftChars="200" w:hangingChars="200" w:left="560" w:hanging="560"/>
      </w:pPr>
      <w:r>
        <w:rPr>
          <w:rFonts w:ascii="Times New Roman" w:hAnsi="Times New Roman" w:eastAsia="仿宋_GB2312"/>
          <w:b w:val="0"/>
          <w:sz w:val="28"/>
        </w:rPr>
        <w:t>[44] 谢天祥, 赏炜, 高捷. 基于数据驱动的配电网“三级弹性”精准规划方法研究[J]. 电气工程, 2022, 10(3): 139-153.</w:t>
      </w:r>
    </w:p>
    <w:p>
      <w:pPr>
        <w:spacing w:before="0" w:after="0" w:line="560" w:lineRule="exact"/>
        <w:jc w:val="both"/>
        <w:ind w:leftChars="200" w:hangingChars="200" w:left="560" w:hanging="560"/>
      </w:pPr>
      <w:r>
        <w:rPr>
          <w:rFonts w:ascii="Times New Roman" w:hAnsi="Times New Roman" w:eastAsia="仿宋_GB2312"/>
          <w:b w:val="0"/>
          <w:sz w:val="28"/>
        </w:rPr>
        <w:t>[45] 陈璨, 白明辉, 张婉明, 等. 分布式光伏边界渗透率快速定位及消纳方案择优[J]. 中国电力, 2022, 55(8): 40-49.</w:t>
      </w:r>
    </w:p>
    <w:p>
      <w:pPr>
        <w:spacing w:before="0" w:after="0" w:line="560" w:lineRule="exact"/>
        <w:jc w:val="both"/>
        <w:ind w:leftChars="200" w:hangingChars="200" w:left="560" w:hanging="560"/>
      </w:pPr>
      <w:r>
        <w:rPr>
          <w:rFonts w:ascii="Times New Roman" w:hAnsi="Times New Roman" w:eastAsia="仿宋_GB2312"/>
          <w:b w:val="0"/>
          <w:sz w:val="28"/>
        </w:rPr>
        <w:t>[46] 孙东磊, 孙毅, 刘蕊, 等. 计及多层级配电网的分布式新能源最大消纳空间分解测算[J]. 中国电力, 2024, 57(8): 108-114.</w:t>
      </w:r>
    </w:p>
    <w:p>
      <w:pPr>
        <w:spacing w:before="0" w:after="0" w:line="560" w:lineRule="exact"/>
        <w:jc w:val="both"/>
        <w:ind w:leftChars="200" w:hangingChars="200" w:left="560" w:hanging="560"/>
      </w:pPr>
      <w:r>
        <w:rPr>
          <w:rFonts w:ascii="Times New Roman" w:hAnsi="Times New Roman" w:eastAsia="仿宋_GB2312"/>
          <w:b w:val="0"/>
          <w:sz w:val="28"/>
        </w:rPr>
        <w:t>[47] 金勇, 刘俊勇, 张曦, 等. 基于功能单元的高压配电网负荷转供分层优化模型[J]. 工程科学与技术, 2017, 49(3): 179-190.</w:t>
      </w:r>
    </w:p>
    <w:p>
      <w:pPr>
        <w:spacing w:before="0" w:after="0" w:line="560" w:lineRule="exact"/>
        <w:jc w:val="both"/>
        <w:ind w:firstLineChars="200" w:firstLine="200"/>
      </w:pPr>
      <w:r>
        <w:rPr>
          <w:rFonts w:ascii="Times New Roman" w:hAnsi="Times New Roman" w:eastAsia="仿宋_GB2312"/>
          <w:b w:val="0"/>
          <w:sz w:val="28"/>
        </w:rPr>
        <w:t>[48] 中国电力企业联合会. 新型储能项目定额及费用计算规定（锂离子电池储能电站分册）：中电联定额〔2023〕366 号[Z]. 2023.</w:t>
      </w:r>
    </w:p>
    <w:sectPr>
      <w:headerReference w:type="default" r:id="rId11"/>
      <w:footerReference w:type="default" r:id="rId12"/>
      <w:pgSz w:w="11906" w:h="16838"/>
      <w:pgMar w:top="1440" w:right="1797" w:bottom="1440" w:left="1797" w:header="851" w:footer="992" w:gutter="0"/>
      <w:pgNumType w:fmt="numberInDash" w:start="1"/>
      <w:cols w:space="425" w:num="1"/>
      <w:docGrid w:linePitch="435"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640"/>
      </w:pPr>
      <w:r>
        <w:separator/>
      </w:r>
    </w:p>
  </w:endnote>
  <w:endnote w:type="continuationSeparator" w:id="1">
    <w:p>
      <w:pPr>
        <w:spacing w:line="240" w:lineRule="auto"/>
        <w:ind w:firstLine="64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modern"/>
    <w:pitch w:val="default"/>
    <w:sig w:usb0="00000001" w:usb1="080E0000" w:usb2="00000000" w:usb3="00000000" w:csb0="00040000" w:csb1="00000000"/>
  </w:font>
  <w:font w:name="仿宋">
    <w:panose1 w:val="02010609060101010101"/>
    <w:charset w:val="86"/>
    <w:family w:val="modern"/>
    <w:pitch w:val="default"/>
    <w:sig w:usb0="800002BF" w:usb1="38CF7CFA" w:usb2="00000016" w:usb3="00000000" w:csb0="00040001" w:csb1="00000000"/>
  </w:font>
  <w:font w:name="Cambria">
    <w:panose1 w:val="02040503050406030204"/>
    <w:charset w:val="00"/>
    <w:family w:val="roman"/>
    <w:pitch w:val="default"/>
    <w:sig w:usb0="E00006FF" w:usb1="420024FF" w:usb2="02000000" w:usb3="00000000" w:csb0="2000019F" w:csb1="00000000"/>
  </w:font>
  <w:font w:name="Times">
    <w:altName w:val="Sylfaen"/>
    <w:panose1 w:val="02020603050405020304"/>
    <w:charset w:val="00"/>
    <w:family w:val="roman"/>
    <w:pitch w:val="default"/>
    <w:sig w:usb0="00000000" w:usb1="00000000" w:usb2="00000009" w:usb3="00000000" w:csb0="000001FF" w:csb1="00000000"/>
  </w:font>
  <w:font w:name="方正仿宋_GBK">
    <w:panose1 w:val="03000509000000000000"/>
    <w:charset w:val="86"/>
    <w:family w:val="script"/>
    <w:pitch w:val="default"/>
    <w:sig w:usb0="00000001" w:usb1="080E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Sylfaen">
    <w:panose1 w:val="010A0502050306030303"/>
    <w:charset w:val="00"/>
    <w:family w:val="auto"/>
    <w:pitch w:val="default"/>
    <w:sig w:usb0="04000687" w:usb1="00000000" w:usb2="00000000" w:usb3="00000000" w:csb0="2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461619583"/>
      <w:docPartObj>
        <w:docPartGallery w:val="autotext"/>
      </w:docPartObj>
    </w:sdtPr>
    <w:sdtContent>
      <w:p>
        <w:pPr>
          <w:pStyle w:val="17"/>
          <w:ind w:firstLine="360"/>
          <w:jc w:val="center"/>
        </w:pPr>
        <w:r>
          <w:fldChar w:fldCharType="begin"/>
        </w:r>
        <w:r>
          <w:instrText xml:space="preserve">PAGE   \* MERGEFORMAT</w:instrText>
        </w:r>
        <w:r>
          <w:fldChar w:fldCharType="separate"/>
        </w:r>
        <w:r>
          <w:rPr>
            <w:lang w:val="zh-CN"/>
          </w:rPr>
          <w:t>i</w:t>
        </w:r>
        <w:r>
          <w:fldChar w:fldCharType="end"/>
        </w:r>
      </w:p>
    </w:sdtContent>
  </w:sdt>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ind w:firstLine="0" w:firstLineChars="0"/>
    </w:pPr>
    <w:r>
      <w:fldChar w:fldCharType="begin" w:dirty="true"/>
      <w:instrText xml:space="preserve"> PAGE </w:instrText>
      <w:fldChar w:fldCharType="separate"/>
    </w:r>
    <w:r>
      <w:rPr>
        <w:rFonts w:ascii="Times New Roman" w:hAnsi="Times New Roman" w:eastAsia="仿宋_GB2312"/>
        <w:b w:val="0"/>
        <w:sz w:val="18"/>
      </w:rPr>
      <w:t>1</w:t>
    </w:r>
    <w:r>
      <w:fldChar w:fldCharType="end"/>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ind w:firstLine="0" w:firstLineChars="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ind w:firstLine="640"/>
      </w:pPr>
      <w:r>
        <w:separator/>
      </w:r>
    </w:p>
  </w:footnote>
  <w:footnote w:type="continuationSeparator" w:id="1">
    <w:p>
      <w:pPr>
        <w:spacing w:line="240" w:lineRule="auto"/>
        <w:ind w:firstLine="64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8"/>
      <w:ind w:firstLine="360"/>
      <w:rPr>
        <w:rFonts w:hint="default" w:eastAsia="仿宋_GB2312"/>
        <w:bCs/>
        <w:sz w:val="2"/>
        <w:szCs w:val="2"/>
        <w:lang w:val="en-US" w:eastAsia="zh-CN"/>
      </w:rPr>
    </w:pPr>
    <w:r>
      <w:rPr>
        <w:rFonts w:hint="eastAsia" w:ascii="仿宋_GB2312" w:hAnsi="黑体"/>
        <w:bCs/>
        <w:lang w:val="en-US" w:eastAsia="zh-CN"/>
      </w:rPr>
      <w:t>XX项目</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4C5D4B73"/>
    <w:multiLevelType w:val="multilevel"/>
    <w:tmpl w:val="4C5D4B73"/>
    <w:lvl w:ilvl="0" w:tentative="0">
      <w:start w:val="1"/>
      <w:numFmt w:val="decimal"/>
      <w:pStyle w:val="2"/>
      <w:lvlText w:val="%1"/>
      <w:lvlJc w:val="left"/>
      <w:pPr>
        <w:ind w:left="420" w:hanging="420"/>
      </w:pPr>
      <w:rPr>
        <w:rFonts w:hint="default" w:ascii="Times New Roman" w:hAnsi="Times New Roman" w:cs="Times New Roman"/>
      </w:rPr>
    </w:lvl>
    <w:lvl w:ilvl="1" w:tentative="0">
      <w:start w:val="1"/>
      <w:numFmt w:val="decimal"/>
      <w:isLgl/>
      <w:lvlText w:val="%1.%2"/>
      <w:lvlJc w:val="left"/>
      <w:pPr>
        <w:ind w:left="720" w:hanging="720"/>
      </w:pPr>
      <w:rPr>
        <w:rFonts w:hint="default"/>
      </w:rPr>
    </w:lvl>
    <w:lvl w:ilvl="2" w:tentative="0">
      <w:start w:val="1"/>
      <w:numFmt w:val="decimal"/>
      <w:isLgl/>
      <w:lvlText w:val="%1.%2.%3"/>
      <w:lvlJc w:val="left"/>
      <w:pPr>
        <w:ind w:left="720" w:hanging="720"/>
      </w:pPr>
      <w:rPr>
        <w:rFonts w:hint="default"/>
      </w:rPr>
    </w:lvl>
    <w:lvl w:ilvl="3" w:tentative="0">
      <w:start w:val="1"/>
      <w:numFmt w:val="decimal"/>
      <w:isLgl/>
      <w:lvlText w:val="%1.%2.%3.%4"/>
      <w:lvlJc w:val="left"/>
      <w:pPr>
        <w:ind w:left="1080" w:hanging="1080"/>
      </w:pPr>
      <w:rPr>
        <w:rFonts w:hint="default"/>
      </w:rPr>
    </w:lvl>
    <w:lvl w:ilvl="4" w:tentative="0">
      <w:start w:val="1"/>
      <w:numFmt w:val="decimal"/>
      <w:isLgl/>
      <w:lvlText w:val="%1.%2.%3.%4.%5"/>
      <w:lvlJc w:val="left"/>
      <w:pPr>
        <w:ind w:left="1440" w:hanging="1440"/>
      </w:pPr>
      <w:rPr>
        <w:rFonts w:hint="default"/>
      </w:rPr>
    </w:lvl>
    <w:lvl w:ilvl="5" w:tentative="0">
      <w:start w:val="1"/>
      <w:numFmt w:val="decimal"/>
      <w:isLgl/>
      <w:lvlText w:val="%1.%2.%3.%4.%5.%6"/>
      <w:lvlJc w:val="left"/>
      <w:pPr>
        <w:ind w:left="1440" w:hanging="1440"/>
      </w:pPr>
      <w:rPr>
        <w:rFonts w:hint="default"/>
      </w:rPr>
    </w:lvl>
    <w:lvl w:ilvl="6" w:tentative="0">
      <w:start w:val="1"/>
      <w:numFmt w:val="decimal"/>
      <w:isLgl/>
      <w:lvlText w:val="%1.%2.%3.%4.%5.%6.%7"/>
      <w:lvlJc w:val="left"/>
      <w:pPr>
        <w:ind w:left="1800" w:hanging="1800"/>
      </w:pPr>
      <w:rPr>
        <w:rFonts w:hint="default"/>
      </w:rPr>
    </w:lvl>
    <w:lvl w:ilvl="7" w:tentative="0">
      <w:start w:val="1"/>
      <w:numFmt w:val="decimal"/>
      <w:isLgl/>
      <w:lvlText w:val="%1.%2.%3.%4.%5.%6.%7.%8"/>
      <w:lvlJc w:val="left"/>
      <w:pPr>
        <w:ind w:left="2160" w:hanging="2160"/>
      </w:pPr>
      <w:rPr>
        <w:rFonts w:hint="default"/>
      </w:rPr>
    </w:lvl>
    <w:lvl w:ilvl="8" w:tentative="0">
      <w:start w:val="1"/>
      <w:numFmt w:val="decimal"/>
      <w:isLgl/>
      <w:lvlText w:val="%1.%2.%3.%4.%5.%6.%7.%8.%9"/>
      <w:lvlJc w:val="left"/>
      <w:pPr>
        <w:ind w:left="2160" w:hanging="2160"/>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doNotDisplayPageBoundaries w:val="1"/>
  <w:bordersDoNotSurroundHeader w:val="1"/>
  <w:bordersDoNotSurroundFooter w:val="1"/>
  <w:hideSpellingErrors/>
  <w:documentProtection w:enforcement="0"/>
  <w:defaultTabStop w:val="420"/>
  <w:drawingGridHorizontalSpacing w:val="140"/>
  <w:drawingGridVerticalSpacing w:val="381"/>
  <w:displayHorizontalDrawingGridEvery w:val="0"/>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624E8"/>
    <w:rsid w:val="00000B54"/>
    <w:rsid w:val="000014BC"/>
    <w:rsid w:val="000038EF"/>
    <w:rsid w:val="0000541D"/>
    <w:rsid w:val="00005AA3"/>
    <w:rsid w:val="00005F1B"/>
    <w:rsid w:val="0000600D"/>
    <w:rsid w:val="000063C4"/>
    <w:rsid w:val="00007D9B"/>
    <w:rsid w:val="00007EF1"/>
    <w:rsid w:val="00013BF7"/>
    <w:rsid w:val="00015938"/>
    <w:rsid w:val="000166BC"/>
    <w:rsid w:val="00016810"/>
    <w:rsid w:val="0002367D"/>
    <w:rsid w:val="000237D3"/>
    <w:rsid w:val="000248E9"/>
    <w:rsid w:val="00025DA3"/>
    <w:rsid w:val="000262BA"/>
    <w:rsid w:val="00026585"/>
    <w:rsid w:val="000266D4"/>
    <w:rsid w:val="00027288"/>
    <w:rsid w:val="00030431"/>
    <w:rsid w:val="0003061F"/>
    <w:rsid w:val="00031D8A"/>
    <w:rsid w:val="00033CBD"/>
    <w:rsid w:val="00034D73"/>
    <w:rsid w:val="000351E9"/>
    <w:rsid w:val="00035491"/>
    <w:rsid w:val="000356B0"/>
    <w:rsid w:val="000357B8"/>
    <w:rsid w:val="000371DB"/>
    <w:rsid w:val="00037EB7"/>
    <w:rsid w:val="0004167B"/>
    <w:rsid w:val="00042F31"/>
    <w:rsid w:val="00043404"/>
    <w:rsid w:val="00043E52"/>
    <w:rsid w:val="00045CB4"/>
    <w:rsid w:val="00046559"/>
    <w:rsid w:val="0004741B"/>
    <w:rsid w:val="00047B2A"/>
    <w:rsid w:val="00047BDF"/>
    <w:rsid w:val="000507EF"/>
    <w:rsid w:val="00051411"/>
    <w:rsid w:val="00051A97"/>
    <w:rsid w:val="000523EF"/>
    <w:rsid w:val="00052C80"/>
    <w:rsid w:val="00053042"/>
    <w:rsid w:val="000533BA"/>
    <w:rsid w:val="000541E4"/>
    <w:rsid w:val="00056F8A"/>
    <w:rsid w:val="000572C3"/>
    <w:rsid w:val="000573C4"/>
    <w:rsid w:val="00057405"/>
    <w:rsid w:val="00057899"/>
    <w:rsid w:val="00060EAF"/>
    <w:rsid w:val="00060F99"/>
    <w:rsid w:val="00061615"/>
    <w:rsid w:val="00061FA9"/>
    <w:rsid w:val="0006266A"/>
    <w:rsid w:val="00063E91"/>
    <w:rsid w:val="00064062"/>
    <w:rsid w:val="00064CAC"/>
    <w:rsid w:val="000659F1"/>
    <w:rsid w:val="000677F1"/>
    <w:rsid w:val="0007082D"/>
    <w:rsid w:val="0007135E"/>
    <w:rsid w:val="00072063"/>
    <w:rsid w:val="00072ADB"/>
    <w:rsid w:val="00073DDA"/>
    <w:rsid w:val="00076830"/>
    <w:rsid w:val="000817EE"/>
    <w:rsid w:val="00082508"/>
    <w:rsid w:val="00083982"/>
    <w:rsid w:val="00085046"/>
    <w:rsid w:val="000868B9"/>
    <w:rsid w:val="00086A8C"/>
    <w:rsid w:val="00087134"/>
    <w:rsid w:val="0009174E"/>
    <w:rsid w:val="00093C5C"/>
    <w:rsid w:val="00095685"/>
    <w:rsid w:val="00095B2F"/>
    <w:rsid w:val="000969E2"/>
    <w:rsid w:val="00097867"/>
    <w:rsid w:val="000A2045"/>
    <w:rsid w:val="000A2714"/>
    <w:rsid w:val="000A34D5"/>
    <w:rsid w:val="000A5114"/>
    <w:rsid w:val="000A5A5B"/>
    <w:rsid w:val="000A61EF"/>
    <w:rsid w:val="000A63A1"/>
    <w:rsid w:val="000A6B47"/>
    <w:rsid w:val="000A73F3"/>
    <w:rsid w:val="000A7F86"/>
    <w:rsid w:val="000B02FC"/>
    <w:rsid w:val="000B0507"/>
    <w:rsid w:val="000B0CAA"/>
    <w:rsid w:val="000B0FFE"/>
    <w:rsid w:val="000B113F"/>
    <w:rsid w:val="000B1218"/>
    <w:rsid w:val="000B4063"/>
    <w:rsid w:val="000B4A18"/>
    <w:rsid w:val="000B6C9F"/>
    <w:rsid w:val="000C0878"/>
    <w:rsid w:val="000C2991"/>
    <w:rsid w:val="000C2F51"/>
    <w:rsid w:val="000C4556"/>
    <w:rsid w:val="000C54CF"/>
    <w:rsid w:val="000C5C38"/>
    <w:rsid w:val="000C7AFC"/>
    <w:rsid w:val="000D08B0"/>
    <w:rsid w:val="000D0B68"/>
    <w:rsid w:val="000D1AAC"/>
    <w:rsid w:val="000D23E2"/>
    <w:rsid w:val="000D4918"/>
    <w:rsid w:val="000D51CB"/>
    <w:rsid w:val="000D631E"/>
    <w:rsid w:val="000D6605"/>
    <w:rsid w:val="000D770F"/>
    <w:rsid w:val="000D7A26"/>
    <w:rsid w:val="000D7EB8"/>
    <w:rsid w:val="000E00FD"/>
    <w:rsid w:val="000E5501"/>
    <w:rsid w:val="000E5AE7"/>
    <w:rsid w:val="000E7527"/>
    <w:rsid w:val="000F2264"/>
    <w:rsid w:val="000F2763"/>
    <w:rsid w:val="000F4822"/>
    <w:rsid w:val="000F4A9E"/>
    <w:rsid w:val="000F4DC0"/>
    <w:rsid w:val="000F6026"/>
    <w:rsid w:val="000F635C"/>
    <w:rsid w:val="000F6896"/>
    <w:rsid w:val="000F6C61"/>
    <w:rsid w:val="000F7062"/>
    <w:rsid w:val="0010112D"/>
    <w:rsid w:val="00101ADD"/>
    <w:rsid w:val="00101B3D"/>
    <w:rsid w:val="00104A4A"/>
    <w:rsid w:val="001058BB"/>
    <w:rsid w:val="0011017D"/>
    <w:rsid w:val="00111008"/>
    <w:rsid w:val="00111686"/>
    <w:rsid w:val="001118F4"/>
    <w:rsid w:val="00113EE3"/>
    <w:rsid w:val="001160E7"/>
    <w:rsid w:val="0011687B"/>
    <w:rsid w:val="00122B8E"/>
    <w:rsid w:val="00125069"/>
    <w:rsid w:val="00126811"/>
    <w:rsid w:val="001300F6"/>
    <w:rsid w:val="00131E14"/>
    <w:rsid w:val="0013234A"/>
    <w:rsid w:val="00132675"/>
    <w:rsid w:val="00133298"/>
    <w:rsid w:val="001357E9"/>
    <w:rsid w:val="00135CA5"/>
    <w:rsid w:val="001413DA"/>
    <w:rsid w:val="0014280C"/>
    <w:rsid w:val="00143586"/>
    <w:rsid w:val="00143608"/>
    <w:rsid w:val="00143ECD"/>
    <w:rsid w:val="00144D04"/>
    <w:rsid w:val="001454AC"/>
    <w:rsid w:val="00145F65"/>
    <w:rsid w:val="001462F2"/>
    <w:rsid w:val="0014759D"/>
    <w:rsid w:val="00147EB2"/>
    <w:rsid w:val="001508AA"/>
    <w:rsid w:val="00150FB4"/>
    <w:rsid w:val="00151261"/>
    <w:rsid w:val="00151272"/>
    <w:rsid w:val="00153E40"/>
    <w:rsid w:val="00154484"/>
    <w:rsid w:val="0015499A"/>
    <w:rsid w:val="00154B34"/>
    <w:rsid w:val="0015563D"/>
    <w:rsid w:val="00155C96"/>
    <w:rsid w:val="00160C0A"/>
    <w:rsid w:val="001627E7"/>
    <w:rsid w:val="00162BF2"/>
    <w:rsid w:val="00163250"/>
    <w:rsid w:val="001634A5"/>
    <w:rsid w:val="001650C8"/>
    <w:rsid w:val="00167AC3"/>
    <w:rsid w:val="00170775"/>
    <w:rsid w:val="001712A3"/>
    <w:rsid w:val="001712E8"/>
    <w:rsid w:val="001730E4"/>
    <w:rsid w:val="00174F44"/>
    <w:rsid w:val="00174FEA"/>
    <w:rsid w:val="00176A34"/>
    <w:rsid w:val="001801D0"/>
    <w:rsid w:val="00180BD6"/>
    <w:rsid w:val="001820A9"/>
    <w:rsid w:val="001840CB"/>
    <w:rsid w:val="0018643C"/>
    <w:rsid w:val="00187D63"/>
    <w:rsid w:val="00191D1E"/>
    <w:rsid w:val="00191DA7"/>
    <w:rsid w:val="0019202B"/>
    <w:rsid w:val="00192230"/>
    <w:rsid w:val="00194833"/>
    <w:rsid w:val="0019565C"/>
    <w:rsid w:val="00195E72"/>
    <w:rsid w:val="00196855"/>
    <w:rsid w:val="001971F3"/>
    <w:rsid w:val="001977C4"/>
    <w:rsid w:val="00197CDA"/>
    <w:rsid w:val="001A0836"/>
    <w:rsid w:val="001A1B3A"/>
    <w:rsid w:val="001A1B46"/>
    <w:rsid w:val="001A1E11"/>
    <w:rsid w:val="001A1E62"/>
    <w:rsid w:val="001A2114"/>
    <w:rsid w:val="001A3245"/>
    <w:rsid w:val="001A6A12"/>
    <w:rsid w:val="001A6ADE"/>
    <w:rsid w:val="001A74AA"/>
    <w:rsid w:val="001B0FA3"/>
    <w:rsid w:val="001B1A31"/>
    <w:rsid w:val="001B31AA"/>
    <w:rsid w:val="001B3D67"/>
    <w:rsid w:val="001B5671"/>
    <w:rsid w:val="001B5BC7"/>
    <w:rsid w:val="001C01FF"/>
    <w:rsid w:val="001C06B1"/>
    <w:rsid w:val="001C0797"/>
    <w:rsid w:val="001C0B02"/>
    <w:rsid w:val="001C1129"/>
    <w:rsid w:val="001C167A"/>
    <w:rsid w:val="001C1C02"/>
    <w:rsid w:val="001C1F06"/>
    <w:rsid w:val="001C2459"/>
    <w:rsid w:val="001C2EA6"/>
    <w:rsid w:val="001C3D48"/>
    <w:rsid w:val="001C6026"/>
    <w:rsid w:val="001C60D6"/>
    <w:rsid w:val="001C649A"/>
    <w:rsid w:val="001C6697"/>
    <w:rsid w:val="001C7ACC"/>
    <w:rsid w:val="001D08E1"/>
    <w:rsid w:val="001D0E52"/>
    <w:rsid w:val="001D2291"/>
    <w:rsid w:val="001D41C1"/>
    <w:rsid w:val="001D6232"/>
    <w:rsid w:val="001D673B"/>
    <w:rsid w:val="001D6B8A"/>
    <w:rsid w:val="001D6CB1"/>
    <w:rsid w:val="001D7BCC"/>
    <w:rsid w:val="001E0FC6"/>
    <w:rsid w:val="001E18C3"/>
    <w:rsid w:val="001E314D"/>
    <w:rsid w:val="001E5AA0"/>
    <w:rsid w:val="001E67C4"/>
    <w:rsid w:val="001E6EB4"/>
    <w:rsid w:val="001E711A"/>
    <w:rsid w:val="001E7480"/>
    <w:rsid w:val="001E7F65"/>
    <w:rsid w:val="001F0D30"/>
    <w:rsid w:val="001F1D25"/>
    <w:rsid w:val="001F2668"/>
    <w:rsid w:val="001F530A"/>
    <w:rsid w:val="001F5BE4"/>
    <w:rsid w:val="001F5F73"/>
    <w:rsid w:val="001F7D4C"/>
    <w:rsid w:val="00200630"/>
    <w:rsid w:val="00200E72"/>
    <w:rsid w:val="002036B9"/>
    <w:rsid w:val="00203D60"/>
    <w:rsid w:val="002043AD"/>
    <w:rsid w:val="00205D83"/>
    <w:rsid w:val="00205EB3"/>
    <w:rsid w:val="00206F99"/>
    <w:rsid w:val="002110FA"/>
    <w:rsid w:val="002111A8"/>
    <w:rsid w:val="00211323"/>
    <w:rsid w:val="002116B2"/>
    <w:rsid w:val="00213875"/>
    <w:rsid w:val="00215611"/>
    <w:rsid w:val="0022016C"/>
    <w:rsid w:val="002203DA"/>
    <w:rsid w:val="0022048E"/>
    <w:rsid w:val="002205B9"/>
    <w:rsid w:val="00220BB9"/>
    <w:rsid w:val="002225DB"/>
    <w:rsid w:val="0022272C"/>
    <w:rsid w:val="00222751"/>
    <w:rsid w:val="0022478D"/>
    <w:rsid w:val="00227083"/>
    <w:rsid w:val="00230599"/>
    <w:rsid w:val="00230BBC"/>
    <w:rsid w:val="00231665"/>
    <w:rsid w:val="00233ECB"/>
    <w:rsid w:val="00233F2F"/>
    <w:rsid w:val="002413A1"/>
    <w:rsid w:val="00241ED5"/>
    <w:rsid w:val="0024387B"/>
    <w:rsid w:val="002451F9"/>
    <w:rsid w:val="00246E2D"/>
    <w:rsid w:val="002511C6"/>
    <w:rsid w:val="00251E6D"/>
    <w:rsid w:val="002520B1"/>
    <w:rsid w:val="00252DFB"/>
    <w:rsid w:val="002548EE"/>
    <w:rsid w:val="002549B8"/>
    <w:rsid w:val="0025628A"/>
    <w:rsid w:val="00256754"/>
    <w:rsid w:val="00260D3D"/>
    <w:rsid w:val="00260ED2"/>
    <w:rsid w:val="0026191E"/>
    <w:rsid w:val="002621ED"/>
    <w:rsid w:val="002631F0"/>
    <w:rsid w:val="0026658D"/>
    <w:rsid w:val="00266CE8"/>
    <w:rsid w:val="00270D0F"/>
    <w:rsid w:val="00271644"/>
    <w:rsid w:val="00271A4D"/>
    <w:rsid w:val="00271CEC"/>
    <w:rsid w:val="002722D9"/>
    <w:rsid w:val="00272335"/>
    <w:rsid w:val="002729F9"/>
    <w:rsid w:val="00273A54"/>
    <w:rsid w:val="00274649"/>
    <w:rsid w:val="002770FF"/>
    <w:rsid w:val="002771E1"/>
    <w:rsid w:val="00280BA9"/>
    <w:rsid w:val="00281893"/>
    <w:rsid w:val="00283727"/>
    <w:rsid w:val="00283993"/>
    <w:rsid w:val="0028407C"/>
    <w:rsid w:val="00284185"/>
    <w:rsid w:val="00285AF1"/>
    <w:rsid w:val="00286762"/>
    <w:rsid w:val="00287868"/>
    <w:rsid w:val="0029349D"/>
    <w:rsid w:val="0029457B"/>
    <w:rsid w:val="00294908"/>
    <w:rsid w:val="00294E0B"/>
    <w:rsid w:val="00295135"/>
    <w:rsid w:val="002958CA"/>
    <w:rsid w:val="00295CA3"/>
    <w:rsid w:val="002968B7"/>
    <w:rsid w:val="0029789F"/>
    <w:rsid w:val="0029795C"/>
    <w:rsid w:val="002A08E1"/>
    <w:rsid w:val="002A204A"/>
    <w:rsid w:val="002A2834"/>
    <w:rsid w:val="002A2EA9"/>
    <w:rsid w:val="002A34EE"/>
    <w:rsid w:val="002A38AB"/>
    <w:rsid w:val="002A4852"/>
    <w:rsid w:val="002A4F80"/>
    <w:rsid w:val="002A600D"/>
    <w:rsid w:val="002A6328"/>
    <w:rsid w:val="002A76E1"/>
    <w:rsid w:val="002A7BB2"/>
    <w:rsid w:val="002B044A"/>
    <w:rsid w:val="002B0EB1"/>
    <w:rsid w:val="002B2DB6"/>
    <w:rsid w:val="002B3029"/>
    <w:rsid w:val="002B30BB"/>
    <w:rsid w:val="002B41D2"/>
    <w:rsid w:val="002B4D7B"/>
    <w:rsid w:val="002B744D"/>
    <w:rsid w:val="002B7A00"/>
    <w:rsid w:val="002B7B20"/>
    <w:rsid w:val="002B7D92"/>
    <w:rsid w:val="002C2A94"/>
    <w:rsid w:val="002C4F7F"/>
    <w:rsid w:val="002D0EBD"/>
    <w:rsid w:val="002D0FCB"/>
    <w:rsid w:val="002D15D3"/>
    <w:rsid w:val="002D1CD1"/>
    <w:rsid w:val="002D250B"/>
    <w:rsid w:val="002D4164"/>
    <w:rsid w:val="002D4E4C"/>
    <w:rsid w:val="002D6213"/>
    <w:rsid w:val="002E1897"/>
    <w:rsid w:val="002E23F4"/>
    <w:rsid w:val="002E2BAE"/>
    <w:rsid w:val="002E3943"/>
    <w:rsid w:val="002E4AE0"/>
    <w:rsid w:val="002E4CB6"/>
    <w:rsid w:val="002E4D72"/>
    <w:rsid w:val="002E55AF"/>
    <w:rsid w:val="002E5DD4"/>
    <w:rsid w:val="002E6097"/>
    <w:rsid w:val="002E6A9D"/>
    <w:rsid w:val="002F0265"/>
    <w:rsid w:val="002F05A2"/>
    <w:rsid w:val="002F11E5"/>
    <w:rsid w:val="002F19FE"/>
    <w:rsid w:val="002F2186"/>
    <w:rsid w:val="002F638E"/>
    <w:rsid w:val="002F64EF"/>
    <w:rsid w:val="002F6579"/>
    <w:rsid w:val="002F67A9"/>
    <w:rsid w:val="002F6C2C"/>
    <w:rsid w:val="002F6D15"/>
    <w:rsid w:val="002F6EBE"/>
    <w:rsid w:val="002F6FC6"/>
    <w:rsid w:val="002F7EEB"/>
    <w:rsid w:val="002F7F44"/>
    <w:rsid w:val="0030139F"/>
    <w:rsid w:val="0030160B"/>
    <w:rsid w:val="0030172A"/>
    <w:rsid w:val="003019ED"/>
    <w:rsid w:val="003025A7"/>
    <w:rsid w:val="00302624"/>
    <w:rsid w:val="00304B26"/>
    <w:rsid w:val="00305061"/>
    <w:rsid w:val="0030727D"/>
    <w:rsid w:val="0030728B"/>
    <w:rsid w:val="003079B0"/>
    <w:rsid w:val="00307CB4"/>
    <w:rsid w:val="00307E70"/>
    <w:rsid w:val="00307EA4"/>
    <w:rsid w:val="00311AFE"/>
    <w:rsid w:val="0031233E"/>
    <w:rsid w:val="003127E2"/>
    <w:rsid w:val="00312B00"/>
    <w:rsid w:val="00313CBC"/>
    <w:rsid w:val="00314263"/>
    <w:rsid w:val="003156E2"/>
    <w:rsid w:val="00315813"/>
    <w:rsid w:val="003164E1"/>
    <w:rsid w:val="0031699D"/>
    <w:rsid w:val="00317DA9"/>
    <w:rsid w:val="003200AD"/>
    <w:rsid w:val="00320F5E"/>
    <w:rsid w:val="0032186D"/>
    <w:rsid w:val="00322321"/>
    <w:rsid w:val="003251B7"/>
    <w:rsid w:val="00325865"/>
    <w:rsid w:val="00325D5B"/>
    <w:rsid w:val="00326118"/>
    <w:rsid w:val="00326441"/>
    <w:rsid w:val="00326AE8"/>
    <w:rsid w:val="00327493"/>
    <w:rsid w:val="00327A1D"/>
    <w:rsid w:val="003307A3"/>
    <w:rsid w:val="00330D62"/>
    <w:rsid w:val="00332CD0"/>
    <w:rsid w:val="00334A83"/>
    <w:rsid w:val="00334F18"/>
    <w:rsid w:val="003374EE"/>
    <w:rsid w:val="003402EA"/>
    <w:rsid w:val="00340950"/>
    <w:rsid w:val="003409C8"/>
    <w:rsid w:val="003417CA"/>
    <w:rsid w:val="003421E9"/>
    <w:rsid w:val="00342BB3"/>
    <w:rsid w:val="00343B5D"/>
    <w:rsid w:val="00343CD3"/>
    <w:rsid w:val="00344279"/>
    <w:rsid w:val="00350A82"/>
    <w:rsid w:val="00350F4B"/>
    <w:rsid w:val="0035126F"/>
    <w:rsid w:val="003540A2"/>
    <w:rsid w:val="003551A9"/>
    <w:rsid w:val="00355CDD"/>
    <w:rsid w:val="003567CF"/>
    <w:rsid w:val="00357EE1"/>
    <w:rsid w:val="00360236"/>
    <w:rsid w:val="003613C6"/>
    <w:rsid w:val="003624CF"/>
    <w:rsid w:val="003629AC"/>
    <w:rsid w:val="00362E46"/>
    <w:rsid w:val="00363A36"/>
    <w:rsid w:val="0036449B"/>
    <w:rsid w:val="00364630"/>
    <w:rsid w:val="003646FF"/>
    <w:rsid w:val="0036563D"/>
    <w:rsid w:val="00366022"/>
    <w:rsid w:val="00367682"/>
    <w:rsid w:val="003678BB"/>
    <w:rsid w:val="00367F50"/>
    <w:rsid w:val="0037028E"/>
    <w:rsid w:val="00371656"/>
    <w:rsid w:val="00372392"/>
    <w:rsid w:val="0037471D"/>
    <w:rsid w:val="00374D6B"/>
    <w:rsid w:val="00374E77"/>
    <w:rsid w:val="0037687E"/>
    <w:rsid w:val="0037760D"/>
    <w:rsid w:val="00377A3B"/>
    <w:rsid w:val="00377ED4"/>
    <w:rsid w:val="00380014"/>
    <w:rsid w:val="003830FF"/>
    <w:rsid w:val="003834C1"/>
    <w:rsid w:val="0038386B"/>
    <w:rsid w:val="00383873"/>
    <w:rsid w:val="00383A73"/>
    <w:rsid w:val="00384561"/>
    <w:rsid w:val="003878EE"/>
    <w:rsid w:val="00390967"/>
    <w:rsid w:val="00390D3F"/>
    <w:rsid w:val="00391D9C"/>
    <w:rsid w:val="003947BC"/>
    <w:rsid w:val="00396001"/>
    <w:rsid w:val="00396F7E"/>
    <w:rsid w:val="0039740E"/>
    <w:rsid w:val="003A0E9C"/>
    <w:rsid w:val="003A18B3"/>
    <w:rsid w:val="003A198F"/>
    <w:rsid w:val="003A22BA"/>
    <w:rsid w:val="003A338F"/>
    <w:rsid w:val="003A3E60"/>
    <w:rsid w:val="003A5510"/>
    <w:rsid w:val="003A561A"/>
    <w:rsid w:val="003A59C8"/>
    <w:rsid w:val="003A65C3"/>
    <w:rsid w:val="003A7090"/>
    <w:rsid w:val="003B0A5B"/>
    <w:rsid w:val="003B143B"/>
    <w:rsid w:val="003B3BAA"/>
    <w:rsid w:val="003B3D20"/>
    <w:rsid w:val="003B3DCF"/>
    <w:rsid w:val="003B56D7"/>
    <w:rsid w:val="003B6112"/>
    <w:rsid w:val="003B7C5C"/>
    <w:rsid w:val="003B7C99"/>
    <w:rsid w:val="003C01CD"/>
    <w:rsid w:val="003C1B12"/>
    <w:rsid w:val="003C27B2"/>
    <w:rsid w:val="003C2ADC"/>
    <w:rsid w:val="003C33C2"/>
    <w:rsid w:val="003C5894"/>
    <w:rsid w:val="003C65C1"/>
    <w:rsid w:val="003C6E18"/>
    <w:rsid w:val="003C7358"/>
    <w:rsid w:val="003C74A3"/>
    <w:rsid w:val="003D54AF"/>
    <w:rsid w:val="003D62CD"/>
    <w:rsid w:val="003E0865"/>
    <w:rsid w:val="003E0917"/>
    <w:rsid w:val="003E0D09"/>
    <w:rsid w:val="003E19AE"/>
    <w:rsid w:val="003E2338"/>
    <w:rsid w:val="003E3A77"/>
    <w:rsid w:val="003E4B3C"/>
    <w:rsid w:val="003E5BFF"/>
    <w:rsid w:val="003E6790"/>
    <w:rsid w:val="003E6E98"/>
    <w:rsid w:val="003F0926"/>
    <w:rsid w:val="003F0B85"/>
    <w:rsid w:val="003F25C7"/>
    <w:rsid w:val="003F2AF5"/>
    <w:rsid w:val="003F2BD7"/>
    <w:rsid w:val="003F2FA1"/>
    <w:rsid w:val="003F3DA6"/>
    <w:rsid w:val="003F598A"/>
    <w:rsid w:val="003F63FE"/>
    <w:rsid w:val="003F7BF0"/>
    <w:rsid w:val="00400F13"/>
    <w:rsid w:val="0040178D"/>
    <w:rsid w:val="00402B45"/>
    <w:rsid w:val="00402E7F"/>
    <w:rsid w:val="00403299"/>
    <w:rsid w:val="00403B75"/>
    <w:rsid w:val="00404F04"/>
    <w:rsid w:val="00404F19"/>
    <w:rsid w:val="00404FCD"/>
    <w:rsid w:val="0040516B"/>
    <w:rsid w:val="00405235"/>
    <w:rsid w:val="00405476"/>
    <w:rsid w:val="00406D6A"/>
    <w:rsid w:val="00406FCB"/>
    <w:rsid w:val="00407C04"/>
    <w:rsid w:val="00410AB9"/>
    <w:rsid w:val="00410B16"/>
    <w:rsid w:val="004113EC"/>
    <w:rsid w:val="00411C1B"/>
    <w:rsid w:val="00412944"/>
    <w:rsid w:val="004136A7"/>
    <w:rsid w:val="00414AE9"/>
    <w:rsid w:val="00415693"/>
    <w:rsid w:val="00415EDE"/>
    <w:rsid w:val="00416F66"/>
    <w:rsid w:val="00417299"/>
    <w:rsid w:val="00417C4B"/>
    <w:rsid w:val="00420B37"/>
    <w:rsid w:val="004225CE"/>
    <w:rsid w:val="004231CC"/>
    <w:rsid w:val="00426181"/>
    <w:rsid w:val="00426189"/>
    <w:rsid w:val="00426FA8"/>
    <w:rsid w:val="00427F12"/>
    <w:rsid w:val="0043360D"/>
    <w:rsid w:val="00433E21"/>
    <w:rsid w:val="004341C8"/>
    <w:rsid w:val="004347FA"/>
    <w:rsid w:val="00434D40"/>
    <w:rsid w:val="00435172"/>
    <w:rsid w:val="00435CDC"/>
    <w:rsid w:val="0044402E"/>
    <w:rsid w:val="00445530"/>
    <w:rsid w:val="004467DE"/>
    <w:rsid w:val="00447D27"/>
    <w:rsid w:val="0045077D"/>
    <w:rsid w:val="00450FD8"/>
    <w:rsid w:val="00451DCE"/>
    <w:rsid w:val="00453E5C"/>
    <w:rsid w:val="004552CB"/>
    <w:rsid w:val="00455338"/>
    <w:rsid w:val="0045593D"/>
    <w:rsid w:val="00456170"/>
    <w:rsid w:val="00456B99"/>
    <w:rsid w:val="00456EE0"/>
    <w:rsid w:val="00461266"/>
    <w:rsid w:val="00461C5F"/>
    <w:rsid w:val="00461D85"/>
    <w:rsid w:val="00461E94"/>
    <w:rsid w:val="00463BD6"/>
    <w:rsid w:val="00465F5C"/>
    <w:rsid w:val="00466F92"/>
    <w:rsid w:val="004672C7"/>
    <w:rsid w:val="004673C1"/>
    <w:rsid w:val="004673DB"/>
    <w:rsid w:val="00467ACF"/>
    <w:rsid w:val="00470A08"/>
    <w:rsid w:val="004711AC"/>
    <w:rsid w:val="00472EFA"/>
    <w:rsid w:val="004746BE"/>
    <w:rsid w:val="00475B8A"/>
    <w:rsid w:val="004760A1"/>
    <w:rsid w:val="0048012D"/>
    <w:rsid w:val="0048038C"/>
    <w:rsid w:val="0048287F"/>
    <w:rsid w:val="004841A3"/>
    <w:rsid w:val="00486054"/>
    <w:rsid w:val="00487D38"/>
    <w:rsid w:val="00490733"/>
    <w:rsid w:val="0049304E"/>
    <w:rsid w:val="00494088"/>
    <w:rsid w:val="004941B0"/>
    <w:rsid w:val="00495746"/>
    <w:rsid w:val="00495787"/>
    <w:rsid w:val="00496D54"/>
    <w:rsid w:val="004A0756"/>
    <w:rsid w:val="004A1C15"/>
    <w:rsid w:val="004A39E2"/>
    <w:rsid w:val="004A3BF6"/>
    <w:rsid w:val="004A4DC3"/>
    <w:rsid w:val="004A50EF"/>
    <w:rsid w:val="004A613E"/>
    <w:rsid w:val="004A6EF3"/>
    <w:rsid w:val="004A75C3"/>
    <w:rsid w:val="004B080E"/>
    <w:rsid w:val="004B0BAF"/>
    <w:rsid w:val="004B0E29"/>
    <w:rsid w:val="004B1274"/>
    <w:rsid w:val="004B43BA"/>
    <w:rsid w:val="004B6488"/>
    <w:rsid w:val="004C00F9"/>
    <w:rsid w:val="004C113C"/>
    <w:rsid w:val="004C3014"/>
    <w:rsid w:val="004C340C"/>
    <w:rsid w:val="004C411C"/>
    <w:rsid w:val="004C5E89"/>
    <w:rsid w:val="004C62CC"/>
    <w:rsid w:val="004C6ECE"/>
    <w:rsid w:val="004C7018"/>
    <w:rsid w:val="004D0E53"/>
    <w:rsid w:val="004D27B6"/>
    <w:rsid w:val="004D2B1E"/>
    <w:rsid w:val="004D2DCB"/>
    <w:rsid w:val="004D375F"/>
    <w:rsid w:val="004D3F82"/>
    <w:rsid w:val="004D41E2"/>
    <w:rsid w:val="004D57CF"/>
    <w:rsid w:val="004D6B49"/>
    <w:rsid w:val="004D6D50"/>
    <w:rsid w:val="004D7BFB"/>
    <w:rsid w:val="004E1E24"/>
    <w:rsid w:val="004E2A66"/>
    <w:rsid w:val="004E387D"/>
    <w:rsid w:val="004E3C29"/>
    <w:rsid w:val="004E3D74"/>
    <w:rsid w:val="004E6FA3"/>
    <w:rsid w:val="004E72A9"/>
    <w:rsid w:val="004F220E"/>
    <w:rsid w:val="004F2D32"/>
    <w:rsid w:val="004F3766"/>
    <w:rsid w:val="004F62AD"/>
    <w:rsid w:val="004F6B6B"/>
    <w:rsid w:val="004F6BCF"/>
    <w:rsid w:val="004F6F6C"/>
    <w:rsid w:val="004F72A5"/>
    <w:rsid w:val="00500729"/>
    <w:rsid w:val="00503B03"/>
    <w:rsid w:val="00504202"/>
    <w:rsid w:val="00505311"/>
    <w:rsid w:val="00506CAB"/>
    <w:rsid w:val="005114B1"/>
    <w:rsid w:val="00512528"/>
    <w:rsid w:val="00513664"/>
    <w:rsid w:val="00513673"/>
    <w:rsid w:val="005142EA"/>
    <w:rsid w:val="00514BC8"/>
    <w:rsid w:val="005156AA"/>
    <w:rsid w:val="00516B56"/>
    <w:rsid w:val="00517AC0"/>
    <w:rsid w:val="0052122D"/>
    <w:rsid w:val="0052142E"/>
    <w:rsid w:val="00521CBA"/>
    <w:rsid w:val="00522D17"/>
    <w:rsid w:val="00523B82"/>
    <w:rsid w:val="00524675"/>
    <w:rsid w:val="005259CA"/>
    <w:rsid w:val="00526363"/>
    <w:rsid w:val="00527BC4"/>
    <w:rsid w:val="0053197B"/>
    <w:rsid w:val="0053257D"/>
    <w:rsid w:val="005348E6"/>
    <w:rsid w:val="00534C3F"/>
    <w:rsid w:val="005360B0"/>
    <w:rsid w:val="00537545"/>
    <w:rsid w:val="005377AF"/>
    <w:rsid w:val="00537804"/>
    <w:rsid w:val="00541C90"/>
    <w:rsid w:val="00543B87"/>
    <w:rsid w:val="00544A58"/>
    <w:rsid w:val="005451BA"/>
    <w:rsid w:val="005466AD"/>
    <w:rsid w:val="00546C3D"/>
    <w:rsid w:val="00547783"/>
    <w:rsid w:val="005505A5"/>
    <w:rsid w:val="00552E92"/>
    <w:rsid w:val="00553570"/>
    <w:rsid w:val="00553DC3"/>
    <w:rsid w:val="005548C9"/>
    <w:rsid w:val="00554A14"/>
    <w:rsid w:val="005558FC"/>
    <w:rsid w:val="00555A01"/>
    <w:rsid w:val="005562EB"/>
    <w:rsid w:val="00556BE0"/>
    <w:rsid w:val="00560332"/>
    <w:rsid w:val="00560ED6"/>
    <w:rsid w:val="00561B87"/>
    <w:rsid w:val="00561FE7"/>
    <w:rsid w:val="00562339"/>
    <w:rsid w:val="00563138"/>
    <w:rsid w:val="00563401"/>
    <w:rsid w:val="00564227"/>
    <w:rsid w:val="00566C78"/>
    <w:rsid w:val="00567DF6"/>
    <w:rsid w:val="00570030"/>
    <w:rsid w:val="00571150"/>
    <w:rsid w:val="0057137A"/>
    <w:rsid w:val="00573106"/>
    <w:rsid w:val="00573D26"/>
    <w:rsid w:val="00574A15"/>
    <w:rsid w:val="0057549E"/>
    <w:rsid w:val="00576046"/>
    <w:rsid w:val="005762AC"/>
    <w:rsid w:val="005804B9"/>
    <w:rsid w:val="00580DB1"/>
    <w:rsid w:val="005816E1"/>
    <w:rsid w:val="0058269B"/>
    <w:rsid w:val="005847C0"/>
    <w:rsid w:val="005853A5"/>
    <w:rsid w:val="00586845"/>
    <w:rsid w:val="00586951"/>
    <w:rsid w:val="005874E2"/>
    <w:rsid w:val="00590690"/>
    <w:rsid w:val="0059101C"/>
    <w:rsid w:val="00591375"/>
    <w:rsid w:val="00594A80"/>
    <w:rsid w:val="00594DEE"/>
    <w:rsid w:val="00595183"/>
    <w:rsid w:val="0059651D"/>
    <w:rsid w:val="0059759A"/>
    <w:rsid w:val="00597954"/>
    <w:rsid w:val="00597CD7"/>
    <w:rsid w:val="005A048C"/>
    <w:rsid w:val="005A068E"/>
    <w:rsid w:val="005A15C8"/>
    <w:rsid w:val="005A2082"/>
    <w:rsid w:val="005A29F4"/>
    <w:rsid w:val="005A3547"/>
    <w:rsid w:val="005A39BD"/>
    <w:rsid w:val="005A40EA"/>
    <w:rsid w:val="005A5848"/>
    <w:rsid w:val="005A7E4D"/>
    <w:rsid w:val="005B0270"/>
    <w:rsid w:val="005B03AC"/>
    <w:rsid w:val="005B5CAA"/>
    <w:rsid w:val="005B7B3A"/>
    <w:rsid w:val="005B7DB1"/>
    <w:rsid w:val="005C0133"/>
    <w:rsid w:val="005C0488"/>
    <w:rsid w:val="005C1F97"/>
    <w:rsid w:val="005C2424"/>
    <w:rsid w:val="005C2683"/>
    <w:rsid w:val="005C3ECF"/>
    <w:rsid w:val="005C4278"/>
    <w:rsid w:val="005C6B55"/>
    <w:rsid w:val="005C7132"/>
    <w:rsid w:val="005C7B13"/>
    <w:rsid w:val="005D0913"/>
    <w:rsid w:val="005D2B79"/>
    <w:rsid w:val="005D3E0A"/>
    <w:rsid w:val="005D4793"/>
    <w:rsid w:val="005D4E17"/>
    <w:rsid w:val="005D647C"/>
    <w:rsid w:val="005D71C9"/>
    <w:rsid w:val="005E0450"/>
    <w:rsid w:val="005E0F44"/>
    <w:rsid w:val="005E1061"/>
    <w:rsid w:val="005E1450"/>
    <w:rsid w:val="005E14A9"/>
    <w:rsid w:val="005E1EB9"/>
    <w:rsid w:val="005E31F1"/>
    <w:rsid w:val="005E3C9C"/>
    <w:rsid w:val="005E3CCE"/>
    <w:rsid w:val="005E46E9"/>
    <w:rsid w:val="005E4A34"/>
    <w:rsid w:val="005E70BE"/>
    <w:rsid w:val="005F0048"/>
    <w:rsid w:val="005F030D"/>
    <w:rsid w:val="005F0996"/>
    <w:rsid w:val="005F140D"/>
    <w:rsid w:val="005F1E50"/>
    <w:rsid w:val="005F35BC"/>
    <w:rsid w:val="005F4CBF"/>
    <w:rsid w:val="005F50C8"/>
    <w:rsid w:val="005F58C4"/>
    <w:rsid w:val="005F623D"/>
    <w:rsid w:val="005F649D"/>
    <w:rsid w:val="005F6FA7"/>
    <w:rsid w:val="00600BDD"/>
    <w:rsid w:val="00600C39"/>
    <w:rsid w:val="00602824"/>
    <w:rsid w:val="00602CFE"/>
    <w:rsid w:val="0060361C"/>
    <w:rsid w:val="00605D27"/>
    <w:rsid w:val="006062D8"/>
    <w:rsid w:val="0060711D"/>
    <w:rsid w:val="006073E6"/>
    <w:rsid w:val="006102C6"/>
    <w:rsid w:val="00610329"/>
    <w:rsid w:val="00611056"/>
    <w:rsid w:val="0061298B"/>
    <w:rsid w:val="00613800"/>
    <w:rsid w:val="006166E0"/>
    <w:rsid w:val="00620C2D"/>
    <w:rsid w:val="00622277"/>
    <w:rsid w:val="0062262B"/>
    <w:rsid w:val="006228C1"/>
    <w:rsid w:val="00623973"/>
    <w:rsid w:val="00623BA0"/>
    <w:rsid w:val="006249D3"/>
    <w:rsid w:val="00624B38"/>
    <w:rsid w:val="00624CA7"/>
    <w:rsid w:val="00625811"/>
    <w:rsid w:val="006279F1"/>
    <w:rsid w:val="00627B97"/>
    <w:rsid w:val="00630003"/>
    <w:rsid w:val="00631640"/>
    <w:rsid w:val="006335D6"/>
    <w:rsid w:val="00634004"/>
    <w:rsid w:val="00634070"/>
    <w:rsid w:val="006342E8"/>
    <w:rsid w:val="0063583E"/>
    <w:rsid w:val="006365B8"/>
    <w:rsid w:val="0063662D"/>
    <w:rsid w:val="006378F9"/>
    <w:rsid w:val="006402B4"/>
    <w:rsid w:val="00640962"/>
    <w:rsid w:val="0064159B"/>
    <w:rsid w:val="006419D9"/>
    <w:rsid w:val="00642588"/>
    <w:rsid w:val="006426D4"/>
    <w:rsid w:val="006456FC"/>
    <w:rsid w:val="00645E53"/>
    <w:rsid w:val="0064632A"/>
    <w:rsid w:val="00646EAC"/>
    <w:rsid w:val="006479F2"/>
    <w:rsid w:val="00647BC6"/>
    <w:rsid w:val="00647F4A"/>
    <w:rsid w:val="006503D6"/>
    <w:rsid w:val="0065096D"/>
    <w:rsid w:val="00650DAC"/>
    <w:rsid w:val="00652874"/>
    <w:rsid w:val="006535E1"/>
    <w:rsid w:val="00655EB8"/>
    <w:rsid w:val="00656419"/>
    <w:rsid w:val="006568FB"/>
    <w:rsid w:val="00660517"/>
    <w:rsid w:val="00661CDE"/>
    <w:rsid w:val="00664B12"/>
    <w:rsid w:val="006656D4"/>
    <w:rsid w:val="00667D51"/>
    <w:rsid w:val="00667EC1"/>
    <w:rsid w:val="0067055C"/>
    <w:rsid w:val="00670BE5"/>
    <w:rsid w:val="00670DB7"/>
    <w:rsid w:val="006729E7"/>
    <w:rsid w:val="00673F6B"/>
    <w:rsid w:val="0067425F"/>
    <w:rsid w:val="00675E10"/>
    <w:rsid w:val="00676158"/>
    <w:rsid w:val="00681322"/>
    <w:rsid w:val="006825EC"/>
    <w:rsid w:val="00683C23"/>
    <w:rsid w:val="006842D9"/>
    <w:rsid w:val="00684E99"/>
    <w:rsid w:val="00685790"/>
    <w:rsid w:val="00685A87"/>
    <w:rsid w:val="00687FFA"/>
    <w:rsid w:val="006907FB"/>
    <w:rsid w:val="0069125F"/>
    <w:rsid w:val="00692C77"/>
    <w:rsid w:val="00693709"/>
    <w:rsid w:val="0069462E"/>
    <w:rsid w:val="00695889"/>
    <w:rsid w:val="0069591C"/>
    <w:rsid w:val="00695FD1"/>
    <w:rsid w:val="00696E75"/>
    <w:rsid w:val="00697108"/>
    <w:rsid w:val="00697DA6"/>
    <w:rsid w:val="006A0663"/>
    <w:rsid w:val="006A216F"/>
    <w:rsid w:val="006A2B4B"/>
    <w:rsid w:val="006A3AFD"/>
    <w:rsid w:val="006A4F57"/>
    <w:rsid w:val="006A64CF"/>
    <w:rsid w:val="006A74D0"/>
    <w:rsid w:val="006B1A29"/>
    <w:rsid w:val="006B1A6D"/>
    <w:rsid w:val="006B2A31"/>
    <w:rsid w:val="006B679A"/>
    <w:rsid w:val="006B67CC"/>
    <w:rsid w:val="006B7BEA"/>
    <w:rsid w:val="006C0514"/>
    <w:rsid w:val="006C15F9"/>
    <w:rsid w:val="006C2C32"/>
    <w:rsid w:val="006C2F48"/>
    <w:rsid w:val="006C2FD3"/>
    <w:rsid w:val="006C46AB"/>
    <w:rsid w:val="006C62AF"/>
    <w:rsid w:val="006D0965"/>
    <w:rsid w:val="006D31C8"/>
    <w:rsid w:val="006D3D6E"/>
    <w:rsid w:val="006D57FB"/>
    <w:rsid w:val="006D651F"/>
    <w:rsid w:val="006D7F93"/>
    <w:rsid w:val="006E047B"/>
    <w:rsid w:val="006E21A5"/>
    <w:rsid w:val="006E414B"/>
    <w:rsid w:val="006E5E95"/>
    <w:rsid w:val="006E782F"/>
    <w:rsid w:val="006E7C67"/>
    <w:rsid w:val="006F0F1B"/>
    <w:rsid w:val="006F154A"/>
    <w:rsid w:val="006F2EA8"/>
    <w:rsid w:val="006F3011"/>
    <w:rsid w:val="006F5980"/>
    <w:rsid w:val="006F6C5E"/>
    <w:rsid w:val="00700483"/>
    <w:rsid w:val="00700E8C"/>
    <w:rsid w:val="007014D4"/>
    <w:rsid w:val="00702769"/>
    <w:rsid w:val="00702873"/>
    <w:rsid w:val="00702C82"/>
    <w:rsid w:val="007032BA"/>
    <w:rsid w:val="0070333D"/>
    <w:rsid w:val="00703C29"/>
    <w:rsid w:val="007110D0"/>
    <w:rsid w:val="0071318E"/>
    <w:rsid w:val="0071495E"/>
    <w:rsid w:val="00715273"/>
    <w:rsid w:val="00717D7C"/>
    <w:rsid w:val="00720AA0"/>
    <w:rsid w:val="00724007"/>
    <w:rsid w:val="00724435"/>
    <w:rsid w:val="00724ECE"/>
    <w:rsid w:val="0072558B"/>
    <w:rsid w:val="00725936"/>
    <w:rsid w:val="00726198"/>
    <w:rsid w:val="00730291"/>
    <w:rsid w:val="00730AC3"/>
    <w:rsid w:val="0073117D"/>
    <w:rsid w:val="0073354D"/>
    <w:rsid w:val="007348F1"/>
    <w:rsid w:val="0073504E"/>
    <w:rsid w:val="0073539B"/>
    <w:rsid w:val="007355D2"/>
    <w:rsid w:val="00736CD0"/>
    <w:rsid w:val="00736E91"/>
    <w:rsid w:val="0073749D"/>
    <w:rsid w:val="00741417"/>
    <w:rsid w:val="007426B0"/>
    <w:rsid w:val="00743B88"/>
    <w:rsid w:val="007452AD"/>
    <w:rsid w:val="007507D4"/>
    <w:rsid w:val="00751B83"/>
    <w:rsid w:val="00751C0F"/>
    <w:rsid w:val="00751C6A"/>
    <w:rsid w:val="00751FC6"/>
    <w:rsid w:val="00752211"/>
    <w:rsid w:val="00752A34"/>
    <w:rsid w:val="00752B59"/>
    <w:rsid w:val="00753096"/>
    <w:rsid w:val="007543C4"/>
    <w:rsid w:val="00755F84"/>
    <w:rsid w:val="00757B59"/>
    <w:rsid w:val="00760011"/>
    <w:rsid w:val="00760468"/>
    <w:rsid w:val="0076125C"/>
    <w:rsid w:val="007621BA"/>
    <w:rsid w:val="0076376C"/>
    <w:rsid w:val="00764A70"/>
    <w:rsid w:val="00765136"/>
    <w:rsid w:val="0076643C"/>
    <w:rsid w:val="0076696F"/>
    <w:rsid w:val="007670A9"/>
    <w:rsid w:val="007673B1"/>
    <w:rsid w:val="00770B88"/>
    <w:rsid w:val="00773701"/>
    <w:rsid w:val="0077436D"/>
    <w:rsid w:val="0077606C"/>
    <w:rsid w:val="00776979"/>
    <w:rsid w:val="00777208"/>
    <w:rsid w:val="00777609"/>
    <w:rsid w:val="00780C6D"/>
    <w:rsid w:val="0078176B"/>
    <w:rsid w:val="00782E1A"/>
    <w:rsid w:val="00783091"/>
    <w:rsid w:val="00784D18"/>
    <w:rsid w:val="00785DB7"/>
    <w:rsid w:val="0078651E"/>
    <w:rsid w:val="007867EA"/>
    <w:rsid w:val="00786DC5"/>
    <w:rsid w:val="0078788A"/>
    <w:rsid w:val="00790D61"/>
    <w:rsid w:val="00791F6A"/>
    <w:rsid w:val="007932C5"/>
    <w:rsid w:val="0079468B"/>
    <w:rsid w:val="007955D0"/>
    <w:rsid w:val="00797F3F"/>
    <w:rsid w:val="007A1516"/>
    <w:rsid w:val="007A1E57"/>
    <w:rsid w:val="007A258F"/>
    <w:rsid w:val="007A4010"/>
    <w:rsid w:val="007A4575"/>
    <w:rsid w:val="007A5218"/>
    <w:rsid w:val="007A7409"/>
    <w:rsid w:val="007A7DFD"/>
    <w:rsid w:val="007B0AA3"/>
    <w:rsid w:val="007B1830"/>
    <w:rsid w:val="007B26F2"/>
    <w:rsid w:val="007B4F82"/>
    <w:rsid w:val="007B6AC2"/>
    <w:rsid w:val="007C0B97"/>
    <w:rsid w:val="007C0C91"/>
    <w:rsid w:val="007C2931"/>
    <w:rsid w:val="007C4939"/>
    <w:rsid w:val="007C5741"/>
    <w:rsid w:val="007C754E"/>
    <w:rsid w:val="007D0564"/>
    <w:rsid w:val="007D063E"/>
    <w:rsid w:val="007D240F"/>
    <w:rsid w:val="007D27AD"/>
    <w:rsid w:val="007D47E5"/>
    <w:rsid w:val="007D51BE"/>
    <w:rsid w:val="007D5360"/>
    <w:rsid w:val="007E0757"/>
    <w:rsid w:val="007E107E"/>
    <w:rsid w:val="007E27FF"/>
    <w:rsid w:val="007E334D"/>
    <w:rsid w:val="007E38E7"/>
    <w:rsid w:val="007E4399"/>
    <w:rsid w:val="007E4513"/>
    <w:rsid w:val="007E520D"/>
    <w:rsid w:val="007E63A5"/>
    <w:rsid w:val="007E64D9"/>
    <w:rsid w:val="007E6A7C"/>
    <w:rsid w:val="007E6E5A"/>
    <w:rsid w:val="007F0F6C"/>
    <w:rsid w:val="007F175A"/>
    <w:rsid w:val="007F2FD9"/>
    <w:rsid w:val="007F3226"/>
    <w:rsid w:val="007F331C"/>
    <w:rsid w:val="007F3493"/>
    <w:rsid w:val="007F34ED"/>
    <w:rsid w:val="007F3C0A"/>
    <w:rsid w:val="007F479A"/>
    <w:rsid w:val="007F5798"/>
    <w:rsid w:val="007F6BB8"/>
    <w:rsid w:val="007F71AE"/>
    <w:rsid w:val="00800EC5"/>
    <w:rsid w:val="008027B5"/>
    <w:rsid w:val="00802A8C"/>
    <w:rsid w:val="008036BB"/>
    <w:rsid w:val="008039AD"/>
    <w:rsid w:val="0080452D"/>
    <w:rsid w:val="00807D40"/>
    <w:rsid w:val="008103AF"/>
    <w:rsid w:val="008126D6"/>
    <w:rsid w:val="00812CBC"/>
    <w:rsid w:val="0081374B"/>
    <w:rsid w:val="0081552C"/>
    <w:rsid w:val="008155FC"/>
    <w:rsid w:val="008169E5"/>
    <w:rsid w:val="00816DEE"/>
    <w:rsid w:val="0081715C"/>
    <w:rsid w:val="008217FD"/>
    <w:rsid w:val="0082269D"/>
    <w:rsid w:val="008229EF"/>
    <w:rsid w:val="0082480A"/>
    <w:rsid w:val="0082551E"/>
    <w:rsid w:val="00827788"/>
    <w:rsid w:val="00827795"/>
    <w:rsid w:val="00830027"/>
    <w:rsid w:val="00831F0A"/>
    <w:rsid w:val="008330EE"/>
    <w:rsid w:val="00837DC1"/>
    <w:rsid w:val="008411D1"/>
    <w:rsid w:val="00841B03"/>
    <w:rsid w:val="0084346C"/>
    <w:rsid w:val="00844DEE"/>
    <w:rsid w:val="00845797"/>
    <w:rsid w:val="0084630D"/>
    <w:rsid w:val="00846E62"/>
    <w:rsid w:val="008473A7"/>
    <w:rsid w:val="008517C0"/>
    <w:rsid w:val="00852A22"/>
    <w:rsid w:val="008532E2"/>
    <w:rsid w:val="0085367E"/>
    <w:rsid w:val="00853F28"/>
    <w:rsid w:val="0085421A"/>
    <w:rsid w:val="0085506C"/>
    <w:rsid w:val="008555FB"/>
    <w:rsid w:val="00856C8E"/>
    <w:rsid w:val="00857169"/>
    <w:rsid w:val="008579D6"/>
    <w:rsid w:val="008624E8"/>
    <w:rsid w:val="008633C6"/>
    <w:rsid w:val="00863F01"/>
    <w:rsid w:val="00865F6F"/>
    <w:rsid w:val="00872767"/>
    <w:rsid w:val="0087405C"/>
    <w:rsid w:val="00875C6E"/>
    <w:rsid w:val="00876BB7"/>
    <w:rsid w:val="00877164"/>
    <w:rsid w:val="00877757"/>
    <w:rsid w:val="008778C6"/>
    <w:rsid w:val="00882617"/>
    <w:rsid w:val="00884422"/>
    <w:rsid w:val="00884D17"/>
    <w:rsid w:val="0088537E"/>
    <w:rsid w:val="00885B5F"/>
    <w:rsid w:val="00887794"/>
    <w:rsid w:val="0089203E"/>
    <w:rsid w:val="00892173"/>
    <w:rsid w:val="00892D65"/>
    <w:rsid w:val="008930A5"/>
    <w:rsid w:val="008940E0"/>
    <w:rsid w:val="008947EE"/>
    <w:rsid w:val="00894A61"/>
    <w:rsid w:val="00896138"/>
    <w:rsid w:val="00896311"/>
    <w:rsid w:val="008977F2"/>
    <w:rsid w:val="00897BBE"/>
    <w:rsid w:val="008A0391"/>
    <w:rsid w:val="008A2478"/>
    <w:rsid w:val="008A5A7B"/>
    <w:rsid w:val="008A6BAA"/>
    <w:rsid w:val="008B271F"/>
    <w:rsid w:val="008B3429"/>
    <w:rsid w:val="008B5D44"/>
    <w:rsid w:val="008B700D"/>
    <w:rsid w:val="008B72C9"/>
    <w:rsid w:val="008B78DF"/>
    <w:rsid w:val="008C05EC"/>
    <w:rsid w:val="008C1CAB"/>
    <w:rsid w:val="008C319E"/>
    <w:rsid w:val="008C364F"/>
    <w:rsid w:val="008C4072"/>
    <w:rsid w:val="008C516D"/>
    <w:rsid w:val="008C53A1"/>
    <w:rsid w:val="008C5443"/>
    <w:rsid w:val="008C6200"/>
    <w:rsid w:val="008C74C6"/>
    <w:rsid w:val="008D3047"/>
    <w:rsid w:val="008D36C0"/>
    <w:rsid w:val="008D557F"/>
    <w:rsid w:val="008D6EC3"/>
    <w:rsid w:val="008D7AEF"/>
    <w:rsid w:val="008E0031"/>
    <w:rsid w:val="008E0C9D"/>
    <w:rsid w:val="008E4AAF"/>
    <w:rsid w:val="008E6FA6"/>
    <w:rsid w:val="008F51F9"/>
    <w:rsid w:val="008F592E"/>
    <w:rsid w:val="008F69F5"/>
    <w:rsid w:val="008F6EAD"/>
    <w:rsid w:val="00900CFD"/>
    <w:rsid w:val="00901DEF"/>
    <w:rsid w:val="0090353B"/>
    <w:rsid w:val="009043F9"/>
    <w:rsid w:val="009056CF"/>
    <w:rsid w:val="00906630"/>
    <w:rsid w:val="0090749A"/>
    <w:rsid w:val="009077D9"/>
    <w:rsid w:val="009103F4"/>
    <w:rsid w:val="00910572"/>
    <w:rsid w:val="00913110"/>
    <w:rsid w:val="009154C9"/>
    <w:rsid w:val="00915C7C"/>
    <w:rsid w:val="00917154"/>
    <w:rsid w:val="009209FF"/>
    <w:rsid w:val="00923149"/>
    <w:rsid w:val="00923173"/>
    <w:rsid w:val="009240DE"/>
    <w:rsid w:val="009242D5"/>
    <w:rsid w:val="009251A0"/>
    <w:rsid w:val="0092654A"/>
    <w:rsid w:val="00927AA1"/>
    <w:rsid w:val="00927C26"/>
    <w:rsid w:val="0093029B"/>
    <w:rsid w:val="00930F39"/>
    <w:rsid w:val="00933FFB"/>
    <w:rsid w:val="00934098"/>
    <w:rsid w:val="00934251"/>
    <w:rsid w:val="00934DA2"/>
    <w:rsid w:val="009352A5"/>
    <w:rsid w:val="0093697E"/>
    <w:rsid w:val="00937035"/>
    <w:rsid w:val="00941567"/>
    <w:rsid w:val="00942089"/>
    <w:rsid w:val="00944182"/>
    <w:rsid w:val="00944384"/>
    <w:rsid w:val="00944741"/>
    <w:rsid w:val="00945BE5"/>
    <w:rsid w:val="00946236"/>
    <w:rsid w:val="00946532"/>
    <w:rsid w:val="00950045"/>
    <w:rsid w:val="00950B3C"/>
    <w:rsid w:val="0095277B"/>
    <w:rsid w:val="00953119"/>
    <w:rsid w:val="00954254"/>
    <w:rsid w:val="00954D81"/>
    <w:rsid w:val="00955669"/>
    <w:rsid w:val="00955FFB"/>
    <w:rsid w:val="00957586"/>
    <w:rsid w:val="0095763D"/>
    <w:rsid w:val="009579D2"/>
    <w:rsid w:val="00957ABD"/>
    <w:rsid w:val="009613DC"/>
    <w:rsid w:val="00961E9F"/>
    <w:rsid w:val="00962F28"/>
    <w:rsid w:val="0096428B"/>
    <w:rsid w:val="009657C5"/>
    <w:rsid w:val="00965D0F"/>
    <w:rsid w:val="00966A1A"/>
    <w:rsid w:val="00967694"/>
    <w:rsid w:val="009679B7"/>
    <w:rsid w:val="00967CD0"/>
    <w:rsid w:val="00971874"/>
    <w:rsid w:val="00971F20"/>
    <w:rsid w:val="00972D99"/>
    <w:rsid w:val="00975DBD"/>
    <w:rsid w:val="009762FE"/>
    <w:rsid w:val="00976EC8"/>
    <w:rsid w:val="009813EA"/>
    <w:rsid w:val="00984A5B"/>
    <w:rsid w:val="00985399"/>
    <w:rsid w:val="00986EAC"/>
    <w:rsid w:val="009872D4"/>
    <w:rsid w:val="00987386"/>
    <w:rsid w:val="00987BBC"/>
    <w:rsid w:val="009917E1"/>
    <w:rsid w:val="0099274E"/>
    <w:rsid w:val="0099543E"/>
    <w:rsid w:val="00995ED7"/>
    <w:rsid w:val="00996D43"/>
    <w:rsid w:val="0099730A"/>
    <w:rsid w:val="0099744D"/>
    <w:rsid w:val="00997745"/>
    <w:rsid w:val="009A15A0"/>
    <w:rsid w:val="009A2D26"/>
    <w:rsid w:val="009A2FEE"/>
    <w:rsid w:val="009A41DB"/>
    <w:rsid w:val="009A503B"/>
    <w:rsid w:val="009B0114"/>
    <w:rsid w:val="009B2461"/>
    <w:rsid w:val="009B4E06"/>
    <w:rsid w:val="009B517A"/>
    <w:rsid w:val="009B6E39"/>
    <w:rsid w:val="009B7272"/>
    <w:rsid w:val="009B72C2"/>
    <w:rsid w:val="009B7965"/>
    <w:rsid w:val="009C08F1"/>
    <w:rsid w:val="009C222F"/>
    <w:rsid w:val="009C4FCA"/>
    <w:rsid w:val="009D2176"/>
    <w:rsid w:val="009D237B"/>
    <w:rsid w:val="009D34ED"/>
    <w:rsid w:val="009D359D"/>
    <w:rsid w:val="009D3C2A"/>
    <w:rsid w:val="009D53A4"/>
    <w:rsid w:val="009D67DB"/>
    <w:rsid w:val="009E0D25"/>
    <w:rsid w:val="009E1A90"/>
    <w:rsid w:val="009E1C21"/>
    <w:rsid w:val="009E2185"/>
    <w:rsid w:val="009E2CBA"/>
    <w:rsid w:val="009E3ADC"/>
    <w:rsid w:val="009E3DCB"/>
    <w:rsid w:val="009E4983"/>
    <w:rsid w:val="009E4EF9"/>
    <w:rsid w:val="009E6E30"/>
    <w:rsid w:val="009E74B4"/>
    <w:rsid w:val="009F13FB"/>
    <w:rsid w:val="009F3904"/>
    <w:rsid w:val="009F3A40"/>
    <w:rsid w:val="009F4880"/>
    <w:rsid w:val="009F5EA1"/>
    <w:rsid w:val="009F664C"/>
    <w:rsid w:val="009F7E21"/>
    <w:rsid w:val="00A026CA"/>
    <w:rsid w:val="00A02C90"/>
    <w:rsid w:val="00A03009"/>
    <w:rsid w:val="00A03824"/>
    <w:rsid w:val="00A047DF"/>
    <w:rsid w:val="00A04AAA"/>
    <w:rsid w:val="00A06314"/>
    <w:rsid w:val="00A0734C"/>
    <w:rsid w:val="00A10B11"/>
    <w:rsid w:val="00A10D5F"/>
    <w:rsid w:val="00A1186B"/>
    <w:rsid w:val="00A12C63"/>
    <w:rsid w:val="00A14EED"/>
    <w:rsid w:val="00A15468"/>
    <w:rsid w:val="00A16B99"/>
    <w:rsid w:val="00A20C79"/>
    <w:rsid w:val="00A20CCD"/>
    <w:rsid w:val="00A23083"/>
    <w:rsid w:val="00A23551"/>
    <w:rsid w:val="00A23FEE"/>
    <w:rsid w:val="00A24BF0"/>
    <w:rsid w:val="00A256F2"/>
    <w:rsid w:val="00A260D5"/>
    <w:rsid w:val="00A31B68"/>
    <w:rsid w:val="00A32124"/>
    <w:rsid w:val="00A323CC"/>
    <w:rsid w:val="00A32739"/>
    <w:rsid w:val="00A3275C"/>
    <w:rsid w:val="00A348E6"/>
    <w:rsid w:val="00A35E3C"/>
    <w:rsid w:val="00A362D5"/>
    <w:rsid w:val="00A36AEF"/>
    <w:rsid w:val="00A37D8F"/>
    <w:rsid w:val="00A4013F"/>
    <w:rsid w:val="00A40940"/>
    <w:rsid w:val="00A4152D"/>
    <w:rsid w:val="00A41F71"/>
    <w:rsid w:val="00A437E4"/>
    <w:rsid w:val="00A44192"/>
    <w:rsid w:val="00A4474E"/>
    <w:rsid w:val="00A447AC"/>
    <w:rsid w:val="00A4618F"/>
    <w:rsid w:val="00A46B79"/>
    <w:rsid w:val="00A515BF"/>
    <w:rsid w:val="00A517A4"/>
    <w:rsid w:val="00A52423"/>
    <w:rsid w:val="00A52C7A"/>
    <w:rsid w:val="00A531EE"/>
    <w:rsid w:val="00A53775"/>
    <w:rsid w:val="00A53C03"/>
    <w:rsid w:val="00A55E79"/>
    <w:rsid w:val="00A565FC"/>
    <w:rsid w:val="00A56F83"/>
    <w:rsid w:val="00A57A97"/>
    <w:rsid w:val="00A602DB"/>
    <w:rsid w:val="00A60351"/>
    <w:rsid w:val="00A610DB"/>
    <w:rsid w:val="00A6179A"/>
    <w:rsid w:val="00A6185D"/>
    <w:rsid w:val="00A62649"/>
    <w:rsid w:val="00A62A4F"/>
    <w:rsid w:val="00A64B8F"/>
    <w:rsid w:val="00A65853"/>
    <w:rsid w:val="00A67E2F"/>
    <w:rsid w:val="00A706E0"/>
    <w:rsid w:val="00A70933"/>
    <w:rsid w:val="00A719C9"/>
    <w:rsid w:val="00A71B8F"/>
    <w:rsid w:val="00A72334"/>
    <w:rsid w:val="00A72738"/>
    <w:rsid w:val="00A750A4"/>
    <w:rsid w:val="00A76843"/>
    <w:rsid w:val="00A777B3"/>
    <w:rsid w:val="00A77A53"/>
    <w:rsid w:val="00A80089"/>
    <w:rsid w:val="00A848FD"/>
    <w:rsid w:val="00A854C4"/>
    <w:rsid w:val="00A90289"/>
    <w:rsid w:val="00A91717"/>
    <w:rsid w:val="00A9314D"/>
    <w:rsid w:val="00A93647"/>
    <w:rsid w:val="00A93A2F"/>
    <w:rsid w:val="00A95189"/>
    <w:rsid w:val="00A9563D"/>
    <w:rsid w:val="00A95754"/>
    <w:rsid w:val="00A9712A"/>
    <w:rsid w:val="00A97C9E"/>
    <w:rsid w:val="00AA000B"/>
    <w:rsid w:val="00AA0946"/>
    <w:rsid w:val="00AA0FE1"/>
    <w:rsid w:val="00AA13C9"/>
    <w:rsid w:val="00AA2679"/>
    <w:rsid w:val="00AA3ABF"/>
    <w:rsid w:val="00AA53AA"/>
    <w:rsid w:val="00AA54FD"/>
    <w:rsid w:val="00AA5E36"/>
    <w:rsid w:val="00AA5E5C"/>
    <w:rsid w:val="00AA65D5"/>
    <w:rsid w:val="00AA66E3"/>
    <w:rsid w:val="00AA6D79"/>
    <w:rsid w:val="00AA76A1"/>
    <w:rsid w:val="00AA7996"/>
    <w:rsid w:val="00AA79F0"/>
    <w:rsid w:val="00AB0218"/>
    <w:rsid w:val="00AB0DAD"/>
    <w:rsid w:val="00AB2D5C"/>
    <w:rsid w:val="00AB331D"/>
    <w:rsid w:val="00AB3E51"/>
    <w:rsid w:val="00AB4488"/>
    <w:rsid w:val="00AB4DEF"/>
    <w:rsid w:val="00AB646D"/>
    <w:rsid w:val="00AB7CC2"/>
    <w:rsid w:val="00AC00F7"/>
    <w:rsid w:val="00AC1DC2"/>
    <w:rsid w:val="00AC584F"/>
    <w:rsid w:val="00AC693C"/>
    <w:rsid w:val="00AD24A7"/>
    <w:rsid w:val="00AD25E8"/>
    <w:rsid w:val="00AD369D"/>
    <w:rsid w:val="00AD540E"/>
    <w:rsid w:val="00AE2BAC"/>
    <w:rsid w:val="00AE3EF9"/>
    <w:rsid w:val="00AE4252"/>
    <w:rsid w:val="00AE666A"/>
    <w:rsid w:val="00AE7685"/>
    <w:rsid w:val="00AF4A97"/>
    <w:rsid w:val="00AF5BDF"/>
    <w:rsid w:val="00AF636E"/>
    <w:rsid w:val="00AF6E1E"/>
    <w:rsid w:val="00B01173"/>
    <w:rsid w:val="00B013D0"/>
    <w:rsid w:val="00B01FA2"/>
    <w:rsid w:val="00B02BFF"/>
    <w:rsid w:val="00B0304D"/>
    <w:rsid w:val="00B076D5"/>
    <w:rsid w:val="00B14F0A"/>
    <w:rsid w:val="00B15F14"/>
    <w:rsid w:val="00B160B2"/>
    <w:rsid w:val="00B179A3"/>
    <w:rsid w:val="00B21B32"/>
    <w:rsid w:val="00B22E66"/>
    <w:rsid w:val="00B23C4D"/>
    <w:rsid w:val="00B23F1F"/>
    <w:rsid w:val="00B23F57"/>
    <w:rsid w:val="00B24FB5"/>
    <w:rsid w:val="00B260B6"/>
    <w:rsid w:val="00B26132"/>
    <w:rsid w:val="00B351FC"/>
    <w:rsid w:val="00B4082A"/>
    <w:rsid w:val="00B41C23"/>
    <w:rsid w:val="00B4205E"/>
    <w:rsid w:val="00B43406"/>
    <w:rsid w:val="00B435AA"/>
    <w:rsid w:val="00B43810"/>
    <w:rsid w:val="00B45452"/>
    <w:rsid w:val="00B46F78"/>
    <w:rsid w:val="00B46F94"/>
    <w:rsid w:val="00B47614"/>
    <w:rsid w:val="00B503A9"/>
    <w:rsid w:val="00B50DAA"/>
    <w:rsid w:val="00B52048"/>
    <w:rsid w:val="00B525E0"/>
    <w:rsid w:val="00B528D1"/>
    <w:rsid w:val="00B53413"/>
    <w:rsid w:val="00B54444"/>
    <w:rsid w:val="00B5575D"/>
    <w:rsid w:val="00B55FFB"/>
    <w:rsid w:val="00B5681E"/>
    <w:rsid w:val="00B56E60"/>
    <w:rsid w:val="00B57E72"/>
    <w:rsid w:val="00B60B83"/>
    <w:rsid w:val="00B610AC"/>
    <w:rsid w:val="00B620F3"/>
    <w:rsid w:val="00B62117"/>
    <w:rsid w:val="00B63A01"/>
    <w:rsid w:val="00B64F37"/>
    <w:rsid w:val="00B65012"/>
    <w:rsid w:val="00B65913"/>
    <w:rsid w:val="00B6678D"/>
    <w:rsid w:val="00B709FC"/>
    <w:rsid w:val="00B7238A"/>
    <w:rsid w:val="00B72483"/>
    <w:rsid w:val="00B7540B"/>
    <w:rsid w:val="00B77068"/>
    <w:rsid w:val="00B7751C"/>
    <w:rsid w:val="00B77910"/>
    <w:rsid w:val="00B77F62"/>
    <w:rsid w:val="00B81480"/>
    <w:rsid w:val="00B81515"/>
    <w:rsid w:val="00B81BDA"/>
    <w:rsid w:val="00B83967"/>
    <w:rsid w:val="00B844D7"/>
    <w:rsid w:val="00B86421"/>
    <w:rsid w:val="00B90F4E"/>
    <w:rsid w:val="00B94778"/>
    <w:rsid w:val="00B96A30"/>
    <w:rsid w:val="00B96DA2"/>
    <w:rsid w:val="00B97CEC"/>
    <w:rsid w:val="00BA184E"/>
    <w:rsid w:val="00BA1CD9"/>
    <w:rsid w:val="00BA1DDC"/>
    <w:rsid w:val="00BA4A7A"/>
    <w:rsid w:val="00BA4AB3"/>
    <w:rsid w:val="00BA5F8A"/>
    <w:rsid w:val="00BA613A"/>
    <w:rsid w:val="00BB0C26"/>
    <w:rsid w:val="00BB1157"/>
    <w:rsid w:val="00BB14BD"/>
    <w:rsid w:val="00BB1E6D"/>
    <w:rsid w:val="00BB2907"/>
    <w:rsid w:val="00BC1429"/>
    <w:rsid w:val="00BC1BD4"/>
    <w:rsid w:val="00BC1EFF"/>
    <w:rsid w:val="00BC2DC5"/>
    <w:rsid w:val="00BC4145"/>
    <w:rsid w:val="00BC4867"/>
    <w:rsid w:val="00BC4ABD"/>
    <w:rsid w:val="00BC4CE9"/>
    <w:rsid w:val="00BC646B"/>
    <w:rsid w:val="00BD07C9"/>
    <w:rsid w:val="00BD159A"/>
    <w:rsid w:val="00BD2F42"/>
    <w:rsid w:val="00BD4609"/>
    <w:rsid w:val="00BD568C"/>
    <w:rsid w:val="00BD59EE"/>
    <w:rsid w:val="00BD7C42"/>
    <w:rsid w:val="00BE0BF0"/>
    <w:rsid w:val="00BE22A5"/>
    <w:rsid w:val="00BE3523"/>
    <w:rsid w:val="00BE399A"/>
    <w:rsid w:val="00BE4A85"/>
    <w:rsid w:val="00BE7B94"/>
    <w:rsid w:val="00BF10D1"/>
    <w:rsid w:val="00BF15C9"/>
    <w:rsid w:val="00BF248D"/>
    <w:rsid w:val="00BF2A45"/>
    <w:rsid w:val="00BF355C"/>
    <w:rsid w:val="00BF3CA3"/>
    <w:rsid w:val="00BF4844"/>
    <w:rsid w:val="00BF5704"/>
    <w:rsid w:val="00BF596D"/>
    <w:rsid w:val="00BF66FC"/>
    <w:rsid w:val="00BF6738"/>
    <w:rsid w:val="00BF7F5D"/>
    <w:rsid w:val="00C00725"/>
    <w:rsid w:val="00C03DF2"/>
    <w:rsid w:val="00C04876"/>
    <w:rsid w:val="00C070B5"/>
    <w:rsid w:val="00C10387"/>
    <w:rsid w:val="00C1124B"/>
    <w:rsid w:val="00C11705"/>
    <w:rsid w:val="00C12444"/>
    <w:rsid w:val="00C147FE"/>
    <w:rsid w:val="00C151C5"/>
    <w:rsid w:val="00C154C1"/>
    <w:rsid w:val="00C15ED4"/>
    <w:rsid w:val="00C2040C"/>
    <w:rsid w:val="00C20C20"/>
    <w:rsid w:val="00C223A9"/>
    <w:rsid w:val="00C23296"/>
    <w:rsid w:val="00C23590"/>
    <w:rsid w:val="00C23BB0"/>
    <w:rsid w:val="00C23F90"/>
    <w:rsid w:val="00C24040"/>
    <w:rsid w:val="00C24235"/>
    <w:rsid w:val="00C24DBC"/>
    <w:rsid w:val="00C254E0"/>
    <w:rsid w:val="00C25B06"/>
    <w:rsid w:val="00C26A8C"/>
    <w:rsid w:val="00C26B14"/>
    <w:rsid w:val="00C3008E"/>
    <w:rsid w:val="00C307DA"/>
    <w:rsid w:val="00C314AC"/>
    <w:rsid w:val="00C322CF"/>
    <w:rsid w:val="00C32B3C"/>
    <w:rsid w:val="00C36207"/>
    <w:rsid w:val="00C36F8F"/>
    <w:rsid w:val="00C370E4"/>
    <w:rsid w:val="00C40644"/>
    <w:rsid w:val="00C4068E"/>
    <w:rsid w:val="00C40F9C"/>
    <w:rsid w:val="00C41F20"/>
    <w:rsid w:val="00C43DE7"/>
    <w:rsid w:val="00C448A6"/>
    <w:rsid w:val="00C44D24"/>
    <w:rsid w:val="00C452D3"/>
    <w:rsid w:val="00C45BDC"/>
    <w:rsid w:val="00C466D9"/>
    <w:rsid w:val="00C46D1C"/>
    <w:rsid w:val="00C46E6A"/>
    <w:rsid w:val="00C513F3"/>
    <w:rsid w:val="00C52143"/>
    <w:rsid w:val="00C52873"/>
    <w:rsid w:val="00C54B06"/>
    <w:rsid w:val="00C558CA"/>
    <w:rsid w:val="00C55A4E"/>
    <w:rsid w:val="00C57CF3"/>
    <w:rsid w:val="00C6019E"/>
    <w:rsid w:val="00C60713"/>
    <w:rsid w:val="00C62927"/>
    <w:rsid w:val="00C6319E"/>
    <w:rsid w:val="00C6406D"/>
    <w:rsid w:val="00C642CB"/>
    <w:rsid w:val="00C66A05"/>
    <w:rsid w:val="00C6708F"/>
    <w:rsid w:val="00C67659"/>
    <w:rsid w:val="00C678C2"/>
    <w:rsid w:val="00C70AC5"/>
    <w:rsid w:val="00C71A94"/>
    <w:rsid w:val="00C71ECE"/>
    <w:rsid w:val="00C71FD9"/>
    <w:rsid w:val="00C72203"/>
    <w:rsid w:val="00C725C5"/>
    <w:rsid w:val="00C73B8A"/>
    <w:rsid w:val="00C74251"/>
    <w:rsid w:val="00C80607"/>
    <w:rsid w:val="00C80B22"/>
    <w:rsid w:val="00C80EA6"/>
    <w:rsid w:val="00C81C11"/>
    <w:rsid w:val="00C83F46"/>
    <w:rsid w:val="00C84BBE"/>
    <w:rsid w:val="00C913EF"/>
    <w:rsid w:val="00C91854"/>
    <w:rsid w:val="00C9309E"/>
    <w:rsid w:val="00C943CB"/>
    <w:rsid w:val="00C95249"/>
    <w:rsid w:val="00C9532B"/>
    <w:rsid w:val="00C95CF9"/>
    <w:rsid w:val="00C95DE0"/>
    <w:rsid w:val="00C9617E"/>
    <w:rsid w:val="00C96414"/>
    <w:rsid w:val="00CA0401"/>
    <w:rsid w:val="00CA0C5B"/>
    <w:rsid w:val="00CA17AF"/>
    <w:rsid w:val="00CA1CA9"/>
    <w:rsid w:val="00CA3446"/>
    <w:rsid w:val="00CA482C"/>
    <w:rsid w:val="00CA4A62"/>
    <w:rsid w:val="00CA4BD5"/>
    <w:rsid w:val="00CA5495"/>
    <w:rsid w:val="00CA6BBC"/>
    <w:rsid w:val="00CB00AA"/>
    <w:rsid w:val="00CB2530"/>
    <w:rsid w:val="00CB2604"/>
    <w:rsid w:val="00CB3482"/>
    <w:rsid w:val="00CB35C8"/>
    <w:rsid w:val="00CB3D99"/>
    <w:rsid w:val="00CB528D"/>
    <w:rsid w:val="00CB6D1D"/>
    <w:rsid w:val="00CB73C7"/>
    <w:rsid w:val="00CC13FE"/>
    <w:rsid w:val="00CC21E6"/>
    <w:rsid w:val="00CC2B24"/>
    <w:rsid w:val="00CC2CA2"/>
    <w:rsid w:val="00CC3AE8"/>
    <w:rsid w:val="00CC4143"/>
    <w:rsid w:val="00CC4A61"/>
    <w:rsid w:val="00CC4E9C"/>
    <w:rsid w:val="00CC514F"/>
    <w:rsid w:val="00CC52ED"/>
    <w:rsid w:val="00CC53AE"/>
    <w:rsid w:val="00CC7720"/>
    <w:rsid w:val="00CC7A0C"/>
    <w:rsid w:val="00CC7B82"/>
    <w:rsid w:val="00CD0771"/>
    <w:rsid w:val="00CD0E00"/>
    <w:rsid w:val="00CD272B"/>
    <w:rsid w:val="00CD2B50"/>
    <w:rsid w:val="00CD2E25"/>
    <w:rsid w:val="00CD4021"/>
    <w:rsid w:val="00CD57EA"/>
    <w:rsid w:val="00CD6C76"/>
    <w:rsid w:val="00CD6FB3"/>
    <w:rsid w:val="00CE11AD"/>
    <w:rsid w:val="00CE131F"/>
    <w:rsid w:val="00CE1537"/>
    <w:rsid w:val="00CE1546"/>
    <w:rsid w:val="00CE1FEA"/>
    <w:rsid w:val="00CE28C7"/>
    <w:rsid w:val="00CE30CA"/>
    <w:rsid w:val="00CE3A48"/>
    <w:rsid w:val="00CE5A23"/>
    <w:rsid w:val="00CE63DC"/>
    <w:rsid w:val="00CE7026"/>
    <w:rsid w:val="00CE7424"/>
    <w:rsid w:val="00CE767E"/>
    <w:rsid w:val="00CE7CAB"/>
    <w:rsid w:val="00CF02E8"/>
    <w:rsid w:val="00CF13FF"/>
    <w:rsid w:val="00CF1C57"/>
    <w:rsid w:val="00CF2405"/>
    <w:rsid w:val="00CF27B6"/>
    <w:rsid w:val="00CF391A"/>
    <w:rsid w:val="00CF3D65"/>
    <w:rsid w:val="00CF4B6D"/>
    <w:rsid w:val="00CF5B58"/>
    <w:rsid w:val="00CF750A"/>
    <w:rsid w:val="00D004A0"/>
    <w:rsid w:val="00D03034"/>
    <w:rsid w:val="00D03C3F"/>
    <w:rsid w:val="00D0627D"/>
    <w:rsid w:val="00D109CB"/>
    <w:rsid w:val="00D11CF6"/>
    <w:rsid w:val="00D11D8B"/>
    <w:rsid w:val="00D11EB6"/>
    <w:rsid w:val="00D20808"/>
    <w:rsid w:val="00D21225"/>
    <w:rsid w:val="00D2155F"/>
    <w:rsid w:val="00D21FE4"/>
    <w:rsid w:val="00D235C3"/>
    <w:rsid w:val="00D25519"/>
    <w:rsid w:val="00D263C6"/>
    <w:rsid w:val="00D32985"/>
    <w:rsid w:val="00D33199"/>
    <w:rsid w:val="00D33454"/>
    <w:rsid w:val="00D34BB2"/>
    <w:rsid w:val="00D3529F"/>
    <w:rsid w:val="00D361A9"/>
    <w:rsid w:val="00D41741"/>
    <w:rsid w:val="00D4185A"/>
    <w:rsid w:val="00D42736"/>
    <w:rsid w:val="00D4418A"/>
    <w:rsid w:val="00D452E3"/>
    <w:rsid w:val="00D457A5"/>
    <w:rsid w:val="00D45FFA"/>
    <w:rsid w:val="00D470C9"/>
    <w:rsid w:val="00D4733E"/>
    <w:rsid w:val="00D47570"/>
    <w:rsid w:val="00D4781C"/>
    <w:rsid w:val="00D52010"/>
    <w:rsid w:val="00D52398"/>
    <w:rsid w:val="00D5348C"/>
    <w:rsid w:val="00D54B0E"/>
    <w:rsid w:val="00D555E4"/>
    <w:rsid w:val="00D555FE"/>
    <w:rsid w:val="00D633E0"/>
    <w:rsid w:val="00D636F3"/>
    <w:rsid w:val="00D65C65"/>
    <w:rsid w:val="00D65EC4"/>
    <w:rsid w:val="00D66295"/>
    <w:rsid w:val="00D66993"/>
    <w:rsid w:val="00D66FB6"/>
    <w:rsid w:val="00D672F5"/>
    <w:rsid w:val="00D6785A"/>
    <w:rsid w:val="00D67C26"/>
    <w:rsid w:val="00D72728"/>
    <w:rsid w:val="00D72BED"/>
    <w:rsid w:val="00D75AD9"/>
    <w:rsid w:val="00D77369"/>
    <w:rsid w:val="00D77767"/>
    <w:rsid w:val="00D803AB"/>
    <w:rsid w:val="00D8260D"/>
    <w:rsid w:val="00D82D71"/>
    <w:rsid w:val="00D841D0"/>
    <w:rsid w:val="00D8488C"/>
    <w:rsid w:val="00D84A85"/>
    <w:rsid w:val="00D84E1A"/>
    <w:rsid w:val="00D8757D"/>
    <w:rsid w:val="00D875D5"/>
    <w:rsid w:val="00D87821"/>
    <w:rsid w:val="00D90503"/>
    <w:rsid w:val="00D90C8F"/>
    <w:rsid w:val="00D90EEF"/>
    <w:rsid w:val="00D91433"/>
    <w:rsid w:val="00D91B2B"/>
    <w:rsid w:val="00D91E73"/>
    <w:rsid w:val="00D9217E"/>
    <w:rsid w:val="00D9288D"/>
    <w:rsid w:val="00D9646F"/>
    <w:rsid w:val="00D96C0A"/>
    <w:rsid w:val="00D979A9"/>
    <w:rsid w:val="00DA0A1C"/>
    <w:rsid w:val="00DA2B2E"/>
    <w:rsid w:val="00DA31A8"/>
    <w:rsid w:val="00DA3537"/>
    <w:rsid w:val="00DA45B8"/>
    <w:rsid w:val="00DA4AAA"/>
    <w:rsid w:val="00DA51DB"/>
    <w:rsid w:val="00DA662C"/>
    <w:rsid w:val="00DA762E"/>
    <w:rsid w:val="00DA76D3"/>
    <w:rsid w:val="00DB01B2"/>
    <w:rsid w:val="00DB1614"/>
    <w:rsid w:val="00DB25F9"/>
    <w:rsid w:val="00DB3931"/>
    <w:rsid w:val="00DB609F"/>
    <w:rsid w:val="00DB6264"/>
    <w:rsid w:val="00DB6A0C"/>
    <w:rsid w:val="00DB6A79"/>
    <w:rsid w:val="00DB7808"/>
    <w:rsid w:val="00DB7E3F"/>
    <w:rsid w:val="00DC16D2"/>
    <w:rsid w:val="00DC1C32"/>
    <w:rsid w:val="00DC2432"/>
    <w:rsid w:val="00DC34C7"/>
    <w:rsid w:val="00DC4135"/>
    <w:rsid w:val="00DC4198"/>
    <w:rsid w:val="00DC4A16"/>
    <w:rsid w:val="00DC53A0"/>
    <w:rsid w:val="00DC6648"/>
    <w:rsid w:val="00DD0FC1"/>
    <w:rsid w:val="00DD116B"/>
    <w:rsid w:val="00DD37CA"/>
    <w:rsid w:val="00DD3B90"/>
    <w:rsid w:val="00DD3BE7"/>
    <w:rsid w:val="00DD432E"/>
    <w:rsid w:val="00DD44E1"/>
    <w:rsid w:val="00DD6DDC"/>
    <w:rsid w:val="00DD7AC9"/>
    <w:rsid w:val="00DE0125"/>
    <w:rsid w:val="00DE02DE"/>
    <w:rsid w:val="00DE093E"/>
    <w:rsid w:val="00DE15A9"/>
    <w:rsid w:val="00DE1C1A"/>
    <w:rsid w:val="00DE2618"/>
    <w:rsid w:val="00DE3CF2"/>
    <w:rsid w:val="00DE400A"/>
    <w:rsid w:val="00DE4BE6"/>
    <w:rsid w:val="00DE78CF"/>
    <w:rsid w:val="00DF077D"/>
    <w:rsid w:val="00DF0CFB"/>
    <w:rsid w:val="00DF3AEA"/>
    <w:rsid w:val="00DF45A8"/>
    <w:rsid w:val="00DF54E2"/>
    <w:rsid w:val="00DF5DE6"/>
    <w:rsid w:val="00DF620F"/>
    <w:rsid w:val="00DF7D5A"/>
    <w:rsid w:val="00E000D2"/>
    <w:rsid w:val="00E003A4"/>
    <w:rsid w:val="00E0119A"/>
    <w:rsid w:val="00E02B87"/>
    <w:rsid w:val="00E02BAC"/>
    <w:rsid w:val="00E02E22"/>
    <w:rsid w:val="00E06B55"/>
    <w:rsid w:val="00E06E97"/>
    <w:rsid w:val="00E07198"/>
    <w:rsid w:val="00E0728B"/>
    <w:rsid w:val="00E1068C"/>
    <w:rsid w:val="00E1292C"/>
    <w:rsid w:val="00E13723"/>
    <w:rsid w:val="00E1394C"/>
    <w:rsid w:val="00E145C3"/>
    <w:rsid w:val="00E155FE"/>
    <w:rsid w:val="00E165BA"/>
    <w:rsid w:val="00E170EC"/>
    <w:rsid w:val="00E17244"/>
    <w:rsid w:val="00E17A39"/>
    <w:rsid w:val="00E22EA2"/>
    <w:rsid w:val="00E259BA"/>
    <w:rsid w:val="00E25C27"/>
    <w:rsid w:val="00E26DE7"/>
    <w:rsid w:val="00E31954"/>
    <w:rsid w:val="00E31A49"/>
    <w:rsid w:val="00E31BB7"/>
    <w:rsid w:val="00E32BC7"/>
    <w:rsid w:val="00E33058"/>
    <w:rsid w:val="00E3387F"/>
    <w:rsid w:val="00E3394C"/>
    <w:rsid w:val="00E346B5"/>
    <w:rsid w:val="00E35C30"/>
    <w:rsid w:val="00E35CB2"/>
    <w:rsid w:val="00E4011E"/>
    <w:rsid w:val="00E40896"/>
    <w:rsid w:val="00E40F34"/>
    <w:rsid w:val="00E41558"/>
    <w:rsid w:val="00E41682"/>
    <w:rsid w:val="00E42B67"/>
    <w:rsid w:val="00E439F2"/>
    <w:rsid w:val="00E43C8E"/>
    <w:rsid w:val="00E44505"/>
    <w:rsid w:val="00E459CA"/>
    <w:rsid w:val="00E45DF2"/>
    <w:rsid w:val="00E46380"/>
    <w:rsid w:val="00E4795A"/>
    <w:rsid w:val="00E47D11"/>
    <w:rsid w:val="00E50472"/>
    <w:rsid w:val="00E519B7"/>
    <w:rsid w:val="00E52AED"/>
    <w:rsid w:val="00E54417"/>
    <w:rsid w:val="00E5543E"/>
    <w:rsid w:val="00E55737"/>
    <w:rsid w:val="00E55A31"/>
    <w:rsid w:val="00E57363"/>
    <w:rsid w:val="00E57F50"/>
    <w:rsid w:val="00E606DD"/>
    <w:rsid w:val="00E60778"/>
    <w:rsid w:val="00E611AA"/>
    <w:rsid w:val="00E612C2"/>
    <w:rsid w:val="00E627BB"/>
    <w:rsid w:val="00E62D14"/>
    <w:rsid w:val="00E643EB"/>
    <w:rsid w:val="00E67984"/>
    <w:rsid w:val="00E67AF7"/>
    <w:rsid w:val="00E67D9A"/>
    <w:rsid w:val="00E70B1D"/>
    <w:rsid w:val="00E71A0F"/>
    <w:rsid w:val="00E72336"/>
    <w:rsid w:val="00E72376"/>
    <w:rsid w:val="00E72CB5"/>
    <w:rsid w:val="00E75D06"/>
    <w:rsid w:val="00E76192"/>
    <w:rsid w:val="00E76259"/>
    <w:rsid w:val="00E76305"/>
    <w:rsid w:val="00E76838"/>
    <w:rsid w:val="00E773E7"/>
    <w:rsid w:val="00E82658"/>
    <w:rsid w:val="00E83E16"/>
    <w:rsid w:val="00E84B23"/>
    <w:rsid w:val="00E84DD8"/>
    <w:rsid w:val="00E857C9"/>
    <w:rsid w:val="00E85D6B"/>
    <w:rsid w:val="00E861F0"/>
    <w:rsid w:val="00E86286"/>
    <w:rsid w:val="00E86AED"/>
    <w:rsid w:val="00E8761D"/>
    <w:rsid w:val="00E902D7"/>
    <w:rsid w:val="00E91008"/>
    <w:rsid w:val="00E926CE"/>
    <w:rsid w:val="00E92846"/>
    <w:rsid w:val="00E92F88"/>
    <w:rsid w:val="00E935EA"/>
    <w:rsid w:val="00E93D9A"/>
    <w:rsid w:val="00E94E9B"/>
    <w:rsid w:val="00E95F03"/>
    <w:rsid w:val="00E96847"/>
    <w:rsid w:val="00E96C61"/>
    <w:rsid w:val="00E96D78"/>
    <w:rsid w:val="00E971AA"/>
    <w:rsid w:val="00E97AF0"/>
    <w:rsid w:val="00EA1006"/>
    <w:rsid w:val="00EA2D4E"/>
    <w:rsid w:val="00EA2F70"/>
    <w:rsid w:val="00EA43A1"/>
    <w:rsid w:val="00EA4968"/>
    <w:rsid w:val="00EA50AC"/>
    <w:rsid w:val="00EA599D"/>
    <w:rsid w:val="00EA645C"/>
    <w:rsid w:val="00EB09F0"/>
    <w:rsid w:val="00EB17D2"/>
    <w:rsid w:val="00EB1D84"/>
    <w:rsid w:val="00EB2007"/>
    <w:rsid w:val="00EB3227"/>
    <w:rsid w:val="00EB34DC"/>
    <w:rsid w:val="00EB49DB"/>
    <w:rsid w:val="00EB4CB9"/>
    <w:rsid w:val="00EB61D0"/>
    <w:rsid w:val="00EC0012"/>
    <w:rsid w:val="00EC19C0"/>
    <w:rsid w:val="00EC2331"/>
    <w:rsid w:val="00EC2CAE"/>
    <w:rsid w:val="00EC4441"/>
    <w:rsid w:val="00EC44E5"/>
    <w:rsid w:val="00EC55C3"/>
    <w:rsid w:val="00EC5AB5"/>
    <w:rsid w:val="00EC73A0"/>
    <w:rsid w:val="00ED0424"/>
    <w:rsid w:val="00ED06A4"/>
    <w:rsid w:val="00ED2C60"/>
    <w:rsid w:val="00ED2E5C"/>
    <w:rsid w:val="00ED340C"/>
    <w:rsid w:val="00ED401F"/>
    <w:rsid w:val="00ED403D"/>
    <w:rsid w:val="00ED416C"/>
    <w:rsid w:val="00ED4F37"/>
    <w:rsid w:val="00ED6133"/>
    <w:rsid w:val="00ED6AFD"/>
    <w:rsid w:val="00ED6EA1"/>
    <w:rsid w:val="00ED7ECE"/>
    <w:rsid w:val="00EE26FC"/>
    <w:rsid w:val="00EE3276"/>
    <w:rsid w:val="00EE387A"/>
    <w:rsid w:val="00EE3B0B"/>
    <w:rsid w:val="00EE4E8A"/>
    <w:rsid w:val="00EE564A"/>
    <w:rsid w:val="00EE7FDF"/>
    <w:rsid w:val="00EF0007"/>
    <w:rsid w:val="00EF04FA"/>
    <w:rsid w:val="00EF1F6A"/>
    <w:rsid w:val="00EF2957"/>
    <w:rsid w:val="00EF2BEE"/>
    <w:rsid w:val="00EF3300"/>
    <w:rsid w:val="00EF41DF"/>
    <w:rsid w:val="00EF465C"/>
    <w:rsid w:val="00EF523C"/>
    <w:rsid w:val="00EF6119"/>
    <w:rsid w:val="00EF65AD"/>
    <w:rsid w:val="00EF6D43"/>
    <w:rsid w:val="00EF6F5D"/>
    <w:rsid w:val="00EF7435"/>
    <w:rsid w:val="00EF7617"/>
    <w:rsid w:val="00F0310E"/>
    <w:rsid w:val="00F03381"/>
    <w:rsid w:val="00F03605"/>
    <w:rsid w:val="00F04ECE"/>
    <w:rsid w:val="00F05383"/>
    <w:rsid w:val="00F06472"/>
    <w:rsid w:val="00F06570"/>
    <w:rsid w:val="00F0695A"/>
    <w:rsid w:val="00F07A51"/>
    <w:rsid w:val="00F1102B"/>
    <w:rsid w:val="00F1190A"/>
    <w:rsid w:val="00F147D1"/>
    <w:rsid w:val="00F14820"/>
    <w:rsid w:val="00F15178"/>
    <w:rsid w:val="00F210CB"/>
    <w:rsid w:val="00F21813"/>
    <w:rsid w:val="00F227E1"/>
    <w:rsid w:val="00F24D2E"/>
    <w:rsid w:val="00F25A62"/>
    <w:rsid w:val="00F26D36"/>
    <w:rsid w:val="00F273B5"/>
    <w:rsid w:val="00F3025D"/>
    <w:rsid w:val="00F3058D"/>
    <w:rsid w:val="00F30FDB"/>
    <w:rsid w:val="00F330C6"/>
    <w:rsid w:val="00F3359F"/>
    <w:rsid w:val="00F342AE"/>
    <w:rsid w:val="00F3665B"/>
    <w:rsid w:val="00F37305"/>
    <w:rsid w:val="00F37822"/>
    <w:rsid w:val="00F40177"/>
    <w:rsid w:val="00F40CE7"/>
    <w:rsid w:val="00F40D87"/>
    <w:rsid w:val="00F40EE3"/>
    <w:rsid w:val="00F44507"/>
    <w:rsid w:val="00F4521A"/>
    <w:rsid w:val="00F45F36"/>
    <w:rsid w:val="00F4677A"/>
    <w:rsid w:val="00F46C50"/>
    <w:rsid w:val="00F475F7"/>
    <w:rsid w:val="00F5050E"/>
    <w:rsid w:val="00F53702"/>
    <w:rsid w:val="00F53AF1"/>
    <w:rsid w:val="00F555F4"/>
    <w:rsid w:val="00F556B1"/>
    <w:rsid w:val="00F57D80"/>
    <w:rsid w:val="00F57F2C"/>
    <w:rsid w:val="00F6035B"/>
    <w:rsid w:val="00F60964"/>
    <w:rsid w:val="00F60ACC"/>
    <w:rsid w:val="00F63651"/>
    <w:rsid w:val="00F63C9E"/>
    <w:rsid w:val="00F64C21"/>
    <w:rsid w:val="00F65405"/>
    <w:rsid w:val="00F67811"/>
    <w:rsid w:val="00F71071"/>
    <w:rsid w:val="00F7149A"/>
    <w:rsid w:val="00F71CEC"/>
    <w:rsid w:val="00F7493B"/>
    <w:rsid w:val="00F772AE"/>
    <w:rsid w:val="00F80950"/>
    <w:rsid w:val="00F81354"/>
    <w:rsid w:val="00F81D16"/>
    <w:rsid w:val="00F83438"/>
    <w:rsid w:val="00F87904"/>
    <w:rsid w:val="00F91E63"/>
    <w:rsid w:val="00F932A4"/>
    <w:rsid w:val="00F939B0"/>
    <w:rsid w:val="00F940A5"/>
    <w:rsid w:val="00F9534E"/>
    <w:rsid w:val="00F95FD1"/>
    <w:rsid w:val="00F976DD"/>
    <w:rsid w:val="00F9776D"/>
    <w:rsid w:val="00F97C42"/>
    <w:rsid w:val="00FA0383"/>
    <w:rsid w:val="00FA11E0"/>
    <w:rsid w:val="00FA2FC9"/>
    <w:rsid w:val="00FA5F9A"/>
    <w:rsid w:val="00FA643E"/>
    <w:rsid w:val="00FA7C24"/>
    <w:rsid w:val="00FB08DF"/>
    <w:rsid w:val="00FB09B8"/>
    <w:rsid w:val="00FB1B08"/>
    <w:rsid w:val="00FB2F77"/>
    <w:rsid w:val="00FB38DF"/>
    <w:rsid w:val="00FB3F92"/>
    <w:rsid w:val="00FB3FD3"/>
    <w:rsid w:val="00FB47A6"/>
    <w:rsid w:val="00FB4F4E"/>
    <w:rsid w:val="00FB5031"/>
    <w:rsid w:val="00FB5721"/>
    <w:rsid w:val="00FB687D"/>
    <w:rsid w:val="00FB6A02"/>
    <w:rsid w:val="00FB7421"/>
    <w:rsid w:val="00FB7543"/>
    <w:rsid w:val="00FC0DAD"/>
    <w:rsid w:val="00FC100E"/>
    <w:rsid w:val="00FC25A3"/>
    <w:rsid w:val="00FC2F76"/>
    <w:rsid w:val="00FC40C7"/>
    <w:rsid w:val="00FC5E73"/>
    <w:rsid w:val="00FC64D6"/>
    <w:rsid w:val="00FC746B"/>
    <w:rsid w:val="00FD05B8"/>
    <w:rsid w:val="00FD0A55"/>
    <w:rsid w:val="00FD16E3"/>
    <w:rsid w:val="00FD179E"/>
    <w:rsid w:val="00FD2B19"/>
    <w:rsid w:val="00FD3261"/>
    <w:rsid w:val="00FD4D8C"/>
    <w:rsid w:val="00FD6032"/>
    <w:rsid w:val="00FD64F9"/>
    <w:rsid w:val="00FD742C"/>
    <w:rsid w:val="00FE2268"/>
    <w:rsid w:val="00FE69A2"/>
    <w:rsid w:val="00FE6DE5"/>
    <w:rsid w:val="00FE701A"/>
    <w:rsid w:val="00FF0C07"/>
    <w:rsid w:val="00FF2CED"/>
    <w:rsid w:val="00FF3639"/>
    <w:rsid w:val="00FF44AD"/>
    <w:rsid w:val="00FF4E0E"/>
    <w:rsid w:val="00FF521E"/>
    <w:rsid w:val="00FF5238"/>
    <w:rsid w:val="3F8B0EFB"/>
    <w:rsid w:val="4BCE2788"/>
    <w:rsid w:val="78E409E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updateFields w:val="true"/>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9" w:semiHidden="0"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semiHidden="0"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qFormat="1"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qFormat="1"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semiHidden="0" w:name="Balloon Text"/>
    <w:lsdException w:qFormat="1" w:unhideWhenUsed="0" w:uiPriority="99" w:semiHidden="0" w:name="Table Grid"/>
    <w:lsdException w:uiPriority="99" w:name="Table Theme"/>
    <w:lsdException w:qFormat="1" w:unhideWhenUsed="0" w:uiPriority="99" w:name="Placeholder Text"/>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adjustRightInd w:val="0"/>
      <w:snapToGrid w:val="0"/>
      <w:spacing w:line="560" w:lineRule="exact" w:before="0" w:after="0"/>
      <w:ind w:firstLine="200" w:firstLineChars="200"/>
      <w:jc w:val="both"/>
    </w:pPr>
    <w:rPr>
      <w:rFonts w:ascii="Times New Roman" w:hAnsi="Times New Roman" w:eastAsia="仿宋_GB2312" w:cstheme="minorBidi"/>
      <w:b w:val="0"/>
      <w:kern w:val="2"/>
      <w:sz w:val="28"/>
      <w:szCs w:val="22"/>
      <w:lang w:val="en-US" w:eastAsia="zh-CN" w:bidi="ar-SA"/>
    </w:rPr>
  </w:style>
  <w:style w:type="paragraph" w:styleId="2">
    <w:name w:val="heading 1"/>
    <w:next w:val="1"/>
    <w:link w:val="28"/>
    <w:qFormat/>
    <w:uiPriority w:val="9"/>
    <w:pPr>
      <w:keepNext/>
      <w:keepLines/>
      <w:spacing w:before="120" w:beforeLines="50" w:after="120" w:afterLines="50" w:line="560" w:lineRule="exact"/>
      <w:outlineLvl w:val="0"/>
    </w:pPr>
    <w:rPr>
      <w:rFonts w:ascii="Times New Roman" w:hAnsi="Times New Roman" w:eastAsia="仿宋_GB2312" w:cstheme="minorBidi"/>
      <w:b/>
      <w:bCs/>
      <w:kern w:val="44"/>
      <w:sz w:val="36"/>
      <w:szCs w:val="44"/>
      <w:lang w:val="en-US" w:eastAsia="zh-CN" w:bidi="ar-SA"/>
    </w:rPr>
  </w:style>
  <w:style w:type="paragraph" w:styleId="3">
    <w:name w:val="heading 2"/>
    <w:next w:val="2"/>
    <w:link w:val="29"/>
    <w:unhideWhenUsed/>
    <w:qFormat/>
    <w:uiPriority w:val="9"/>
    <w:pPr>
      <w:keepNext/>
      <w:keepLines/>
      <w:spacing w:before="120" w:after="120" w:line="560" w:lineRule="exact"/>
      <w:outlineLvl w:val="1"/>
    </w:pPr>
    <w:rPr>
      <w:rFonts w:ascii="Times New Roman" w:hAnsi="Times New Roman" w:eastAsia="仿宋_GB2312" w:cstheme="majorBidi"/>
      <w:b/>
      <w:bCs/>
      <w:kern w:val="2"/>
      <w:sz w:val="28"/>
      <w:szCs w:val="32"/>
      <w:lang w:val="en-US" w:eastAsia="zh-CN" w:bidi="ar-SA"/>
    </w:rPr>
  </w:style>
  <w:style w:type="paragraph" w:styleId="4">
    <w:name w:val="heading 3"/>
    <w:basedOn w:val="1"/>
    <w:next w:val="5"/>
    <w:link w:val="30"/>
    <w:unhideWhenUsed/>
    <w:qFormat/>
    <w:uiPriority w:val="9"/>
    <w:pPr>
      <w:keepNext/>
      <w:keepLines/>
      <w:spacing w:before="50" w:beforeLines="50" w:after="50" w:afterLines="50" w:line="560" w:lineRule="exact"/>
      <w:jc w:val="left"/>
      <w:outlineLvl w:val="2"/>
    </w:pPr>
    <w:rPr>
      <w:rFonts w:ascii="Times New Roman" w:hAnsi="Times New Roman" w:eastAsia="仿宋_GB2312"/>
      <w:b/>
      <w:bCs/>
      <w:sz w:val="28"/>
      <w:szCs w:val="32"/>
    </w:rPr>
  </w:style>
  <w:style w:type="paragraph" w:styleId="6">
    <w:name w:val="heading 4"/>
    <w:basedOn w:val="1"/>
    <w:next w:val="1"/>
    <w:link w:val="31"/>
    <w:unhideWhenUsed/>
    <w:qFormat/>
    <w:uiPriority w:val="9"/>
    <w:pPr>
      <w:keepNext/>
      <w:keepLines/>
      <w:spacing w:before="120" w:after="120"/>
      <w:ind w:firstLine="0" w:firstLineChars="0"/>
      <w:outlineLvl w:val="3"/>
    </w:pPr>
    <w:rPr>
      <w:rFonts w:cstheme="majorBidi"/>
      <w:b/>
      <w:bCs/>
      <w:szCs w:val="28"/>
    </w:rPr>
  </w:style>
  <w:style w:type="paragraph" w:styleId="7">
    <w:name w:val="heading 5"/>
    <w:basedOn w:val="1"/>
    <w:next w:val="1"/>
    <w:link w:val="32"/>
    <w:unhideWhenUsed/>
    <w:qFormat/>
    <w:uiPriority w:val="9"/>
    <w:pPr>
      <w:keepNext/>
      <w:keepLines/>
      <w:spacing w:before="280" w:after="290" w:line="376" w:lineRule="auto"/>
      <w:outlineLvl w:val="4"/>
    </w:pPr>
    <w:rPr>
      <w:b/>
      <w:bCs/>
      <w:szCs w:val="28"/>
    </w:rPr>
  </w:style>
  <w:style w:type="paragraph" w:styleId="8">
    <w:name w:val="heading 6"/>
    <w:basedOn w:val="1"/>
    <w:next w:val="1"/>
    <w:link w:val="93"/>
    <w:unhideWhenUsed/>
    <w:qFormat/>
    <w:uiPriority w:val="9"/>
    <w:pPr>
      <w:keepNext/>
      <w:keepLines/>
      <w:adjustRightInd/>
      <w:snapToGrid/>
      <w:spacing w:before="240" w:after="64" w:line="320" w:lineRule="auto"/>
      <w:outlineLvl w:val="5"/>
    </w:pPr>
    <w:rPr>
      <w:rFonts w:asciiTheme="majorHAnsi" w:hAnsiTheme="majorHAnsi" w:eastAsiaTheme="majorEastAsia" w:cstheme="majorBidi"/>
      <w:b/>
      <w:bCs/>
      <w:sz w:val="24"/>
      <w:szCs w:val="24"/>
    </w:rPr>
  </w:style>
  <w:style w:type="paragraph" w:styleId="9">
    <w:name w:val="heading 7"/>
    <w:basedOn w:val="1"/>
    <w:next w:val="1"/>
    <w:link w:val="100"/>
    <w:semiHidden/>
    <w:unhideWhenUsed/>
    <w:qFormat/>
    <w:uiPriority w:val="9"/>
    <w:pPr>
      <w:keepNext/>
      <w:keepLines/>
      <w:spacing w:before="240" w:after="64" w:line="320" w:lineRule="auto"/>
      <w:outlineLvl w:val="6"/>
    </w:pPr>
    <w:rPr>
      <w:b/>
      <w:bCs/>
      <w:sz w:val="24"/>
      <w:szCs w:val="24"/>
    </w:rPr>
  </w:style>
  <w:style w:type="paragraph" w:styleId="10">
    <w:name w:val="heading 8"/>
    <w:basedOn w:val="1"/>
    <w:next w:val="1"/>
    <w:link w:val="101"/>
    <w:semiHidden/>
    <w:unhideWhenUsed/>
    <w:qFormat/>
    <w:uiPriority w:val="9"/>
    <w:pPr>
      <w:keepNext/>
      <w:keepLines/>
      <w:spacing w:before="240" w:after="64" w:line="320" w:lineRule="auto"/>
      <w:outlineLvl w:val="7"/>
    </w:pPr>
    <w:rPr>
      <w:rFonts w:asciiTheme="majorHAnsi" w:hAnsiTheme="majorHAnsi" w:eastAsiaTheme="majorEastAsia" w:cstheme="majorBidi"/>
      <w:sz w:val="24"/>
      <w:szCs w:val="24"/>
    </w:rPr>
  </w:style>
  <w:style w:type="paragraph" w:styleId="11">
    <w:name w:val="heading 9"/>
    <w:basedOn w:val="1"/>
    <w:next w:val="1"/>
    <w:link w:val="102"/>
    <w:semiHidden/>
    <w:unhideWhenUsed/>
    <w:qFormat/>
    <w:uiPriority w:val="9"/>
    <w:pPr>
      <w:keepNext/>
      <w:keepLines/>
      <w:spacing w:before="240" w:after="64" w:line="320" w:lineRule="auto"/>
      <w:outlineLvl w:val="8"/>
    </w:pPr>
    <w:rPr>
      <w:rFonts w:asciiTheme="majorHAnsi" w:hAnsiTheme="majorHAnsi" w:eastAsiaTheme="majorEastAsia" w:cstheme="majorBidi"/>
      <w:sz w:val="21"/>
      <w:szCs w:val="21"/>
    </w:rPr>
  </w:style>
  <w:style w:type="character" w:default="1" w:styleId="24">
    <w:name w:val="Default Paragraph Font"/>
    <w:semiHidden/>
    <w:unhideWhenUsed/>
    <w:qFormat/>
    <w:uiPriority w:val="1"/>
  </w:style>
  <w:style w:type="table" w:default="1" w:styleId="22">
    <w:name w:val="Normal Table"/>
    <w:semiHidden/>
    <w:unhideWhenUsed/>
    <w:qFormat/>
    <w:uiPriority w:val="99"/>
    <w:tblPr>
      <w:tblCellMar>
        <w:top w:w="0" w:type="dxa"/>
        <w:left w:w="108" w:type="dxa"/>
        <w:bottom w:w="0" w:type="dxa"/>
        <w:right w:w="108" w:type="dxa"/>
      </w:tblCellMar>
    </w:tblPr>
  </w:style>
  <w:style w:type="paragraph" w:customStyle="1" w:styleId="5">
    <w:name w:val="正文 缩进"/>
    <w:basedOn w:val="1"/>
    <w:qFormat/>
    <w:uiPriority w:val="0"/>
    <w:rPr>
      <w:sz w:val="24"/>
    </w:rPr>
  </w:style>
  <w:style w:type="paragraph" w:styleId="12">
    <w:name w:val="caption"/>
    <w:next w:val="1"/>
    <w:unhideWhenUsed/>
    <w:qFormat/>
    <w:uiPriority w:val="35"/>
    <w:pPr>
      <w:jc w:val="center"/>
    </w:pPr>
    <w:rPr>
      <w:rFonts w:ascii="Times New Roman" w:hAnsi="Times New Roman" w:eastAsia="仿宋_GB2312" w:cs="Times New Roman"/>
      <w:b w:val="0"/>
      <w:kern w:val="2"/>
      <w:sz w:val="24"/>
      <w:szCs w:val="32"/>
      <w:lang w:val="en" w:eastAsia="zh-CN" w:bidi="ar-SA"/>
    </w:rPr>
  </w:style>
  <w:style w:type="paragraph" w:styleId="13">
    <w:name w:val="Document Map"/>
    <w:basedOn w:val="1"/>
    <w:link w:val="94"/>
    <w:semiHidden/>
    <w:unhideWhenUsed/>
    <w:uiPriority w:val="99"/>
    <w:pPr>
      <w:adjustRightInd/>
      <w:snapToGrid/>
    </w:pPr>
    <w:rPr>
      <w:rFonts w:ascii="宋体" w:eastAsia="宋体" w:hAnsiTheme="minorHAnsi"/>
      <w:sz w:val="18"/>
      <w:szCs w:val="18"/>
    </w:rPr>
  </w:style>
  <w:style w:type="paragraph" w:styleId="14">
    <w:name w:val="toc 3"/>
    <w:basedOn w:val="1"/>
    <w:next w:val="1"/>
    <w:unhideWhenUsed/>
    <w:qFormat/>
    <w:uiPriority w:val="39"/>
    <w:pPr>
      <w:ind w:left="840" w:leftChars="400"/>
    </w:pPr>
  </w:style>
  <w:style w:type="paragraph" w:styleId="15">
    <w:name w:val="Date"/>
    <w:basedOn w:val="1"/>
    <w:next w:val="1"/>
    <w:link w:val="34"/>
    <w:semiHidden/>
    <w:unhideWhenUsed/>
    <w:qFormat/>
    <w:uiPriority w:val="99"/>
    <w:pPr>
      <w:ind w:left="100" w:leftChars="2500"/>
    </w:pPr>
  </w:style>
  <w:style w:type="paragraph" w:styleId="16">
    <w:name w:val="Balloon Text"/>
    <w:basedOn w:val="1"/>
    <w:link w:val="43"/>
    <w:unhideWhenUsed/>
    <w:qFormat/>
    <w:uiPriority w:val="99"/>
    <w:rPr>
      <w:sz w:val="18"/>
      <w:szCs w:val="18"/>
    </w:rPr>
  </w:style>
  <w:style w:type="paragraph" w:styleId="17">
    <w:name w:val="footer"/>
    <w:basedOn w:val="1"/>
    <w:link w:val="36"/>
    <w:unhideWhenUsed/>
    <w:qFormat/>
    <w:uiPriority w:val="99"/>
    <w:pPr>
      <w:tabs>
        <w:tab w:val="center" w:pos="4153"/>
        <w:tab w:val="right" w:pos="8306"/>
      </w:tabs>
      <w:spacing w:line="240" w:lineRule="atLeast"/>
      <w:jc w:val="left"/>
    </w:pPr>
    <w:rPr>
      <w:sz w:val="18"/>
      <w:szCs w:val="18"/>
    </w:rPr>
  </w:style>
  <w:style w:type="paragraph" w:styleId="18">
    <w:name w:val="header"/>
    <w:basedOn w:val="1"/>
    <w:link w:val="35"/>
    <w:unhideWhenUsed/>
    <w:qFormat/>
    <w:uiPriority w:val="99"/>
    <w:pPr>
      <w:pBdr>
        <w:bottom w:val="single" w:color="auto" w:sz="6" w:space="1"/>
      </w:pBdr>
      <w:tabs>
        <w:tab w:val="center" w:pos="4153"/>
        <w:tab w:val="right" w:pos="8306"/>
      </w:tabs>
      <w:spacing w:line="240" w:lineRule="atLeast"/>
      <w:jc w:val="center"/>
    </w:pPr>
    <w:rPr>
      <w:sz w:val="18"/>
      <w:szCs w:val="18"/>
    </w:rPr>
  </w:style>
  <w:style w:type="paragraph" w:styleId="19">
    <w:name w:val="toc 1"/>
    <w:basedOn w:val="1"/>
    <w:next w:val="1"/>
    <w:unhideWhenUsed/>
    <w:qFormat/>
    <w:uiPriority w:val="39"/>
    <w:pPr>
      <w:tabs>
        <w:tab w:val="left" w:pos="0"/>
        <w:tab w:val="right" w:leader="dot" w:pos="8302"/>
      </w:tabs>
      <w:spacing w:line="560" w:lineRule="exact" w:before="0" w:after="0"/>
      <w:ind w:firstLine="0" w:firstLineChars="0"/>
    </w:pPr>
    <w:rPr>
      <w:rFonts w:eastAsia="仿宋_GB2312" w:cs="Times New Roman" w:ascii="Times New Roman" w:hAnsi="Times New Roman"/>
      <w:b/>
      <w:sz w:val="28"/>
    </w:rPr>
  </w:style>
  <w:style w:type="paragraph" w:styleId="20">
    <w:name w:val="toc 2"/>
    <w:basedOn w:val="1"/>
    <w:next w:val="1"/>
    <w:unhideWhenUsed/>
    <w:qFormat/>
    <w:uiPriority w:val="39"/>
    <w:pPr>
      <w:tabs>
        <w:tab w:val="left" w:pos="1120"/>
        <w:tab w:val="right" w:leader="dot" w:pos="8296"/>
      </w:tabs>
      <w:spacing w:line="560" w:lineRule="exact" w:before="0" w:after="0"/>
      <w:ind w:left="640" w:leftChars="200" w:firstLine="0" w:firstLineChars="0"/>
    </w:pPr>
    <w:rPr>
      <w:rFonts w:ascii="Times New Roman" w:hAnsi="Times New Roman" w:eastAsia="仿宋_GB2312"/>
      <w:b w:val="0"/>
      <w:sz w:val="28"/>
    </w:rPr>
  </w:style>
  <w:style w:type="paragraph" w:styleId="21">
    <w:name w:val="Normal (Web)"/>
    <w:basedOn w:val="1"/>
    <w:unhideWhenUsed/>
    <w:qFormat/>
    <w:uiPriority w:val="99"/>
    <w:pPr>
      <w:widowControl/>
      <w:adjustRightInd/>
      <w:snapToGrid/>
      <w:spacing w:before="100" w:beforeAutospacing="1" w:after="100" w:afterAutospacing="1"/>
      <w:jc w:val="left"/>
    </w:pPr>
    <w:rPr>
      <w:rFonts w:ascii="宋体" w:hAnsi="宋体" w:eastAsia="宋体" w:cs="宋体"/>
      <w:kern w:val="0"/>
      <w:sz w:val="24"/>
      <w:szCs w:val="24"/>
    </w:rPr>
  </w:style>
  <w:style w:type="table" w:styleId="23">
    <w:name w:val="Table Grid"/>
    <w:basedOn w:val="22"/>
    <w:qFormat/>
    <w:uiPriority w:val="99"/>
    <w:pPr>
      <w:widowControl w:val="0"/>
      <w:jc w:val="both"/>
    </w:pPr>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5">
    <w:name w:val="Strong"/>
    <w:basedOn w:val="24"/>
    <w:qFormat/>
    <w:uiPriority w:val="22"/>
    <w:rPr>
      <w:b/>
      <w:bCs/>
    </w:rPr>
  </w:style>
  <w:style w:type="character" w:styleId="26">
    <w:name w:val="FollowedHyperlink"/>
    <w:basedOn w:val="24"/>
    <w:semiHidden/>
    <w:unhideWhenUsed/>
    <w:qFormat/>
    <w:uiPriority w:val="99"/>
    <w:rPr>
      <w:color w:val="800080"/>
      <w:u w:val="single"/>
    </w:rPr>
  </w:style>
  <w:style w:type="character" w:styleId="27">
    <w:name w:val="Hyperlink"/>
    <w:basedOn w:val="24"/>
    <w:unhideWhenUsed/>
    <w:qFormat/>
    <w:uiPriority w:val="99"/>
    <w:rPr>
      <w:color w:val="0000FF" w:themeColor="hyperlink"/>
      <w:u w:val="single"/>
      <w14:textFill>
        <w14:solidFill>
          <w14:schemeClr w14:val="hlink"/>
        </w14:solidFill>
      </w14:textFill>
    </w:rPr>
  </w:style>
  <w:style w:type="character" w:customStyle="1" w:styleId="28">
    <w:name w:val="标题 1 字符"/>
    <w:basedOn w:val="24"/>
    <w:link w:val="2"/>
    <w:qFormat/>
    <w:uiPriority w:val="9"/>
    <w:rPr>
      <w:rFonts w:ascii="仿宋_GB2312" w:hAnsi="仿宋" w:eastAsia="仿宋_GB2312"/>
      <w:b/>
      <w:bCs/>
      <w:kern w:val="44"/>
      <w:sz w:val="36"/>
      <w:szCs w:val="44"/>
    </w:rPr>
  </w:style>
  <w:style w:type="character" w:customStyle="1" w:styleId="29">
    <w:name w:val="标题 2 字符"/>
    <w:basedOn w:val="24"/>
    <w:link w:val="3"/>
    <w:qFormat/>
    <w:uiPriority w:val="9"/>
    <w:rPr>
      <w:rFonts w:ascii="Times New Roman" w:hAnsi="Times New Roman" w:eastAsia="仿宋_GB2312" w:cstheme="majorBidi"/>
      <w:b/>
      <w:bCs/>
      <w:sz w:val="32"/>
      <w:szCs w:val="32"/>
    </w:rPr>
  </w:style>
  <w:style w:type="character" w:customStyle="1" w:styleId="30">
    <w:name w:val="标题 3 字符"/>
    <w:basedOn w:val="24"/>
    <w:link w:val="4"/>
    <w:qFormat/>
    <w:uiPriority w:val="9"/>
    <w:rPr>
      <w:rFonts w:ascii="Times New Roman" w:hAnsi="Times New Roman" w:eastAsia="仿宋_GB2312"/>
      <w:b/>
      <w:bCs/>
      <w:sz w:val="32"/>
      <w:szCs w:val="32"/>
    </w:rPr>
  </w:style>
  <w:style w:type="character" w:customStyle="1" w:styleId="31">
    <w:name w:val="标题 4 字符"/>
    <w:basedOn w:val="24"/>
    <w:link w:val="6"/>
    <w:qFormat/>
    <w:uiPriority w:val="9"/>
    <w:rPr>
      <w:rFonts w:ascii="Times New Roman" w:hAnsi="Times New Roman" w:eastAsia="仿宋_GB2312" w:cstheme="majorBidi"/>
      <w:b/>
      <w:bCs/>
      <w:sz w:val="32"/>
      <w:szCs w:val="28"/>
    </w:rPr>
  </w:style>
  <w:style w:type="character" w:customStyle="1" w:styleId="32">
    <w:name w:val="标题 5 字符"/>
    <w:basedOn w:val="24"/>
    <w:link w:val="7"/>
    <w:qFormat/>
    <w:uiPriority w:val="9"/>
    <w:rPr>
      <w:rFonts w:ascii="Times New Roman" w:hAnsi="Times New Roman" w:eastAsia="仿宋_GB2312"/>
      <w:b/>
      <w:bCs/>
      <w:sz w:val="28"/>
      <w:szCs w:val="28"/>
    </w:rPr>
  </w:style>
  <w:style w:type="paragraph" w:styleId="33">
    <w:name w:val="No Spacing"/>
    <w:qFormat/>
    <w:uiPriority w:val="1"/>
    <w:pPr>
      <w:widowControl w:val="0"/>
      <w:jc w:val="both"/>
    </w:pPr>
    <w:rPr>
      <w:rFonts w:eastAsia="仿宋" w:asciiTheme="minorHAnsi" w:hAnsiTheme="minorHAnsi" w:cstheme="minorBidi"/>
      <w:kern w:val="2"/>
      <w:sz w:val="21"/>
      <w:szCs w:val="22"/>
      <w:lang w:val="en-US" w:eastAsia="zh-CN" w:bidi="ar-SA"/>
    </w:rPr>
  </w:style>
  <w:style w:type="character" w:customStyle="1" w:styleId="34">
    <w:name w:val="日期 字符"/>
    <w:basedOn w:val="24"/>
    <w:link w:val="15"/>
    <w:semiHidden/>
    <w:qFormat/>
    <w:uiPriority w:val="99"/>
    <w:rPr>
      <w:rFonts w:ascii="Times New Roman" w:hAnsi="Times New Roman" w:eastAsia="仿宋_GB2312"/>
      <w:sz w:val="28"/>
    </w:rPr>
  </w:style>
  <w:style w:type="character" w:customStyle="1" w:styleId="35">
    <w:name w:val="页眉 字符"/>
    <w:basedOn w:val="24"/>
    <w:link w:val="18"/>
    <w:qFormat/>
    <w:uiPriority w:val="99"/>
    <w:rPr>
      <w:rFonts w:ascii="Times New Roman" w:hAnsi="Times New Roman" w:eastAsia="仿宋_GB2312"/>
      <w:sz w:val="18"/>
      <w:szCs w:val="18"/>
    </w:rPr>
  </w:style>
  <w:style w:type="character" w:customStyle="1" w:styleId="36">
    <w:name w:val="页脚 字符"/>
    <w:basedOn w:val="24"/>
    <w:link w:val="17"/>
    <w:qFormat/>
    <w:uiPriority w:val="99"/>
    <w:rPr>
      <w:rFonts w:ascii="Times New Roman" w:hAnsi="Times New Roman" w:eastAsia="仿宋_GB2312"/>
      <w:sz w:val="18"/>
      <w:szCs w:val="18"/>
    </w:rPr>
  </w:style>
  <w:style w:type="paragraph" w:styleId="37">
    <w:name w:val="List Paragraph"/>
    <w:link w:val="95"/>
    <w:qFormat/>
    <w:uiPriority w:val="34"/>
    <w:pPr>
      <w:spacing w:line="580" w:lineRule="exact"/>
      <w:ind w:firstLine="643" w:firstLineChars="200"/>
    </w:pPr>
    <w:rPr>
      <w:rFonts w:ascii="仿宋_GB2312" w:hAnsi="Times New Roman" w:eastAsia="仿宋_GB2312" w:cstheme="minorBidi"/>
      <w:kern w:val="2"/>
      <w:sz w:val="32"/>
      <w:szCs w:val="32"/>
      <w:lang w:val="en-US" w:eastAsia="zh-CN" w:bidi="ar-SA"/>
    </w:rPr>
  </w:style>
  <w:style w:type="paragraph" w:customStyle="1" w:styleId="38">
    <w:name w:val="图片"/>
    <w:link w:val="96"/>
    <w:qFormat/>
    <w:uiPriority w:val="0"/>
    <w:pPr>
      <w:jc w:val="center"/>
    </w:pPr>
    <w:rPr>
      <w:rFonts w:ascii="Times New Roman" w:hAnsi="Times New Roman" w:eastAsia="仿宋_GB2312" w:cstheme="minorBidi"/>
      <w:kern w:val="2"/>
      <w:sz w:val="32"/>
      <w:szCs w:val="22"/>
      <w:lang w:val="en-US" w:eastAsia="zh-CN" w:bidi="ar-SA"/>
    </w:rPr>
  </w:style>
  <w:style w:type="table" w:customStyle="1" w:styleId="39">
    <w:name w:val="网格型1"/>
    <w:basedOn w:val="22"/>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40">
    <w:name w:val="网格型2"/>
    <w:basedOn w:val="22"/>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41">
    <w:name w:val="网格型3"/>
    <w:basedOn w:val="22"/>
    <w:qFormat/>
    <w:uiPriority w:val="0"/>
    <w:pPr>
      <w:widowControl w:val="0"/>
      <w:jc w:val="both"/>
    </w:pPr>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42">
    <w:name w:val="TOC Heading"/>
    <w:basedOn w:val="2"/>
    <w:next w:val="1"/>
    <w:unhideWhenUsed/>
    <w:qFormat/>
    <w:uiPriority w:val="39"/>
    <w:pPr>
      <w:spacing w:before="240" w:beforeLines="0" w:after="0" w:afterLines="0" w:line="259" w:lineRule="auto"/>
      <w:outlineLvl w:val="9"/>
    </w:pPr>
    <w:rPr>
      <w:rFonts w:asciiTheme="majorHAnsi" w:hAnsiTheme="majorHAnsi" w:eastAsiaTheme="majorEastAsia" w:cstheme="majorBidi"/>
      <w:b w:val="0"/>
      <w:bCs w:val="0"/>
      <w:color w:val="376092" w:themeColor="accent1" w:themeShade="BF"/>
      <w:kern w:val="0"/>
      <w:sz w:val="32"/>
      <w:szCs w:val="32"/>
    </w:rPr>
  </w:style>
  <w:style w:type="character" w:customStyle="1" w:styleId="43">
    <w:name w:val="批注框文本 字符"/>
    <w:basedOn w:val="24"/>
    <w:link w:val="16"/>
    <w:qFormat/>
    <w:uiPriority w:val="99"/>
    <w:rPr>
      <w:rFonts w:ascii="Times New Roman" w:hAnsi="Times New Roman" w:eastAsia="仿宋_GB2312"/>
      <w:sz w:val="18"/>
      <w:szCs w:val="18"/>
    </w:rPr>
  </w:style>
  <w:style w:type="paragraph" w:customStyle="1" w:styleId="44">
    <w:name w:val="_Style 40"/>
    <w:basedOn w:val="1"/>
    <w:next w:val="37"/>
    <w:qFormat/>
    <w:uiPriority w:val="99"/>
    <w:pPr>
      <w:adjustRightInd/>
      <w:snapToGrid/>
      <w:ind w:firstLine="420"/>
    </w:pPr>
    <w:rPr>
      <w:rFonts w:ascii="Calibri" w:hAnsi="Calibri" w:eastAsia="宋体" w:cs="Times New Roman"/>
      <w:sz w:val="21"/>
      <w:szCs w:val="24"/>
    </w:rPr>
  </w:style>
  <w:style w:type="character" w:customStyle="1" w:styleId="45">
    <w:name w:val="标题 1 字符1"/>
    <w:qFormat/>
    <w:uiPriority w:val="0"/>
    <w:rPr>
      <w:rFonts w:ascii="Arial" w:hAnsi="Arial" w:eastAsia="宋体" w:cs="Times New Roman"/>
      <w:b/>
      <w:bCs/>
      <w:kern w:val="32"/>
      <w:sz w:val="32"/>
      <w:szCs w:val="32"/>
      <w:lang w:val="zh-CN" w:eastAsia="zh-CN"/>
    </w:rPr>
  </w:style>
  <w:style w:type="character" w:customStyle="1" w:styleId="46">
    <w:name w:val="标题 2 字符1"/>
    <w:qFormat/>
    <w:uiPriority w:val="0"/>
    <w:rPr>
      <w:rFonts w:ascii="Cambria" w:hAnsi="Cambria" w:eastAsia="宋体" w:cs="Times New Roman"/>
      <w:b/>
      <w:bCs/>
      <w:sz w:val="32"/>
      <w:szCs w:val="32"/>
      <w:lang w:val="zh-CN" w:eastAsia="zh-CN"/>
    </w:rPr>
  </w:style>
  <w:style w:type="character" w:customStyle="1" w:styleId="47">
    <w:name w:val="fontstyle01"/>
    <w:basedOn w:val="24"/>
    <w:qFormat/>
    <w:uiPriority w:val="0"/>
    <w:rPr>
      <w:rFonts w:hint="eastAsia" w:ascii="仿宋" w:hAnsi="仿宋" w:eastAsia="仿宋"/>
      <w:color w:val="000000"/>
      <w:sz w:val="28"/>
      <w:szCs w:val="28"/>
    </w:rPr>
  </w:style>
  <w:style w:type="paragraph" w:customStyle="1" w:styleId="48">
    <w:name w:val="正文段落"/>
    <w:basedOn w:val="1"/>
    <w:qFormat/>
    <w:uiPriority w:val="0"/>
    <w:pPr>
      <w:adjustRightInd/>
      <w:snapToGrid/>
    </w:pPr>
    <w:rPr>
      <w:rFonts w:ascii="仿宋_GB2312" w:cs="Times New Roman"/>
      <w:szCs w:val="20"/>
    </w:rPr>
  </w:style>
  <w:style w:type="paragraph" w:customStyle="1" w:styleId="49">
    <w:name w:val="普通(网站)1"/>
    <w:basedOn w:val="1"/>
    <w:qFormat/>
    <w:uiPriority w:val="0"/>
    <w:pPr>
      <w:widowControl/>
      <w:adjustRightInd/>
      <w:snapToGrid/>
      <w:spacing w:before="100" w:beforeAutospacing="1" w:after="100" w:afterAutospacing="1"/>
      <w:jc w:val="left"/>
    </w:pPr>
    <w:rPr>
      <w:rFonts w:ascii="宋体" w:hAnsi="宋体" w:eastAsia="宋体" w:cs="宋体"/>
      <w:kern w:val="0"/>
      <w:sz w:val="24"/>
      <w:szCs w:val="24"/>
    </w:rPr>
  </w:style>
  <w:style w:type="paragraph" w:customStyle="1" w:styleId="50">
    <w:name w:val="p0"/>
    <w:basedOn w:val="1"/>
    <w:qFormat/>
    <w:uiPriority w:val="0"/>
    <w:pPr>
      <w:widowControl/>
      <w:adjustRightInd/>
      <w:snapToGrid/>
    </w:pPr>
    <w:rPr>
      <w:rFonts w:eastAsia="宋体" w:cs="Times New Roman"/>
      <w:kern w:val="0"/>
      <w:sz w:val="21"/>
      <w:szCs w:val="20"/>
    </w:rPr>
  </w:style>
  <w:style w:type="paragraph" w:customStyle="1" w:styleId="51">
    <w:name w:val="msonormal"/>
    <w:basedOn w:val="1"/>
    <w:qFormat/>
    <w:uiPriority w:val="0"/>
    <w:pPr>
      <w:widowControl/>
      <w:adjustRightInd/>
      <w:snapToGrid/>
      <w:spacing w:before="100" w:beforeAutospacing="1" w:after="100" w:afterAutospacing="1"/>
      <w:jc w:val="left"/>
    </w:pPr>
    <w:rPr>
      <w:rFonts w:ascii="宋体" w:hAnsi="宋体" w:eastAsia="宋体" w:cs="宋体"/>
      <w:kern w:val="0"/>
      <w:sz w:val="24"/>
      <w:szCs w:val="24"/>
    </w:rPr>
  </w:style>
  <w:style w:type="paragraph" w:customStyle="1" w:styleId="52">
    <w:name w:val="xl102"/>
    <w:basedOn w:val="1"/>
    <w:qFormat/>
    <w:uiPriority w:val="0"/>
    <w:pPr>
      <w:widowControl/>
      <w:adjustRightInd/>
      <w:snapToGrid/>
      <w:spacing w:before="100" w:beforeAutospacing="1" w:after="100" w:afterAutospacing="1"/>
      <w:jc w:val="left"/>
    </w:pPr>
    <w:rPr>
      <w:rFonts w:ascii="黑体" w:hAnsi="黑体" w:eastAsia="黑体" w:cs="宋体"/>
      <w:color w:val="000000"/>
      <w:kern w:val="0"/>
      <w:sz w:val="24"/>
      <w:szCs w:val="24"/>
    </w:rPr>
  </w:style>
  <w:style w:type="paragraph" w:customStyle="1" w:styleId="53">
    <w:name w:val="xl103"/>
    <w:basedOn w:val="1"/>
    <w:qFormat/>
    <w:uiPriority w:val="0"/>
    <w:pPr>
      <w:widowControl/>
      <w:adjustRightInd/>
      <w:snapToGrid/>
      <w:spacing w:before="100" w:beforeAutospacing="1" w:after="100" w:afterAutospacing="1"/>
      <w:jc w:val="center"/>
    </w:pPr>
    <w:rPr>
      <w:rFonts w:ascii="黑体" w:hAnsi="黑体" w:eastAsia="黑体" w:cs="宋体"/>
      <w:color w:val="000000"/>
      <w:kern w:val="0"/>
      <w:sz w:val="24"/>
      <w:szCs w:val="24"/>
    </w:rPr>
  </w:style>
  <w:style w:type="paragraph" w:customStyle="1" w:styleId="54">
    <w:name w:val="xl104"/>
    <w:basedOn w:val="1"/>
    <w:qFormat/>
    <w:uiPriority w:val="0"/>
    <w:pPr>
      <w:widowControl/>
      <w:adjustRightInd/>
      <w:snapToGrid/>
      <w:spacing w:before="100" w:beforeAutospacing="1" w:after="100" w:afterAutospacing="1"/>
      <w:jc w:val="left"/>
    </w:pPr>
    <w:rPr>
      <w:rFonts w:ascii="黑体" w:hAnsi="黑体" w:eastAsia="黑体" w:cs="宋体"/>
      <w:color w:val="000000"/>
      <w:kern w:val="0"/>
      <w:sz w:val="24"/>
      <w:szCs w:val="24"/>
    </w:rPr>
  </w:style>
  <w:style w:type="paragraph" w:customStyle="1" w:styleId="55">
    <w:name w:val="xl105"/>
    <w:basedOn w:val="1"/>
    <w:qFormat/>
    <w:uiPriority w:val="0"/>
    <w:pPr>
      <w:widowControl/>
      <w:pBdr>
        <w:top w:val="single" w:color="auto" w:sz="4" w:space="0"/>
        <w:left w:val="single" w:color="auto" w:sz="4" w:space="0"/>
        <w:bottom w:val="single" w:color="auto" w:sz="4" w:space="0"/>
        <w:right w:val="single" w:color="auto" w:sz="4" w:space="0"/>
      </w:pBdr>
      <w:adjustRightInd/>
      <w:snapToGrid/>
      <w:spacing w:before="100" w:beforeAutospacing="1" w:after="100" w:afterAutospacing="1"/>
      <w:jc w:val="left"/>
      <w:textAlignment w:val="center"/>
    </w:pPr>
    <w:rPr>
      <w:rFonts w:ascii="黑体" w:hAnsi="黑体" w:eastAsia="黑体" w:cs="宋体"/>
      <w:b/>
      <w:bCs/>
      <w:kern w:val="0"/>
      <w:sz w:val="24"/>
      <w:szCs w:val="24"/>
    </w:rPr>
  </w:style>
  <w:style w:type="paragraph" w:customStyle="1" w:styleId="56">
    <w:name w:val="xl106"/>
    <w:basedOn w:val="1"/>
    <w:qFormat/>
    <w:uiPriority w:val="0"/>
    <w:pPr>
      <w:widowControl/>
      <w:pBdr>
        <w:top w:val="single" w:color="auto" w:sz="4" w:space="0"/>
        <w:left w:val="single" w:color="auto" w:sz="4" w:space="0"/>
        <w:bottom w:val="single" w:color="auto" w:sz="4" w:space="0"/>
        <w:right w:val="single" w:color="auto" w:sz="4" w:space="0"/>
      </w:pBdr>
      <w:adjustRightInd/>
      <w:snapToGrid/>
      <w:spacing w:before="100" w:beforeAutospacing="1" w:after="100" w:afterAutospacing="1"/>
      <w:jc w:val="center"/>
      <w:textAlignment w:val="center"/>
    </w:pPr>
    <w:rPr>
      <w:rFonts w:ascii="黑体" w:hAnsi="黑体" w:eastAsia="黑体" w:cs="宋体"/>
      <w:b/>
      <w:bCs/>
      <w:kern w:val="0"/>
      <w:sz w:val="24"/>
      <w:szCs w:val="24"/>
    </w:rPr>
  </w:style>
  <w:style w:type="paragraph" w:customStyle="1" w:styleId="57">
    <w:name w:val="xl107"/>
    <w:basedOn w:val="1"/>
    <w:qFormat/>
    <w:uiPriority w:val="0"/>
    <w:pPr>
      <w:widowControl/>
      <w:pBdr>
        <w:top w:val="single" w:color="auto" w:sz="4" w:space="0"/>
        <w:left w:val="single" w:color="auto" w:sz="4" w:space="0"/>
        <w:bottom w:val="single" w:color="auto" w:sz="4" w:space="0"/>
        <w:right w:val="single" w:color="auto" w:sz="4" w:space="0"/>
      </w:pBdr>
      <w:adjustRightInd/>
      <w:snapToGrid/>
      <w:spacing w:before="100" w:beforeAutospacing="1" w:after="100" w:afterAutospacing="1"/>
      <w:jc w:val="left"/>
      <w:textAlignment w:val="center"/>
    </w:pPr>
    <w:rPr>
      <w:rFonts w:ascii="黑体" w:hAnsi="黑体" w:eastAsia="黑体" w:cs="宋体"/>
      <w:b/>
      <w:bCs/>
      <w:kern w:val="0"/>
      <w:sz w:val="24"/>
      <w:szCs w:val="24"/>
    </w:rPr>
  </w:style>
  <w:style w:type="paragraph" w:customStyle="1" w:styleId="58">
    <w:name w:val="xl108"/>
    <w:basedOn w:val="1"/>
    <w:qFormat/>
    <w:uiPriority w:val="0"/>
    <w:pPr>
      <w:widowControl/>
      <w:pBdr>
        <w:top w:val="single" w:color="000000" w:sz="4" w:space="0"/>
        <w:left w:val="single" w:color="000000" w:sz="4" w:space="0"/>
        <w:bottom w:val="single" w:color="000000" w:sz="4" w:space="0"/>
        <w:right w:val="single" w:color="000000" w:sz="4" w:space="0"/>
      </w:pBdr>
      <w:shd w:val="clear" w:color="000000" w:fill="BDD7EE"/>
      <w:adjustRightInd/>
      <w:snapToGrid/>
      <w:spacing w:before="100" w:beforeAutospacing="1" w:after="100" w:afterAutospacing="1"/>
      <w:jc w:val="center"/>
      <w:textAlignment w:val="center"/>
    </w:pPr>
    <w:rPr>
      <w:rFonts w:ascii="黑体" w:hAnsi="黑体" w:eastAsia="黑体" w:cs="宋体"/>
      <w:b/>
      <w:bCs/>
      <w:kern w:val="0"/>
      <w:sz w:val="24"/>
      <w:szCs w:val="24"/>
    </w:rPr>
  </w:style>
  <w:style w:type="paragraph" w:customStyle="1" w:styleId="59">
    <w:name w:val="xl109"/>
    <w:basedOn w:val="1"/>
    <w:qFormat/>
    <w:uiPriority w:val="0"/>
    <w:pPr>
      <w:widowControl/>
      <w:pBdr>
        <w:top w:val="single" w:color="auto" w:sz="4" w:space="0"/>
        <w:left w:val="single" w:color="auto" w:sz="4" w:space="0"/>
        <w:bottom w:val="single" w:color="auto" w:sz="4" w:space="0"/>
        <w:right w:val="single" w:color="auto" w:sz="4" w:space="0"/>
      </w:pBdr>
      <w:adjustRightInd/>
      <w:snapToGrid/>
      <w:spacing w:before="100" w:beforeAutospacing="1" w:after="100" w:afterAutospacing="1"/>
      <w:jc w:val="left"/>
      <w:textAlignment w:val="center"/>
    </w:pPr>
    <w:rPr>
      <w:rFonts w:ascii="黑体" w:hAnsi="黑体" w:eastAsia="黑体" w:cs="宋体"/>
      <w:b/>
      <w:bCs/>
      <w:kern w:val="0"/>
      <w:sz w:val="24"/>
      <w:szCs w:val="24"/>
    </w:rPr>
  </w:style>
  <w:style w:type="paragraph" w:customStyle="1" w:styleId="60">
    <w:name w:val="xl110"/>
    <w:basedOn w:val="1"/>
    <w:qFormat/>
    <w:uiPriority w:val="0"/>
    <w:pPr>
      <w:widowControl/>
      <w:pBdr>
        <w:top w:val="single" w:color="auto" w:sz="4" w:space="0"/>
        <w:left w:val="single" w:color="auto" w:sz="4" w:space="0"/>
        <w:bottom w:val="single" w:color="auto" w:sz="4" w:space="0"/>
        <w:right w:val="single" w:color="auto" w:sz="4" w:space="0"/>
      </w:pBdr>
      <w:adjustRightInd/>
      <w:snapToGrid/>
      <w:spacing w:before="100" w:beforeAutospacing="1" w:after="100" w:afterAutospacing="1"/>
      <w:jc w:val="left"/>
    </w:pPr>
    <w:rPr>
      <w:rFonts w:ascii="黑体" w:hAnsi="黑体" w:eastAsia="黑体" w:cs="宋体"/>
      <w:kern w:val="0"/>
      <w:sz w:val="24"/>
      <w:szCs w:val="24"/>
    </w:rPr>
  </w:style>
  <w:style w:type="paragraph" w:customStyle="1" w:styleId="61">
    <w:name w:val="xl111"/>
    <w:basedOn w:val="1"/>
    <w:qFormat/>
    <w:uiPriority w:val="0"/>
    <w:pPr>
      <w:widowControl/>
      <w:pBdr>
        <w:top w:val="single" w:color="000000" w:sz="4" w:space="0"/>
        <w:left w:val="single" w:color="000000" w:sz="4" w:space="0"/>
        <w:bottom w:val="single" w:color="000000" w:sz="4" w:space="0"/>
        <w:right w:val="single" w:color="000000" w:sz="4" w:space="0"/>
      </w:pBdr>
      <w:shd w:val="clear" w:color="000000" w:fill="FFFFFF"/>
      <w:adjustRightInd/>
      <w:snapToGrid/>
      <w:spacing w:before="100" w:beforeAutospacing="1" w:after="100" w:afterAutospacing="1"/>
      <w:jc w:val="left"/>
      <w:textAlignment w:val="center"/>
    </w:pPr>
    <w:rPr>
      <w:rFonts w:ascii="黑体" w:hAnsi="黑体" w:eastAsia="黑体" w:cs="宋体"/>
      <w:kern w:val="0"/>
      <w:sz w:val="24"/>
      <w:szCs w:val="24"/>
    </w:rPr>
  </w:style>
  <w:style w:type="paragraph" w:customStyle="1" w:styleId="62">
    <w:name w:val="xl112"/>
    <w:basedOn w:val="1"/>
    <w:qFormat/>
    <w:uiPriority w:val="0"/>
    <w:pPr>
      <w:widowControl/>
      <w:pBdr>
        <w:top w:val="single" w:color="000000" w:sz="4" w:space="0"/>
        <w:left w:val="single" w:color="000000" w:sz="4" w:space="0"/>
        <w:bottom w:val="single" w:color="000000" w:sz="4" w:space="0"/>
        <w:right w:val="single" w:color="000000" w:sz="4" w:space="0"/>
      </w:pBdr>
      <w:shd w:val="clear" w:color="000000" w:fill="FFFFFF"/>
      <w:adjustRightInd/>
      <w:snapToGrid/>
      <w:spacing w:before="100" w:beforeAutospacing="1" w:after="100" w:afterAutospacing="1"/>
      <w:jc w:val="center"/>
      <w:textAlignment w:val="center"/>
    </w:pPr>
    <w:rPr>
      <w:rFonts w:ascii="黑体" w:hAnsi="黑体" w:eastAsia="黑体" w:cs="宋体"/>
      <w:kern w:val="0"/>
      <w:sz w:val="24"/>
      <w:szCs w:val="24"/>
    </w:rPr>
  </w:style>
  <w:style w:type="paragraph" w:customStyle="1" w:styleId="63">
    <w:name w:val="xl113"/>
    <w:basedOn w:val="1"/>
    <w:qFormat/>
    <w:uiPriority w:val="0"/>
    <w:pPr>
      <w:widowControl/>
      <w:pBdr>
        <w:top w:val="single" w:color="auto" w:sz="4" w:space="0"/>
        <w:left w:val="single" w:color="auto" w:sz="4" w:space="0"/>
        <w:bottom w:val="single" w:color="auto" w:sz="4" w:space="0"/>
        <w:right w:val="single" w:color="auto" w:sz="4" w:space="0"/>
      </w:pBdr>
      <w:shd w:val="clear" w:color="000000" w:fill="FFFFFF"/>
      <w:adjustRightInd/>
      <w:snapToGrid/>
      <w:spacing w:before="100" w:beforeAutospacing="1" w:after="100" w:afterAutospacing="1"/>
      <w:jc w:val="left"/>
      <w:textAlignment w:val="center"/>
    </w:pPr>
    <w:rPr>
      <w:rFonts w:ascii="黑体" w:hAnsi="黑体" w:eastAsia="黑体" w:cs="宋体"/>
      <w:kern w:val="0"/>
      <w:sz w:val="24"/>
      <w:szCs w:val="24"/>
    </w:rPr>
  </w:style>
  <w:style w:type="paragraph" w:customStyle="1" w:styleId="64">
    <w:name w:val="xl114"/>
    <w:basedOn w:val="1"/>
    <w:qFormat/>
    <w:uiPriority w:val="0"/>
    <w:pPr>
      <w:widowControl/>
      <w:pBdr>
        <w:top w:val="single" w:color="auto" w:sz="4" w:space="0"/>
        <w:left w:val="single" w:color="auto" w:sz="4" w:space="0"/>
        <w:bottom w:val="single" w:color="auto" w:sz="4" w:space="0"/>
        <w:right w:val="single" w:color="auto" w:sz="4" w:space="0"/>
      </w:pBdr>
      <w:adjustRightInd/>
      <w:snapToGrid/>
      <w:spacing w:before="100" w:beforeAutospacing="1" w:after="100" w:afterAutospacing="1"/>
      <w:jc w:val="center"/>
      <w:textAlignment w:val="center"/>
    </w:pPr>
    <w:rPr>
      <w:rFonts w:ascii="黑体" w:hAnsi="黑体" w:eastAsia="黑体" w:cs="宋体"/>
      <w:kern w:val="0"/>
      <w:sz w:val="24"/>
      <w:szCs w:val="24"/>
    </w:rPr>
  </w:style>
  <w:style w:type="paragraph" w:customStyle="1" w:styleId="65">
    <w:name w:val="xl115"/>
    <w:basedOn w:val="1"/>
    <w:qFormat/>
    <w:uiPriority w:val="0"/>
    <w:pPr>
      <w:widowControl/>
      <w:pBdr>
        <w:top w:val="single" w:color="000000" w:sz="4" w:space="0"/>
        <w:left w:val="single" w:color="000000" w:sz="4" w:space="0"/>
        <w:bottom w:val="single" w:color="000000" w:sz="4" w:space="0"/>
        <w:right w:val="single" w:color="000000" w:sz="4" w:space="0"/>
      </w:pBdr>
      <w:shd w:val="clear" w:color="000000" w:fill="FFFFFF"/>
      <w:adjustRightInd/>
      <w:snapToGrid/>
      <w:spacing w:before="100" w:beforeAutospacing="1" w:after="100" w:afterAutospacing="1"/>
      <w:jc w:val="center"/>
      <w:textAlignment w:val="center"/>
    </w:pPr>
    <w:rPr>
      <w:rFonts w:ascii="黑体" w:hAnsi="黑体" w:eastAsia="黑体" w:cs="宋体"/>
      <w:kern w:val="0"/>
      <w:sz w:val="24"/>
      <w:szCs w:val="24"/>
    </w:rPr>
  </w:style>
  <w:style w:type="paragraph" w:customStyle="1" w:styleId="66">
    <w:name w:val="xl116"/>
    <w:basedOn w:val="1"/>
    <w:qFormat/>
    <w:uiPriority w:val="0"/>
    <w:pPr>
      <w:widowControl/>
      <w:pBdr>
        <w:left w:val="single" w:color="000000" w:sz="4" w:space="0"/>
        <w:bottom w:val="single" w:color="000000" w:sz="4" w:space="0"/>
        <w:right w:val="single" w:color="000000" w:sz="4" w:space="0"/>
      </w:pBdr>
      <w:shd w:val="clear" w:color="000000" w:fill="FFFFFF"/>
      <w:adjustRightInd/>
      <w:snapToGrid/>
      <w:spacing w:before="100" w:beforeAutospacing="1" w:after="100" w:afterAutospacing="1"/>
      <w:jc w:val="left"/>
      <w:textAlignment w:val="center"/>
    </w:pPr>
    <w:rPr>
      <w:rFonts w:ascii="黑体" w:hAnsi="黑体" w:eastAsia="黑体" w:cs="宋体"/>
      <w:kern w:val="0"/>
      <w:sz w:val="24"/>
      <w:szCs w:val="24"/>
    </w:rPr>
  </w:style>
  <w:style w:type="paragraph" w:customStyle="1" w:styleId="67">
    <w:name w:val="xl117"/>
    <w:basedOn w:val="1"/>
    <w:qFormat/>
    <w:uiPriority w:val="0"/>
    <w:pPr>
      <w:widowControl/>
      <w:pBdr>
        <w:left w:val="single" w:color="000000" w:sz="4" w:space="0"/>
        <w:bottom w:val="single" w:color="000000" w:sz="4" w:space="0"/>
        <w:right w:val="single" w:color="000000" w:sz="4" w:space="0"/>
      </w:pBdr>
      <w:shd w:val="clear" w:color="000000" w:fill="FFFFFF"/>
      <w:adjustRightInd/>
      <w:snapToGrid/>
      <w:spacing w:before="100" w:beforeAutospacing="1" w:after="100" w:afterAutospacing="1"/>
      <w:jc w:val="center"/>
      <w:textAlignment w:val="center"/>
    </w:pPr>
    <w:rPr>
      <w:rFonts w:ascii="黑体" w:hAnsi="黑体" w:eastAsia="黑体" w:cs="宋体"/>
      <w:kern w:val="0"/>
      <w:sz w:val="24"/>
      <w:szCs w:val="24"/>
    </w:rPr>
  </w:style>
  <w:style w:type="paragraph" w:customStyle="1" w:styleId="68">
    <w:name w:val="xl118"/>
    <w:basedOn w:val="1"/>
    <w:qFormat/>
    <w:uiPriority w:val="0"/>
    <w:pPr>
      <w:widowControl/>
      <w:pBdr>
        <w:left w:val="single" w:color="000000" w:sz="4" w:space="0"/>
        <w:bottom w:val="single" w:color="000000" w:sz="4" w:space="0"/>
        <w:right w:val="single" w:color="000000" w:sz="4" w:space="0"/>
      </w:pBdr>
      <w:shd w:val="clear" w:color="000000" w:fill="FFFFFF"/>
      <w:adjustRightInd/>
      <w:snapToGrid/>
      <w:spacing w:before="100" w:beforeAutospacing="1" w:after="100" w:afterAutospacing="1"/>
      <w:jc w:val="center"/>
      <w:textAlignment w:val="center"/>
    </w:pPr>
    <w:rPr>
      <w:rFonts w:ascii="黑体" w:hAnsi="黑体" w:eastAsia="黑体" w:cs="宋体"/>
      <w:kern w:val="0"/>
      <w:sz w:val="24"/>
      <w:szCs w:val="24"/>
    </w:rPr>
  </w:style>
  <w:style w:type="paragraph" w:customStyle="1" w:styleId="69">
    <w:name w:val="xl119"/>
    <w:basedOn w:val="1"/>
    <w:uiPriority w:val="0"/>
    <w:pPr>
      <w:widowControl/>
      <w:pBdr>
        <w:top w:val="single" w:color="auto" w:sz="4" w:space="0"/>
        <w:left w:val="single" w:color="auto" w:sz="4" w:space="0"/>
        <w:bottom w:val="single" w:color="auto" w:sz="4" w:space="0"/>
        <w:right w:val="single" w:color="auto" w:sz="4" w:space="0"/>
      </w:pBdr>
      <w:adjustRightInd/>
      <w:snapToGrid/>
      <w:spacing w:before="100" w:beforeAutospacing="1" w:after="100" w:afterAutospacing="1"/>
      <w:jc w:val="left"/>
    </w:pPr>
    <w:rPr>
      <w:rFonts w:ascii="黑体" w:hAnsi="黑体" w:eastAsia="黑体" w:cs="宋体"/>
      <w:color w:val="000000"/>
      <w:kern w:val="0"/>
      <w:sz w:val="24"/>
      <w:szCs w:val="24"/>
    </w:rPr>
  </w:style>
  <w:style w:type="paragraph" w:customStyle="1" w:styleId="70">
    <w:name w:val="xl120"/>
    <w:basedOn w:val="1"/>
    <w:uiPriority w:val="0"/>
    <w:pPr>
      <w:widowControl/>
      <w:pBdr>
        <w:top w:val="single" w:color="auto" w:sz="4" w:space="0"/>
        <w:left w:val="single" w:color="auto" w:sz="4" w:space="0"/>
        <w:bottom w:val="single" w:color="auto" w:sz="4" w:space="0"/>
        <w:right w:val="single" w:color="auto" w:sz="4" w:space="0"/>
      </w:pBdr>
      <w:adjustRightInd/>
      <w:snapToGrid/>
      <w:spacing w:before="100" w:beforeAutospacing="1" w:after="100" w:afterAutospacing="1"/>
      <w:jc w:val="left"/>
    </w:pPr>
    <w:rPr>
      <w:rFonts w:ascii="黑体" w:hAnsi="黑体" w:eastAsia="黑体" w:cs="宋体"/>
      <w:kern w:val="0"/>
      <w:sz w:val="24"/>
      <w:szCs w:val="24"/>
    </w:rPr>
  </w:style>
  <w:style w:type="paragraph" w:customStyle="1" w:styleId="71">
    <w:name w:val="xl121"/>
    <w:basedOn w:val="1"/>
    <w:qFormat/>
    <w:uiPriority w:val="0"/>
    <w:pPr>
      <w:widowControl/>
      <w:pBdr>
        <w:top w:val="single" w:color="auto" w:sz="4" w:space="0"/>
        <w:left w:val="single" w:color="auto" w:sz="4" w:space="0"/>
        <w:right w:val="single" w:color="auto" w:sz="4" w:space="0"/>
      </w:pBdr>
      <w:adjustRightInd/>
      <w:snapToGrid/>
      <w:spacing w:before="100" w:beforeAutospacing="1" w:after="100" w:afterAutospacing="1"/>
      <w:jc w:val="center"/>
      <w:textAlignment w:val="center"/>
    </w:pPr>
    <w:rPr>
      <w:rFonts w:ascii="黑体" w:hAnsi="黑体" w:eastAsia="黑体" w:cs="宋体"/>
      <w:kern w:val="0"/>
      <w:sz w:val="24"/>
      <w:szCs w:val="24"/>
    </w:rPr>
  </w:style>
  <w:style w:type="paragraph" w:customStyle="1" w:styleId="72">
    <w:name w:val="xl122"/>
    <w:basedOn w:val="1"/>
    <w:qFormat/>
    <w:uiPriority w:val="0"/>
    <w:pPr>
      <w:widowControl/>
      <w:pBdr>
        <w:top w:val="single" w:color="auto" w:sz="4" w:space="0"/>
        <w:left w:val="single" w:color="auto" w:sz="4" w:space="0"/>
        <w:bottom w:val="single" w:color="auto" w:sz="4" w:space="0"/>
        <w:right w:val="single" w:color="auto" w:sz="4" w:space="0"/>
      </w:pBdr>
      <w:shd w:val="clear" w:color="000000" w:fill="FFFFFF"/>
      <w:adjustRightInd/>
      <w:snapToGrid/>
      <w:spacing w:before="100" w:beforeAutospacing="1" w:after="100" w:afterAutospacing="1"/>
      <w:jc w:val="center"/>
      <w:textAlignment w:val="center"/>
    </w:pPr>
    <w:rPr>
      <w:rFonts w:ascii="黑体" w:hAnsi="黑体" w:eastAsia="黑体" w:cs="宋体"/>
      <w:kern w:val="0"/>
      <w:sz w:val="24"/>
      <w:szCs w:val="24"/>
    </w:rPr>
  </w:style>
  <w:style w:type="paragraph" w:customStyle="1" w:styleId="73">
    <w:name w:val="xl123"/>
    <w:basedOn w:val="1"/>
    <w:qFormat/>
    <w:uiPriority w:val="0"/>
    <w:pPr>
      <w:widowControl/>
      <w:pBdr>
        <w:top w:val="single" w:color="auto" w:sz="4" w:space="0"/>
        <w:left w:val="single" w:color="auto" w:sz="4" w:space="0"/>
        <w:right w:val="single" w:color="auto" w:sz="4" w:space="0"/>
      </w:pBdr>
      <w:adjustRightInd/>
      <w:snapToGrid/>
      <w:spacing w:before="100" w:beforeAutospacing="1" w:after="100" w:afterAutospacing="1"/>
      <w:jc w:val="left"/>
    </w:pPr>
    <w:rPr>
      <w:rFonts w:ascii="黑体" w:hAnsi="黑体" w:eastAsia="黑体" w:cs="宋体"/>
      <w:kern w:val="0"/>
      <w:sz w:val="24"/>
      <w:szCs w:val="24"/>
    </w:rPr>
  </w:style>
  <w:style w:type="paragraph" w:customStyle="1" w:styleId="74">
    <w:name w:val="xl124"/>
    <w:basedOn w:val="1"/>
    <w:qFormat/>
    <w:uiPriority w:val="0"/>
    <w:pPr>
      <w:widowControl/>
      <w:pBdr>
        <w:top w:val="single" w:color="auto" w:sz="4" w:space="0"/>
        <w:left w:val="single" w:color="auto" w:sz="4" w:space="0"/>
        <w:bottom w:val="single" w:color="auto" w:sz="4" w:space="0"/>
        <w:right w:val="single" w:color="auto" w:sz="4" w:space="0"/>
      </w:pBdr>
      <w:shd w:val="clear" w:color="000000" w:fill="FFFFFF"/>
      <w:adjustRightInd/>
      <w:snapToGrid/>
      <w:spacing w:before="100" w:beforeAutospacing="1" w:after="100" w:afterAutospacing="1"/>
      <w:jc w:val="left"/>
      <w:textAlignment w:val="center"/>
    </w:pPr>
    <w:rPr>
      <w:rFonts w:ascii="黑体" w:hAnsi="黑体" w:eastAsia="黑体" w:cs="宋体"/>
      <w:kern w:val="0"/>
      <w:sz w:val="24"/>
      <w:szCs w:val="24"/>
    </w:rPr>
  </w:style>
  <w:style w:type="paragraph" w:customStyle="1" w:styleId="75">
    <w:name w:val="xl125"/>
    <w:basedOn w:val="1"/>
    <w:qFormat/>
    <w:uiPriority w:val="0"/>
    <w:pPr>
      <w:widowControl/>
      <w:pBdr>
        <w:top w:val="single" w:color="auto" w:sz="4" w:space="0"/>
        <w:left w:val="single" w:color="auto" w:sz="4" w:space="0"/>
        <w:bottom w:val="single" w:color="auto" w:sz="4" w:space="0"/>
        <w:right w:val="single" w:color="auto" w:sz="4" w:space="0"/>
      </w:pBdr>
      <w:shd w:val="clear" w:color="000000" w:fill="FFFFFF"/>
      <w:adjustRightInd/>
      <w:snapToGrid/>
      <w:spacing w:before="100" w:beforeAutospacing="1" w:after="100" w:afterAutospacing="1"/>
      <w:jc w:val="center"/>
      <w:textAlignment w:val="center"/>
    </w:pPr>
    <w:rPr>
      <w:rFonts w:ascii="黑体" w:hAnsi="黑体" w:eastAsia="黑体" w:cs="宋体"/>
      <w:kern w:val="0"/>
      <w:sz w:val="24"/>
      <w:szCs w:val="24"/>
    </w:rPr>
  </w:style>
  <w:style w:type="paragraph" w:customStyle="1" w:styleId="76">
    <w:name w:val="xl126"/>
    <w:basedOn w:val="1"/>
    <w:qFormat/>
    <w:uiPriority w:val="0"/>
    <w:pPr>
      <w:widowControl/>
      <w:pBdr>
        <w:top w:val="single" w:color="000000" w:sz="4" w:space="0"/>
        <w:left w:val="single" w:color="000000" w:sz="4" w:space="0"/>
        <w:bottom w:val="single" w:color="000000" w:sz="4" w:space="0"/>
        <w:right w:val="single" w:color="000000" w:sz="4" w:space="0"/>
      </w:pBdr>
      <w:shd w:val="clear" w:color="000000" w:fill="FFFFFF"/>
      <w:adjustRightInd/>
      <w:snapToGrid/>
      <w:spacing w:before="100" w:beforeAutospacing="1" w:after="100" w:afterAutospacing="1"/>
      <w:jc w:val="center"/>
      <w:textAlignment w:val="center"/>
    </w:pPr>
    <w:rPr>
      <w:rFonts w:ascii="黑体" w:hAnsi="黑体" w:eastAsia="黑体" w:cs="宋体"/>
      <w:kern w:val="0"/>
      <w:sz w:val="24"/>
      <w:szCs w:val="24"/>
    </w:rPr>
  </w:style>
  <w:style w:type="table" w:customStyle="1" w:styleId="77">
    <w:name w:val="Grid Table 4 Accent 1"/>
    <w:basedOn w:val="22"/>
    <w:qFormat/>
    <w:uiPriority w:val="49"/>
    <w:tblPr>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Pr>
    <w:tblStylePr w:type="firstRow">
      <w:rPr>
        <w:b/>
        <w:bCs/>
        <w:color w:val="FFFFFF" w:themeColor="background1"/>
        <w14:textFill>
          <w14:solidFill>
            <w14:schemeClr w14:val="bg1"/>
          </w14:solidFill>
        </w14:textFill>
      </w:rPr>
      <w:tcPr>
        <w:tcBorders>
          <w:top w:val="single" w:color="4F81BD" w:themeColor="accent1" w:sz="4" w:space="0"/>
          <w:left w:val="single" w:color="4F81BD" w:themeColor="accent1" w:sz="4" w:space="0"/>
          <w:bottom w:val="single" w:color="4F81BD" w:themeColor="accent1" w:sz="4" w:space="0"/>
          <w:right w:val="single" w:color="4F81BD" w:themeColor="accent1" w:sz="4" w:space="0"/>
          <w:insideH w:val="nil"/>
          <w:insideV w:val="nil"/>
        </w:tcBorders>
        <w:shd w:val="clear" w:color="auto" w:fill="4F81BD" w:themeFill="accent1"/>
      </w:tcPr>
    </w:tblStylePr>
    <w:tblStylePr w:type="lastRow">
      <w:rPr>
        <w:b/>
        <w:bCs/>
      </w:rPr>
      <w:tcPr>
        <w:tcBorders>
          <w:top w:val="double" w:color="4F81BD" w:themeColor="accent1" w:sz="4" w:space="0"/>
        </w:tcBorders>
      </w:tcPr>
    </w:tblStylePr>
    <w:tblStylePr w:type="firstCol">
      <w:rPr>
        <w:b/>
        <w:bCs/>
      </w:rPr>
    </w:tblStylePr>
    <w:tblStylePr w:type="lastCol">
      <w:rPr>
        <w:b/>
        <w:bCs/>
      </w:rPr>
    </w:tblStylePr>
    <w:tblStylePr w:type="band1Vert">
      <w:tcPr>
        <w:shd w:val="clear" w:color="auto" w:fill="DBE5F1" w:themeFill="accent1" w:themeFillTint="33"/>
      </w:tcPr>
    </w:tblStylePr>
    <w:tblStylePr w:type="band1Horz">
      <w:tcPr>
        <w:shd w:val="clear" w:color="auto" w:fill="DBE5F1" w:themeFill="accent1" w:themeFillTint="33"/>
      </w:tcPr>
    </w:tblStylePr>
  </w:style>
  <w:style w:type="table" w:customStyle="1" w:styleId="78">
    <w:name w:val="Grid Table 6 Colorful Accent 1"/>
    <w:basedOn w:val="22"/>
    <w:qFormat/>
    <w:uiPriority w:val="51"/>
    <w:rPr>
      <w:color w:val="376092" w:themeColor="accent1" w:themeShade="BF"/>
    </w:rPr>
    <w:tblPr>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Pr>
    <w:tblStylePr w:type="firstRow">
      <w:rPr>
        <w:b/>
        <w:bCs/>
      </w:rPr>
      <w:tcPr>
        <w:tcBorders>
          <w:bottom w:val="single" w:color="95B3D7" w:themeColor="accent1" w:themeTint="99" w:sz="12" w:space="0"/>
        </w:tcBorders>
      </w:tcPr>
    </w:tblStylePr>
    <w:tblStylePr w:type="lastRow">
      <w:rPr>
        <w:b/>
        <w:bCs/>
      </w:rPr>
      <w:tcPr>
        <w:tcBorders>
          <w:top w:val="double" w:color="95B3D7" w:themeColor="accent1" w:themeTint="99" w:sz="4" w:space="0"/>
        </w:tcBorders>
      </w:tcPr>
    </w:tblStylePr>
    <w:tblStylePr w:type="firstCol">
      <w:rPr>
        <w:b/>
        <w:bCs/>
      </w:rPr>
    </w:tblStylePr>
    <w:tblStylePr w:type="lastCol">
      <w:rPr>
        <w:b/>
        <w:bCs/>
      </w:rPr>
    </w:tblStylePr>
    <w:tblStylePr w:type="band1Vert">
      <w:tcPr>
        <w:shd w:val="clear" w:color="auto" w:fill="DBE5F1" w:themeFill="accent1" w:themeFillTint="33"/>
      </w:tcPr>
    </w:tblStylePr>
    <w:tblStylePr w:type="band1Horz">
      <w:tcPr>
        <w:shd w:val="clear" w:color="auto" w:fill="DBE5F1" w:themeFill="accent1" w:themeFillTint="33"/>
      </w:tcPr>
    </w:tblStylePr>
  </w:style>
  <w:style w:type="table" w:customStyle="1" w:styleId="79">
    <w:name w:val="Grid Table 4"/>
    <w:basedOn w:val="22"/>
    <w:qFormat/>
    <w:uiPriority w:val="49"/>
    <w:tblPr>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insideV w:val="single" w:color="666666" w:themeColor="text1" w:themeTint="99" w:sz="4" w:space="0"/>
      </w:tblBorders>
    </w:tblPr>
    <w:tblStylePr w:type="firstRow">
      <w:rPr>
        <w:b/>
        <w:bCs/>
        <w:color w:val="FFFFFF" w:themeColor="background1"/>
        <w14:textFill>
          <w14:solidFill>
            <w14:schemeClr w14:val="bg1"/>
          </w14:solidFill>
        </w14:textFill>
      </w:rPr>
      <w:tcPr>
        <w:tcBorders>
          <w:top w:val="single" w:color="000000" w:themeColor="text1" w:sz="4" w:space="0"/>
          <w:left w:val="single" w:color="000000" w:themeColor="text1" w:sz="4" w:space="0"/>
          <w:bottom w:val="single" w:color="000000" w:themeColor="text1" w:sz="4" w:space="0"/>
          <w:right w:val="single" w:color="000000" w:themeColor="text1" w:sz="4" w:space="0"/>
          <w:insideH w:val="nil"/>
          <w:insideV w:val="nil"/>
        </w:tcBorders>
        <w:shd w:val="clear" w:color="auto" w:fill="000000" w:themeFill="text1"/>
      </w:tcPr>
    </w:tblStylePr>
    <w:tblStylePr w:type="lastRow">
      <w:rPr>
        <w:b/>
        <w:bCs/>
      </w:rPr>
      <w:tcPr>
        <w:tcBorders>
          <w:top w:val="double" w:color="000000" w:themeColor="text1" w:sz="4" w:space="0"/>
        </w:tcBorders>
      </w:tcPr>
    </w:tblStylePr>
    <w:tblStylePr w:type="firstCol">
      <w:rPr>
        <w:b/>
        <w:bCs/>
      </w:rPr>
    </w:tblStylePr>
    <w:tblStylePr w:type="lastCol">
      <w:rPr>
        <w:b/>
        <w:bCs/>
      </w:rPr>
    </w:tblStylePr>
    <w:tblStylePr w:type="band1Vert">
      <w:tcPr>
        <w:shd w:val="clear" w:color="auto" w:fill="CCCCCC" w:themeFill="text1" w:themeFillTint="33"/>
      </w:tcPr>
    </w:tblStylePr>
    <w:tblStylePr w:type="band1Horz">
      <w:tcPr>
        <w:shd w:val="clear" w:color="auto" w:fill="CCCCCC" w:themeFill="text1" w:themeFillTint="33"/>
      </w:tcPr>
    </w:tblStylePr>
  </w:style>
  <w:style w:type="table" w:customStyle="1" w:styleId="80">
    <w:name w:val="Grid Table 6 Colorful"/>
    <w:basedOn w:val="22"/>
    <w:qFormat/>
    <w:uiPriority w:val="51"/>
    <w:rPr>
      <w:color w:val="000000" w:themeColor="text1"/>
      <w14:textFill>
        <w14:solidFill>
          <w14:schemeClr w14:val="tx1"/>
        </w14:solidFill>
      </w14:textFill>
    </w:rPr>
    <w:tblPr>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insideV w:val="single" w:color="666666" w:themeColor="text1" w:themeTint="99" w:sz="4" w:space="0"/>
      </w:tblBorders>
    </w:tblPr>
    <w:tblStylePr w:type="firstRow">
      <w:rPr>
        <w:b/>
        <w:bCs/>
      </w:rPr>
      <w:tcPr>
        <w:tcBorders>
          <w:bottom w:val="single" w:color="666666" w:themeColor="text1" w:themeTint="99" w:sz="12" w:space="0"/>
        </w:tcBorders>
      </w:tcPr>
    </w:tblStylePr>
    <w:tblStylePr w:type="lastRow">
      <w:rPr>
        <w:b/>
        <w:bCs/>
      </w:rPr>
      <w:tcPr>
        <w:tcBorders>
          <w:top w:val="double" w:color="666666" w:themeColor="text1" w:themeTint="99" w:sz="4" w:space="0"/>
        </w:tcBorders>
      </w:tcPr>
    </w:tblStylePr>
    <w:tblStylePr w:type="firstCol">
      <w:rPr>
        <w:b/>
        <w:bCs/>
      </w:rPr>
    </w:tblStylePr>
    <w:tblStylePr w:type="lastCol">
      <w:rPr>
        <w:b/>
        <w:bCs/>
      </w:rPr>
    </w:tblStylePr>
    <w:tblStylePr w:type="band1Vert">
      <w:tcPr>
        <w:shd w:val="clear" w:color="auto" w:fill="CCCCCC" w:themeFill="text1" w:themeFillTint="33"/>
      </w:tcPr>
    </w:tblStylePr>
    <w:tblStylePr w:type="band1Horz">
      <w:tcPr>
        <w:shd w:val="clear" w:color="auto" w:fill="CCCCCC" w:themeFill="text1" w:themeFillTint="33"/>
      </w:tcPr>
    </w:tblStylePr>
  </w:style>
  <w:style w:type="paragraph" w:customStyle="1" w:styleId="81">
    <w:name w:val="xl64"/>
    <w:basedOn w:val="1"/>
    <w:qFormat/>
    <w:uiPriority w:val="0"/>
    <w:pPr>
      <w:widowControl/>
      <w:shd w:val="clear" w:color="000000" w:fill="E7E6E6"/>
      <w:adjustRightInd/>
      <w:snapToGrid/>
      <w:spacing w:before="100" w:beforeAutospacing="1" w:after="100" w:afterAutospacing="1"/>
      <w:jc w:val="left"/>
      <w:textAlignment w:val="bottom"/>
    </w:pPr>
    <w:rPr>
      <w:rFonts w:ascii="黑体" w:hAnsi="黑体" w:eastAsia="黑体" w:cs="宋体"/>
      <w:b/>
      <w:bCs/>
      <w:kern w:val="0"/>
      <w:sz w:val="24"/>
      <w:szCs w:val="24"/>
    </w:rPr>
  </w:style>
  <w:style w:type="paragraph" w:customStyle="1" w:styleId="82">
    <w:name w:val="xl65"/>
    <w:basedOn w:val="1"/>
    <w:qFormat/>
    <w:uiPriority w:val="0"/>
    <w:pPr>
      <w:widowControl/>
      <w:shd w:val="clear" w:color="000000" w:fill="E7E6E6"/>
      <w:adjustRightInd/>
      <w:snapToGrid/>
      <w:spacing w:before="100" w:beforeAutospacing="1" w:after="100" w:afterAutospacing="1"/>
      <w:jc w:val="left"/>
      <w:textAlignment w:val="bottom"/>
    </w:pPr>
    <w:rPr>
      <w:rFonts w:ascii="黑体" w:hAnsi="黑体" w:eastAsia="黑体" w:cs="宋体"/>
      <w:b/>
      <w:bCs/>
      <w:kern w:val="0"/>
      <w:sz w:val="24"/>
      <w:szCs w:val="24"/>
    </w:rPr>
  </w:style>
  <w:style w:type="paragraph" w:customStyle="1" w:styleId="83">
    <w:name w:val="xl66"/>
    <w:basedOn w:val="1"/>
    <w:qFormat/>
    <w:uiPriority w:val="0"/>
    <w:pPr>
      <w:widowControl/>
      <w:shd w:val="clear" w:color="000000" w:fill="E7E6E6"/>
      <w:adjustRightInd/>
      <w:snapToGrid/>
      <w:spacing w:before="100" w:beforeAutospacing="1" w:after="100" w:afterAutospacing="1"/>
      <w:jc w:val="left"/>
      <w:textAlignment w:val="bottom"/>
    </w:pPr>
    <w:rPr>
      <w:rFonts w:ascii="黑体" w:hAnsi="黑体" w:eastAsia="黑体" w:cs="宋体"/>
      <w:b/>
      <w:bCs/>
      <w:kern w:val="0"/>
      <w:sz w:val="24"/>
      <w:szCs w:val="24"/>
    </w:rPr>
  </w:style>
  <w:style w:type="paragraph" w:customStyle="1" w:styleId="84">
    <w:name w:val="xl67"/>
    <w:basedOn w:val="1"/>
    <w:qFormat/>
    <w:uiPriority w:val="0"/>
    <w:pPr>
      <w:widowControl/>
      <w:pBdr>
        <w:top w:val="single" w:color="auto" w:sz="4" w:space="0"/>
        <w:left w:val="single" w:color="auto" w:sz="4" w:space="0"/>
        <w:bottom w:val="single" w:color="auto" w:sz="4" w:space="0"/>
        <w:right w:val="single" w:color="auto" w:sz="4" w:space="0"/>
      </w:pBdr>
      <w:shd w:val="clear" w:color="000000" w:fill="3366FF"/>
      <w:adjustRightInd/>
      <w:snapToGrid/>
      <w:spacing w:before="100" w:beforeAutospacing="1" w:after="100" w:afterAutospacing="1"/>
      <w:jc w:val="center"/>
    </w:pPr>
    <w:rPr>
      <w:rFonts w:ascii="黑体" w:hAnsi="黑体" w:eastAsia="黑体" w:cs="宋体"/>
      <w:b/>
      <w:bCs/>
      <w:color w:val="FFFFFF"/>
      <w:kern w:val="0"/>
      <w:sz w:val="24"/>
      <w:szCs w:val="24"/>
    </w:rPr>
  </w:style>
  <w:style w:type="paragraph" w:customStyle="1" w:styleId="85">
    <w:name w:val="xl68"/>
    <w:basedOn w:val="1"/>
    <w:qFormat/>
    <w:uiPriority w:val="0"/>
    <w:pPr>
      <w:widowControl/>
      <w:shd w:val="clear" w:color="000000" w:fill="E7E6E6"/>
      <w:adjustRightInd/>
      <w:snapToGrid/>
      <w:spacing w:before="100" w:beforeAutospacing="1" w:after="100" w:afterAutospacing="1"/>
      <w:jc w:val="left"/>
      <w:textAlignment w:val="bottom"/>
    </w:pPr>
    <w:rPr>
      <w:rFonts w:ascii="黑体" w:hAnsi="黑体" w:eastAsia="黑体" w:cs="宋体"/>
      <w:kern w:val="0"/>
      <w:sz w:val="24"/>
      <w:szCs w:val="24"/>
    </w:rPr>
  </w:style>
  <w:style w:type="paragraph" w:customStyle="1" w:styleId="86">
    <w:name w:val="xl69"/>
    <w:basedOn w:val="1"/>
    <w:qFormat/>
    <w:uiPriority w:val="0"/>
    <w:pPr>
      <w:widowControl/>
      <w:shd w:val="clear" w:color="000000" w:fill="E7E6E6"/>
      <w:adjustRightInd/>
      <w:snapToGrid/>
      <w:spacing w:before="100" w:beforeAutospacing="1" w:after="100" w:afterAutospacing="1"/>
      <w:jc w:val="left"/>
      <w:textAlignment w:val="bottom"/>
    </w:pPr>
    <w:rPr>
      <w:rFonts w:ascii="黑体" w:hAnsi="黑体" w:eastAsia="黑体" w:cs="宋体"/>
      <w:kern w:val="0"/>
      <w:sz w:val="24"/>
      <w:szCs w:val="24"/>
    </w:rPr>
  </w:style>
  <w:style w:type="paragraph" w:customStyle="1" w:styleId="87">
    <w:name w:val="xl70"/>
    <w:basedOn w:val="1"/>
    <w:qFormat/>
    <w:uiPriority w:val="0"/>
    <w:pPr>
      <w:widowControl/>
      <w:shd w:val="clear" w:color="000000" w:fill="E7E6E6"/>
      <w:adjustRightInd/>
      <w:snapToGrid/>
      <w:spacing w:before="100" w:beforeAutospacing="1" w:after="100" w:afterAutospacing="1"/>
      <w:jc w:val="left"/>
      <w:textAlignment w:val="bottom"/>
    </w:pPr>
    <w:rPr>
      <w:rFonts w:ascii="黑体" w:hAnsi="黑体" w:eastAsia="黑体" w:cs="宋体"/>
      <w:b/>
      <w:bCs/>
      <w:kern w:val="0"/>
      <w:sz w:val="24"/>
      <w:szCs w:val="24"/>
    </w:rPr>
  </w:style>
  <w:style w:type="paragraph" w:customStyle="1" w:styleId="88">
    <w:name w:val="xl71"/>
    <w:basedOn w:val="1"/>
    <w:qFormat/>
    <w:uiPriority w:val="0"/>
    <w:pPr>
      <w:widowControl/>
      <w:shd w:val="clear" w:color="000000" w:fill="E7E6E6"/>
      <w:adjustRightInd/>
      <w:snapToGrid/>
      <w:spacing w:before="100" w:beforeAutospacing="1" w:after="100" w:afterAutospacing="1"/>
      <w:jc w:val="left"/>
      <w:textAlignment w:val="bottom"/>
    </w:pPr>
    <w:rPr>
      <w:rFonts w:ascii="黑体" w:hAnsi="黑体" w:eastAsia="黑体" w:cs="宋体"/>
      <w:kern w:val="0"/>
      <w:sz w:val="24"/>
      <w:szCs w:val="24"/>
    </w:rPr>
  </w:style>
  <w:style w:type="paragraph" w:customStyle="1" w:styleId="89">
    <w:name w:val="xl72"/>
    <w:basedOn w:val="1"/>
    <w:qFormat/>
    <w:uiPriority w:val="0"/>
    <w:pPr>
      <w:widowControl/>
      <w:adjustRightInd/>
      <w:snapToGrid/>
      <w:spacing w:before="100" w:beforeAutospacing="1" w:after="100" w:afterAutospacing="1"/>
      <w:jc w:val="left"/>
    </w:pPr>
    <w:rPr>
      <w:rFonts w:ascii="宋体" w:hAnsi="宋体" w:eastAsia="宋体" w:cs="宋体"/>
      <w:kern w:val="0"/>
      <w:sz w:val="24"/>
      <w:szCs w:val="24"/>
    </w:rPr>
  </w:style>
  <w:style w:type="paragraph" w:customStyle="1" w:styleId="90">
    <w:name w:val="xl73"/>
    <w:basedOn w:val="1"/>
    <w:qFormat/>
    <w:uiPriority w:val="0"/>
    <w:pPr>
      <w:widowControl/>
      <w:shd w:val="clear" w:color="000000" w:fill="E7E6E6"/>
      <w:adjustRightInd/>
      <w:snapToGrid/>
      <w:spacing w:before="100" w:beforeAutospacing="1" w:after="100" w:afterAutospacing="1"/>
      <w:jc w:val="left"/>
      <w:textAlignment w:val="bottom"/>
    </w:pPr>
    <w:rPr>
      <w:rFonts w:ascii="黑体" w:hAnsi="黑体" w:eastAsia="黑体" w:cs="宋体"/>
      <w:b/>
      <w:bCs/>
      <w:color w:val="FF0000"/>
      <w:kern w:val="0"/>
      <w:sz w:val="24"/>
      <w:szCs w:val="24"/>
    </w:rPr>
  </w:style>
  <w:style w:type="paragraph" w:customStyle="1" w:styleId="91">
    <w:name w:val="xl74"/>
    <w:basedOn w:val="1"/>
    <w:qFormat/>
    <w:uiPriority w:val="0"/>
    <w:pPr>
      <w:widowControl/>
      <w:shd w:val="clear" w:color="000000" w:fill="E7E6E6"/>
      <w:adjustRightInd/>
      <w:snapToGrid/>
      <w:spacing w:before="100" w:beforeAutospacing="1" w:after="100" w:afterAutospacing="1"/>
      <w:jc w:val="center"/>
      <w:textAlignment w:val="bottom"/>
    </w:pPr>
    <w:rPr>
      <w:rFonts w:ascii="黑体" w:hAnsi="黑体" w:eastAsia="黑体" w:cs="宋体"/>
      <w:b/>
      <w:bCs/>
      <w:kern w:val="0"/>
      <w:sz w:val="24"/>
      <w:szCs w:val="24"/>
    </w:rPr>
  </w:style>
  <w:style w:type="paragraph" w:customStyle="1" w:styleId="92">
    <w:name w:val="xl75"/>
    <w:basedOn w:val="1"/>
    <w:qFormat/>
    <w:uiPriority w:val="0"/>
    <w:pPr>
      <w:widowControl/>
      <w:shd w:val="clear" w:color="000000" w:fill="E7E6E6"/>
      <w:adjustRightInd/>
      <w:snapToGrid/>
      <w:spacing w:before="100" w:beforeAutospacing="1" w:after="100" w:afterAutospacing="1"/>
      <w:jc w:val="center"/>
      <w:textAlignment w:val="bottom"/>
    </w:pPr>
    <w:rPr>
      <w:rFonts w:ascii="黑体" w:hAnsi="黑体" w:eastAsia="黑体" w:cs="宋体"/>
      <w:kern w:val="0"/>
      <w:sz w:val="24"/>
      <w:szCs w:val="24"/>
    </w:rPr>
  </w:style>
  <w:style w:type="character" w:customStyle="1" w:styleId="93">
    <w:name w:val="标题 6 字符"/>
    <w:basedOn w:val="24"/>
    <w:link w:val="8"/>
    <w:qFormat/>
    <w:uiPriority w:val="9"/>
    <w:rPr>
      <w:rFonts w:asciiTheme="majorHAnsi" w:hAnsiTheme="majorHAnsi" w:eastAsiaTheme="majorEastAsia" w:cstheme="majorBidi"/>
      <w:b/>
      <w:bCs/>
      <w:sz w:val="24"/>
      <w:szCs w:val="24"/>
    </w:rPr>
  </w:style>
  <w:style w:type="character" w:customStyle="1" w:styleId="94">
    <w:name w:val="文档结构图 字符"/>
    <w:basedOn w:val="24"/>
    <w:link w:val="13"/>
    <w:semiHidden/>
    <w:qFormat/>
    <w:uiPriority w:val="99"/>
    <w:rPr>
      <w:rFonts w:ascii="宋体" w:eastAsia="宋体"/>
      <w:sz w:val="18"/>
      <w:szCs w:val="18"/>
    </w:rPr>
  </w:style>
  <w:style w:type="character" w:customStyle="1" w:styleId="95">
    <w:name w:val="列表段落 字符"/>
    <w:link w:val="37"/>
    <w:qFormat/>
    <w:locked/>
    <w:uiPriority w:val="34"/>
    <w:rPr>
      <w:rFonts w:ascii="仿宋_GB2312" w:hAnsi="Times New Roman" w:eastAsia="仿宋_GB2312"/>
      <w:sz w:val="32"/>
      <w:szCs w:val="32"/>
    </w:rPr>
  </w:style>
  <w:style w:type="character" w:customStyle="1" w:styleId="96">
    <w:name w:val="图片 Char"/>
    <w:link w:val="38"/>
    <w:qFormat/>
    <w:uiPriority w:val="0"/>
    <w:rPr>
      <w:rFonts w:ascii="Times New Roman" w:hAnsi="Times New Roman" w:eastAsia="仿宋_GB2312"/>
      <w:sz w:val="32"/>
    </w:rPr>
  </w:style>
  <w:style w:type="paragraph" w:customStyle="1" w:styleId="97">
    <w:name w:val="表"/>
    <w:link w:val="98"/>
    <w:qFormat/>
    <w:uiPriority w:val="0"/>
    <w:pPr>
      <w:widowControl w:val="0"/>
    </w:pPr>
    <w:rPr>
      <w:rFonts w:ascii="Times New Roman" w:hAnsi="Times New Roman" w:eastAsia="仿宋_GB2312" w:cstheme="minorBidi"/>
      <w:b w:val="0"/>
      <w:kern w:val="2"/>
      <w:sz w:val="24"/>
      <w:szCs w:val="21"/>
      <w:lang w:val="en-US" w:eastAsia="zh-CN" w:bidi="ar-SA"/>
    </w:rPr>
  </w:style>
  <w:style w:type="character" w:customStyle="1" w:styleId="98">
    <w:name w:val="表 字符"/>
    <w:basedOn w:val="96"/>
    <w:link w:val="97"/>
    <w:qFormat/>
    <w:uiPriority w:val="0"/>
    <w:rPr>
      <w:rFonts w:ascii="Times New Roman" w:hAnsi="Times New Roman" w:eastAsia="仿宋_GB2312"/>
      <w:sz w:val="20"/>
      <w:szCs w:val="21"/>
    </w:rPr>
  </w:style>
  <w:style w:type="paragraph" w:customStyle="1" w:styleId="99">
    <w:name w:val="列出段落1"/>
    <w:basedOn w:val="1"/>
    <w:qFormat/>
    <w:uiPriority w:val="0"/>
    <w:pPr>
      <w:adjustRightInd/>
      <w:snapToGrid/>
      <w:ind w:firstLine="420"/>
    </w:pPr>
    <w:rPr>
      <w:rFonts w:ascii="Calibri" w:hAnsi="Calibri" w:eastAsia="宋体" w:cs="黑体"/>
      <w:sz w:val="21"/>
    </w:rPr>
  </w:style>
  <w:style w:type="character" w:customStyle="1" w:styleId="100">
    <w:name w:val="标题 7 字符"/>
    <w:basedOn w:val="24"/>
    <w:link w:val="9"/>
    <w:semiHidden/>
    <w:qFormat/>
    <w:uiPriority w:val="9"/>
    <w:rPr>
      <w:rFonts w:ascii="Times New Roman" w:hAnsi="Times New Roman" w:eastAsia="仿宋_GB2312"/>
      <w:b/>
      <w:bCs/>
      <w:sz w:val="24"/>
      <w:szCs w:val="24"/>
    </w:rPr>
  </w:style>
  <w:style w:type="character" w:customStyle="1" w:styleId="101">
    <w:name w:val="标题 8 字符"/>
    <w:basedOn w:val="24"/>
    <w:link w:val="10"/>
    <w:semiHidden/>
    <w:qFormat/>
    <w:uiPriority w:val="9"/>
    <w:rPr>
      <w:rFonts w:asciiTheme="majorHAnsi" w:hAnsiTheme="majorHAnsi" w:eastAsiaTheme="majorEastAsia" w:cstheme="majorBidi"/>
      <w:sz w:val="24"/>
      <w:szCs w:val="24"/>
    </w:rPr>
  </w:style>
  <w:style w:type="character" w:customStyle="1" w:styleId="102">
    <w:name w:val="标题 9 字符"/>
    <w:basedOn w:val="24"/>
    <w:link w:val="11"/>
    <w:semiHidden/>
    <w:qFormat/>
    <w:uiPriority w:val="9"/>
    <w:rPr>
      <w:rFonts w:asciiTheme="majorHAnsi" w:hAnsiTheme="majorHAnsi" w:eastAsiaTheme="majorEastAsia" w:cstheme="majorBidi"/>
      <w:szCs w:val="21"/>
    </w:rPr>
  </w:style>
  <w:style w:type="character" w:customStyle="1" w:styleId="103">
    <w:name w:val="tlid-translation"/>
    <w:basedOn w:val="24"/>
    <w:qFormat/>
    <w:uiPriority w:val="0"/>
  </w:style>
  <w:style w:type="character" w:styleId="104">
    <w:name w:val="Placeholder Text"/>
    <w:basedOn w:val="24"/>
    <w:semiHidden/>
    <w:qFormat/>
    <w:uiPriority w:val="99"/>
    <w:rPr>
      <w:color w:val="808080"/>
    </w:r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numbering" Target="numbering.xml"/><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image" Target="media/image1.png"/><Relationship Id="rId14" Type="http://schemas.openxmlformats.org/officeDocument/2006/relationships/image" Target="media/image2.png"/><Relationship Id="rId15" Type="http://schemas.openxmlformats.org/officeDocument/2006/relationships/image" Target="media/image3.png"/><Relationship Id="rId16" Type="http://schemas.openxmlformats.org/officeDocument/2006/relationships/image" Target="media/image4.png"/><Relationship Id="rId17" Type="http://schemas.openxmlformats.org/officeDocument/2006/relationships/image" Target="media/image5.png"/><Relationship Id="rId18" Type="http://schemas.openxmlformats.org/officeDocument/2006/relationships/image" Target="media/image6.png"/><Relationship Id="rId19" Type="http://schemas.openxmlformats.org/officeDocument/2006/relationships/image" Target="media/image7.png"/><Relationship Id="rId20" Type="http://schemas.openxmlformats.org/officeDocument/2006/relationships/image" Target="media/image8.png"/><Relationship Id="rId21" Type="http://schemas.openxmlformats.org/officeDocument/2006/relationships/image" Target="media/image9.png"/><Relationship Id="rId22" Type="http://schemas.openxmlformats.org/officeDocument/2006/relationships/image" Target="media/image10.png"/><Relationship Id="rId23" Type="http://schemas.openxmlformats.org/officeDocument/2006/relationships/footer" Target="footer3.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4B94368-44BB-48EE-8429-BE8445C310ED}">
  <ds:schemaRefs/>
</ds:datastoreItem>
</file>

<file path=docProps/app.xml><?xml version="1.0" encoding="utf-8"?>
<Properties xmlns="http://schemas.openxmlformats.org/officeDocument/2006/extended-properties" xmlns:vt="http://schemas.openxmlformats.org/officeDocument/2006/docPropsVTypes">
  <Template>Normal</Template>
  <Pages>68</Pages>
  <Words>6470</Words>
  <Characters>36885</Characters>
  <Lines>307</Lines>
  <Paragraphs>86</Paragraphs>
  <TotalTime>17</TotalTime>
  <ScaleCrop>false</ScaleCrop>
  <LinksUpToDate>false</LinksUpToDate>
  <CharactersWithSpaces>43269</CharactersWithSpaces>
  <Application>WPS Office_12.1.0.15712_F1E327BC-269C-435d-A152-05C5408002CA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2018-12-12T01:37:00Z</dcterms:created>
  <dc:creator>lenovo</dc:creator>
  <cp:lastModifiedBy>白日梦想家</cp:lastModifiedBy>
  <dcterms:modified xsi:type="dcterms:W3CDTF">2026-08-14T03:05:05Z</dcterms:modified>
  <cp:revision>410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2052-12.1.0.15712</vt:lpwstr>
  </property>
  <property fmtid="{D5CDD505-2E9C-101B-9397-08002B2CF9AE}" pid="3" name="ICV">
    <vt:lpwstr>272AE0669B1C454F928ACF64E9771CFC_13</vt:lpwstr>
  </property>
</Properties>
</file>