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60"/>
        <w:jc w:val="center"/>
        <w:rPr>
          <w:rFonts w:ascii="仿宋_GB2312" w:hAnsi="仿宋_GB2312" w:eastAsia="仿宋_GB2312"/>
          <w:color w:val="000000"/>
          <w:sz w:val="48"/>
        </w:rPr>
      </w:pPr>
      <w:r>
        <w:rPr>
          <w:rFonts w:eastAsia="仿宋_GB2312" w:ascii="仿宋_GB2312" w:hAnsi="仿宋_GB2312"/>
          <w:color w:val="000000"/>
          <w:sz w:val="48"/>
        </w:rPr>
      </w:r>
    </w:p>
    <w:p>
      <w:pPr>
        <w:pStyle w:val="Normal"/>
        <w:widowControl/>
        <w:spacing w:lineRule="auto" w:line="360"/>
        <w:jc w:val="center"/>
        <w:rPr>
          <w:rFonts w:ascii="仿宋_GB2312" w:hAnsi="仿宋_GB2312" w:eastAsia="仿宋_GB2312"/>
          <w:b/>
          <w:color w:val="000000"/>
          <w:sz w:val="52"/>
        </w:rPr>
      </w:pPr>
      <w:r>
        <w:rPr>
          <w:rFonts w:eastAsia="仿宋_GB2312" w:ascii="仿宋_GB2312" w:hAnsi="仿宋_GB2312"/>
          <w:b/>
          <w:color w:val="000000"/>
          <w:sz w:val="52"/>
        </w:rPr>
      </w:r>
    </w:p>
    <w:p>
      <w:pPr>
        <w:pStyle w:val="Normal"/>
        <w:widowControl/>
        <w:spacing w:lineRule="auto" w:line="360"/>
        <w:jc w:val="center"/>
        <w:rPr>
          <w:rFonts w:eastAsia="仿宋_GB2312"/>
          <w:b/>
          <w:color w:val="000000"/>
          <w:sz w:val="52"/>
        </w:rPr>
      </w:pPr>
      <w:r>
        <w:rPr>
          <w:rFonts w:eastAsia="仿宋_GB2312"/>
          <w:b/>
          <w:color w:val="000000"/>
          <w:sz w:val="52"/>
        </w:rPr>
      </w:r>
    </w:p>
    <w:p>
      <w:pPr>
        <w:pStyle w:val="Normal"/>
        <w:widowControl/>
        <w:spacing w:lineRule="auto" w:line="360"/>
        <w:jc w:val="center"/>
        <w:rPr>
          <w:rFonts w:eastAsia="仿宋_GB2312"/>
          <w:b/>
          <w:color w:val="000000"/>
          <w:sz w:val="52"/>
        </w:rPr>
      </w:pPr>
      <w:r>
        <w:rPr>
          <w:rFonts w:eastAsia="仿宋_GB2312"/>
          <w:b/>
          <w:color w:val="000000"/>
          <w:sz w:val="52"/>
        </w:rPr>
      </w:r>
    </w:p>
    <w:p>
      <w:pPr>
        <w:pStyle w:val="Normal"/>
        <w:widowControl/>
        <w:spacing w:lineRule="auto" w:line="360"/>
        <w:jc w:val="center"/>
        <w:rPr>
          <w:rFonts w:eastAsia="仿宋_GB2312"/>
          <w:b/>
          <w:color w:val="000000"/>
          <w:sz w:val="52"/>
          <w:lang w:val="en-US" w:eastAsia="zh-CN"/>
        </w:rPr>
      </w:pPr>
      <w:r>
        <w:rPr>
          <w:rFonts w:eastAsia="仿宋_GB2312"/>
          <w:b/>
          <w:color w:val="000000"/>
          <w:sz w:val="52"/>
          <w:lang w:val="en-US" w:eastAsia="zh-CN"/>
        </w:rPr>
        <w:t>国网苏州公司十四五电网工程项目实施情况分析及电网规划投资完成率提升措施研究</w:t>
      </w:r>
    </w:p>
    <w:p>
      <w:pPr>
        <w:pStyle w:val="Normal"/>
        <w:widowControl/>
        <w:spacing w:lineRule="auto" w:line="360"/>
        <w:jc w:val="center"/>
        <w:rPr>
          <w:rFonts w:eastAsia="仿宋_GB2312"/>
          <w:b/>
          <w:color w:val="000000"/>
          <w:sz w:val="52"/>
        </w:rPr>
      </w:pPr>
      <w:r>
        <w:rPr>
          <w:rFonts w:eastAsia="仿宋_GB2312"/>
          <w:b/>
          <w:color w:val="000000"/>
          <w:sz w:val="52"/>
        </w:rPr>
        <w:t>开题报告</w:t>
      </w:r>
    </w:p>
    <w:p>
      <w:pPr>
        <w:pStyle w:val="Normal"/>
        <w:snapToGrid w:val="false"/>
        <w:jc w:val="center"/>
        <w:rPr>
          <w:rFonts w:eastAsia="仿宋_GB2312"/>
          <w:b/>
          <w:color w:val="000000"/>
          <w:sz w:val="32"/>
        </w:rPr>
      </w:pPr>
      <w:r>
        <w:rPr>
          <w:rFonts w:eastAsia="仿宋_GB2312"/>
          <w:b/>
          <w:color w:val="000000"/>
          <w:sz w:val="32"/>
        </w:rPr>
      </w:r>
    </w:p>
    <w:p>
      <w:pPr>
        <w:pStyle w:val="Normal"/>
        <w:snapToGrid w:val="false"/>
        <w:jc w:val="center"/>
        <w:rPr>
          <w:rFonts w:eastAsia="仿宋_GB2312"/>
          <w:color w:val="000000"/>
          <w:sz w:val="32"/>
        </w:rPr>
      </w:pPr>
      <w:r>
        <w:rPr>
          <w:rFonts w:eastAsia="仿宋_GB2312"/>
          <w:color w:val="000000"/>
          <w:sz w:val="32"/>
        </w:rPr>
      </w:r>
    </w:p>
    <w:p>
      <w:pPr>
        <w:pStyle w:val="Normal"/>
        <w:snapToGrid w:val="false"/>
        <w:jc w:val="center"/>
        <w:rPr>
          <w:rFonts w:eastAsia="仿宋_GB2312"/>
          <w:color w:val="000000"/>
          <w:sz w:val="32"/>
        </w:rPr>
      </w:pPr>
      <w:r>
        <w:rPr>
          <w:rFonts w:eastAsia="仿宋_GB2312"/>
          <w:color w:val="000000"/>
          <w:sz w:val="32"/>
        </w:rPr>
      </w:r>
    </w:p>
    <w:p>
      <w:pPr>
        <w:pStyle w:val="Normal"/>
        <w:snapToGrid w:val="false"/>
        <w:jc w:val="center"/>
        <w:rPr>
          <w:rFonts w:eastAsia="仿宋_GB2312"/>
          <w:color w:val="000000"/>
          <w:sz w:val="32"/>
        </w:rPr>
      </w:pPr>
      <w:r>
        <w:rPr>
          <w:rFonts w:eastAsia="仿宋_GB2312"/>
          <w:color w:val="000000"/>
          <w:sz w:val="32"/>
        </w:rPr>
      </w:r>
    </w:p>
    <w:p>
      <w:pPr>
        <w:pStyle w:val="Normal"/>
        <w:snapToGrid w:val="false"/>
        <w:jc w:val="center"/>
        <w:rPr>
          <w:rFonts w:eastAsia="仿宋_GB2312"/>
          <w:color w:val="000000"/>
          <w:sz w:val="32"/>
        </w:rPr>
      </w:pPr>
      <w:r>
        <w:rPr>
          <w:rFonts w:eastAsia="仿宋_GB2312"/>
          <w:color w:val="000000"/>
          <w:sz w:val="32"/>
        </w:rPr>
      </w:r>
    </w:p>
    <w:p>
      <w:pPr>
        <w:pStyle w:val="Normal"/>
        <w:snapToGrid w:val="false"/>
        <w:jc w:val="center"/>
        <w:rPr>
          <w:rFonts w:eastAsia="仿宋_GB2312"/>
          <w:color w:val="000000"/>
          <w:sz w:val="32"/>
        </w:rPr>
      </w:pPr>
      <w:r>
        <w:rPr>
          <w:rFonts w:eastAsia="仿宋_GB2312"/>
          <w:color w:val="000000"/>
          <w:sz w:val="32"/>
        </w:rPr>
      </w:r>
    </w:p>
    <w:p>
      <w:pPr>
        <w:pStyle w:val="Normal"/>
        <w:snapToGrid w:val="false"/>
        <w:jc w:val="center"/>
        <w:rPr>
          <w:rFonts w:eastAsia="仿宋_GB2312"/>
          <w:color w:val="000000"/>
          <w:sz w:val="32"/>
        </w:rPr>
      </w:pPr>
      <w:r>
        <w:rPr>
          <w:rFonts w:eastAsia="仿宋_GB2312"/>
          <w:color w:val="000000"/>
          <w:sz w:val="32"/>
        </w:rPr>
      </w:r>
    </w:p>
    <w:p>
      <w:pPr>
        <w:pStyle w:val="Normal"/>
        <w:tabs>
          <w:tab w:val="clear" w:pos="420"/>
          <w:tab w:val="left" w:pos="735" w:leader="none"/>
        </w:tabs>
        <w:snapToGrid w:val="false"/>
        <w:spacing w:lineRule="auto" w:line="360"/>
        <w:rPr>
          <w:rFonts w:eastAsia="仿宋_GB2312"/>
          <w:color w:val="000000"/>
          <w:sz w:val="32"/>
        </w:rPr>
      </w:pPr>
      <w:r>
        <w:rPr>
          <w:rFonts w:eastAsia="仿宋_GB2312"/>
          <w:color w:val="000000"/>
          <w:sz w:val="32"/>
        </w:rPr>
        <w:tab/>
      </w:r>
      <w:r>
        <w:rPr>
          <w:rFonts w:eastAsia="仿宋_GB2312"/>
          <w:color w:val="000000"/>
          <w:sz w:val="32"/>
        </w:rPr>
        <w:t>合同编号：</w:t>
      </w:r>
      <w:r>
        <w:rPr>
          <w:rFonts w:eastAsia="仿宋_GB2312"/>
          <w:color w:val="000000"/>
          <w:sz w:val="32"/>
        </w:rPr>
        <w:t>SGJSSZ00FCJS2605022</w:t>
      </w:r>
    </w:p>
    <w:p>
      <w:pPr>
        <w:pStyle w:val="Normal"/>
        <w:tabs>
          <w:tab w:val="clear" w:pos="420"/>
          <w:tab w:val="left" w:pos="735" w:leader="none"/>
        </w:tabs>
        <w:snapToGrid w:val="false"/>
        <w:spacing w:lineRule="auto" w:line="360"/>
        <w:rPr>
          <w:rFonts w:eastAsia="仿宋_GB2312"/>
          <w:color w:val="000000"/>
          <w:sz w:val="32"/>
        </w:rPr>
      </w:pPr>
      <w:r>
        <w:rPr>
          <w:rFonts w:eastAsia="仿宋_GB2312"/>
          <w:color w:val="000000"/>
          <w:sz w:val="32"/>
        </w:rPr>
        <w:tab/>
      </w:r>
      <w:r>
        <w:rPr>
          <w:rFonts w:eastAsia="仿宋_GB2312"/>
          <w:color w:val="000000"/>
          <w:sz w:val="32"/>
          <w:lang w:val="en-US" w:eastAsia="zh-CN"/>
        </w:rPr>
        <w:t>项目</w:t>
      </w:r>
      <w:r>
        <w:rPr>
          <w:rFonts w:eastAsia="仿宋_GB2312"/>
          <w:color w:val="000000"/>
          <w:sz w:val="32"/>
        </w:rPr>
        <w:t>单位：</w:t>
      </w:r>
      <w:r>
        <w:rPr>
          <w:rFonts w:eastAsia="仿宋_GB2312"/>
          <w:color w:val="000000"/>
          <w:sz w:val="32"/>
        </w:rPr>
        <w:t>国网江苏电力</w:t>
      </w:r>
      <w:r>
        <w:rPr>
          <w:rFonts w:eastAsia="仿宋_GB2312"/>
          <w:color w:val="000000"/>
          <w:sz w:val="32"/>
          <w:lang w:val="en-US" w:eastAsia="zh-CN"/>
        </w:rPr>
        <w:t>设计咨询有限公司</w:t>
      </w:r>
    </w:p>
    <w:p>
      <w:pPr>
        <w:pStyle w:val="Normal"/>
        <w:tabs>
          <w:tab w:val="clear" w:pos="420"/>
          <w:tab w:val="left" w:pos="735" w:leader="none"/>
        </w:tabs>
        <w:snapToGrid w:val="false"/>
        <w:spacing w:lineRule="auto" w:line="360"/>
        <w:rPr>
          <w:rFonts w:eastAsia="仿宋_GB2312"/>
          <w:color w:val="000000"/>
          <w:sz w:val="32"/>
        </w:rPr>
      </w:pPr>
      <w:r>
        <w:rPr>
          <w:rFonts w:eastAsia="仿宋_GB2312"/>
          <w:color w:val="000000"/>
          <w:sz w:val="32"/>
        </w:rPr>
        <w:tab/>
      </w:r>
      <w:r>
        <w:rPr>
          <w:rFonts w:eastAsia="仿宋_GB2312"/>
          <w:color w:val="000000"/>
          <w:sz w:val="32"/>
        </w:rPr>
        <w:t>开题日期：</w:t>
      </w:r>
      <w:r>
        <w:rPr>
          <w:rFonts w:eastAsia="仿宋_GB2312"/>
          <w:color w:val="000000"/>
          <w:sz w:val="32"/>
          <w:lang w:val="en-US" w:eastAsia="zh-CN"/>
        </w:rPr>
        <w:t>2026</w:t>
      </w:r>
      <w:r>
        <w:rPr>
          <w:rFonts w:eastAsia="仿宋_GB2312"/>
          <w:color w:val="000000"/>
          <w:sz w:val="32"/>
        </w:rPr>
        <w:t>年</w:t>
      </w:r>
      <w:r>
        <w:rPr>
          <w:rFonts w:eastAsia="仿宋_GB2312"/>
          <w:color w:val="000000"/>
          <w:sz w:val="32"/>
          <w:lang w:val="en-US" w:eastAsia="zh-CN"/>
        </w:rPr>
        <w:t>06</w:t>
      </w:r>
      <w:r>
        <w:rPr>
          <w:rFonts w:eastAsia="仿宋_GB2312"/>
          <w:color w:val="000000"/>
          <w:sz w:val="32"/>
        </w:rPr>
        <w:t>月</w:t>
      </w:r>
      <w:r>
        <w:rPr>
          <w:rFonts w:eastAsia="仿宋_GB2312"/>
          <w:color w:val="000000"/>
          <w:sz w:val="32"/>
          <w:lang w:val="en-US" w:eastAsia="zh-CN"/>
        </w:rPr>
        <w:t>02</w:t>
      </w:r>
      <w:r>
        <w:rPr>
          <w:rFonts w:eastAsia="仿宋_GB2312"/>
          <w:color w:val="000000"/>
          <w:sz w:val="32"/>
        </w:rPr>
        <w:t>日</w:t>
      </w:r>
    </w:p>
    <w:p>
      <w:pPr>
        <w:pStyle w:val="Normal"/>
        <w:tabs>
          <w:tab w:val="clear" w:pos="420"/>
          <w:tab w:val="left" w:pos="1680" w:leader="none"/>
        </w:tabs>
        <w:snapToGrid w:val="false"/>
        <w:rPr>
          <w:rFonts w:eastAsia="仿宋_GB2312"/>
          <w:color w:val="000000"/>
          <w:sz w:val="32"/>
        </w:rPr>
      </w:pPr>
      <w:r>
        <w:rPr>
          <w:rFonts w:eastAsia="仿宋_GB2312"/>
          <w:color w:val="000000"/>
          <w:sz w:val="32"/>
        </w:rPr>
      </w:r>
    </w:p>
    <w:p>
      <w:pPr>
        <w:pStyle w:val="Normal"/>
        <w:tabs>
          <w:tab w:val="clear" w:pos="420"/>
          <w:tab w:val="left" w:pos="1680" w:leader="none"/>
        </w:tabs>
        <w:snapToGrid w:val="false"/>
        <w:rPr>
          <w:rFonts w:eastAsia="仿宋_GB2312"/>
          <w:color w:val="000000"/>
          <w:sz w:val="32"/>
        </w:rPr>
      </w:pPr>
      <w:r>
        <w:rPr>
          <w:rFonts w:eastAsia="仿宋_GB2312"/>
          <w:color w:val="000000"/>
          <w:sz w:val="32"/>
        </w:rPr>
      </w:r>
    </w:p>
    <w:p>
      <w:pPr>
        <w:pStyle w:val="Normal"/>
        <w:widowControl/>
        <w:snapToGrid w:val="false"/>
        <w:jc w:val="center"/>
        <w:rPr>
          <w:rFonts w:ascii="仿宋_GB2312" w:hAnsi="仿宋_GB2312" w:eastAsia="仿宋_GB2312"/>
          <w:b/>
          <w:color w:val="000000"/>
          <w:spacing w:val="40"/>
          <w:kern w:val="0"/>
          <w:sz w:val="48"/>
        </w:rPr>
      </w:pPr>
      <w:r>
        <w:rPr>
          <w:rFonts w:eastAsia="仿宋_GB2312" w:ascii="仿宋_GB2312" w:hAnsi="仿宋_GB2312"/>
          <w:b/>
          <w:color w:val="000000"/>
          <w:spacing w:val="40"/>
          <w:kern w:val="0"/>
          <w:sz w:val="48"/>
        </w:rPr>
      </w:r>
    </w:p>
    <w:p>
      <w:pPr>
        <w:pStyle w:val="Normal"/>
        <w:widowControl/>
        <w:snapToGrid w:val="false"/>
        <w:spacing w:before="312" w:after="312"/>
        <w:jc w:val="center"/>
        <w:rPr>
          <w:rFonts w:ascii="黑体" w:hAnsi="黑体" w:eastAsia="黑体"/>
          <w:b/>
          <w:color w:val="000000"/>
          <w:kern w:val="0"/>
          <w:sz w:val="32"/>
          <w:szCs w:val="15"/>
          <w:lang w:val="en-US" w:eastAsia="zh-CN"/>
        </w:rPr>
      </w:pPr>
      <w:r>
        <w:rPr>
          <w:rFonts w:ascii="黑体" w:hAnsi="黑体" w:eastAsia="黑体"/>
          <w:b/>
          <w:color w:val="000000"/>
          <w:kern w:val="0"/>
          <w:sz w:val="32"/>
          <w:szCs w:val="15"/>
          <w:lang w:val="en-US" w:eastAsia="zh-CN"/>
        </w:rPr>
        <w:t>国网江苏省电力有限公司苏州供电分公司</w:t>
      </w:r>
      <w:r>
        <w:br w:type="page"/>
      </w:r>
    </w:p>
    <w:p>
      <w:pPr>
        <w:pStyle w:val="Normal"/>
        <w:numPr>
          <w:ilvl w:val="0"/>
          <w:numId w:val="0"/>
        </w:numPr>
        <w:snapToGrid w:val="false"/>
        <w:spacing w:lineRule="auto" w:line="360"/>
        <w:jc w:val="center"/>
        <w:rPr>
          <w:rFonts w:ascii="黑体" w:hAnsi="黑体" w:eastAsia="黑体" w:cs="宋体"/>
          <w:b/>
          <w:color w:val="000000"/>
          <w:kern w:val="0"/>
          <w:sz w:val="44"/>
          <w:szCs w:val="15"/>
          <w:lang w:val="en-US" w:eastAsia="zh-CN"/>
        </w:rPr>
      </w:pPr>
      <w:r>
        <w:rPr>
          <w:rFonts w:eastAsia="黑体" w:cs="宋体" w:ascii="黑体" w:hAnsi="黑体"/>
          <w:b/>
          <w:color w:val="000000"/>
          <w:kern w:val="0"/>
          <w:sz w:val="44"/>
          <w:szCs w:val="15"/>
          <w:lang w:val="en-US" w:eastAsia="zh-CN"/>
        </w:rPr>
      </w:r>
      <w:r>
        <w:br w:type="page"/>
      </w:r>
    </w:p>
    <w:p>
      <w:pPr>
        <w:pStyle w:val="Normal"/>
        <w:snapToGrid w:val="false"/>
        <w:spacing w:lineRule="auto" w:line="360"/>
        <w:jc w:val="center"/>
        <w:rPr>
          <w:rFonts w:ascii="黑体" w:hAnsi="黑体" w:eastAsia="黑体"/>
          <w:b/>
          <w:color w:val="000000"/>
          <w:sz w:val="48"/>
        </w:rPr>
      </w:pPr>
      <w:r>
        <w:rPr>
          <w:rFonts w:ascii="黑体" w:hAnsi="黑体" w:eastAsia="黑体"/>
          <w:b/>
          <w:color w:val="000000"/>
          <w:sz w:val="48"/>
        </w:rPr>
        <w:t>项目开题报告</w:t>
      </w:r>
    </w:p>
    <w:tbl>
      <w:tblPr>
        <w:tblW w:w="8522" w:type="dxa"/>
        <w:jc w:val="center"/>
        <w:tblInd w:w="0" w:type="dxa"/>
        <w:tblLayout w:type="fixed"/>
        <w:tblCellMar>
          <w:top w:w="0" w:type="dxa"/>
          <w:left w:w="108" w:type="dxa"/>
          <w:bottom w:w="0" w:type="dxa"/>
          <w:right w:w="108" w:type="dxa"/>
        </w:tblCellMar>
      </w:tblPr>
      <w:tblGrid>
        <w:gridCol w:w="1200"/>
        <w:gridCol w:w="1410"/>
        <w:gridCol w:w="719"/>
        <w:gridCol w:w="877"/>
        <w:gridCol w:w="852"/>
        <w:gridCol w:w="865"/>
        <w:gridCol w:w="868"/>
        <w:gridCol w:w="864"/>
        <w:gridCol w:w="867"/>
      </w:tblGrid>
      <w:tr>
        <w:trPr>
          <w:trHeight w:val="267" w:hRule="atLeast"/>
        </w:trPr>
        <w:tc>
          <w:tcPr>
            <w:tcW w:w="1200" w:type="dxa"/>
            <w:vMerge w:val="restart"/>
            <w:tcBorders>
              <w:top w:val="single" w:sz="12" w:space="0" w:color="000000"/>
              <w:left w:val="single" w:sz="12"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项目信息</w:t>
            </w:r>
          </w:p>
        </w:tc>
        <w:tc>
          <w:tcPr>
            <w:tcW w:w="2129" w:type="dxa"/>
            <w:gridSpan w:val="2"/>
            <w:tcBorders>
              <w:top w:val="single" w:sz="12"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项目名称</w:t>
            </w:r>
          </w:p>
        </w:tc>
        <w:tc>
          <w:tcPr>
            <w:tcW w:w="5193" w:type="dxa"/>
            <w:gridSpan w:val="6"/>
            <w:tcBorders>
              <w:top w:val="single" w:sz="12"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国网</w:t>
            </w:r>
            <w:r>
              <w:rPr>
                <w:rFonts w:ascii="仿宋_GB2312" w:hAnsi="仿宋_GB2312" w:eastAsia="仿宋_GB2312"/>
                <w:color w:val="000000"/>
                <w:sz w:val="24"/>
                <w:lang w:val="en-US" w:eastAsia="zh-CN"/>
              </w:rPr>
              <w:t>徐州</w:t>
            </w:r>
            <w:r>
              <w:rPr>
                <w:rFonts w:ascii="仿宋_GB2312" w:hAnsi="仿宋_GB2312" w:eastAsia="仿宋_GB2312"/>
                <w:color w:val="000000"/>
                <w:sz w:val="24"/>
              </w:rPr>
              <w:t>公司徐州地区分布式新能源高渗透率地区</w:t>
            </w:r>
            <w:r>
              <w:rPr>
                <w:rFonts w:eastAsia="仿宋_GB2312" w:ascii="仿宋_GB2312" w:hAnsi="仿宋_GB2312"/>
                <w:color w:val="000000"/>
                <w:sz w:val="24"/>
              </w:rPr>
              <w:t>110kV</w:t>
            </w:r>
            <w:r>
              <w:rPr>
                <w:rFonts w:ascii="仿宋_GB2312" w:hAnsi="仿宋_GB2312" w:eastAsia="仿宋_GB2312"/>
                <w:color w:val="000000"/>
                <w:sz w:val="24"/>
              </w:rPr>
              <w:t>电网容载比弹性指标优化研究</w:t>
            </w:r>
          </w:p>
        </w:tc>
      </w:tr>
      <w:tr>
        <w:trPr>
          <w:trHeight w:val="90" w:hRule="atLeast"/>
        </w:trPr>
        <w:tc>
          <w:tcPr>
            <w:tcW w:w="1200" w:type="dxa"/>
            <w:vMerge w:val="continue"/>
            <w:tcBorders>
              <w:top w:val="single" w:sz="12" w:space="0" w:color="000000"/>
              <w:left w:val="single" w:sz="12" w:space="0" w:color="000000"/>
              <w:bottom w:val="single" w:sz="6" w:space="0" w:color="000000"/>
              <w:right w:val="single" w:sz="6" w:space="0" w:color="000000"/>
            </w:tcBorders>
            <w:vAlign w:val="center"/>
          </w:tcPr>
          <w:p>
            <w:pPr>
              <w:pStyle w:val="Normal"/>
              <w:widowControl/>
              <w:snapToGrid w:val="false"/>
              <w:jc w:val="left"/>
              <w:rPr>
                <w:rFonts w:ascii="仿宋_GB2312" w:hAnsi="仿宋_GB2312" w:eastAsia="仿宋_GB2312" w:cs="宋体"/>
                <w:b/>
                <w:color w:val="000000"/>
                <w:kern w:val="0"/>
                <w:sz w:val="22"/>
              </w:rPr>
            </w:pPr>
            <w:r>
              <w:rPr>
                <w:rFonts w:eastAsia="仿宋_GB2312" w:cs="宋体" w:ascii="仿宋_GB2312" w:hAnsi="仿宋_GB2312"/>
                <w:b/>
                <w:color w:val="000000"/>
                <w:kern w:val="0"/>
                <w:sz w:val="22"/>
              </w:rPr>
            </w:r>
          </w:p>
        </w:tc>
        <w:tc>
          <w:tcPr>
            <w:tcW w:w="2129"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项目周期</w:t>
            </w:r>
          </w:p>
        </w:tc>
        <w:tc>
          <w:tcPr>
            <w:tcW w:w="5193" w:type="dxa"/>
            <w:gridSpan w:val="6"/>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eastAsia="宋体"/>
                <w:color w:val="000000"/>
                <w:kern w:val="0"/>
                <w:sz w:val="24"/>
                <w:lang w:val="en-US" w:eastAsia="zh-CN"/>
              </w:rPr>
            </w:pPr>
            <w:r>
              <w:rPr>
                <w:color w:val="000000"/>
                <w:kern w:val="0"/>
                <w:sz w:val="24"/>
                <w:lang w:val="en-US" w:eastAsia="zh-CN"/>
              </w:rPr>
              <w:t>2026</w:t>
            </w:r>
            <w:r>
              <w:rPr>
                <w:color w:val="000000"/>
                <w:kern w:val="0"/>
                <w:sz w:val="24"/>
                <w:lang w:val="en-US" w:eastAsia="zh-CN"/>
              </w:rPr>
              <w:t>年</w:t>
            </w:r>
            <w:r>
              <w:rPr>
                <w:color w:val="000000"/>
                <w:kern w:val="0"/>
                <w:sz w:val="24"/>
                <w:lang w:val="en-US" w:eastAsia="zh-CN"/>
              </w:rPr>
              <w:t>6</w:t>
            </w:r>
            <w:r>
              <w:rPr>
                <w:color w:val="000000"/>
                <w:kern w:val="0"/>
                <w:sz w:val="24"/>
                <w:lang w:val="en-US" w:eastAsia="zh-CN"/>
              </w:rPr>
              <w:t>月</w:t>
            </w:r>
            <w:r>
              <w:rPr>
                <w:color w:val="000000"/>
                <w:kern w:val="0"/>
                <w:sz w:val="24"/>
                <w:lang w:val="en-US" w:eastAsia="zh-CN"/>
              </w:rPr>
              <w:t>-2026</w:t>
            </w:r>
            <w:r>
              <w:rPr>
                <w:color w:val="000000"/>
                <w:kern w:val="0"/>
                <w:sz w:val="24"/>
                <w:lang w:val="en-US" w:eastAsia="zh-CN"/>
              </w:rPr>
              <w:t>年</w:t>
            </w:r>
            <w:r>
              <w:rPr>
                <w:color w:val="000000"/>
                <w:kern w:val="0"/>
                <w:sz w:val="24"/>
                <w:lang w:val="en-US" w:eastAsia="zh-CN"/>
              </w:rPr>
              <w:t>12</w:t>
            </w:r>
            <w:r>
              <w:rPr>
                <w:color w:val="000000"/>
                <w:kern w:val="0"/>
                <w:sz w:val="24"/>
                <w:lang w:val="en-US" w:eastAsia="zh-CN"/>
              </w:rPr>
              <w:t>月</w:t>
            </w:r>
          </w:p>
        </w:tc>
      </w:tr>
      <w:tr>
        <w:trPr>
          <w:trHeight w:val="468" w:hRule="atLeast"/>
        </w:trPr>
        <w:tc>
          <w:tcPr>
            <w:tcW w:w="1200" w:type="dxa"/>
            <w:vMerge w:val="continue"/>
            <w:tcBorders>
              <w:top w:val="single" w:sz="12" w:space="0" w:color="000000"/>
              <w:left w:val="single" w:sz="12" w:space="0" w:color="000000"/>
              <w:bottom w:val="single" w:sz="6" w:space="0" w:color="000000"/>
              <w:right w:val="single" w:sz="6" w:space="0" w:color="000000"/>
            </w:tcBorders>
            <w:vAlign w:val="center"/>
          </w:tcPr>
          <w:p>
            <w:pPr>
              <w:pStyle w:val="Normal"/>
              <w:widowControl/>
              <w:snapToGrid w:val="false"/>
              <w:jc w:val="left"/>
              <w:rPr>
                <w:rFonts w:ascii="仿宋_GB2312" w:hAnsi="仿宋_GB2312" w:eastAsia="仿宋_GB2312" w:cs="宋体"/>
                <w:b/>
                <w:color w:val="000000"/>
                <w:kern w:val="0"/>
                <w:sz w:val="22"/>
                <w:lang w:val="en-US" w:eastAsia="zh-CN"/>
              </w:rPr>
            </w:pPr>
            <w:r>
              <w:rPr>
                <w:rFonts w:eastAsia="仿宋_GB2312" w:cs="宋体" w:ascii="仿宋_GB2312" w:hAnsi="仿宋_GB2312"/>
                <w:b/>
                <w:color w:val="000000"/>
                <w:kern w:val="0"/>
                <w:sz w:val="22"/>
                <w:lang w:val="en-US" w:eastAsia="zh-CN"/>
              </w:rPr>
            </w:r>
          </w:p>
        </w:tc>
        <w:tc>
          <w:tcPr>
            <w:tcW w:w="2129"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项目金额</w:t>
            </w:r>
          </w:p>
        </w:tc>
        <w:tc>
          <w:tcPr>
            <w:tcW w:w="5193" w:type="dxa"/>
            <w:gridSpan w:val="6"/>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lang w:val="en-US" w:eastAsia="zh-CN"/>
              </w:rPr>
            </w:pPr>
            <w:r>
              <w:rPr>
                <w:rFonts w:ascii="仿宋_GB2312" w:hAnsi="仿宋_GB2312" w:eastAsia="仿宋_GB2312"/>
                <w:color w:val="000000"/>
                <w:sz w:val="24"/>
              </w:rPr>
              <w:t>￥</w:t>
            </w:r>
            <w:r>
              <w:rPr>
                <w:rFonts w:eastAsia="仿宋_GB2312" w:ascii="仿宋_GB2312" w:hAnsi="仿宋_GB2312"/>
                <w:color w:val="000000"/>
                <w:sz w:val="24"/>
                <w:lang w:val="en-US" w:eastAsia="zh-CN"/>
              </w:rPr>
              <w:t>618000.00</w:t>
            </w:r>
          </w:p>
        </w:tc>
      </w:tr>
      <w:tr>
        <w:trPr>
          <w:trHeight w:val="405" w:hRule="atLeast"/>
        </w:trPr>
        <w:tc>
          <w:tcPr>
            <w:tcW w:w="1200" w:type="dxa"/>
            <w:vMerge w:val="continue"/>
            <w:tcBorders>
              <w:top w:val="single" w:sz="12" w:space="0" w:color="000000"/>
              <w:left w:val="single" w:sz="12" w:space="0" w:color="000000"/>
              <w:bottom w:val="single" w:sz="6" w:space="0" w:color="000000"/>
              <w:right w:val="single" w:sz="6" w:space="0" w:color="000000"/>
            </w:tcBorders>
            <w:vAlign w:val="center"/>
          </w:tcPr>
          <w:p>
            <w:pPr>
              <w:pStyle w:val="Normal"/>
              <w:widowControl/>
              <w:snapToGrid w:val="false"/>
              <w:jc w:val="left"/>
              <w:rPr>
                <w:rFonts w:ascii="仿宋_GB2312" w:hAnsi="仿宋_GB2312" w:eastAsia="仿宋_GB2312" w:cs="宋体"/>
                <w:b/>
                <w:color w:val="000000"/>
                <w:kern w:val="0"/>
                <w:sz w:val="22"/>
                <w:lang w:val="en-US" w:eastAsia="zh-CN"/>
              </w:rPr>
            </w:pPr>
            <w:r>
              <w:rPr>
                <w:rFonts w:eastAsia="仿宋_GB2312" w:cs="宋体" w:ascii="仿宋_GB2312" w:hAnsi="仿宋_GB2312"/>
                <w:b/>
                <w:color w:val="000000"/>
                <w:kern w:val="0"/>
                <w:sz w:val="22"/>
                <w:lang w:val="en-US" w:eastAsia="zh-CN"/>
              </w:rPr>
            </w:r>
          </w:p>
        </w:tc>
        <w:tc>
          <w:tcPr>
            <w:tcW w:w="2129"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合同编号</w:t>
            </w:r>
          </w:p>
        </w:tc>
        <w:tc>
          <w:tcPr>
            <w:tcW w:w="5193" w:type="dxa"/>
            <w:gridSpan w:val="6"/>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rPr>
            </w:pPr>
            <w:r>
              <w:rPr>
                <w:rFonts w:eastAsia="仿宋_GB2312" w:ascii="仿宋_GB2312" w:hAnsi="仿宋_GB2312"/>
                <w:color w:val="000000"/>
                <w:sz w:val="24"/>
                <w:highlight w:val="yellow"/>
              </w:rPr>
              <w:t>SGJSSZ00FCJS2605022</w:t>
            </w:r>
          </w:p>
        </w:tc>
      </w:tr>
      <w:tr>
        <w:trPr>
          <w:trHeight w:val="542" w:hRule="atLeast"/>
        </w:trPr>
        <w:tc>
          <w:tcPr>
            <w:tcW w:w="1200" w:type="dxa"/>
            <w:vMerge w:val="restart"/>
            <w:tcBorders>
              <w:top w:val="single" w:sz="6" w:space="0" w:color="000000"/>
              <w:left w:val="single" w:sz="12"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项目组织单位信息（甲方）</w:t>
            </w:r>
          </w:p>
        </w:tc>
        <w:tc>
          <w:tcPr>
            <w:tcW w:w="2129"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项目组织单位名称</w:t>
            </w:r>
          </w:p>
        </w:tc>
        <w:tc>
          <w:tcPr>
            <w:tcW w:w="5193" w:type="dxa"/>
            <w:gridSpan w:val="6"/>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国网江苏省电力有限公司</w:t>
            </w:r>
            <w:r>
              <w:rPr>
                <w:rFonts w:ascii="仿宋_GB2312" w:hAnsi="仿宋_GB2312" w:eastAsia="仿宋_GB2312"/>
                <w:color w:val="000000"/>
                <w:sz w:val="24"/>
                <w:lang w:val="en-US" w:eastAsia="zh-CN"/>
              </w:rPr>
              <w:t>徐州</w:t>
            </w:r>
            <w:r>
              <w:rPr>
                <w:rFonts w:ascii="仿宋_GB2312" w:hAnsi="仿宋_GB2312" w:eastAsia="仿宋_GB2312"/>
                <w:color w:val="000000"/>
                <w:sz w:val="24"/>
              </w:rPr>
              <w:t>供电分公司</w:t>
            </w:r>
          </w:p>
        </w:tc>
      </w:tr>
      <w:tr>
        <w:trPr>
          <w:trHeight w:val="567" w:hRule="atLeast"/>
        </w:trPr>
        <w:tc>
          <w:tcPr>
            <w:tcW w:w="1200"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widowControl/>
              <w:snapToGrid w:val="false"/>
              <w:jc w:val="left"/>
              <w:rPr>
                <w:rFonts w:ascii="仿宋_GB2312" w:hAnsi="仿宋_GB2312" w:eastAsia="仿宋_GB2312" w:cs="宋体"/>
                <w:b/>
                <w:color w:val="000000"/>
                <w:kern w:val="0"/>
                <w:sz w:val="22"/>
              </w:rPr>
            </w:pPr>
            <w:r>
              <w:rPr>
                <w:rFonts w:eastAsia="仿宋_GB2312" w:cs="宋体" w:ascii="仿宋_GB2312" w:hAnsi="仿宋_GB2312"/>
                <w:b/>
                <w:color w:val="000000"/>
                <w:kern w:val="0"/>
                <w:sz w:val="22"/>
              </w:rPr>
            </w:r>
          </w:p>
        </w:tc>
        <w:tc>
          <w:tcPr>
            <w:tcW w:w="2129" w:type="dxa"/>
            <w:gridSpan w:val="2"/>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项目组织单位</w:t>
            </w:r>
          </w:p>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项目联系人</w:t>
            </w:r>
          </w:p>
        </w:tc>
        <w:tc>
          <w:tcPr>
            <w:tcW w:w="877"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姓名</w:t>
            </w:r>
          </w:p>
        </w:tc>
        <w:tc>
          <w:tcPr>
            <w:tcW w:w="1717"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lang w:val="en-US" w:eastAsia="zh-CN"/>
              </w:rPr>
            </w:pPr>
            <w:r>
              <w:rPr>
                <w:rFonts w:ascii="仿宋_GB2312" w:hAnsi="仿宋_GB2312" w:eastAsia="仿宋_GB2312"/>
                <w:color w:val="000000"/>
                <w:sz w:val="24"/>
                <w:lang w:val="en-US" w:eastAsia="zh-CN"/>
              </w:rPr>
              <w:t>张宾</w:t>
            </w:r>
          </w:p>
        </w:tc>
        <w:tc>
          <w:tcPr>
            <w:tcW w:w="868"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电话</w:t>
            </w:r>
          </w:p>
        </w:tc>
        <w:tc>
          <w:tcPr>
            <w:tcW w:w="1731" w:type="dxa"/>
            <w:gridSpan w:val="2"/>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lang w:val="en-US" w:eastAsia="zh-CN"/>
              </w:rPr>
            </w:pPr>
            <w:r>
              <w:rPr>
                <w:rFonts w:eastAsia="仿宋_GB2312" w:ascii="仿宋_GB2312" w:hAnsi="仿宋_GB2312"/>
                <w:color w:val="000000"/>
                <w:sz w:val="24"/>
                <w:lang w:val="en-US" w:eastAsia="zh-CN"/>
              </w:rPr>
              <w:t>15262028716</w:t>
            </w:r>
          </w:p>
        </w:tc>
      </w:tr>
      <w:tr>
        <w:trPr>
          <w:trHeight w:val="317" w:hRule="atLeast"/>
        </w:trPr>
        <w:tc>
          <w:tcPr>
            <w:tcW w:w="1200"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widowControl/>
              <w:snapToGrid w:val="false"/>
              <w:jc w:val="center"/>
              <w:rPr>
                <w:rFonts w:ascii="仿宋_GB2312" w:hAnsi="仿宋_GB2312" w:eastAsia="Times New Roman"/>
                <w:color w:val="000000"/>
                <w:sz w:val="24"/>
                <w:lang w:val="en-US" w:eastAsia="zh-CN"/>
              </w:rPr>
            </w:pPr>
            <w:r>
              <w:rPr>
                <w:rFonts w:eastAsia="Times New Roman" w:ascii="仿宋_GB2312" w:hAnsi="仿宋_GB2312"/>
                <w:color w:val="000000"/>
                <w:sz w:val="24"/>
                <w:lang w:val="en-US" w:eastAsia="zh-CN"/>
              </w:rPr>
            </w:r>
          </w:p>
        </w:tc>
        <w:tc>
          <w:tcPr>
            <w:tcW w:w="2129" w:type="dxa"/>
            <w:gridSpan w:val="2"/>
            <w:vMerge w:val="continue"/>
            <w:tcBorders>
              <w:top w:val="single" w:sz="6" w:space="0" w:color="000000"/>
              <w:left w:val="single" w:sz="6" w:space="0" w:color="000000"/>
              <w:bottom w:val="single" w:sz="6" w:space="0" w:color="000000"/>
              <w:right w:val="single" w:sz="6" w:space="0" w:color="000000"/>
            </w:tcBorders>
            <w:vAlign w:val="center"/>
          </w:tcPr>
          <w:p>
            <w:pPr>
              <w:pStyle w:val="Normal"/>
              <w:widowControl/>
              <w:snapToGrid w:val="false"/>
              <w:jc w:val="center"/>
              <w:rPr>
                <w:rFonts w:eastAsia="Times New Roman"/>
                <w:color w:val="000000"/>
              </w:rPr>
            </w:pPr>
            <w:r>
              <w:rPr>
                <w:rFonts w:eastAsia="Times New Roman"/>
                <w:color w:val="000000"/>
              </w:rPr>
            </w:r>
          </w:p>
        </w:tc>
        <w:tc>
          <w:tcPr>
            <w:tcW w:w="877"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传真</w:t>
            </w:r>
          </w:p>
        </w:tc>
        <w:tc>
          <w:tcPr>
            <w:tcW w:w="4316" w:type="dxa"/>
            <w:gridSpan w:val="5"/>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lang w:val="en-US" w:eastAsia="zh-CN"/>
              </w:rPr>
            </w:pPr>
            <w:r>
              <w:rPr>
                <w:rFonts w:eastAsia="仿宋_GB2312" w:ascii="仿宋_GB2312" w:hAnsi="仿宋_GB2312"/>
                <w:color w:val="000000"/>
                <w:sz w:val="24"/>
                <w:lang w:val="en-US" w:eastAsia="zh-CN"/>
              </w:rPr>
              <w:t>/</w:t>
            </w:r>
          </w:p>
        </w:tc>
      </w:tr>
      <w:tr>
        <w:trPr>
          <w:trHeight w:val="480" w:hRule="atLeast"/>
        </w:trPr>
        <w:tc>
          <w:tcPr>
            <w:tcW w:w="1200" w:type="dxa"/>
            <w:vMerge w:val="restart"/>
            <w:tcBorders>
              <w:top w:val="single" w:sz="6" w:space="0" w:color="000000"/>
              <w:left w:val="single" w:sz="12"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项目承担咨询机构信息</w:t>
            </w:r>
          </w:p>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（乙方）</w:t>
            </w:r>
          </w:p>
        </w:tc>
        <w:tc>
          <w:tcPr>
            <w:tcW w:w="2129"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ind w:firstLine="18" w:left="-120" w:right="-109"/>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项目承担</w:t>
            </w:r>
          </w:p>
          <w:p>
            <w:pPr>
              <w:pStyle w:val="Normal"/>
              <w:widowControl/>
              <w:ind w:firstLine="18" w:left="-120" w:right="-109"/>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咨询机构名称</w:t>
            </w:r>
          </w:p>
        </w:tc>
        <w:tc>
          <w:tcPr>
            <w:tcW w:w="5193" w:type="dxa"/>
            <w:gridSpan w:val="6"/>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lang w:val="en-US" w:eastAsia="zh-CN"/>
              </w:rPr>
            </w:pPr>
            <w:r>
              <w:rPr>
                <w:rFonts w:ascii="仿宋_GB2312" w:hAnsi="仿宋_GB2312" w:eastAsia="仿宋_GB2312"/>
                <w:color w:val="000000"/>
                <w:sz w:val="24"/>
                <w:lang w:val="en-US" w:eastAsia="zh-CN"/>
              </w:rPr>
              <w:t>国网江苏电力设计咨询有限公司徐州勘测设计分公司</w:t>
            </w:r>
          </w:p>
        </w:tc>
      </w:tr>
      <w:tr>
        <w:trPr>
          <w:trHeight w:val="367" w:hRule="atLeast"/>
        </w:trPr>
        <w:tc>
          <w:tcPr>
            <w:tcW w:w="1200"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widowControl/>
              <w:snapToGrid w:val="false"/>
              <w:jc w:val="left"/>
              <w:rPr>
                <w:rFonts w:ascii="仿宋_GB2312" w:hAnsi="仿宋_GB2312" w:eastAsia="仿宋_GB2312" w:cs="宋体"/>
                <w:b/>
                <w:color w:val="000000"/>
                <w:kern w:val="0"/>
                <w:sz w:val="22"/>
                <w:lang w:val="en-US" w:eastAsia="zh-CN"/>
              </w:rPr>
            </w:pPr>
            <w:r>
              <w:rPr>
                <w:rFonts w:eastAsia="仿宋_GB2312" w:cs="宋体" w:ascii="仿宋_GB2312" w:hAnsi="仿宋_GB2312"/>
                <w:b/>
                <w:color w:val="000000"/>
                <w:kern w:val="0"/>
                <w:sz w:val="22"/>
                <w:lang w:val="en-US" w:eastAsia="zh-CN"/>
              </w:rPr>
            </w:r>
          </w:p>
        </w:tc>
        <w:tc>
          <w:tcPr>
            <w:tcW w:w="2129" w:type="dxa"/>
            <w:gridSpan w:val="2"/>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项目承担咨询机构</w:t>
            </w:r>
          </w:p>
          <w:p>
            <w:pPr>
              <w:pStyle w:val="Normal"/>
              <w:widowControl/>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项目管理负责人</w:t>
            </w:r>
          </w:p>
        </w:tc>
        <w:tc>
          <w:tcPr>
            <w:tcW w:w="877"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color w:val="000000"/>
                <w:kern w:val="0"/>
                <w:sz w:val="22"/>
              </w:rPr>
            </w:pPr>
            <w:r>
              <w:rPr>
                <w:rFonts w:ascii="宋体" w:hAnsi="宋体" w:cs="宋体"/>
                <w:color w:val="000000"/>
                <w:kern w:val="0"/>
                <w:sz w:val="22"/>
              </w:rPr>
              <w:t>姓名</w:t>
            </w:r>
          </w:p>
        </w:tc>
        <w:tc>
          <w:tcPr>
            <w:tcW w:w="852"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lang w:val="en-US" w:eastAsia="zh-CN"/>
              </w:rPr>
            </w:pPr>
            <w:r>
              <w:rPr>
                <w:rFonts w:ascii="仿宋_GB2312" w:hAnsi="仿宋_GB2312" w:eastAsia="仿宋_GB2312"/>
                <w:color w:val="000000"/>
                <w:sz w:val="24"/>
                <w:lang w:val="en-US" w:eastAsia="zh-CN"/>
              </w:rPr>
              <w:t>许彦</w:t>
            </w:r>
          </w:p>
        </w:tc>
        <w:tc>
          <w:tcPr>
            <w:tcW w:w="865"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性别</w:t>
            </w:r>
          </w:p>
        </w:tc>
        <w:tc>
          <w:tcPr>
            <w:tcW w:w="868"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lang w:val="en-US" w:eastAsia="zh-CN"/>
              </w:rPr>
            </w:pPr>
            <w:r>
              <w:rPr>
                <w:rFonts w:ascii="仿宋_GB2312" w:hAnsi="仿宋_GB2312" w:eastAsia="仿宋_GB2312"/>
                <w:color w:val="000000"/>
                <w:sz w:val="24"/>
                <w:lang w:val="en-US" w:eastAsia="zh-CN"/>
              </w:rPr>
              <w:t>男</w:t>
            </w:r>
          </w:p>
        </w:tc>
        <w:tc>
          <w:tcPr>
            <w:tcW w:w="864"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年龄</w:t>
            </w:r>
          </w:p>
        </w:tc>
        <w:tc>
          <w:tcPr>
            <w:tcW w:w="867" w:type="dxa"/>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lang w:val="en-US" w:eastAsia="zh-CN"/>
              </w:rPr>
            </w:pPr>
            <w:r>
              <w:rPr>
                <w:rFonts w:eastAsia="仿宋_GB2312" w:ascii="仿宋_GB2312" w:hAnsi="仿宋_GB2312"/>
                <w:color w:val="000000"/>
                <w:sz w:val="24"/>
                <w:lang w:val="en-US" w:eastAsia="zh-CN"/>
              </w:rPr>
              <w:t>42</w:t>
            </w:r>
          </w:p>
        </w:tc>
      </w:tr>
      <w:tr>
        <w:trPr>
          <w:trHeight w:val="230" w:hRule="atLeast"/>
        </w:trPr>
        <w:tc>
          <w:tcPr>
            <w:tcW w:w="1200"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widowControl/>
              <w:snapToGrid w:val="false"/>
              <w:jc w:val="center"/>
              <w:rPr>
                <w:rFonts w:ascii="仿宋_GB2312" w:hAnsi="仿宋_GB2312" w:eastAsia="Times New Roman"/>
                <w:color w:val="000000"/>
                <w:sz w:val="24"/>
                <w:lang w:val="en-US" w:eastAsia="zh-CN"/>
              </w:rPr>
            </w:pPr>
            <w:r>
              <w:rPr>
                <w:rFonts w:eastAsia="Times New Roman" w:ascii="仿宋_GB2312" w:hAnsi="仿宋_GB2312"/>
                <w:color w:val="000000"/>
                <w:sz w:val="24"/>
                <w:lang w:val="en-US" w:eastAsia="zh-CN"/>
              </w:rPr>
            </w:r>
          </w:p>
        </w:tc>
        <w:tc>
          <w:tcPr>
            <w:tcW w:w="2129" w:type="dxa"/>
            <w:gridSpan w:val="2"/>
            <w:vMerge w:val="continue"/>
            <w:tcBorders>
              <w:top w:val="single" w:sz="6" w:space="0" w:color="000000"/>
              <w:left w:val="single" w:sz="6" w:space="0" w:color="000000"/>
              <w:bottom w:val="single" w:sz="6" w:space="0" w:color="000000"/>
              <w:right w:val="single" w:sz="6" w:space="0" w:color="000000"/>
            </w:tcBorders>
            <w:vAlign w:val="center"/>
          </w:tcPr>
          <w:p>
            <w:pPr>
              <w:pStyle w:val="Normal"/>
              <w:widowControl/>
              <w:snapToGrid w:val="false"/>
              <w:jc w:val="center"/>
              <w:rPr>
                <w:rFonts w:eastAsia="Times New Roman"/>
                <w:color w:val="000000"/>
              </w:rPr>
            </w:pPr>
            <w:r>
              <w:rPr>
                <w:rFonts w:eastAsia="Times New Roman"/>
                <w:color w:val="000000"/>
              </w:rPr>
            </w:r>
          </w:p>
        </w:tc>
        <w:tc>
          <w:tcPr>
            <w:tcW w:w="877"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eastAsia="Times New Roman"/>
                <w:color w:val="000000"/>
              </w:rPr>
            </w:pPr>
            <w:r>
              <w:rPr>
                <w:color w:val="000000"/>
              </w:rPr>
              <w:t>专业</w:t>
            </w:r>
          </w:p>
        </w:tc>
        <w:tc>
          <w:tcPr>
            <w:tcW w:w="852"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lineRule="atLeast" w:line="240"/>
              <w:jc w:val="center"/>
              <w:rPr>
                <w:rFonts w:ascii="仿宋_GB2312" w:hAnsi="仿宋_GB2312" w:eastAsia="仿宋_GB2312"/>
                <w:color w:val="000000"/>
                <w:sz w:val="24"/>
                <w:lang w:val="en-US" w:eastAsia="zh-CN"/>
              </w:rPr>
            </w:pPr>
            <w:r>
              <w:rPr>
                <w:rFonts w:ascii="仿宋_GB2312" w:hAnsi="仿宋_GB2312" w:eastAsia="仿宋_GB2312"/>
                <w:color w:val="000000"/>
                <w:sz w:val="24"/>
                <w:lang w:val="en-US" w:eastAsia="zh-CN"/>
              </w:rPr>
              <w:t>电力系统及其自动化</w:t>
            </w:r>
          </w:p>
        </w:tc>
        <w:tc>
          <w:tcPr>
            <w:tcW w:w="865"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学历</w:t>
            </w:r>
          </w:p>
        </w:tc>
        <w:tc>
          <w:tcPr>
            <w:tcW w:w="868"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lang w:val="en-US" w:eastAsia="zh-CN"/>
              </w:rPr>
            </w:pPr>
            <w:r>
              <w:rPr>
                <w:rFonts w:ascii="仿宋_GB2312" w:hAnsi="仿宋_GB2312" w:eastAsia="仿宋_GB2312"/>
                <w:color w:val="000000"/>
                <w:sz w:val="24"/>
                <w:lang w:val="en-US" w:eastAsia="zh-CN"/>
              </w:rPr>
              <w:t>硕士研究生</w:t>
            </w:r>
          </w:p>
        </w:tc>
        <w:tc>
          <w:tcPr>
            <w:tcW w:w="864"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rPr>
            </w:pPr>
            <w:r>
              <w:rPr>
                <w:rFonts w:ascii="仿宋_GB2312" w:hAnsi="仿宋_GB2312" w:eastAsia="仿宋_GB2312"/>
                <w:color w:val="000000"/>
                <w:sz w:val="24"/>
              </w:rPr>
              <w:t>职称</w:t>
            </w:r>
          </w:p>
        </w:tc>
        <w:tc>
          <w:tcPr>
            <w:tcW w:w="867" w:type="dxa"/>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lang w:val="en-US" w:eastAsia="zh-CN"/>
              </w:rPr>
            </w:pPr>
            <w:r>
              <w:rPr>
                <w:rFonts w:ascii="仿宋_GB2312" w:hAnsi="仿宋_GB2312" w:eastAsia="仿宋_GB2312"/>
                <w:color w:val="000000"/>
                <w:sz w:val="24"/>
                <w:lang w:val="en-US" w:eastAsia="zh-CN"/>
              </w:rPr>
              <w:t>高级工程师</w:t>
            </w:r>
          </w:p>
        </w:tc>
      </w:tr>
      <w:tr>
        <w:trPr>
          <w:trHeight w:val="563" w:hRule="atLeast"/>
        </w:trPr>
        <w:tc>
          <w:tcPr>
            <w:tcW w:w="1200"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widowControl/>
              <w:snapToGrid w:val="false"/>
              <w:jc w:val="left"/>
              <w:rPr>
                <w:rFonts w:ascii="仿宋_GB2312" w:hAnsi="仿宋_GB2312" w:eastAsia="仿宋_GB2312" w:cs="宋体"/>
                <w:b/>
                <w:color w:val="000000"/>
                <w:kern w:val="0"/>
                <w:sz w:val="22"/>
                <w:lang w:val="en-US" w:eastAsia="zh-CN"/>
              </w:rPr>
            </w:pPr>
            <w:r>
              <w:rPr>
                <w:rFonts w:eastAsia="仿宋_GB2312" w:cs="宋体" w:ascii="仿宋_GB2312" w:hAnsi="仿宋_GB2312"/>
                <w:b/>
                <w:color w:val="000000"/>
                <w:kern w:val="0"/>
                <w:sz w:val="22"/>
                <w:lang w:val="en-US" w:eastAsia="zh-CN"/>
              </w:rPr>
            </w:r>
          </w:p>
        </w:tc>
        <w:tc>
          <w:tcPr>
            <w:tcW w:w="1410" w:type="dxa"/>
            <w:tcBorders>
              <w:top w:val="single" w:sz="6" w:space="0" w:color="000000"/>
              <w:left w:val="single" w:sz="6" w:space="0" w:color="000000"/>
              <w:bottom w:val="single" w:sz="6" w:space="0" w:color="000000"/>
              <w:right w:val="single" w:sz="6" w:space="0" w:color="000000"/>
            </w:tcBorders>
            <w:vAlign w:val="center"/>
          </w:tcPr>
          <w:p>
            <w:pPr>
              <w:pStyle w:val="Normal"/>
              <w:widowControl/>
              <w:ind w:right="-69"/>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咨询团队</w:t>
            </w:r>
          </w:p>
          <w:p>
            <w:pPr>
              <w:pStyle w:val="Normal"/>
              <w:widowControl/>
              <w:ind w:right="-69"/>
              <w:jc w:val="center"/>
              <w:rPr>
                <w:rFonts w:ascii="仿宋_GB2312" w:hAnsi="仿宋_GB2312" w:eastAsia="仿宋_GB2312" w:cs="宋体"/>
                <w:b/>
                <w:color w:val="000000"/>
                <w:kern w:val="0"/>
                <w:sz w:val="22"/>
              </w:rPr>
            </w:pPr>
            <w:r>
              <w:rPr>
                <w:rFonts w:ascii="仿宋_GB2312" w:hAnsi="仿宋_GB2312" w:cs="宋体" w:eastAsia="仿宋_GB2312"/>
                <w:b/>
                <w:color w:val="000000"/>
                <w:kern w:val="0"/>
                <w:sz w:val="22"/>
              </w:rPr>
              <w:t>人数</w:t>
            </w:r>
          </w:p>
        </w:tc>
        <w:tc>
          <w:tcPr>
            <w:tcW w:w="719"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left"/>
              <w:rPr>
                <w:rFonts w:ascii="仿宋_GB2312" w:hAnsi="仿宋_GB2312" w:eastAsia="仿宋_GB2312" w:cs="宋体"/>
                <w:b/>
                <w:color w:val="000000"/>
                <w:kern w:val="0"/>
                <w:sz w:val="22"/>
                <w:lang w:val="en-US" w:eastAsia="zh-CN"/>
              </w:rPr>
            </w:pPr>
            <w:r>
              <w:rPr>
                <w:rFonts w:eastAsia="仿宋_GB2312" w:cs="宋体" w:ascii="仿宋_GB2312" w:hAnsi="仿宋_GB2312"/>
                <w:b/>
                <w:color w:val="000000"/>
                <w:kern w:val="0"/>
                <w:sz w:val="22"/>
                <w:lang w:val="en-US" w:eastAsia="zh-CN"/>
              </w:rPr>
              <w:t>10</w:t>
            </w:r>
          </w:p>
        </w:tc>
        <w:tc>
          <w:tcPr>
            <w:tcW w:w="877" w:type="dxa"/>
            <w:tcBorders>
              <w:top w:val="single" w:sz="6" w:space="0" w:color="000000"/>
              <w:left w:val="single" w:sz="6" w:space="0" w:color="000000"/>
              <w:bottom w:val="single" w:sz="6" w:space="0" w:color="000000"/>
              <w:right w:val="single" w:sz="6" w:space="0" w:color="000000"/>
            </w:tcBorders>
            <w:vAlign w:val="center"/>
          </w:tcPr>
          <w:p>
            <w:pPr>
              <w:pStyle w:val="Normal"/>
              <w:widowControl/>
              <w:ind w:firstLine="17" w:left="-120" w:right="-115"/>
              <w:jc w:val="center"/>
              <w:rPr>
                <w:color w:val="000000"/>
                <w:kern w:val="0"/>
                <w:sz w:val="22"/>
              </w:rPr>
            </w:pPr>
            <w:r>
              <w:rPr>
                <w:rFonts w:ascii="宋体" w:hAnsi="宋体" w:cs="宋体"/>
                <w:color w:val="000000"/>
                <w:kern w:val="0"/>
                <w:sz w:val="22"/>
              </w:rPr>
              <w:t>高级</w:t>
            </w:r>
          </w:p>
          <w:p>
            <w:pPr>
              <w:pStyle w:val="Normal"/>
              <w:widowControl/>
              <w:ind w:firstLine="17" w:left="-120" w:right="-115"/>
              <w:jc w:val="center"/>
              <w:rPr>
                <w:color w:val="000000"/>
                <w:kern w:val="0"/>
                <w:sz w:val="22"/>
              </w:rPr>
            </w:pPr>
            <w:r>
              <w:rPr>
                <w:rFonts w:ascii="宋体" w:hAnsi="宋体" w:cs="宋体"/>
                <w:color w:val="000000"/>
                <w:kern w:val="0"/>
                <w:sz w:val="22"/>
              </w:rPr>
              <w:t>职称</w:t>
            </w:r>
          </w:p>
        </w:tc>
        <w:tc>
          <w:tcPr>
            <w:tcW w:w="852"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lang w:val="en-US" w:eastAsia="zh-CN"/>
              </w:rPr>
            </w:pPr>
            <w:r>
              <w:rPr>
                <w:rFonts w:eastAsia="仿宋_GB2312" w:ascii="仿宋_GB2312" w:hAnsi="仿宋_GB2312"/>
                <w:color w:val="000000"/>
                <w:sz w:val="24"/>
                <w:lang w:val="en-US" w:eastAsia="zh-CN"/>
              </w:rPr>
              <w:t>8</w:t>
            </w:r>
          </w:p>
        </w:tc>
        <w:tc>
          <w:tcPr>
            <w:tcW w:w="865" w:type="dxa"/>
            <w:tcBorders>
              <w:top w:val="single" w:sz="6" w:space="0" w:color="000000"/>
              <w:left w:val="single" w:sz="6" w:space="0" w:color="000000"/>
              <w:bottom w:val="single" w:sz="6" w:space="0" w:color="000000"/>
              <w:right w:val="single" w:sz="6" w:space="0" w:color="000000"/>
            </w:tcBorders>
            <w:vAlign w:val="center"/>
          </w:tcPr>
          <w:p>
            <w:pPr>
              <w:pStyle w:val="Normal"/>
              <w:widowControl/>
              <w:ind w:firstLine="19" w:left="-120" w:right="-115"/>
              <w:jc w:val="center"/>
              <w:rPr>
                <w:rFonts w:ascii="仿宋_GB2312" w:hAnsi="仿宋_GB2312" w:eastAsia="仿宋_GB2312"/>
                <w:color w:val="000000"/>
                <w:sz w:val="24"/>
              </w:rPr>
            </w:pPr>
            <w:r>
              <w:rPr>
                <w:rFonts w:ascii="仿宋_GB2312" w:hAnsi="仿宋_GB2312" w:eastAsia="仿宋_GB2312"/>
                <w:color w:val="000000"/>
                <w:sz w:val="24"/>
              </w:rPr>
              <w:t>中级</w:t>
            </w:r>
          </w:p>
          <w:p>
            <w:pPr>
              <w:pStyle w:val="Normal"/>
              <w:widowControl/>
              <w:ind w:firstLine="19" w:left="-120" w:right="-115"/>
              <w:jc w:val="center"/>
              <w:rPr>
                <w:rFonts w:ascii="仿宋_GB2312" w:hAnsi="仿宋_GB2312" w:eastAsia="仿宋_GB2312"/>
                <w:color w:val="000000"/>
                <w:sz w:val="24"/>
              </w:rPr>
            </w:pPr>
            <w:r>
              <w:rPr>
                <w:rFonts w:ascii="仿宋_GB2312" w:hAnsi="仿宋_GB2312" w:eastAsia="仿宋_GB2312"/>
                <w:color w:val="000000"/>
                <w:sz w:val="24"/>
              </w:rPr>
              <w:t>职称</w:t>
            </w:r>
          </w:p>
        </w:tc>
        <w:tc>
          <w:tcPr>
            <w:tcW w:w="868" w:type="dxa"/>
            <w:tcBorders>
              <w:top w:val="single" w:sz="6" w:space="0" w:color="000000"/>
              <w:left w:val="single" w:sz="6" w:space="0" w:color="000000"/>
              <w:bottom w:val="single" w:sz="6" w:space="0" w:color="000000"/>
              <w:right w:val="single" w:sz="6" w:space="0" w:color="000000"/>
            </w:tcBorders>
            <w:vAlign w:val="center"/>
          </w:tcPr>
          <w:p>
            <w:pPr>
              <w:pStyle w:val="Normal"/>
              <w:widowControl/>
              <w:jc w:val="center"/>
              <w:rPr>
                <w:rFonts w:ascii="仿宋_GB2312" w:hAnsi="仿宋_GB2312" w:eastAsia="仿宋_GB2312"/>
                <w:color w:val="000000"/>
                <w:sz w:val="24"/>
                <w:lang w:val="en-US" w:eastAsia="zh-CN"/>
              </w:rPr>
            </w:pPr>
            <w:r>
              <w:rPr>
                <w:rFonts w:eastAsia="仿宋_GB2312" w:ascii="仿宋_GB2312" w:hAnsi="仿宋_GB2312"/>
                <w:color w:val="000000"/>
                <w:sz w:val="24"/>
                <w:lang w:val="en-US" w:eastAsia="zh-CN"/>
              </w:rPr>
              <w:t>1</w:t>
            </w:r>
          </w:p>
        </w:tc>
        <w:tc>
          <w:tcPr>
            <w:tcW w:w="864" w:type="dxa"/>
            <w:tcBorders>
              <w:top w:val="single" w:sz="6" w:space="0" w:color="000000"/>
              <w:left w:val="single" w:sz="6" w:space="0" w:color="000000"/>
              <w:bottom w:val="single" w:sz="6" w:space="0" w:color="000000"/>
              <w:right w:val="single" w:sz="6" w:space="0" w:color="000000"/>
            </w:tcBorders>
            <w:vAlign w:val="center"/>
          </w:tcPr>
          <w:p>
            <w:pPr>
              <w:pStyle w:val="Normal"/>
              <w:widowControl/>
              <w:ind w:firstLine="19" w:left="-120" w:right="-115"/>
              <w:jc w:val="center"/>
              <w:rPr>
                <w:rFonts w:ascii="仿宋_GB2312" w:hAnsi="仿宋_GB2312" w:eastAsia="仿宋_GB2312"/>
                <w:color w:val="000000"/>
                <w:sz w:val="24"/>
              </w:rPr>
            </w:pPr>
            <w:r>
              <w:rPr>
                <w:rFonts w:ascii="仿宋_GB2312" w:hAnsi="仿宋_GB2312" w:eastAsia="仿宋_GB2312"/>
                <w:color w:val="000000"/>
                <w:sz w:val="24"/>
              </w:rPr>
              <w:t>初级</w:t>
            </w:r>
          </w:p>
          <w:p>
            <w:pPr>
              <w:pStyle w:val="Normal"/>
              <w:widowControl/>
              <w:ind w:firstLine="19" w:left="-120" w:right="-115"/>
              <w:jc w:val="center"/>
              <w:rPr>
                <w:rFonts w:ascii="仿宋_GB2312" w:hAnsi="仿宋_GB2312" w:eastAsia="仿宋_GB2312"/>
                <w:color w:val="000000"/>
                <w:sz w:val="24"/>
              </w:rPr>
            </w:pPr>
            <w:r>
              <w:rPr>
                <w:rFonts w:ascii="仿宋_GB2312" w:hAnsi="仿宋_GB2312" w:eastAsia="仿宋_GB2312"/>
                <w:color w:val="000000"/>
                <w:sz w:val="24"/>
              </w:rPr>
              <w:t>职称</w:t>
            </w:r>
          </w:p>
        </w:tc>
        <w:tc>
          <w:tcPr>
            <w:tcW w:w="867" w:type="dxa"/>
            <w:tcBorders>
              <w:top w:val="single" w:sz="6" w:space="0" w:color="000000"/>
              <w:left w:val="single" w:sz="6" w:space="0" w:color="000000"/>
              <w:bottom w:val="single" w:sz="6" w:space="0" w:color="000000"/>
              <w:right w:val="single" w:sz="12" w:space="0" w:color="000000"/>
            </w:tcBorders>
            <w:vAlign w:val="center"/>
          </w:tcPr>
          <w:p>
            <w:pPr>
              <w:pStyle w:val="Normal"/>
              <w:widowControl/>
              <w:jc w:val="center"/>
              <w:rPr>
                <w:rFonts w:ascii="仿宋_GB2312" w:hAnsi="仿宋_GB2312" w:eastAsia="仿宋_GB2312"/>
                <w:color w:val="000000"/>
                <w:sz w:val="24"/>
                <w:lang w:val="en-US" w:eastAsia="zh-CN"/>
              </w:rPr>
            </w:pPr>
            <w:r>
              <w:rPr>
                <w:rFonts w:eastAsia="仿宋_GB2312" w:ascii="仿宋_GB2312" w:hAnsi="仿宋_GB2312"/>
                <w:color w:val="000000"/>
                <w:sz w:val="24"/>
                <w:lang w:val="en-US" w:eastAsia="zh-CN"/>
              </w:rPr>
              <w:t>1</w:t>
            </w:r>
          </w:p>
        </w:tc>
      </w:tr>
      <w:tr>
        <w:trPr>
          <w:trHeight w:val="527" w:hRule="atLeast"/>
        </w:trPr>
        <w:tc>
          <w:tcPr>
            <w:tcW w:w="8522" w:type="dxa"/>
            <w:gridSpan w:val="9"/>
            <w:tcBorders>
              <w:top w:val="single" w:sz="6" w:space="0" w:color="000000"/>
              <w:left w:val="single" w:sz="12" w:space="0" w:color="000000"/>
              <w:bottom w:val="single" w:sz="6" w:space="0" w:color="000000"/>
              <w:right w:val="single" w:sz="12" w:space="0" w:color="000000"/>
            </w:tcBorders>
          </w:tcPr>
          <w:p>
            <w:pPr>
              <w:pStyle w:val="Normal"/>
              <w:widowControl/>
              <w:snapToGrid w:val="false"/>
              <w:rPr>
                <w:rFonts w:ascii="仿宋_GB2312" w:hAnsi="仿宋_GB2312" w:eastAsia="仿宋_GB2312"/>
                <w:b/>
                <w:color w:val="000000"/>
                <w:kern w:val="0"/>
                <w:sz w:val="24"/>
              </w:rPr>
            </w:pPr>
            <w:r>
              <w:rPr>
                <w:rFonts w:ascii="仿宋_GB2312" w:hAnsi="仿宋_GB2312" w:eastAsia="仿宋_GB2312"/>
                <w:b/>
                <w:color w:val="000000"/>
                <w:kern w:val="0"/>
                <w:sz w:val="30"/>
              </w:rPr>
              <w:t>一、主要研究思路与方法</w:t>
            </w:r>
          </w:p>
        </w:tc>
      </w:tr>
      <w:tr>
        <w:trPr>
          <w:trHeight w:val="2962" w:hRule="atLeast"/>
        </w:trPr>
        <w:tc>
          <w:tcPr>
            <w:tcW w:w="8522" w:type="dxa"/>
            <w:gridSpan w:val="9"/>
            <w:tcBorders>
              <w:top w:val="single" w:sz="6" w:space="0" w:color="000000"/>
              <w:left w:val="single" w:sz="12" w:space="0" w:color="000000"/>
              <w:bottom w:val="single" w:sz="12" w:space="0" w:color="000000"/>
              <w:right w:val="single" w:sz="12" w:space="0" w:color="000000"/>
            </w:tcBorders>
          </w:tcPr>
          <w:p>
            <w:pPr>
              <w:pStyle w:val="Normal"/>
              <w:widowControl/>
              <w:numPr>
                <w:ilvl w:val="0"/>
                <w:numId w:val="1"/>
              </w:numPr>
              <w:snapToGrid w:val="false"/>
              <w:spacing w:lineRule="auto" w:line="360"/>
              <w:ind w:firstLine="420" w:left="0" w:right="0"/>
              <w:rPr>
                <w:lang w:val="en-US" w:eastAsia="zh-CN"/>
              </w:rPr>
            </w:pPr>
            <w:r>
              <w:rPr>
                <w:lang w:val="en-US" w:eastAsia="zh-CN"/>
              </w:rPr>
              <w:t>研究目的</w:t>
            </w:r>
          </w:p>
          <w:p>
            <w:pPr>
              <w:pStyle w:val="Style15"/>
              <w:rPr>
                <w:szCs w:val="22"/>
                <w:lang w:val="en-US" w:eastAsia="zh-CN"/>
              </w:rPr>
            </w:pPr>
            <w:r>
              <w:rPr>
                <w:szCs w:val="22"/>
                <w:lang w:val="en-US" w:eastAsia="zh-CN"/>
              </w:rPr>
              <w:t>随着新能源装机占比的持续提升，传统以刚性容载比为核心的电网规划方法在适应新能源波动性、反送电特性及消纳压力方面局限性日益凸显。徐州作为江苏省典型新能源高渗透率地区，其</w:t>
            </w:r>
            <w:r>
              <w:rPr>
                <w:szCs w:val="22"/>
                <w:lang w:val="en-US" w:eastAsia="zh-CN"/>
              </w:rPr>
              <w:t>110kV</w:t>
            </w:r>
            <w:r>
              <w:rPr>
                <w:szCs w:val="22"/>
                <w:lang w:val="en-US" w:eastAsia="zh-CN"/>
              </w:rPr>
              <w:t>及以下电网面临主变“夏冬重载、春秋反送”的双向压力，容载比指标频繁越限，导致电网建设投资低效、项目决策困难。</w:t>
            </w:r>
          </w:p>
          <w:p>
            <w:pPr>
              <w:pStyle w:val="Style15"/>
              <w:rPr>
                <w:szCs w:val="22"/>
                <w:lang w:val="en-US" w:eastAsia="zh-CN"/>
              </w:rPr>
            </w:pPr>
            <w:r>
              <w:rPr>
                <w:szCs w:val="22"/>
                <w:lang w:val="en-US" w:eastAsia="zh-CN"/>
              </w:rPr>
              <w:t>本研究项目旨在从电网规划与投资决策协同优化角度，分析徐州典型地区新能源渗透水平与电网运行状态的耦合关系，量化严格执行传统容载比标准与采用弹性容载比策略的全寿命周期成本差异，建立基于实际案例的经济技术决策模型，最终提出“一片一策”的弹性容载比规划建议，为提升徐州及类似地区电网规划的科学性、经济性与适应性提供技术支撑。</w:t>
            </w:r>
          </w:p>
          <w:p>
            <w:pPr>
              <w:pStyle w:val="Style15"/>
              <w:rPr>
                <w:szCs w:val="22"/>
                <w:lang w:val="en-US" w:eastAsia="zh-CN"/>
              </w:rPr>
            </w:pPr>
            <w:r>
              <w:rPr>
                <w:szCs w:val="22"/>
                <w:lang w:val="en-US" w:eastAsia="zh-CN"/>
              </w:rPr>
              <w:t>（二）研究思路与方法</w:t>
            </w:r>
          </w:p>
          <w:p>
            <w:pPr>
              <w:pStyle w:val="Style15"/>
              <w:rPr>
                <w:szCs w:val="22"/>
                <w:lang w:val="en-US" w:eastAsia="zh-CN"/>
              </w:rPr>
            </w:pPr>
            <w:r>
              <w:rPr>
                <w:szCs w:val="22"/>
                <w:lang w:val="en-US" w:eastAsia="zh-CN"/>
              </w:rPr>
              <w:t>数据库构建：</w:t>
            </w:r>
            <w:r>
              <w:rPr>
                <w:rFonts w:eastAsia="Times New Roman"/>
                <w:szCs w:val="22"/>
                <w:lang w:val="en-US" w:eastAsia="zh-CN"/>
              </w:rPr>
              <w:t xml:space="preserve"> </w:t>
            </w:r>
            <w:r>
              <w:rPr>
                <w:szCs w:val="22"/>
                <w:lang w:val="en-US" w:eastAsia="zh-CN"/>
              </w:rPr>
              <w:t>结合导则中对容载比的最新解读，系统收集并统计徐州典型新能源高渗透地区近五年</w:t>
            </w:r>
            <w:r>
              <w:rPr>
                <w:szCs w:val="22"/>
                <w:lang w:val="en-US" w:eastAsia="zh-CN"/>
              </w:rPr>
              <w:t>110</w:t>
            </w:r>
            <w:r>
              <w:rPr>
                <w:szCs w:val="22"/>
                <w:lang w:val="en-US" w:eastAsia="zh-CN"/>
              </w:rPr>
              <w:t>（</w:t>
            </w:r>
            <w:r>
              <w:rPr>
                <w:szCs w:val="22"/>
                <w:lang w:val="en-US" w:eastAsia="zh-CN"/>
              </w:rPr>
              <w:t>35</w:t>
            </w:r>
            <w:r>
              <w:rPr>
                <w:szCs w:val="22"/>
                <w:lang w:val="en-US" w:eastAsia="zh-CN"/>
              </w:rPr>
              <w:t>）</w:t>
            </w:r>
            <w:r>
              <w:rPr>
                <w:szCs w:val="22"/>
                <w:lang w:val="en-US" w:eastAsia="zh-CN"/>
              </w:rPr>
              <w:t>kV</w:t>
            </w:r>
            <w:r>
              <w:rPr>
                <w:szCs w:val="22"/>
                <w:lang w:val="en-US" w:eastAsia="zh-CN"/>
              </w:rPr>
              <w:t>主变负载率（区分夏冬季大负荷降压工况、春秋季小负荷升压工况）、源荷比、电量渗透率等指标。通过数据清洗与关联分析，构建“新能源渗透水平</w:t>
            </w:r>
            <w:r>
              <w:rPr>
                <w:szCs w:val="22"/>
                <w:lang w:val="en-US" w:eastAsia="zh-CN"/>
              </w:rPr>
              <w:t>-</w:t>
            </w:r>
            <w:r>
              <w:rPr>
                <w:szCs w:val="22"/>
                <w:lang w:val="en-US" w:eastAsia="zh-CN"/>
              </w:rPr>
              <w:t>电网运行状态”的基础数据库。</w:t>
            </w:r>
          </w:p>
          <w:p>
            <w:pPr>
              <w:pStyle w:val="Style15"/>
              <w:rPr>
                <w:szCs w:val="22"/>
                <w:lang w:val="en-US" w:eastAsia="zh-CN"/>
              </w:rPr>
            </w:pPr>
            <w:r>
              <w:rPr>
                <w:szCs w:val="22"/>
                <w:lang w:val="en-US" w:eastAsia="zh-CN"/>
              </w:rPr>
              <w:t>成本模型构建：</w:t>
            </w:r>
            <w:r>
              <w:rPr>
                <w:rFonts w:eastAsia="Times New Roman"/>
                <w:szCs w:val="22"/>
                <w:lang w:val="en-US" w:eastAsia="zh-CN"/>
              </w:rPr>
              <w:t xml:space="preserve"> </w:t>
            </w:r>
            <w:r>
              <w:rPr>
                <w:szCs w:val="22"/>
                <w:lang w:val="en-US" w:eastAsia="zh-CN"/>
              </w:rPr>
              <w:t>收集典型地区</w:t>
            </w:r>
            <w:r>
              <w:rPr>
                <w:szCs w:val="22"/>
                <w:lang w:val="en-US" w:eastAsia="zh-CN"/>
              </w:rPr>
              <w:t>10kV</w:t>
            </w:r>
            <w:r>
              <w:rPr>
                <w:szCs w:val="22"/>
                <w:lang w:val="en-US" w:eastAsia="zh-CN"/>
              </w:rPr>
              <w:t>及以下分布式新能源送出、电网配套扩容等实际工程成本数据。识别成本驱动因子，采用回归分析等方法，建立参数化的电网建设总成本模型。在此模型基础上，量化两种场景的全寿命周期成本：</w:t>
            </w:r>
          </w:p>
          <w:p>
            <w:pPr>
              <w:pStyle w:val="Style15"/>
              <w:rPr>
                <w:szCs w:val="22"/>
                <w:lang w:val="en-US" w:eastAsia="zh-CN"/>
              </w:rPr>
            </w:pPr>
            <w:r>
              <w:rPr>
                <w:szCs w:val="22"/>
                <w:lang w:val="en-US" w:eastAsia="zh-CN"/>
              </w:rPr>
              <w:t>场景一：严格执行容载比≤</w:t>
            </w:r>
            <w:r>
              <w:rPr>
                <w:szCs w:val="22"/>
                <w:lang w:val="en-US" w:eastAsia="zh-CN"/>
              </w:rPr>
              <w:t>2.0</w:t>
            </w:r>
            <w:r>
              <w:rPr>
                <w:szCs w:val="22"/>
                <w:lang w:val="en-US" w:eastAsia="zh-CN"/>
              </w:rPr>
              <w:t>，通过加强中压配电网联络、配置储能等方式解决容量缺口。</w:t>
            </w:r>
          </w:p>
          <w:p>
            <w:pPr>
              <w:pStyle w:val="Style15"/>
              <w:rPr>
                <w:szCs w:val="22"/>
                <w:lang w:val="en-US" w:eastAsia="zh-CN"/>
              </w:rPr>
            </w:pPr>
            <w:r>
              <w:rPr>
                <w:szCs w:val="22"/>
                <w:lang w:val="en-US" w:eastAsia="zh-CN"/>
              </w:rPr>
              <w:t>场景二：采用弹性容载比策略，允许一定范围内适度放宽容载比。</w:t>
            </w:r>
          </w:p>
          <w:p>
            <w:pPr>
              <w:pStyle w:val="Style15"/>
              <w:rPr>
                <w:szCs w:val="22"/>
                <w:lang w:val="en-US" w:eastAsia="zh-CN"/>
              </w:rPr>
            </w:pPr>
            <w:r>
              <w:rPr>
                <w:szCs w:val="22"/>
                <w:lang w:val="en-US" w:eastAsia="zh-CN"/>
              </w:rPr>
              <w:t>采用年费用法折算可比经济技术指标，形成决策案例库。</w:t>
            </w:r>
          </w:p>
          <w:p>
            <w:pPr>
              <w:pStyle w:val="Style15"/>
              <w:rPr>
                <w:lang w:val="en-US" w:eastAsia="zh-CN"/>
              </w:rPr>
            </w:pPr>
            <w:r>
              <w:rPr>
                <w:szCs w:val="22"/>
                <w:lang w:val="en-US" w:eastAsia="zh-CN"/>
              </w:rPr>
              <w:t>弹性容载比决策分析：</w:t>
            </w:r>
            <w:r>
              <w:rPr>
                <w:rFonts w:eastAsia="Times New Roman"/>
                <w:szCs w:val="22"/>
                <w:lang w:val="en-US" w:eastAsia="zh-CN"/>
              </w:rPr>
              <w:t xml:space="preserve"> </w:t>
            </w:r>
            <w:r>
              <w:rPr>
                <w:szCs w:val="22"/>
                <w:lang w:val="en-US" w:eastAsia="zh-CN"/>
              </w:rPr>
              <w:t>结合数据库成果，对典型地区进行规划年份的负荷及分布式光伏预测。基于预测结果，综合考虑新能源发展预期、负荷增长阶段、现有网络结构等因素，设立若干经济与技术评价指标。运用层次分析法确定各指标权重，构建弹性容载比推荐模型。规划人员可根据片区实际情况与偏好，快速定位推荐的容载比区间及配套技术方案，形成“一片一策”的弹性规划建议。</w:t>
            </w:r>
          </w:p>
        </w:tc>
      </w:tr>
    </w:tbl>
    <w:p>
      <w:pPr>
        <w:pStyle w:val="Normal"/>
        <w:widowControl/>
        <w:rPr>
          <w:rFonts w:ascii="仿宋_GB2312" w:hAnsi="仿宋_GB2312" w:eastAsia="仿宋_GB2312"/>
          <w:b/>
          <w:color w:val="000000"/>
          <w:kern w:val="0"/>
          <w:sz w:val="30"/>
        </w:rPr>
      </w:pPr>
      <w:r>
        <w:br w:type="page"/>
      </w:r>
      <w:r>
        <w:rPr>
          <w:rFonts w:eastAsia="仿宋_GB2312" w:ascii="仿宋_GB2312" w:hAnsi="仿宋_GB2312"/>
          <w:b/>
          <w:color w:val="000000"/>
          <w:kern w:val="0"/>
          <w:sz w:val="30"/>
        </w:rPr>
      </w:r>
    </w:p>
    <w:tbl>
      <w:tblPr>
        <w:tblW w:w="8925" w:type="dxa"/>
        <w:jc w:val="center"/>
        <w:tblInd w:w="0" w:type="dxa"/>
        <w:tblLayout w:type="fixed"/>
        <w:tblCellMar>
          <w:top w:w="0" w:type="dxa"/>
          <w:left w:w="108" w:type="dxa"/>
          <w:bottom w:w="0" w:type="dxa"/>
          <w:right w:w="108" w:type="dxa"/>
        </w:tblCellMar>
      </w:tblPr>
      <w:tblGrid>
        <w:gridCol w:w="8925"/>
      </w:tblGrid>
      <w:tr>
        <w:trPr>
          <w:trHeight w:val="530" w:hRule="atLeast"/>
        </w:trPr>
        <w:tc>
          <w:tcPr>
            <w:tcW w:w="8925" w:type="dxa"/>
            <w:tcBorders>
              <w:top w:val="single" w:sz="12" w:space="0" w:color="000000"/>
              <w:left w:val="single" w:sz="12" w:space="0" w:color="000000"/>
              <w:bottom w:val="single" w:sz="4" w:space="0" w:color="000000"/>
              <w:right w:val="single" w:sz="12" w:space="0" w:color="000000"/>
            </w:tcBorders>
            <w:vAlign w:val="center"/>
          </w:tcPr>
          <w:p>
            <w:pPr>
              <w:pStyle w:val="Normal"/>
              <w:widowControl/>
              <w:rPr>
                <w:rFonts w:ascii="仿宋_GB2312" w:hAnsi="仿宋_GB2312" w:eastAsia="仿宋_GB2312"/>
                <w:color w:val="000000"/>
                <w:kern w:val="0"/>
                <w:sz w:val="30"/>
              </w:rPr>
            </w:pPr>
            <w:r>
              <w:rPr>
                <w:rFonts w:ascii="仿宋_GB2312" w:hAnsi="仿宋_GB2312" w:eastAsia="仿宋_GB2312"/>
                <w:b/>
                <w:color w:val="000000"/>
                <w:kern w:val="0"/>
                <w:sz w:val="30"/>
              </w:rPr>
              <w:t>二、主要研究成果内容</w:t>
            </w:r>
          </w:p>
        </w:tc>
      </w:tr>
      <w:tr>
        <w:trPr>
          <w:trHeight w:val="12521" w:hRule="atLeast"/>
        </w:trPr>
        <w:tc>
          <w:tcPr>
            <w:tcW w:w="8925" w:type="dxa"/>
            <w:tcBorders>
              <w:top w:val="single" w:sz="4" w:space="0" w:color="000000"/>
              <w:left w:val="single" w:sz="12" w:space="0" w:color="000000"/>
              <w:bottom w:val="single" w:sz="12" w:space="0" w:color="000000"/>
              <w:right w:val="single" w:sz="12" w:space="0" w:color="000000"/>
            </w:tcBorders>
          </w:tcPr>
          <w:p>
            <w:pPr>
              <w:pStyle w:val="Normal"/>
              <w:widowControl/>
              <w:snapToGrid w:val="false"/>
              <w:spacing w:lineRule="auto" w:line="360"/>
              <w:jc w:val="left"/>
              <w:rPr>
                <w:rFonts w:ascii="仿宋_GB2312" w:hAnsi="仿宋_GB2312" w:eastAsia="仿宋_GB2312"/>
                <w:color w:val="000000"/>
                <w:kern w:val="0"/>
                <w:sz w:val="24"/>
              </w:rPr>
            </w:pPr>
            <w:r>
              <w:rPr>
                <w:rFonts w:ascii="仿宋_GB2312" w:hAnsi="仿宋_GB2312" w:eastAsia="仿宋_GB2312"/>
                <w:color w:val="000000"/>
                <w:kern w:val="0"/>
                <w:sz w:val="24"/>
              </w:rPr>
              <w:t>（一）研究框架</w:t>
            </w:r>
          </w:p>
          <w:p>
            <w:pPr>
              <w:pStyle w:val="Normal"/>
              <w:widowControl/>
              <w:spacing w:lineRule="auto" w:line="360"/>
              <w:ind w:left="482" w:right="0"/>
              <w:jc w:val="left"/>
              <w:rPr>
                <w:rFonts w:ascii="仿宋_GB2312" w:hAnsi="仿宋_GB2312" w:eastAsia="仿宋_GB2312"/>
                <w:color w:val="000000"/>
                <w:kern w:val="0"/>
                <w:sz w:val="24"/>
              </w:rPr>
            </w:pPr>
            <w:r>
              <w:rPr>
                <w:rFonts w:ascii="仿宋_GB2312" w:hAnsi="仿宋_GB2312" w:eastAsia="仿宋_GB2312"/>
                <w:color w:val="000000"/>
                <w:kern w:val="0"/>
                <w:sz w:val="24"/>
              </w:rPr>
              <w:t>本项目的具体研究框架如下：</w:t>
            </w:r>
          </w:p>
          <w:p>
            <w:pPr>
              <w:pStyle w:val="Normal"/>
              <w:tabs>
                <w:tab w:val="clear" w:pos="420"/>
                <w:tab w:val="right" w:pos="8925" w:leader="dot"/>
              </w:tabs>
              <w:spacing w:lineRule="auto" w:line="360"/>
              <w:rPr>
                <w:rFonts w:ascii="Times New Roman" w:hAnsi="Times New Roman" w:eastAsia="宋体" w:cs="Times New Roman"/>
                <w:b/>
                <w:bCs/>
                <w:kern w:val="2"/>
                <w:sz w:val="24"/>
                <w:szCs w:val="24"/>
                <w:lang w:val="en-US" w:eastAsia="zh-CN" w:bidi="ar-SA"/>
              </w:rPr>
            </w:pPr>
            <w:r>
              <w:rPr>
                <w:rFonts w:ascii="Times New Roman" w:hAnsi="Times New Roman" w:cs="Times New Roman"/>
                <w:b/>
                <w:bCs/>
                <w:kern w:val="2"/>
                <w:sz w:val="24"/>
                <w:szCs w:val="24"/>
                <w:lang w:val="en-US" w:eastAsia="zh-CN" w:bidi="ar-SA"/>
              </w:rPr>
              <w:t>第一章</w:t>
            </w:r>
            <w:r>
              <w:rPr>
                <w:rFonts w:ascii="Times New Roman" w:hAnsi="Times New Roman" w:cs="Times New Roman" w:eastAsia="Times New Roman"/>
                <w:b/>
                <w:bCs/>
                <w:kern w:val="2"/>
                <w:sz w:val="24"/>
                <w:szCs w:val="24"/>
                <w:lang w:val="en-US" w:eastAsia="zh-CN" w:bidi="ar-SA"/>
              </w:rPr>
              <w:t xml:space="preserve"> </w:t>
            </w:r>
            <w:r>
              <w:rPr>
                <w:rFonts w:ascii="Times New Roman" w:hAnsi="Times New Roman" w:cs="Times New Roman"/>
                <w:b/>
                <w:bCs/>
                <w:kern w:val="2"/>
                <w:sz w:val="24"/>
                <w:szCs w:val="24"/>
                <w:lang w:val="en-US" w:eastAsia="zh-CN" w:bidi="ar-SA"/>
              </w:rPr>
              <w:t>绪论</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1.1 </w:t>
            </w:r>
            <w:r>
              <w:rPr>
                <w:rFonts w:ascii="Times New Roman" w:hAnsi="Times New Roman" w:cs="Times New Roman"/>
                <w:kern w:val="2"/>
                <w:sz w:val="24"/>
                <w:szCs w:val="24"/>
                <w:lang w:val="en-US" w:eastAsia="zh-CN" w:bidi="ar-SA"/>
              </w:rPr>
              <w:t>研究背景与意义</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1.</w:t>
            </w:r>
            <w:r>
              <w:rPr>
                <w:rFonts w:eastAsia="宋体" w:cs="Times New Roman"/>
                <w:sz w:val="24"/>
                <w:szCs w:val="24"/>
                <w:lang w:val="en-US" w:eastAsia="zh-CN"/>
              </w:rPr>
              <w:t xml:space="preserve">2 </w:t>
            </w:r>
            <w:r>
              <w:rPr>
                <w:rFonts w:ascii="Times New Roman" w:hAnsi="Times New Roman" w:cs="Times New Roman"/>
                <w:kern w:val="2"/>
                <w:sz w:val="24"/>
                <w:szCs w:val="24"/>
                <w:lang w:val="en-US" w:eastAsia="zh-CN" w:bidi="ar-SA"/>
              </w:rPr>
              <w:t>研究范围与对象</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1.3 </w:t>
            </w:r>
            <w:r>
              <w:rPr>
                <w:rFonts w:ascii="Times New Roman" w:hAnsi="Times New Roman" w:cs="Times New Roman"/>
                <w:kern w:val="2"/>
                <w:sz w:val="24"/>
                <w:szCs w:val="24"/>
                <w:lang w:val="en-US" w:eastAsia="zh-CN" w:bidi="ar-SA"/>
              </w:rPr>
              <w:t>研究目标与内容</w:t>
            </w:r>
          </w:p>
          <w:p>
            <w:pPr>
              <w:pStyle w:val="Normal"/>
              <w:tabs>
                <w:tab w:val="clear" w:pos="420"/>
                <w:tab w:val="right" w:pos="8925" w:leader="dot"/>
              </w:tabs>
              <w:spacing w:lineRule="auto" w:line="360"/>
              <w:ind w:firstLine="480" w:right="0"/>
              <w:rPr>
                <w:rFonts w:ascii="Segoe UI" w:hAnsi="Segoe UI" w:eastAsia="Segoe UI" w:cs="Segoe UI"/>
                <w:i w:val="false"/>
                <w:i w:val="false"/>
                <w:iCs w:val="false"/>
                <w:caps w:val="false"/>
                <w:smallCaps w:val="false"/>
                <w:color w:val="0F1115"/>
                <w:spacing w:val="0"/>
                <w:sz w:val="16"/>
                <w:szCs w:val="16"/>
              </w:rPr>
            </w:pPr>
            <w:r>
              <w:rPr>
                <w:rFonts w:eastAsia="宋体" w:cs="Times New Roman"/>
                <w:kern w:val="2"/>
                <w:sz w:val="24"/>
                <w:szCs w:val="24"/>
                <w:lang w:val="en-US" w:eastAsia="zh-CN" w:bidi="ar-SA"/>
              </w:rPr>
              <w:t xml:space="preserve">1.4 </w:t>
            </w:r>
            <w:r>
              <w:rPr>
                <w:rFonts w:ascii="Times New Roman" w:hAnsi="Times New Roman" w:cs="Times New Roman"/>
                <w:kern w:val="2"/>
                <w:sz w:val="24"/>
                <w:szCs w:val="24"/>
                <w:lang w:val="en-US" w:eastAsia="zh-CN" w:bidi="ar-SA"/>
              </w:rPr>
              <w:t>研究方法与技术路线</w:t>
            </w:r>
          </w:p>
          <w:p>
            <w:pPr>
              <w:pStyle w:val="Normal"/>
              <w:tabs>
                <w:tab w:val="clear" w:pos="420"/>
                <w:tab w:val="right" w:pos="8925" w:leader="dot"/>
              </w:tabs>
              <w:spacing w:lineRule="auto" w:line="360"/>
              <w:rPr>
                <w:rFonts w:ascii="Times New Roman" w:hAnsi="Times New Roman" w:eastAsia="宋体" w:cs="Times New Roman"/>
                <w:b/>
                <w:bCs/>
                <w:kern w:val="2"/>
                <w:sz w:val="24"/>
                <w:szCs w:val="24"/>
                <w:lang w:val="en-US" w:eastAsia="zh-CN" w:bidi="ar-SA"/>
              </w:rPr>
            </w:pPr>
            <w:r>
              <w:rPr>
                <w:rFonts w:ascii="Times New Roman" w:hAnsi="Times New Roman" w:cs="Times New Roman"/>
                <w:b/>
                <w:bCs/>
                <w:kern w:val="2"/>
                <w:sz w:val="24"/>
                <w:szCs w:val="24"/>
                <w:lang w:val="en-US" w:eastAsia="zh-CN" w:bidi="ar-SA"/>
              </w:rPr>
              <w:t>第二章</w:t>
            </w:r>
            <w:r>
              <w:rPr>
                <w:rFonts w:ascii="Times New Roman" w:hAnsi="Times New Roman" w:cs="Times New Roman" w:eastAsia="Times New Roman"/>
                <w:b/>
                <w:bCs/>
                <w:kern w:val="2"/>
                <w:sz w:val="24"/>
                <w:szCs w:val="24"/>
                <w:lang w:val="en-US" w:eastAsia="zh-CN" w:bidi="ar-SA"/>
              </w:rPr>
              <w:t xml:space="preserve"> </w:t>
            </w:r>
            <w:r>
              <w:rPr>
                <w:rFonts w:ascii="Times New Roman" w:hAnsi="Times New Roman" w:cs="Times New Roman"/>
                <w:b/>
                <w:bCs/>
                <w:kern w:val="2"/>
                <w:sz w:val="24"/>
                <w:szCs w:val="24"/>
                <w:lang w:val="en-US" w:eastAsia="zh-CN" w:bidi="ar-SA"/>
              </w:rPr>
              <w:t>文献综述与理论基础</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2.1 </w:t>
            </w:r>
            <w:r>
              <w:rPr>
                <w:rFonts w:ascii="Times New Roman" w:hAnsi="Times New Roman" w:cs="Times New Roman"/>
                <w:kern w:val="2"/>
                <w:sz w:val="24"/>
                <w:szCs w:val="24"/>
                <w:lang w:val="en-US" w:eastAsia="zh-CN" w:bidi="ar-SA"/>
              </w:rPr>
              <w:t>国内外研究现状</w:t>
            </w:r>
          </w:p>
          <w:p>
            <w:pPr>
              <w:pStyle w:val="Normal"/>
              <w:tabs>
                <w:tab w:val="clear" w:pos="420"/>
                <w:tab w:val="right" w:pos="8925" w:leader="dot"/>
              </w:tabs>
              <w:spacing w:lineRule="auto" w:line="360"/>
              <w:ind w:firstLine="480" w:right="0"/>
              <w:rPr>
                <w:rFonts w:ascii="Segoe UI" w:hAnsi="Segoe UI" w:eastAsia="Segoe UI" w:cs="Segoe UI"/>
                <w:i w:val="false"/>
                <w:i w:val="false"/>
                <w:iCs w:val="false"/>
                <w:caps w:val="false"/>
                <w:smallCaps w:val="false"/>
                <w:color w:val="0F1115"/>
                <w:spacing w:val="0"/>
                <w:sz w:val="16"/>
                <w:szCs w:val="16"/>
              </w:rPr>
            </w:pPr>
            <w:r>
              <w:rPr>
                <w:rFonts w:eastAsia="宋体" w:cs="Times New Roman"/>
                <w:kern w:val="2"/>
                <w:sz w:val="24"/>
                <w:szCs w:val="24"/>
                <w:lang w:val="en-US" w:eastAsia="zh-CN" w:bidi="ar-SA"/>
              </w:rPr>
              <w:t xml:space="preserve">2.2 </w:t>
            </w:r>
            <w:r>
              <w:rPr>
                <w:rFonts w:ascii="Times New Roman" w:hAnsi="Times New Roman" w:cs="Times New Roman"/>
                <w:kern w:val="2"/>
                <w:sz w:val="24"/>
                <w:szCs w:val="24"/>
                <w:lang w:val="en-US" w:eastAsia="zh-CN" w:bidi="ar-SA"/>
              </w:rPr>
              <w:t>核心概念与理论基础</w:t>
            </w:r>
          </w:p>
          <w:p>
            <w:pPr>
              <w:pStyle w:val="Normal"/>
              <w:tabs>
                <w:tab w:val="clear" w:pos="420"/>
                <w:tab w:val="right" w:pos="8925" w:leader="dot"/>
              </w:tabs>
              <w:spacing w:lineRule="auto" w:line="360"/>
              <w:rPr>
                <w:rFonts w:ascii="Times New Roman" w:hAnsi="Times New Roman" w:eastAsia="宋体" w:cs="Times New Roman"/>
                <w:b/>
                <w:bCs/>
                <w:kern w:val="2"/>
                <w:sz w:val="24"/>
                <w:szCs w:val="24"/>
                <w:lang w:val="en-US" w:eastAsia="zh-CN" w:bidi="ar-SA"/>
              </w:rPr>
            </w:pPr>
            <w:r>
              <w:rPr>
                <w:rFonts w:ascii="Times New Roman" w:hAnsi="Times New Roman" w:cs="Times New Roman"/>
                <w:b/>
                <w:bCs/>
                <w:kern w:val="2"/>
                <w:sz w:val="24"/>
                <w:szCs w:val="24"/>
                <w:lang w:val="en-US" w:eastAsia="zh-CN" w:bidi="ar-SA"/>
              </w:rPr>
              <w:t>第三章</w:t>
            </w:r>
            <w:r>
              <w:rPr>
                <w:rFonts w:ascii="Times New Roman" w:hAnsi="Times New Roman" w:cs="Times New Roman" w:eastAsia="Times New Roman"/>
                <w:b/>
                <w:bCs/>
                <w:kern w:val="2"/>
                <w:sz w:val="24"/>
                <w:szCs w:val="24"/>
                <w:lang w:val="en-US" w:eastAsia="zh-CN" w:bidi="ar-SA"/>
              </w:rPr>
              <w:t xml:space="preserve"> </w:t>
            </w:r>
            <w:r>
              <w:rPr>
                <w:rFonts w:ascii="Times New Roman" w:hAnsi="Times New Roman" w:cs="Times New Roman"/>
                <w:b/>
                <w:bCs/>
                <w:kern w:val="2"/>
                <w:sz w:val="24"/>
                <w:szCs w:val="24"/>
                <w:lang w:val="en-US" w:eastAsia="zh-CN" w:bidi="ar-SA"/>
              </w:rPr>
              <w:t>徐州典型地区</w:t>
            </w:r>
            <w:r>
              <w:rPr>
                <w:rFonts w:ascii="Times New Roman" w:hAnsi="Times New Roman" w:cs="Times New Roman" w:eastAsia="Times New Roman"/>
                <w:b/>
                <w:bCs/>
                <w:kern w:val="2"/>
                <w:sz w:val="24"/>
                <w:szCs w:val="24"/>
                <w:lang w:val="en-US" w:eastAsia="zh-CN" w:bidi="ar-SA"/>
              </w:rPr>
              <w:t>“</w:t>
            </w:r>
            <w:r>
              <w:rPr>
                <w:rFonts w:ascii="Times New Roman" w:hAnsi="Times New Roman" w:cs="Times New Roman"/>
                <w:b/>
                <w:bCs/>
                <w:kern w:val="2"/>
                <w:sz w:val="24"/>
                <w:szCs w:val="24"/>
                <w:lang w:val="en-US" w:eastAsia="zh-CN" w:bidi="ar-SA"/>
              </w:rPr>
              <w:t>新能源</w:t>
            </w:r>
            <w:r>
              <w:rPr>
                <w:rFonts w:ascii="Times New Roman" w:hAnsi="Times New Roman" w:cs="Times New Roman" w:eastAsia="Times New Roman"/>
                <w:b/>
                <w:bCs/>
                <w:kern w:val="2"/>
                <w:sz w:val="24"/>
                <w:szCs w:val="24"/>
                <w:lang w:val="en-US" w:eastAsia="zh-CN" w:bidi="ar-SA"/>
              </w:rPr>
              <w:t>—</w:t>
            </w:r>
            <w:r>
              <w:rPr>
                <w:rFonts w:ascii="Times New Roman" w:hAnsi="Times New Roman" w:cs="Times New Roman"/>
                <w:b/>
                <w:bCs/>
                <w:kern w:val="2"/>
                <w:sz w:val="24"/>
                <w:szCs w:val="24"/>
                <w:lang w:val="en-US" w:eastAsia="zh-CN" w:bidi="ar-SA"/>
              </w:rPr>
              <w:t>电网</w:t>
            </w:r>
            <w:r>
              <w:rPr>
                <w:rFonts w:ascii="Times New Roman" w:hAnsi="Times New Roman" w:cs="Times New Roman" w:eastAsia="Times New Roman"/>
                <w:b/>
                <w:bCs/>
                <w:kern w:val="2"/>
                <w:sz w:val="24"/>
                <w:szCs w:val="24"/>
                <w:lang w:val="en-US" w:eastAsia="zh-CN" w:bidi="ar-SA"/>
              </w:rPr>
              <w:t>”</w:t>
            </w:r>
            <w:r>
              <w:rPr>
                <w:rFonts w:ascii="Times New Roman" w:hAnsi="Times New Roman" w:cs="Times New Roman"/>
                <w:b/>
                <w:bCs/>
                <w:kern w:val="2"/>
                <w:sz w:val="24"/>
                <w:szCs w:val="24"/>
                <w:lang w:val="en-US" w:eastAsia="zh-CN" w:bidi="ar-SA"/>
              </w:rPr>
              <w:t>运行特征分析</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3.1 </w:t>
            </w:r>
            <w:r>
              <w:rPr>
                <w:rFonts w:ascii="Times New Roman" w:hAnsi="Times New Roman" w:cs="Times New Roman"/>
                <w:kern w:val="2"/>
                <w:sz w:val="24"/>
                <w:szCs w:val="24"/>
                <w:lang w:val="en-US" w:eastAsia="zh-CN" w:bidi="ar-SA"/>
              </w:rPr>
              <w:t>徐州新能源发展与电力负荷概况</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3.2 </w:t>
            </w:r>
            <w:r>
              <w:rPr>
                <w:rFonts w:ascii="Times New Roman" w:hAnsi="Times New Roman" w:cs="Times New Roman"/>
                <w:kern w:val="2"/>
                <w:sz w:val="24"/>
                <w:szCs w:val="24"/>
                <w:lang w:val="en-US" w:eastAsia="zh-CN" w:bidi="ar-SA"/>
              </w:rPr>
              <w:t>主变负载率多工况统计分析</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3.3 </w:t>
            </w:r>
            <w:r>
              <w:rPr>
                <w:rFonts w:ascii="Times New Roman" w:hAnsi="Times New Roman" w:cs="Times New Roman"/>
                <w:kern w:val="2"/>
                <w:sz w:val="24"/>
                <w:szCs w:val="24"/>
                <w:lang w:val="en-US" w:eastAsia="zh-CN" w:bidi="ar-SA"/>
              </w:rPr>
              <w:t>源荷比、电量渗透率与容载比的关联规律</w:t>
            </w:r>
          </w:p>
          <w:p>
            <w:pPr>
              <w:pStyle w:val="Normal"/>
              <w:tabs>
                <w:tab w:val="clear" w:pos="420"/>
                <w:tab w:val="right" w:pos="8925" w:leader="dot"/>
              </w:tabs>
              <w:spacing w:lineRule="auto" w:line="360"/>
              <w:ind w:firstLine="480" w:right="0"/>
              <w:rPr>
                <w:rFonts w:ascii="Segoe UI" w:hAnsi="Segoe UI" w:eastAsia="Segoe UI" w:cs="Segoe UI"/>
                <w:i w:val="false"/>
                <w:i w:val="false"/>
                <w:iCs w:val="false"/>
                <w:caps w:val="false"/>
                <w:smallCaps w:val="false"/>
                <w:color w:val="0F1115"/>
                <w:spacing w:val="0"/>
                <w:sz w:val="16"/>
                <w:szCs w:val="16"/>
              </w:rPr>
            </w:pPr>
            <w:r>
              <w:rPr>
                <w:rFonts w:eastAsia="宋体" w:cs="Times New Roman"/>
                <w:kern w:val="2"/>
                <w:sz w:val="24"/>
                <w:szCs w:val="24"/>
                <w:lang w:val="en-US" w:eastAsia="zh-CN" w:bidi="ar-SA"/>
              </w:rPr>
              <w:t>3.4 “</w:t>
            </w:r>
            <w:r>
              <w:rPr>
                <w:rFonts w:ascii="Times New Roman" w:hAnsi="Times New Roman" w:cs="Times New Roman"/>
                <w:kern w:val="2"/>
                <w:sz w:val="24"/>
                <w:szCs w:val="24"/>
                <w:lang w:val="en-US" w:eastAsia="zh-CN" w:bidi="ar-SA"/>
              </w:rPr>
              <w:t>新能源渗透水平</w:t>
            </w:r>
            <w:r>
              <w:rPr>
                <w:rFonts w:ascii="Times New Roman" w:hAnsi="Times New Roman" w:cs="Times New Roman" w:eastAsia="Times New Roman"/>
                <w:kern w:val="2"/>
                <w:sz w:val="24"/>
                <w:szCs w:val="24"/>
                <w:lang w:val="en-US" w:eastAsia="zh-CN" w:bidi="ar-SA"/>
              </w:rPr>
              <w:t>—</w:t>
            </w:r>
            <w:r>
              <w:rPr>
                <w:rFonts w:ascii="Times New Roman" w:hAnsi="Times New Roman" w:cs="Times New Roman"/>
                <w:kern w:val="2"/>
                <w:sz w:val="24"/>
                <w:szCs w:val="24"/>
                <w:lang w:val="en-US" w:eastAsia="zh-CN" w:bidi="ar-SA"/>
              </w:rPr>
              <w:t>电网运行状态</w:t>
            </w:r>
            <w:r>
              <w:rPr>
                <w:rFonts w:ascii="Times New Roman" w:hAnsi="Times New Roman" w:cs="Times New Roman" w:eastAsia="Times New Roman"/>
                <w:kern w:val="2"/>
                <w:sz w:val="24"/>
                <w:szCs w:val="24"/>
                <w:lang w:val="en-US" w:eastAsia="zh-CN" w:bidi="ar-SA"/>
              </w:rPr>
              <w:t>”</w:t>
            </w:r>
            <w:r>
              <w:rPr>
                <w:rFonts w:ascii="Times New Roman" w:hAnsi="Times New Roman" w:cs="Times New Roman"/>
                <w:kern w:val="2"/>
                <w:sz w:val="24"/>
                <w:szCs w:val="24"/>
                <w:lang w:val="en-US" w:eastAsia="zh-CN" w:bidi="ar-SA"/>
              </w:rPr>
              <w:t>数据库的构建</w:t>
            </w:r>
          </w:p>
          <w:p>
            <w:pPr>
              <w:pStyle w:val="Normal"/>
              <w:tabs>
                <w:tab w:val="clear" w:pos="420"/>
                <w:tab w:val="right" w:pos="8925" w:leader="dot"/>
              </w:tabs>
              <w:spacing w:lineRule="auto" w:line="360"/>
              <w:rPr>
                <w:rFonts w:ascii="Times New Roman" w:hAnsi="Times New Roman" w:eastAsia="宋体" w:cs="Times New Roman"/>
                <w:b/>
                <w:bCs/>
                <w:kern w:val="2"/>
                <w:sz w:val="24"/>
                <w:szCs w:val="24"/>
                <w:lang w:val="en-US" w:eastAsia="zh-CN" w:bidi="ar-SA"/>
              </w:rPr>
            </w:pPr>
            <w:r>
              <w:rPr>
                <w:rFonts w:ascii="Times New Roman" w:hAnsi="Times New Roman" w:cs="Times New Roman"/>
                <w:b/>
                <w:bCs/>
                <w:kern w:val="2"/>
                <w:sz w:val="24"/>
                <w:szCs w:val="24"/>
                <w:lang w:val="en-US" w:eastAsia="zh-CN" w:bidi="ar-SA"/>
              </w:rPr>
              <w:t>第四章</w:t>
            </w:r>
            <w:r>
              <w:rPr>
                <w:rFonts w:ascii="Times New Roman" w:hAnsi="Times New Roman" w:cs="Times New Roman" w:eastAsia="Times New Roman"/>
                <w:b/>
                <w:bCs/>
                <w:kern w:val="2"/>
                <w:sz w:val="24"/>
                <w:szCs w:val="24"/>
                <w:lang w:val="en-US" w:eastAsia="zh-CN" w:bidi="ar-SA"/>
              </w:rPr>
              <w:t xml:space="preserve"> </w:t>
            </w:r>
            <w:r>
              <w:rPr>
                <w:rFonts w:ascii="Times New Roman" w:hAnsi="Times New Roman" w:cs="Times New Roman"/>
                <w:b/>
                <w:bCs/>
                <w:kern w:val="2"/>
                <w:sz w:val="24"/>
                <w:szCs w:val="24"/>
                <w:lang w:val="en-US" w:eastAsia="zh-CN" w:bidi="ar-SA"/>
              </w:rPr>
              <w:t>基于实际工程的电网建设成本模型</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4.1 </w:t>
            </w:r>
            <w:r>
              <w:rPr>
                <w:rFonts w:ascii="Times New Roman" w:hAnsi="Times New Roman" w:cs="Times New Roman"/>
                <w:kern w:val="2"/>
                <w:sz w:val="24"/>
                <w:szCs w:val="24"/>
                <w:lang w:val="en-US" w:eastAsia="zh-CN" w:bidi="ar-SA"/>
              </w:rPr>
              <w:t>分布式新能源配套工程成本数据收集与处理</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4.2 </w:t>
            </w:r>
            <w:r>
              <w:rPr>
                <w:rFonts w:ascii="Times New Roman" w:hAnsi="Times New Roman" w:cs="Times New Roman"/>
                <w:kern w:val="2"/>
                <w:sz w:val="24"/>
                <w:szCs w:val="24"/>
                <w:lang w:val="en-US" w:eastAsia="zh-CN" w:bidi="ar-SA"/>
              </w:rPr>
              <w:t>成本驱动因子识别与参数化模型建立</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4.3 </w:t>
            </w:r>
            <w:r>
              <w:rPr>
                <w:rFonts w:ascii="Times New Roman" w:hAnsi="Times New Roman" w:cs="Times New Roman"/>
                <w:kern w:val="2"/>
                <w:sz w:val="24"/>
                <w:szCs w:val="24"/>
                <w:lang w:val="en-US" w:eastAsia="zh-CN" w:bidi="ar-SA"/>
              </w:rPr>
              <w:t>刚性容载比场景全寿命周期成本测算</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4.4 </w:t>
            </w:r>
            <w:r>
              <w:rPr>
                <w:rFonts w:ascii="Times New Roman" w:hAnsi="Times New Roman" w:cs="Times New Roman"/>
                <w:kern w:val="2"/>
                <w:sz w:val="24"/>
                <w:szCs w:val="24"/>
                <w:lang w:val="en-US" w:eastAsia="zh-CN" w:bidi="ar-SA"/>
              </w:rPr>
              <w:t>弹性容载比场景全寿命周期成本测算</w:t>
            </w:r>
          </w:p>
          <w:p>
            <w:pPr>
              <w:pStyle w:val="Normal"/>
              <w:tabs>
                <w:tab w:val="clear" w:pos="420"/>
                <w:tab w:val="right" w:pos="8925" w:leader="dot"/>
              </w:tabs>
              <w:spacing w:lineRule="auto" w:line="360"/>
              <w:ind w:firstLine="480" w:right="0"/>
              <w:rPr>
                <w:rFonts w:ascii="Segoe UI" w:hAnsi="Segoe UI" w:eastAsia="Segoe UI" w:cs="Segoe UI"/>
                <w:i w:val="false"/>
                <w:i w:val="false"/>
                <w:iCs w:val="false"/>
                <w:caps w:val="false"/>
                <w:smallCaps w:val="false"/>
                <w:color w:val="0F1115"/>
                <w:spacing w:val="0"/>
                <w:sz w:val="16"/>
                <w:szCs w:val="16"/>
              </w:rPr>
            </w:pPr>
            <w:r>
              <w:rPr>
                <w:rFonts w:eastAsia="宋体" w:cs="Times New Roman"/>
                <w:kern w:val="2"/>
                <w:sz w:val="24"/>
                <w:szCs w:val="24"/>
                <w:lang w:val="en-US" w:eastAsia="zh-CN" w:bidi="ar-SA"/>
              </w:rPr>
              <w:t xml:space="preserve">4.5 </w:t>
            </w:r>
            <w:r>
              <w:rPr>
                <w:rFonts w:ascii="Times New Roman" w:hAnsi="Times New Roman" w:cs="Times New Roman"/>
                <w:kern w:val="2"/>
                <w:sz w:val="24"/>
                <w:szCs w:val="24"/>
                <w:lang w:val="en-US" w:eastAsia="zh-CN" w:bidi="ar-SA"/>
              </w:rPr>
              <w:t>两场景经济技术对比与决策案例库形成</w:t>
            </w:r>
          </w:p>
          <w:p>
            <w:pPr>
              <w:pStyle w:val="Normal"/>
              <w:tabs>
                <w:tab w:val="clear" w:pos="420"/>
                <w:tab w:val="right" w:pos="8925" w:leader="dot"/>
              </w:tabs>
              <w:spacing w:lineRule="auto" w:line="360"/>
              <w:rPr>
                <w:rFonts w:ascii="Times New Roman" w:hAnsi="Times New Roman" w:eastAsia="宋体" w:cs="Times New Roman"/>
                <w:b/>
                <w:bCs/>
                <w:kern w:val="2"/>
                <w:sz w:val="24"/>
                <w:szCs w:val="24"/>
                <w:lang w:val="en-US" w:eastAsia="zh-CN" w:bidi="ar-SA"/>
              </w:rPr>
            </w:pPr>
            <w:r>
              <w:rPr>
                <w:rFonts w:ascii="Times New Roman" w:hAnsi="Times New Roman" w:cs="Times New Roman"/>
                <w:b/>
                <w:bCs/>
                <w:kern w:val="2"/>
                <w:sz w:val="24"/>
                <w:szCs w:val="24"/>
                <w:lang w:val="en-US" w:eastAsia="zh-CN" w:bidi="ar-SA"/>
              </w:rPr>
              <w:t>第五章</w:t>
            </w:r>
            <w:r>
              <w:rPr>
                <w:rFonts w:ascii="Times New Roman" w:hAnsi="Times New Roman" w:cs="Times New Roman" w:eastAsia="Times New Roman"/>
                <w:b/>
                <w:bCs/>
                <w:kern w:val="2"/>
                <w:sz w:val="24"/>
                <w:szCs w:val="24"/>
                <w:lang w:val="en-US" w:eastAsia="zh-CN" w:bidi="ar-SA"/>
              </w:rPr>
              <w:t xml:space="preserve"> “</w:t>
            </w:r>
            <w:r>
              <w:rPr>
                <w:rFonts w:ascii="Times New Roman" w:hAnsi="Times New Roman" w:cs="Times New Roman"/>
                <w:b/>
                <w:bCs/>
                <w:kern w:val="2"/>
                <w:sz w:val="24"/>
                <w:szCs w:val="24"/>
                <w:lang w:val="en-US" w:eastAsia="zh-CN" w:bidi="ar-SA"/>
              </w:rPr>
              <w:t>一片一策</w:t>
            </w:r>
            <w:r>
              <w:rPr>
                <w:rFonts w:ascii="Times New Roman" w:hAnsi="Times New Roman" w:cs="Times New Roman" w:eastAsia="Times New Roman"/>
                <w:b/>
                <w:bCs/>
                <w:kern w:val="2"/>
                <w:sz w:val="24"/>
                <w:szCs w:val="24"/>
                <w:lang w:val="en-US" w:eastAsia="zh-CN" w:bidi="ar-SA"/>
              </w:rPr>
              <w:t>”</w:t>
            </w:r>
            <w:r>
              <w:rPr>
                <w:rFonts w:ascii="Times New Roman" w:hAnsi="Times New Roman" w:cs="Times New Roman"/>
                <w:b/>
                <w:bCs/>
                <w:kern w:val="2"/>
                <w:sz w:val="24"/>
                <w:szCs w:val="24"/>
                <w:lang w:val="en-US" w:eastAsia="zh-CN" w:bidi="ar-SA"/>
              </w:rPr>
              <w:t>弹性容载比规划建议</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5.1 </w:t>
            </w:r>
            <w:r>
              <w:rPr>
                <w:rFonts w:ascii="Times New Roman" w:hAnsi="Times New Roman" w:cs="Times New Roman"/>
                <w:kern w:val="2"/>
                <w:sz w:val="24"/>
                <w:szCs w:val="24"/>
                <w:lang w:val="en-US" w:eastAsia="zh-CN" w:bidi="ar-SA"/>
              </w:rPr>
              <w:t>典型片区负荷与分布式光伏预测</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5.2 </w:t>
            </w:r>
            <w:r>
              <w:rPr>
                <w:rFonts w:ascii="Times New Roman" w:hAnsi="Times New Roman" w:cs="Times New Roman"/>
                <w:kern w:val="2"/>
                <w:sz w:val="24"/>
                <w:szCs w:val="24"/>
                <w:lang w:val="en-US" w:eastAsia="zh-CN" w:bidi="ar-SA"/>
              </w:rPr>
              <w:t>弹性规划评价指标体系设计</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5.3 </w:t>
            </w:r>
            <w:r>
              <w:rPr>
                <w:rFonts w:ascii="Times New Roman" w:hAnsi="Times New Roman" w:cs="Times New Roman"/>
                <w:kern w:val="2"/>
                <w:sz w:val="24"/>
                <w:szCs w:val="24"/>
                <w:lang w:val="en-US" w:eastAsia="zh-CN" w:bidi="ar-SA"/>
              </w:rPr>
              <w:t>基于层次分析法的指标赋权</w:t>
            </w:r>
          </w:p>
          <w:p>
            <w:pPr>
              <w:pStyle w:val="Normal"/>
              <w:tabs>
                <w:tab w:val="clear" w:pos="420"/>
                <w:tab w:val="right" w:pos="8925" w:leader="dot"/>
              </w:tabs>
              <w:spacing w:lineRule="auto" w:line="360"/>
              <w:ind w:firstLine="480" w:right="0"/>
              <w:rPr>
                <w:rFonts w:ascii="Segoe UI" w:hAnsi="Segoe UI" w:eastAsia="Segoe UI" w:cs="Segoe UI"/>
                <w:i w:val="false"/>
                <w:i w:val="false"/>
                <w:iCs w:val="false"/>
                <w:caps w:val="false"/>
                <w:smallCaps w:val="false"/>
                <w:color w:val="0F1115"/>
                <w:spacing w:val="0"/>
                <w:sz w:val="16"/>
                <w:szCs w:val="16"/>
              </w:rPr>
            </w:pPr>
            <w:r>
              <w:rPr>
                <w:rFonts w:eastAsia="宋体" w:cs="Times New Roman"/>
                <w:kern w:val="2"/>
                <w:sz w:val="24"/>
                <w:szCs w:val="24"/>
                <w:lang w:val="en-US" w:eastAsia="zh-CN" w:bidi="ar-SA"/>
              </w:rPr>
              <w:t xml:space="preserve">5.4 </w:t>
            </w:r>
            <w:r>
              <w:rPr>
                <w:rFonts w:ascii="Times New Roman" w:hAnsi="Times New Roman" w:cs="Times New Roman"/>
                <w:kern w:val="2"/>
                <w:sz w:val="24"/>
                <w:szCs w:val="24"/>
                <w:lang w:val="en-US" w:eastAsia="zh-CN" w:bidi="ar-SA"/>
              </w:rPr>
              <w:t>不同片区类型的容载比推荐区间及技术方案组合</w:t>
            </w:r>
          </w:p>
          <w:p>
            <w:pPr>
              <w:pStyle w:val="Normal"/>
              <w:tabs>
                <w:tab w:val="clear" w:pos="420"/>
                <w:tab w:val="right" w:pos="8925" w:leader="dot"/>
              </w:tabs>
              <w:spacing w:lineRule="auto" w:line="360"/>
              <w:rPr>
                <w:rFonts w:ascii="Times New Roman" w:hAnsi="Times New Roman" w:eastAsia="宋体" w:cs="Times New Roman"/>
                <w:b/>
                <w:bCs/>
                <w:kern w:val="2"/>
                <w:sz w:val="24"/>
                <w:szCs w:val="24"/>
                <w:lang w:val="en-US" w:eastAsia="zh-CN" w:bidi="ar-SA"/>
              </w:rPr>
            </w:pPr>
            <w:r>
              <w:rPr>
                <w:rFonts w:ascii="Times New Roman" w:hAnsi="Times New Roman" w:cs="Times New Roman"/>
                <w:b/>
                <w:bCs/>
                <w:kern w:val="2"/>
                <w:sz w:val="24"/>
                <w:szCs w:val="24"/>
                <w:lang w:val="en-US" w:eastAsia="zh-CN" w:bidi="ar-SA"/>
              </w:rPr>
              <w:t>第六章</w:t>
            </w:r>
            <w:r>
              <w:rPr>
                <w:rFonts w:ascii="Times New Roman" w:hAnsi="Times New Roman" w:cs="Times New Roman" w:eastAsia="Times New Roman"/>
                <w:b/>
                <w:bCs/>
                <w:kern w:val="2"/>
                <w:sz w:val="24"/>
                <w:szCs w:val="24"/>
                <w:lang w:val="en-US" w:eastAsia="zh-CN" w:bidi="ar-SA"/>
              </w:rPr>
              <w:t xml:space="preserve"> </w:t>
            </w:r>
            <w:r>
              <w:rPr>
                <w:rFonts w:ascii="Times New Roman" w:hAnsi="Times New Roman" w:cs="Times New Roman"/>
                <w:b/>
                <w:bCs/>
                <w:kern w:val="2"/>
                <w:sz w:val="24"/>
                <w:szCs w:val="24"/>
                <w:lang w:val="en-US" w:eastAsia="zh-CN" w:bidi="ar-SA"/>
              </w:rPr>
              <w:t>典型案例验证</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6.1 </w:t>
            </w:r>
            <w:r>
              <w:rPr>
                <w:rFonts w:ascii="Times New Roman" w:hAnsi="Times New Roman" w:cs="Times New Roman"/>
                <w:kern w:val="2"/>
                <w:sz w:val="24"/>
                <w:szCs w:val="24"/>
                <w:lang w:val="en-US" w:eastAsia="zh-CN" w:bidi="ar-SA"/>
              </w:rPr>
              <w:t>刚性规划方案复盘（以某高渗透率片区为例）</w:t>
            </w:r>
          </w:p>
          <w:p>
            <w:pPr>
              <w:pStyle w:val="Normal"/>
              <w:tabs>
                <w:tab w:val="clear" w:pos="420"/>
                <w:tab w:val="right" w:pos="8925" w:leader="dot"/>
              </w:tabs>
              <w:spacing w:lineRule="auto" w:line="360"/>
              <w:ind w:firstLine="480" w:right="0"/>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t xml:space="preserve">6.2 </w:t>
            </w:r>
            <w:r>
              <w:rPr>
                <w:rFonts w:ascii="Times New Roman" w:hAnsi="Times New Roman" w:cs="Times New Roman"/>
                <w:kern w:val="2"/>
                <w:sz w:val="24"/>
                <w:szCs w:val="24"/>
                <w:lang w:val="en-US" w:eastAsia="zh-CN" w:bidi="ar-SA"/>
              </w:rPr>
              <w:t>弹性容载比方案设计与对比</w:t>
            </w:r>
          </w:p>
          <w:p>
            <w:pPr>
              <w:pStyle w:val="Normal"/>
              <w:tabs>
                <w:tab w:val="clear" w:pos="420"/>
                <w:tab w:val="right" w:pos="8925" w:leader="dot"/>
              </w:tabs>
              <w:spacing w:lineRule="auto" w:line="360"/>
              <w:ind w:firstLine="480" w:right="0"/>
              <w:rPr>
                <w:rFonts w:ascii="Segoe UI" w:hAnsi="Segoe UI" w:eastAsia="Segoe UI" w:cs="Segoe UI"/>
                <w:i w:val="false"/>
                <w:i w:val="false"/>
                <w:iCs w:val="false"/>
                <w:caps w:val="false"/>
                <w:smallCaps w:val="false"/>
                <w:color w:val="0F1115"/>
                <w:spacing w:val="0"/>
                <w:sz w:val="16"/>
                <w:szCs w:val="16"/>
              </w:rPr>
            </w:pPr>
            <w:r>
              <w:rPr>
                <w:rFonts w:eastAsia="宋体" w:cs="Times New Roman"/>
                <w:kern w:val="2"/>
                <w:sz w:val="24"/>
                <w:szCs w:val="24"/>
                <w:lang w:val="en-US" w:eastAsia="zh-CN" w:bidi="ar-SA"/>
              </w:rPr>
              <w:t xml:space="preserve">6.3 </w:t>
            </w:r>
            <w:r>
              <w:rPr>
                <w:rFonts w:ascii="Times New Roman" w:hAnsi="Times New Roman" w:cs="Times New Roman"/>
                <w:kern w:val="2"/>
                <w:sz w:val="24"/>
                <w:szCs w:val="24"/>
                <w:lang w:val="en-US" w:eastAsia="zh-CN" w:bidi="ar-SA"/>
              </w:rPr>
              <w:t>效果评估与方法有效性验证</w:t>
            </w:r>
          </w:p>
          <w:p>
            <w:pPr>
              <w:pStyle w:val="Normal"/>
              <w:tabs>
                <w:tab w:val="clear" w:pos="420"/>
                <w:tab w:val="right" w:pos="8925" w:leader="dot"/>
              </w:tabs>
              <w:spacing w:lineRule="auto" w:line="360"/>
              <w:rPr>
                <w:rFonts w:eastAsia="宋体" w:cs="Times New Roman"/>
                <w:b/>
                <w:bCs/>
                <w:sz w:val="24"/>
                <w:szCs w:val="24"/>
              </w:rPr>
            </w:pPr>
            <w:r>
              <w:rPr>
                <w:rFonts w:cs="Times New Roman"/>
                <w:b/>
                <w:bCs/>
                <w:sz w:val="24"/>
                <w:szCs w:val="24"/>
              </w:rPr>
              <w:t>第七章</w:t>
            </w:r>
            <w:r>
              <w:rPr>
                <w:rFonts w:cs="Times New Roman" w:eastAsia="Times New Roman"/>
                <w:b/>
                <w:bCs/>
                <w:sz w:val="24"/>
                <w:szCs w:val="24"/>
              </w:rPr>
              <w:t xml:space="preserve"> </w:t>
            </w:r>
            <w:r>
              <w:rPr>
                <w:rFonts w:cs="Times New Roman"/>
                <w:b/>
                <w:bCs/>
                <w:sz w:val="24"/>
                <w:szCs w:val="24"/>
              </w:rPr>
              <w:t>结论与展望</w:t>
            </w:r>
          </w:p>
          <w:p>
            <w:pPr>
              <w:pStyle w:val="Normal"/>
              <w:widowControl/>
              <w:snapToGrid w:val="false"/>
              <w:spacing w:lineRule="auto" w:line="360"/>
              <w:ind w:firstLine="480" w:right="0"/>
              <w:rPr>
                <w:rFonts w:ascii="仿宋_GB2312" w:hAnsi="仿宋_GB2312" w:eastAsia="仿宋_GB2312"/>
                <w:color w:val="000000"/>
                <w:kern w:val="0"/>
                <w:sz w:val="24"/>
                <w:szCs w:val="24"/>
              </w:rPr>
            </w:pPr>
            <w:r>
              <w:rPr>
                <w:rFonts w:ascii="仿宋_GB2312" w:hAnsi="仿宋_GB2312" w:eastAsia="仿宋_GB2312"/>
                <w:color w:val="000000"/>
                <w:kern w:val="0"/>
                <w:sz w:val="24"/>
              </w:rPr>
              <w:t>（二）研究成果</w:t>
            </w:r>
          </w:p>
          <w:p>
            <w:pPr>
              <w:pStyle w:val="Normal"/>
              <w:widowControl/>
              <w:snapToGrid w:val="false"/>
              <w:spacing w:lineRule="auto" w:line="360"/>
              <w:ind w:firstLine="480" w:right="0"/>
              <w:rPr>
                <w:rFonts w:ascii="仿宋_GB2312" w:hAnsi="仿宋_GB2312" w:eastAsia="仿宋_GB2312"/>
                <w:color w:val="000000"/>
                <w:kern w:val="0"/>
                <w:sz w:val="24"/>
                <w:szCs w:val="24"/>
              </w:rPr>
            </w:pPr>
            <w:r>
              <w:rPr>
                <w:rFonts w:ascii="仿宋_GB2312" w:hAnsi="仿宋_GB2312" w:eastAsia="仿宋_GB2312"/>
                <w:color w:val="000000"/>
                <w:kern w:val="0"/>
                <w:sz w:val="24"/>
                <w:szCs w:val="24"/>
              </w:rPr>
              <w:t>基于研究目标和研究任务，按照双方商定结果，课题预期研究成果如下：</w:t>
            </w:r>
          </w:p>
          <w:p>
            <w:pPr>
              <w:pStyle w:val="Normal"/>
              <w:widowControl/>
              <w:snapToGrid w:val="false"/>
              <w:spacing w:lineRule="auto" w:line="360"/>
              <w:ind w:firstLine="480" w:right="0"/>
              <w:rPr>
                <w:rFonts w:ascii="仿宋_GB2312" w:hAnsi="仿宋_GB2312" w:eastAsia="仿宋_GB2312"/>
                <w:color w:val="000000"/>
                <w:kern w:val="0"/>
                <w:sz w:val="24"/>
                <w:szCs w:val="24"/>
              </w:rPr>
            </w:pPr>
            <w:r>
              <w:rPr>
                <w:rFonts w:ascii="仿宋_GB2312" w:hAnsi="仿宋_GB2312" w:eastAsia="仿宋_GB2312"/>
                <w:color w:val="000000"/>
                <w:kern w:val="0"/>
                <w:sz w:val="24"/>
                <w:szCs w:val="24"/>
              </w:rPr>
              <w:t>（</w:t>
            </w:r>
            <w:r>
              <w:rPr>
                <w:rFonts w:eastAsia="仿宋_GB2312" w:ascii="仿宋_GB2312" w:hAnsi="仿宋_GB2312"/>
                <w:color w:val="000000"/>
                <w:kern w:val="0"/>
                <w:sz w:val="24"/>
                <w:szCs w:val="24"/>
              </w:rPr>
              <w:t>1</w:t>
            </w:r>
            <w:r>
              <w:rPr>
                <w:rFonts w:ascii="仿宋_GB2312" w:hAnsi="仿宋_GB2312" w:eastAsia="仿宋_GB2312"/>
                <w:color w:val="000000"/>
                <w:kern w:val="0"/>
                <w:sz w:val="24"/>
                <w:szCs w:val="24"/>
              </w:rPr>
              <w:t>）提交《</w:t>
            </w:r>
            <w:r>
              <w:rPr>
                <w:rFonts w:ascii="仿宋_GB2312" w:hAnsi="仿宋_GB2312" w:eastAsia="仿宋_GB2312"/>
                <w:color w:val="000000"/>
                <w:kern w:val="0"/>
                <w:sz w:val="24"/>
                <w:szCs w:val="24"/>
                <w:lang w:val="en-US" w:eastAsia="zh-CN"/>
              </w:rPr>
              <w:t>徐州地区分布式新能源高渗透率地区</w:t>
            </w:r>
            <w:r>
              <w:rPr>
                <w:rFonts w:eastAsia="仿宋_GB2312" w:ascii="仿宋_GB2312" w:hAnsi="仿宋_GB2312"/>
                <w:color w:val="000000"/>
                <w:kern w:val="0"/>
                <w:sz w:val="24"/>
                <w:szCs w:val="24"/>
                <w:lang w:val="en-US" w:eastAsia="zh-CN"/>
              </w:rPr>
              <w:t>110kV</w:t>
            </w:r>
            <w:r>
              <w:rPr>
                <w:rFonts w:ascii="仿宋_GB2312" w:hAnsi="仿宋_GB2312" w:eastAsia="仿宋_GB2312"/>
                <w:color w:val="000000"/>
                <w:kern w:val="0"/>
                <w:sz w:val="24"/>
                <w:szCs w:val="24"/>
                <w:lang w:val="en-US" w:eastAsia="zh-CN"/>
              </w:rPr>
              <w:t>电网容载比弹性指标优化研究</w:t>
            </w:r>
            <w:r>
              <w:rPr>
                <w:rFonts w:ascii="仿宋_GB2312" w:hAnsi="仿宋_GB2312" w:eastAsia="仿宋_GB2312"/>
                <w:color w:val="000000"/>
                <w:kern w:val="0"/>
                <w:sz w:val="24"/>
                <w:szCs w:val="24"/>
              </w:rPr>
              <w:t>》报告</w:t>
            </w:r>
            <w:r>
              <w:rPr>
                <w:rFonts w:eastAsia="仿宋_GB2312" w:ascii="仿宋_GB2312" w:hAnsi="仿宋_GB2312"/>
                <w:color w:val="000000"/>
                <w:kern w:val="0"/>
                <w:sz w:val="24"/>
                <w:szCs w:val="24"/>
              </w:rPr>
              <w:t>1</w:t>
            </w:r>
            <w:r>
              <w:rPr>
                <w:rFonts w:ascii="仿宋_GB2312" w:hAnsi="仿宋_GB2312" w:eastAsia="仿宋_GB2312"/>
                <w:color w:val="000000"/>
                <w:kern w:val="0"/>
                <w:sz w:val="24"/>
                <w:szCs w:val="24"/>
              </w:rPr>
              <w:t>份。</w:t>
            </w:r>
          </w:p>
          <w:p>
            <w:pPr>
              <w:pStyle w:val="Normal"/>
              <w:widowControl/>
              <w:snapToGrid w:val="false"/>
              <w:spacing w:lineRule="auto" w:line="360"/>
              <w:ind w:firstLine="480" w:right="0"/>
              <w:rPr>
                <w:rFonts w:ascii="仿宋_GB2312" w:hAnsi="仿宋_GB2312" w:eastAsia="仿宋_GB2312"/>
                <w:color w:val="000000"/>
                <w:kern w:val="0"/>
                <w:sz w:val="24"/>
                <w:szCs w:val="24"/>
              </w:rPr>
            </w:pPr>
            <w:r>
              <w:rPr>
                <w:rFonts w:ascii="仿宋_GB2312" w:hAnsi="仿宋_GB2312" w:eastAsia="仿宋_GB2312"/>
                <w:color w:val="000000"/>
                <w:kern w:val="0"/>
                <w:sz w:val="24"/>
                <w:szCs w:val="24"/>
              </w:rPr>
              <w:t>（</w:t>
            </w:r>
            <w:r>
              <w:rPr>
                <w:rFonts w:eastAsia="仿宋_GB2312" w:ascii="仿宋_GB2312" w:hAnsi="仿宋_GB2312"/>
                <w:color w:val="000000"/>
                <w:kern w:val="0"/>
                <w:sz w:val="24"/>
                <w:szCs w:val="24"/>
              </w:rPr>
              <w:t>2</w:t>
            </w:r>
            <w:r>
              <w:rPr>
                <w:rFonts w:ascii="仿宋_GB2312" w:hAnsi="仿宋_GB2312" w:eastAsia="仿宋_GB2312"/>
                <w:color w:val="000000"/>
                <w:kern w:val="0"/>
                <w:sz w:val="24"/>
                <w:szCs w:val="24"/>
              </w:rPr>
              <w:t>）录用或发表期刊论文</w:t>
            </w:r>
            <w:r>
              <w:rPr>
                <w:rFonts w:eastAsia="仿宋_GB2312" w:ascii="仿宋_GB2312" w:hAnsi="仿宋_GB2312"/>
                <w:color w:val="000000"/>
                <w:kern w:val="0"/>
                <w:sz w:val="24"/>
                <w:szCs w:val="24"/>
              </w:rPr>
              <w:t>1</w:t>
            </w:r>
            <w:r>
              <w:rPr>
                <w:rFonts w:ascii="仿宋_GB2312" w:hAnsi="仿宋_GB2312" w:eastAsia="仿宋_GB2312"/>
                <w:color w:val="000000"/>
                <w:kern w:val="0"/>
                <w:sz w:val="24"/>
                <w:szCs w:val="24"/>
              </w:rPr>
              <w:t>篇。</w:t>
            </w:r>
          </w:p>
          <w:p>
            <w:pPr>
              <w:pStyle w:val="Normal"/>
              <w:widowControl/>
              <w:snapToGrid w:val="false"/>
              <w:spacing w:lineRule="auto" w:line="360"/>
              <w:rPr>
                <w:rFonts w:ascii="仿宋_GB2312" w:hAnsi="仿宋_GB2312" w:eastAsia="仿宋_GB2312"/>
                <w:color w:val="000000"/>
                <w:kern w:val="0"/>
                <w:sz w:val="28"/>
                <w:szCs w:val="24"/>
              </w:rPr>
            </w:pPr>
            <w:r>
              <w:rPr>
                <w:rFonts w:eastAsia="仿宋_GB2312" w:ascii="仿宋_GB2312" w:hAnsi="仿宋_GB2312"/>
                <w:color w:val="000000"/>
                <w:kern w:val="0"/>
                <w:sz w:val="28"/>
                <w:szCs w:val="24"/>
              </w:rPr>
            </w:r>
          </w:p>
        </w:tc>
      </w:tr>
    </w:tbl>
    <w:p>
      <w:pPr>
        <w:pStyle w:val="Normal"/>
        <w:widowControl/>
        <w:jc w:val="left"/>
        <w:rPr>
          <w:rFonts w:ascii="仿宋_GB2312" w:hAnsi="仿宋_GB2312" w:eastAsia="仿宋_GB2312"/>
          <w:b/>
          <w:color w:val="000000"/>
          <w:kern w:val="0"/>
          <w:sz w:val="30"/>
        </w:rPr>
      </w:pPr>
      <w:r>
        <w:br w:type="page"/>
      </w:r>
      <w:r>
        <w:rPr>
          <w:rFonts w:eastAsia="仿宋_GB2312" w:ascii="仿宋_GB2312" w:hAnsi="仿宋_GB2312"/>
          <w:b/>
          <w:color w:val="000000"/>
          <w:kern w:val="0"/>
          <w:sz w:val="30"/>
        </w:rPr>
      </w:r>
    </w:p>
    <w:tbl>
      <w:tblPr>
        <w:tblW w:w="8522" w:type="dxa"/>
        <w:jc w:val="center"/>
        <w:tblInd w:w="0" w:type="dxa"/>
        <w:tblLayout w:type="fixed"/>
        <w:tblCellMar>
          <w:top w:w="0" w:type="dxa"/>
          <w:left w:w="108" w:type="dxa"/>
          <w:bottom w:w="0" w:type="dxa"/>
          <w:right w:w="108" w:type="dxa"/>
        </w:tblCellMar>
      </w:tblPr>
      <w:tblGrid>
        <w:gridCol w:w="668"/>
        <w:gridCol w:w="3317"/>
        <w:gridCol w:w="1643"/>
        <w:gridCol w:w="1069"/>
        <w:gridCol w:w="1230"/>
        <w:gridCol w:w="595"/>
      </w:tblGrid>
      <w:tr>
        <w:trPr>
          <w:trHeight w:val="510" w:hRule="atLeast"/>
        </w:trPr>
        <w:tc>
          <w:tcPr>
            <w:tcW w:w="8522"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仿宋_GB2312" w:hAnsi="仿宋_GB2312" w:eastAsia="仿宋_GB2312"/>
                <w:color w:val="000000"/>
                <w:kern w:val="0"/>
                <w:sz w:val="30"/>
              </w:rPr>
            </w:pPr>
            <w:r>
              <w:rPr>
                <w:rFonts w:ascii="仿宋_GB2312" w:hAnsi="仿宋_GB2312" w:eastAsia="仿宋_GB2312"/>
                <w:b/>
                <w:color w:val="000000"/>
                <w:kern w:val="0"/>
                <w:sz w:val="30"/>
              </w:rPr>
              <w:t>三、项目研究工作计划</w:t>
            </w:r>
          </w:p>
        </w:tc>
      </w:tr>
      <w:tr>
        <w:trPr>
          <w:trHeight w:val="510" w:hRule="atLeast"/>
        </w:trPr>
        <w:tc>
          <w:tcPr>
            <w:tcW w:w="66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b/>
                <w:color w:val="000000"/>
                <w:kern w:val="0"/>
                <w:sz w:val="24"/>
              </w:rPr>
            </w:pPr>
            <w:r>
              <w:rPr>
                <w:rFonts w:ascii="仿宋_GB2312" w:hAnsi="仿宋_GB2312" w:eastAsia="仿宋_GB2312"/>
                <w:b/>
                <w:color w:val="000000"/>
                <w:kern w:val="0"/>
                <w:sz w:val="24"/>
              </w:rPr>
              <w:t>工作阶段</w:t>
            </w:r>
          </w:p>
        </w:tc>
        <w:tc>
          <w:tcPr>
            <w:tcW w:w="3317" w:type="dxa"/>
            <w:tcBorders>
              <w:top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b/>
                <w:color w:val="000000"/>
                <w:kern w:val="0"/>
                <w:sz w:val="24"/>
              </w:rPr>
            </w:pPr>
            <w:r>
              <w:rPr>
                <w:rFonts w:ascii="仿宋_GB2312" w:hAnsi="仿宋_GB2312" w:eastAsia="仿宋_GB2312"/>
                <w:b/>
                <w:color w:val="000000"/>
                <w:kern w:val="0"/>
                <w:sz w:val="24"/>
              </w:rPr>
              <w:t>主要工作内容</w:t>
            </w:r>
          </w:p>
        </w:tc>
        <w:tc>
          <w:tcPr>
            <w:tcW w:w="1643" w:type="dxa"/>
            <w:tcBorders>
              <w:top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b/>
                <w:color w:val="000000"/>
                <w:kern w:val="0"/>
                <w:sz w:val="24"/>
              </w:rPr>
            </w:pPr>
            <w:r>
              <w:rPr>
                <w:rFonts w:ascii="仿宋_GB2312" w:hAnsi="仿宋_GB2312" w:eastAsia="仿宋_GB2312"/>
                <w:b/>
                <w:color w:val="000000"/>
                <w:kern w:val="0"/>
                <w:sz w:val="24"/>
              </w:rPr>
              <w:t>阶段成果</w:t>
            </w:r>
          </w:p>
        </w:tc>
        <w:tc>
          <w:tcPr>
            <w:tcW w:w="1069" w:type="dxa"/>
            <w:tcBorders>
              <w:top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b/>
                <w:color w:val="000000"/>
                <w:kern w:val="0"/>
                <w:sz w:val="24"/>
              </w:rPr>
            </w:pPr>
            <w:r>
              <w:rPr>
                <w:rFonts w:ascii="仿宋_GB2312" w:hAnsi="仿宋_GB2312" w:eastAsia="仿宋_GB2312"/>
                <w:b/>
                <w:color w:val="000000"/>
                <w:kern w:val="0"/>
                <w:sz w:val="24"/>
              </w:rPr>
              <w:t>工作时间</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仿宋_GB2312" w:hAnsi="仿宋_GB2312" w:eastAsia="仿宋_GB2312"/>
                <w:b/>
                <w:color w:val="000000"/>
                <w:kern w:val="0"/>
                <w:sz w:val="24"/>
              </w:rPr>
            </w:pPr>
            <w:r>
              <w:rPr>
                <w:rFonts w:ascii="仿宋_GB2312" w:hAnsi="仿宋_GB2312" w:eastAsia="仿宋_GB2312"/>
                <w:b/>
                <w:color w:val="000000"/>
                <w:kern w:val="0"/>
                <w:sz w:val="24"/>
              </w:rPr>
              <w:t>主要研究方法</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仿宋_GB2312" w:hAnsi="仿宋_GB2312" w:eastAsia="仿宋_GB2312"/>
                <w:b/>
                <w:color w:val="000000"/>
                <w:kern w:val="0"/>
                <w:sz w:val="24"/>
              </w:rPr>
            </w:pPr>
            <w:r>
              <w:rPr>
                <w:rFonts w:ascii="仿宋_GB2312" w:hAnsi="仿宋_GB2312" w:eastAsia="仿宋_GB2312"/>
                <w:b/>
                <w:color w:val="000000"/>
                <w:kern w:val="0"/>
                <w:sz w:val="24"/>
              </w:rPr>
              <w:t>负责人</w:t>
            </w:r>
          </w:p>
        </w:tc>
      </w:tr>
      <w:tr>
        <w:trPr>
          <w:trHeight w:val="907" w:hRule="atLeast"/>
        </w:trPr>
        <w:tc>
          <w:tcPr>
            <w:tcW w:w="668"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Calibri"/>
                <w:color w:val="000000"/>
                <w:lang w:val="en-US" w:eastAsia="zh-CN"/>
              </w:rPr>
            </w:pPr>
            <w:r>
              <w:rPr>
                <w:rFonts w:ascii="仿宋_GB2312" w:hAnsi="仿宋_GB2312" w:cs="Calibri" w:eastAsia="仿宋_GB2312"/>
                <w:color w:val="000000"/>
                <w:lang w:val="en-US" w:eastAsia="zh-CN"/>
              </w:rPr>
              <w:t>第一阶段</w:t>
            </w:r>
          </w:p>
        </w:tc>
        <w:tc>
          <w:tcPr>
            <w:tcW w:w="3317"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系统收集徐州典型新能源高渗透地区近五年</w:t>
            </w:r>
            <w:r>
              <w:rPr>
                <w:rFonts w:eastAsia="仿宋_GB2312" w:cs="Times New Roman" w:ascii="仿宋_GB2312" w:hAnsi="仿宋_GB2312"/>
                <w:color w:val="000000"/>
                <w:lang w:val="en-US" w:eastAsia="zh-CN"/>
              </w:rPr>
              <w:t>110</w:t>
            </w:r>
            <w:r>
              <w:rPr>
                <w:rFonts w:ascii="仿宋_GB2312" w:hAnsi="仿宋_GB2312" w:cs="Times New Roman" w:eastAsia="仿宋_GB2312"/>
                <w:color w:val="000000"/>
                <w:lang w:val="en-US" w:eastAsia="zh-CN"/>
              </w:rPr>
              <w:t>（</w:t>
            </w:r>
            <w:r>
              <w:rPr>
                <w:rFonts w:eastAsia="仿宋_GB2312" w:cs="Times New Roman" w:ascii="仿宋_GB2312" w:hAnsi="仿宋_GB2312"/>
                <w:color w:val="000000"/>
                <w:lang w:val="en-US" w:eastAsia="zh-CN"/>
              </w:rPr>
              <w:t>35</w:t>
            </w:r>
            <w:r>
              <w:rPr>
                <w:rFonts w:ascii="仿宋_GB2312" w:hAnsi="仿宋_GB2312" w:cs="Times New Roman" w:eastAsia="仿宋_GB2312"/>
                <w:color w:val="000000"/>
                <w:lang w:val="en-US" w:eastAsia="zh-CN"/>
              </w:rPr>
              <w:t>）</w:t>
            </w:r>
            <w:r>
              <w:rPr>
                <w:rFonts w:eastAsia="仿宋_GB2312" w:cs="Times New Roman" w:ascii="仿宋_GB2312" w:hAnsi="仿宋_GB2312"/>
                <w:color w:val="000000"/>
                <w:lang w:val="en-US" w:eastAsia="zh-CN"/>
              </w:rPr>
              <w:t>kV</w:t>
            </w:r>
            <w:r>
              <w:rPr>
                <w:rFonts w:ascii="仿宋_GB2312" w:hAnsi="仿宋_GB2312" w:cs="Times New Roman" w:eastAsia="仿宋_GB2312"/>
                <w:color w:val="000000"/>
                <w:lang w:val="en-US" w:eastAsia="zh-CN"/>
              </w:rPr>
              <w:t>主变负载率（区分夏冬季大负荷降压工况、春秋季小负荷升压工况）、源荷比、电量渗透率等数据；收集典型地区</w:t>
            </w:r>
            <w:r>
              <w:rPr>
                <w:rFonts w:eastAsia="仿宋_GB2312" w:cs="Times New Roman" w:ascii="仿宋_GB2312" w:hAnsi="仿宋_GB2312"/>
                <w:color w:val="000000"/>
                <w:lang w:val="en-US" w:eastAsia="zh-CN"/>
              </w:rPr>
              <w:t>10kV</w:t>
            </w:r>
            <w:r>
              <w:rPr>
                <w:rFonts w:ascii="仿宋_GB2312" w:hAnsi="仿宋_GB2312" w:cs="Times New Roman" w:eastAsia="仿宋_GB2312"/>
                <w:color w:val="000000"/>
                <w:lang w:val="en-US" w:eastAsia="zh-CN"/>
              </w:rPr>
              <w:t>及以下分布式新能源送出及配套扩容工程成本数据。</w:t>
            </w:r>
          </w:p>
        </w:tc>
        <w:tc>
          <w:tcPr>
            <w:tcW w:w="1643"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完成基础数据收集与清洗；初步建立“新能源渗透水平—电网运行状态”数据集</w:t>
            </w:r>
          </w:p>
        </w:tc>
        <w:tc>
          <w:tcPr>
            <w:tcW w:w="1069"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eastAsia="仿宋_GB2312" w:cs="Times New Roman" w:ascii="仿宋_GB2312" w:hAnsi="仿宋_GB2312"/>
                <w:color w:val="000000"/>
                <w:lang w:val="en-US" w:eastAsia="zh-CN"/>
              </w:rPr>
              <w:t>2026</w:t>
            </w:r>
            <w:r>
              <w:rPr>
                <w:rFonts w:ascii="仿宋_GB2312" w:hAnsi="仿宋_GB2312" w:cs="Times New Roman" w:eastAsia="仿宋_GB2312"/>
                <w:color w:val="000000"/>
                <w:lang w:val="en-US" w:eastAsia="zh-CN"/>
              </w:rPr>
              <w:t>年</w:t>
            </w:r>
            <w:r>
              <w:rPr>
                <w:rFonts w:eastAsia="仿宋_GB2312" w:cs="Times New Roman" w:ascii="仿宋_GB2312" w:hAnsi="仿宋_GB2312"/>
                <w:color w:val="000000"/>
                <w:lang w:val="en-US" w:eastAsia="zh-CN"/>
              </w:rPr>
              <w:t>5-6</w:t>
            </w:r>
            <w:r>
              <w:rPr>
                <w:rFonts w:ascii="仿宋_GB2312" w:hAnsi="仿宋_GB2312" w:cs="Times New Roman" w:eastAsia="仿宋_GB2312"/>
                <w:color w:val="000000"/>
                <w:lang w:val="en-US" w:eastAsia="zh-CN"/>
              </w:rPr>
              <w:t>月</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文献研究法、</w:t>
            </w:r>
            <w:r>
              <w:rPr>
                <w:rFonts w:ascii="仿宋_GB2312" w:hAnsi="仿宋_GB2312" w:cs="Times New Roman" w:eastAsia="仿宋_GB2312"/>
                <w:color w:val="000000"/>
                <w:lang w:val="en-US" w:eastAsia="zh-CN"/>
              </w:rPr>
              <w:t>调查研究</w:t>
            </w:r>
            <w:r>
              <w:rPr>
                <w:rFonts w:ascii="仿宋_GB2312" w:hAnsi="仿宋_GB2312" w:cs="Times New Roman" w:eastAsia="仿宋_GB2312"/>
                <w:color w:val="000000"/>
                <w:lang w:val="en-US" w:eastAsia="zh-CN"/>
              </w:rPr>
              <w:t>法、数据挖掘法</w:t>
            </w:r>
          </w:p>
        </w:tc>
        <w:tc>
          <w:tcPr>
            <w:tcW w:w="595" w:type="dxa"/>
            <w:vMerge w:val="restart"/>
            <w:tcBorders>
              <w:top w:val="single" w:sz="4" w:space="0" w:color="000000"/>
              <w:left w:val="single" w:sz="4" w:space="0" w:color="000000"/>
              <w:right w:val="single" w:sz="4" w:space="0" w:color="000000"/>
            </w:tcBorders>
            <w:vAlign w:val="center"/>
          </w:tcPr>
          <w:p>
            <w:pPr>
              <w:pStyle w:val="Normal"/>
              <w:widowControl/>
              <w:jc w:val="center"/>
              <w:rPr>
                <w:rFonts w:ascii="仿宋_GB2312" w:hAnsi="仿宋_GB2312" w:eastAsia="仿宋_GB2312"/>
                <w:color w:val="000000"/>
                <w:kern w:val="0"/>
                <w:sz w:val="24"/>
                <w:lang w:val="en-US" w:eastAsia="zh-CN"/>
              </w:rPr>
            </w:pPr>
            <w:r>
              <w:rPr>
                <w:rFonts w:ascii="仿宋_GB2312" w:hAnsi="仿宋_GB2312" w:eastAsia="仿宋_GB2312"/>
                <w:color w:val="000000"/>
                <w:kern w:val="0"/>
                <w:sz w:val="24"/>
                <w:lang w:val="en-US" w:eastAsia="zh-CN"/>
              </w:rPr>
              <w:t>项目组全体成员</w:t>
            </w:r>
          </w:p>
        </w:tc>
      </w:tr>
      <w:tr>
        <w:trPr>
          <w:trHeight w:val="907" w:hRule="atLeast"/>
        </w:trPr>
        <w:tc>
          <w:tcPr>
            <w:tcW w:w="668"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Calibri"/>
                <w:color w:val="000000"/>
                <w:lang w:val="en-US" w:eastAsia="zh-CN"/>
              </w:rPr>
            </w:pPr>
            <w:r>
              <w:rPr>
                <w:rFonts w:ascii="仿宋_GB2312" w:hAnsi="仿宋_GB2312" w:cs="Calibri" w:eastAsia="仿宋_GB2312"/>
                <w:color w:val="000000"/>
                <w:lang w:val="en-US" w:eastAsia="zh-CN"/>
              </w:rPr>
              <w:t>第二阶段</w:t>
            </w:r>
          </w:p>
        </w:tc>
        <w:tc>
          <w:tcPr>
            <w:tcW w:w="3317"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对收集的运行数据进行统计分析，揭示主变负载率多工况变化规律及源荷比、电量渗透率与容载比的关联关系；对成本数据进行驱动因子识别。</w:t>
            </w:r>
          </w:p>
        </w:tc>
        <w:tc>
          <w:tcPr>
            <w:tcW w:w="1643"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形成运行特征分析结论；完成“新能源渗透水平—电网运行状态”关联数据库构建</w:t>
            </w:r>
          </w:p>
        </w:tc>
        <w:tc>
          <w:tcPr>
            <w:tcW w:w="1069"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eastAsia="仿宋_GB2312" w:cs="Times New Roman" w:ascii="仿宋_GB2312" w:hAnsi="仿宋_GB2312"/>
                <w:color w:val="000000"/>
                <w:lang w:val="en-US" w:eastAsia="zh-CN"/>
              </w:rPr>
              <w:t>2026</w:t>
            </w:r>
            <w:r>
              <w:rPr>
                <w:rFonts w:ascii="仿宋_GB2312" w:hAnsi="仿宋_GB2312" w:cs="Times New Roman" w:eastAsia="仿宋_GB2312"/>
                <w:color w:val="000000"/>
                <w:lang w:val="en-US" w:eastAsia="zh-CN"/>
              </w:rPr>
              <w:t>年</w:t>
            </w:r>
            <w:r>
              <w:rPr>
                <w:rFonts w:eastAsia="仿宋_GB2312" w:cs="Times New Roman" w:ascii="仿宋_GB2312" w:hAnsi="仿宋_GB2312"/>
                <w:color w:val="000000"/>
                <w:lang w:val="en-US" w:eastAsia="zh-CN"/>
              </w:rPr>
              <w:t>7</w:t>
            </w:r>
            <w:r>
              <w:rPr>
                <w:rFonts w:ascii="仿宋_GB2312" w:hAnsi="仿宋_GB2312" w:cs="Times New Roman" w:eastAsia="仿宋_GB2312"/>
                <w:color w:val="000000"/>
                <w:lang w:val="en-US" w:eastAsia="zh-CN"/>
              </w:rPr>
              <w:t>月</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调查研究法、统计分析法、回归分析法</w:t>
            </w:r>
          </w:p>
        </w:tc>
        <w:tc>
          <w:tcPr>
            <w:tcW w:w="595" w:type="dxa"/>
            <w:vMerge w:val="continue"/>
            <w:tcBorders>
              <w:top w:val="single" w:sz="4" w:space="0" w:color="000000"/>
              <w:left w:val="single" w:sz="4" w:space="0" w:color="000000"/>
              <w:right w:val="single" w:sz="4" w:space="0" w:color="000000"/>
            </w:tcBorders>
            <w:vAlign w:val="center"/>
          </w:tcPr>
          <w:p>
            <w:pPr>
              <w:pStyle w:val="Normal"/>
              <w:widowControl/>
              <w:snapToGrid w:val="false"/>
              <w:jc w:val="center"/>
              <w:rPr>
                <w:rFonts w:ascii="仿宋_GB2312" w:hAnsi="仿宋_GB2312" w:eastAsia="仿宋_GB2312" w:cs="Times New Roman"/>
                <w:color w:val="000000"/>
                <w:kern w:val="0"/>
                <w:sz w:val="24"/>
                <w:lang w:val="en-US" w:eastAsia="zh-CN"/>
              </w:rPr>
            </w:pPr>
            <w:r>
              <w:rPr>
                <w:rFonts w:eastAsia="仿宋_GB2312" w:cs="Times New Roman" w:ascii="仿宋_GB2312" w:hAnsi="仿宋_GB2312"/>
                <w:color w:val="000000"/>
                <w:kern w:val="0"/>
                <w:sz w:val="24"/>
                <w:lang w:val="en-US" w:eastAsia="zh-CN"/>
              </w:rPr>
            </w:r>
          </w:p>
        </w:tc>
      </w:tr>
      <w:tr>
        <w:trPr>
          <w:trHeight w:val="907" w:hRule="atLeast"/>
        </w:trPr>
        <w:tc>
          <w:tcPr>
            <w:tcW w:w="668"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Calibri"/>
                <w:color w:val="000000"/>
                <w:lang w:val="en-US" w:eastAsia="zh-CN"/>
              </w:rPr>
            </w:pPr>
            <w:r>
              <w:rPr>
                <w:rFonts w:ascii="仿宋_GB2312" w:hAnsi="仿宋_GB2312" w:cs="Calibri" w:eastAsia="仿宋_GB2312"/>
                <w:color w:val="000000"/>
                <w:lang w:val="en-US" w:eastAsia="zh-CN"/>
              </w:rPr>
              <w:t>第三阶段</w:t>
            </w:r>
          </w:p>
        </w:tc>
        <w:tc>
          <w:tcPr>
            <w:tcW w:w="3317"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建立电网建设总成本参数化模型；量化刚性容载比场景（严格执行≤</w:t>
            </w:r>
            <w:r>
              <w:rPr>
                <w:rFonts w:eastAsia="仿宋_GB2312" w:cs="Times New Roman" w:ascii="仿宋_GB2312" w:hAnsi="仿宋_GB2312"/>
                <w:color w:val="000000"/>
                <w:lang w:val="en-US" w:eastAsia="zh-CN"/>
              </w:rPr>
              <w:t>2.0</w:t>
            </w:r>
            <w:r>
              <w:rPr>
                <w:rFonts w:ascii="仿宋_GB2312" w:hAnsi="仿宋_GB2312" w:cs="Times New Roman" w:eastAsia="仿宋_GB2312"/>
                <w:color w:val="000000"/>
                <w:lang w:val="en-US" w:eastAsia="zh-CN"/>
              </w:rPr>
              <w:t>，采用加强联络、配储等措施）与弹性容载比场景的全寿命周期成本；采用年费用法进行两场景经济技术对比。</w:t>
            </w:r>
          </w:p>
        </w:tc>
        <w:tc>
          <w:tcPr>
            <w:tcW w:w="1643"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形成成本参数化模型；完成两场景全寿命周期成本测算及对比分析；形成决策案例库</w:t>
            </w:r>
          </w:p>
        </w:tc>
        <w:tc>
          <w:tcPr>
            <w:tcW w:w="1069"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eastAsia="仿宋_GB2312" w:cs="Times New Roman" w:ascii="仿宋_GB2312" w:hAnsi="仿宋_GB2312"/>
                <w:color w:val="000000"/>
                <w:lang w:val="en-US" w:eastAsia="zh-CN"/>
              </w:rPr>
              <w:t>2026</w:t>
            </w:r>
            <w:r>
              <w:rPr>
                <w:rFonts w:ascii="仿宋_GB2312" w:hAnsi="仿宋_GB2312" w:cs="Times New Roman" w:eastAsia="仿宋_GB2312"/>
                <w:color w:val="000000"/>
                <w:lang w:val="en-US" w:eastAsia="zh-CN"/>
              </w:rPr>
              <w:t>年</w:t>
            </w:r>
            <w:r>
              <w:rPr>
                <w:rFonts w:eastAsia="仿宋_GB2312" w:cs="Times New Roman" w:ascii="仿宋_GB2312" w:hAnsi="仿宋_GB2312"/>
                <w:color w:val="000000"/>
                <w:lang w:val="en-US" w:eastAsia="zh-CN"/>
              </w:rPr>
              <w:t>8-9</w:t>
            </w:r>
            <w:r>
              <w:rPr>
                <w:rFonts w:ascii="仿宋_GB2312" w:hAnsi="仿宋_GB2312" w:cs="Times New Roman" w:eastAsia="仿宋_GB2312"/>
                <w:color w:val="000000"/>
                <w:lang w:val="en-US" w:eastAsia="zh-CN"/>
              </w:rPr>
              <w:t>月</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回归分析法、全寿命周期成本法、年费用法</w:t>
            </w:r>
          </w:p>
        </w:tc>
        <w:tc>
          <w:tcPr>
            <w:tcW w:w="595" w:type="dxa"/>
            <w:vMerge w:val="continue"/>
            <w:tcBorders>
              <w:top w:val="single" w:sz="4" w:space="0" w:color="000000"/>
              <w:left w:val="single" w:sz="4" w:space="0" w:color="000000"/>
              <w:right w:val="single" w:sz="4" w:space="0" w:color="000000"/>
            </w:tcBorders>
            <w:vAlign w:val="center"/>
          </w:tcPr>
          <w:p>
            <w:pPr>
              <w:pStyle w:val="Normal"/>
              <w:widowControl/>
              <w:snapToGrid w:val="false"/>
              <w:jc w:val="center"/>
              <w:rPr>
                <w:rFonts w:ascii="仿宋_GB2312" w:hAnsi="仿宋_GB2312" w:eastAsia="仿宋_GB2312" w:cs="Times New Roman"/>
                <w:color w:val="000000"/>
                <w:kern w:val="0"/>
                <w:sz w:val="24"/>
                <w:lang w:val="en-US" w:eastAsia="zh-CN"/>
              </w:rPr>
            </w:pPr>
            <w:r>
              <w:rPr>
                <w:rFonts w:eastAsia="仿宋_GB2312" w:cs="Times New Roman" w:ascii="仿宋_GB2312" w:hAnsi="仿宋_GB2312"/>
                <w:color w:val="000000"/>
                <w:kern w:val="0"/>
                <w:sz w:val="24"/>
                <w:lang w:val="en-US" w:eastAsia="zh-CN"/>
              </w:rPr>
            </w:r>
          </w:p>
        </w:tc>
      </w:tr>
      <w:tr>
        <w:trPr>
          <w:trHeight w:val="907" w:hRule="atLeast"/>
        </w:trPr>
        <w:tc>
          <w:tcPr>
            <w:tcW w:w="668"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Calibri"/>
                <w:color w:val="000000"/>
                <w:lang w:val="en-US" w:eastAsia="zh-CN"/>
              </w:rPr>
            </w:pPr>
            <w:r>
              <w:rPr>
                <w:rFonts w:ascii="仿宋_GB2312" w:hAnsi="仿宋_GB2312" w:cs="Calibri" w:eastAsia="仿宋_GB2312"/>
                <w:color w:val="000000"/>
                <w:lang w:val="en-US" w:eastAsia="zh-CN"/>
              </w:rPr>
              <w:t>第四阶段</w:t>
            </w:r>
          </w:p>
        </w:tc>
        <w:tc>
          <w:tcPr>
            <w:tcW w:w="3317"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结合规划年份负荷及分布式光伏预测，设立弹性规划评价指标体系；采用层次分析法确定指标权重；根据不同片区类型初步提出容载比推荐区间及技术方案组合。</w:t>
            </w:r>
          </w:p>
        </w:tc>
        <w:tc>
          <w:tcPr>
            <w:tcW w:w="1643"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形成弹性容载比规划建议草案</w:t>
            </w:r>
          </w:p>
        </w:tc>
        <w:tc>
          <w:tcPr>
            <w:tcW w:w="1069"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eastAsia="仿宋_GB2312" w:cs="Times New Roman" w:ascii="仿宋_GB2312" w:hAnsi="仿宋_GB2312"/>
                <w:color w:val="000000"/>
                <w:lang w:val="en-US" w:eastAsia="zh-CN"/>
              </w:rPr>
              <w:t>2026</w:t>
            </w:r>
            <w:r>
              <w:rPr>
                <w:rFonts w:ascii="仿宋_GB2312" w:hAnsi="仿宋_GB2312" w:cs="Times New Roman" w:eastAsia="仿宋_GB2312"/>
                <w:color w:val="000000"/>
                <w:lang w:val="en-US" w:eastAsia="zh-CN"/>
              </w:rPr>
              <w:t>年</w:t>
            </w:r>
            <w:r>
              <w:rPr>
                <w:rFonts w:eastAsia="仿宋_GB2312" w:cs="Times New Roman" w:ascii="仿宋_GB2312" w:hAnsi="仿宋_GB2312"/>
                <w:color w:val="000000"/>
                <w:lang w:val="en-US" w:eastAsia="zh-CN"/>
              </w:rPr>
              <w:t>9-10</w:t>
            </w:r>
            <w:r>
              <w:rPr>
                <w:rFonts w:ascii="仿宋_GB2312" w:hAnsi="仿宋_GB2312" w:cs="Times New Roman" w:eastAsia="仿宋_GB2312"/>
                <w:color w:val="000000"/>
                <w:lang w:val="en-US" w:eastAsia="zh-CN"/>
              </w:rPr>
              <w:t>月</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预测分析法、层次分析法</w:t>
            </w:r>
          </w:p>
        </w:tc>
        <w:tc>
          <w:tcPr>
            <w:tcW w:w="595" w:type="dxa"/>
            <w:vMerge w:val="continue"/>
            <w:tcBorders>
              <w:top w:val="single" w:sz="4" w:space="0" w:color="000000"/>
              <w:left w:val="single" w:sz="4" w:space="0" w:color="000000"/>
              <w:right w:val="single" w:sz="4" w:space="0" w:color="000000"/>
            </w:tcBorders>
            <w:vAlign w:val="center"/>
          </w:tcPr>
          <w:p>
            <w:pPr>
              <w:pStyle w:val="Normal"/>
              <w:widowControl/>
              <w:snapToGrid w:val="false"/>
              <w:rPr>
                <w:rFonts w:ascii="仿宋_GB2312" w:hAnsi="仿宋_GB2312" w:eastAsia="仿宋_GB2312" w:cs="Times New Roman"/>
                <w:color w:val="000000"/>
                <w:kern w:val="0"/>
                <w:sz w:val="24"/>
                <w:lang w:val="en-US" w:eastAsia="zh-CN"/>
              </w:rPr>
            </w:pPr>
            <w:r>
              <w:rPr>
                <w:rFonts w:eastAsia="仿宋_GB2312" w:cs="Times New Roman" w:ascii="仿宋_GB2312" w:hAnsi="仿宋_GB2312"/>
                <w:color w:val="000000"/>
                <w:kern w:val="0"/>
                <w:sz w:val="24"/>
                <w:lang w:val="en-US" w:eastAsia="zh-CN"/>
              </w:rPr>
            </w:r>
          </w:p>
        </w:tc>
      </w:tr>
      <w:tr>
        <w:trPr>
          <w:trHeight w:val="907" w:hRule="atLeast"/>
        </w:trPr>
        <w:tc>
          <w:tcPr>
            <w:tcW w:w="668"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Calibri"/>
                <w:color w:val="000000"/>
                <w:lang w:val="en-US" w:eastAsia="zh-CN"/>
              </w:rPr>
            </w:pPr>
            <w:r>
              <w:rPr>
                <w:rFonts w:ascii="仿宋_GB2312" w:hAnsi="仿宋_GB2312" w:cs="Calibri" w:eastAsia="仿宋_GB2312"/>
                <w:color w:val="000000"/>
                <w:lang w:val="en-US" w:eastAsia="zh-CN"/>
              </w:rPr>
              <w:t>第五阶段</w:t>
            </w:r>
          </w:p>
        </w:tc>
        <w:tc>
          <w:tcPr>
            <w:tcW w:w="3317"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选取典型高渗透率片区开展刚性方案复盘与弹性方案对比验证；完善“一片一策”规划建议；撰写并录用期刊论文</w:t>
            </w:r>
            <w:r>
              <w:rPr>
                <w:rFonts w:eastAsia="仿宋_GB2312" w:cs="Times New Roman" w:ascii="仿宋_GB2312" w:hAnsi="仿宋_GB2312"/>
                <w:color w:val="000000"/>
                <w:lang w:val="en-US" w:eastAsia="zh-CN"/>
              </w:rPr>
              <w:t>1</w:t>
            </w:r>
            <w:r>
              <w:rPr>
                <w:rFonts w:ascii="仿宋_GB2312" w:hAnsi="仿宋_GB2312" w:cs="Times New Roman" w:eastAsia="仿宋_GB2312"/>
                <w:color w:val="000000"/>
                <w:lang w:val="en-US" w:eastAsia="zh-CN"/>
              </w:rPr>
              <w:t>篇；完成总报告编制及项目验收。</w:t>
            </w:r>
          </w:p>
        </w:tc>
        <w:tc>
          <w:tcPr>
            <w:tcW w:w="1643"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完成典型案例验证；通过项目验收</w:t>
            </w:r>
          </w:p>
        </w:tc>
        <w:tc>
          <w:tcPr>
            <w:tcW w:w="1069" w:type="dxa"/>
            <w:tcBorders>
              <w:top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eastAsia="仿宋_GB2312" w:cs="Times New Roman" w:ascii="仿宋_GB2312" w:hAnsi="仿宋_GB2312"/>
                <w:color w:val="000000"/>
                <w:lang w:val="en-US" w:eastAsia="zh-CN"/>
              </w:rPr>
              <w:t>2026</w:t>
            </w:r>
            <w:r>
              <w:rPr>
                <w:rFonts w:ascii="仿宋_GB2312" w:hAnsi="仿宋_GB2312" w:cs="Times New Roman" w:eastAsia="仿宋_GB2312"/>
                <w:color w:val="000000"/>
                <w:lang w:val="en-US" w:eastAsia="zh-CN"/>
              </w:rPr>
              <w:t>年</w:t>
            </w:r>
            <w:r>
              <w:rPr>
                <w:rFonts w:eastAsia="仿宋_GB2312" w:cs="Times New Roman" w:ascii="仿宋_GB2312" w:hAnsi="仿宋_GB2312"/>
                <w:color w:val="000000"/>
                <w:lang w:val="en-US" w:eastAsia="zh-CN"/>
              </w:rPr>
              <w:t>10-11</w:t>
            </w:r>
            <w:r>
              <w:rPr>
                <w:rFonts w:ascii="仿宋_GB2312" w:hAnsi="仿宋_GB2312" w:cs="Times New Roman" w:eastAsia="仿宋_GB2312"/>
                <w:color w:val="000000"/>
                <w:lang w:val="en-US" w:eastAsia="zh-CN"/>
              </w:rPr>
              <w:t>月</w:t>
            </w:r>
          </w:p>
        </w:tc>
        <w:tc>
          <w:tcPr>
            <w:tcW w:w="1230" w:type="dxa"/>
            <w:tcBorders>
              <w:top w:val="single" w:sz="4" w:space="0" w:color="000000"/>
              <w:left w:val="single" w:sz="4" w:space="0" w:color="000000"/>
              <w:bottom w:val="single" w:sz="4" w:space="0" w:color="000000"/>
              <w:right w:val="single" w:sz="4" w:space="0" w:color="000000"/>
            </w:tcBorders>
            <w:vAlign w:val="center"/>
          </w:tcPr>
          <w:p>
            <w:pPr>
              <w:pStyle w:val="BodyText"/>
              <w:ind w:hanging="0" w:right="144"/>
              <w:jc w:val="left"/>
              <w:rPr>
                <w:rFonts w:ascii="仿宋_GB2312" w:hAnsi="仿宋_GB2312" w:eastAsia="仿宋_GB2312" w:cs="Times New Roman"/>
                <w:color w:val="000000"/>
                <w:lang w:val="en-US" w:eastAsia="zh-CN"/>
              </w:rPr>
            </w:pPr>
            <w:r>
              <w:rPr>
                <w:rFonts w:ascii="仿宋_GB2312" w:hAnsi="仿宋_GB2312" w:cs="Times New Roman" w:eastAsia="仿宋_GB2312"/>
                <w:color w:val="000000"/>
                <w:lang w:val="en-US" w:eastAsia="zh-CN"/>
              </w:rPr>
              <w:t>案例分析法、对比验证法、评估应用法</w:t>
            </w:r>
          </w:p>
        </w:tc>
        <w:tc>
          <w:tcPr>
            <w:tcW w:w="595" w:type="dxa"/>
            <w:vMerge w:val="continue"/>
            <w:tcBorders>
              <w:top w:val="single" w:sz="4" w:space="0" w:color="000000"/>
              <w:left w:val="single" w:sz="4" w:space="0" w:color="000000"/>
              <w:right w:val="single" w:sz="4" w:space="0" w:color="000000"/>
            </w:tcBorders>
            <w:vAlign w:val="center"/>
          </w:tcPr>
          <w:p>
            <w:pPr>
              <w:pStyle w:val="Normal"/>
              <w:widowControl/>
              <w:snapToGrid w:val="false"/>
              <w:rPr>
                <w:rFonts w:ascii="仿宋_GB2312" w:hAnsi="仿宋_GB2312" w:eastAsia="仿宋_GB2312" w:cs="Times New Roman"/>
                <w:color w:val="000000"/>
                <w:kern w:val="0"/>
                <w:sz w:val="24"/>
                <w:lang w:val="en-US" w:eastAsia="zh-CN"/>
              </w:rPr>
            </w:pPr>
            <w:r>
              <w:rPr>
                <w:rFonts w:eastAsia="仿宋_GB2312" w:cs="Times New Roman" w:ascii="仿宋_GB2312" w:hAnsi="仿宋_GB2312"/>
                <w:color w:val="000000"/>
                <w:kern w:val="0"/>
                <w:sz w:val="24"/>
                <w:lang w:val="en-US" w:eastAsia="zh-CN"/>
              </w:rPr>
            </w:r>
          </w:p>
        </w:tc>
      </w:tr>
    </w:tbl>
    <w:p>
      <w:pPr>
        <w:pStyle w:val="Normal"/>
        <w:widowControl/>
        <w:rPr>
          <w:rFonts w:ascii="仿宋_GB2312" w:hAnsi="仿宋_GB2312" w:eastAsia="仿宋_GB2312"/>
          <w:color w:val="000000"/>
          <w:sz w:val="24"/>
        </w:rPr>
      </w:pPr>
      <w:r>
        <w:rPr>
          <w:rFonts w:ascii="仿宋_GB2312" w:hAnsi="仿宋_GB2312" w:eastAsia="仿宋_GB2312"/>
          <w:b/>
          <w:color w:val="000000"/>
          <w:sz w:val="24"/>
        </w:rPr>
        <w:t>编写要求</w:t>
      </w:r>
      <w:r>
        <w:rPr>
          <w:rFonts w:ascii="仿宋_GB2312" w:hAnsi="仿宋_GB2312" w:eastAsia="仿宋_GB2312"/>
          <w:color w:val="000000"/>
          <w:sz w:val="24"/>
        </w:rPr>
        <w:t>：</w:t>
      </w:r>
    </w:p>
    <w:p>
      <w:pPr>
        <w:pStyle w:val="p0"/>
        <w:rPr>
          <w:rFonts w:ascii="仿宋_GB2312" w:hAnsi="仿宋_GB2312" w:eastAsia="仿宋_GB2312"/>
          <w:color w:val="000000"/>
          <w:sz w:val="24"/>
        </w:rPr>
      </w:pPr>
      <w:r>
        <w:rPr>
          <w:rFonts w:eastAsia="仿宋_GB2312" w:cs="仿宋_GB2312" w:ascii="仿宋_GB2312" w:hAnsi="仿宋_GB2312"/>
          <w:color w:val="000000"/>
          <w:sz w:val="24"/>
        </w:rPr>
        <w:t xml:space="preserve">    </w:t>
      </w:r>
      <w:r>
        <w:rPr>
          <w:rFonts w:eastAsia="仿宋_GB2312" w:ascii="仿宋_GB2312" w:hAnsi="仿宋_GB2312"/>
          <w:color w:val="000000"/>
          <w:sz w:val="24"/>
        </w:rPr>
        <w:t xml:space="preserve">1. </w:t>
      </w:r>
      <w:r>
        <w:rPr>
          <w:rFonts w:ascii="仿宋_GB2312" w:hAnsi="仿宋_GB2312" w:eastAsia="仿宋_GB2312"/>
          <w:color w:val="000000"/>
          <w:sz w:val="24"/>
        </w:rPr>
        <w:t>具体列出分时间段的阶段性计划研究内容；</w:t>
      </w:r>
    </w:p>
    <w:p>
      <w:pPr>
        <w:pStyle w:val="p0"/>
        <w:rPr>
          <w:rFonts w:ascii="仿宋_GB2312" w:hAnsi="仿宋_GB2312" w:eastAsia="仿宋_GB2312"/>
          <w:color w:val="000000"/>
          <w:sz w:val="24"/>
        </w:rPr>
      </w:pPr>
      <w:r>
        <w:rPr>
          <w:rFonts w:eastAsia="仿宋_GB2312" w:cs="仿宋_GB2312" w:ascii="仿宋_GB2312" w:hAnsi="仿宋_GB2312"/>
          <w:color w:val="000000"/>
          <w:sz w:val="24"/>
        </w:rPr>
        <w:t xml:space="preserve">    </w:t>
      </w:r>
      <w:r>
        <w:rPr>
          <w:rFonts w:eastAsia="仿宋_GB2312" w:ascii="仿宋_GB2312" w:hAnsi="仿宋_GB2312"/>
          <w:color w:val="000000"/>
          <w:sz w:val="24"/>
        </w:rPr>
        <w:t xml:space="preserve">2. </w:t>
      </w:r>
      <w:r>
        <w:rPr>
          <w:rFonts w:ascii="仿宋_GB2312" w:hAnsi="仿宋_GB2312" w:eastAsia="仿宋_GB2312"/>
          <w:color w:val="000000"/>
          <w:sz w:val="24"/>
        </w:rPr>
        <w:t>明确阶段性研究成果的内容和提供形式，要具有可检查性。</w:t>
      </w:r>
      <w:r>
        <w:br w:type="page"/>
      </w:r>
    </w:p>
    <w:p>
      <w:pPr>
        <w:pStyle w:val="Normal"/>
        <w:widowControl/>
        <w:rPr>
          <w:rFonts w:ascii="仿宋_GB2312" w:hAnsi="仿宋_GB2312" w:eastAsia="仿宋_GB2312"/>
          <w:b/>
          <w:color w:val="000000"/>
          <w:kern w:val="0"/>
          <w:sz w:val="30"/>
        </w:rPr>
      </w:pPr>
      <w:r>
        <w:rPr>
          <w:rFonts w:ascii="仿宋_GB2312" w:hAnsi="仿宋_GB2312" w:eastAsia="仿宋_GB2312"/>
          <w:b/>
          <w:color w:val="000000"/>
          <w:kern w:val="0"/>
          <w:sz w:val="30"/>
        </w:rPr>
        <w:t>四、咨询人员名单</w:t>
      </w:r>
    </w:p>
    <w:tbl>
      <w:tblPr>
        <w:tblW w:w="8392" w:type="dxa"/>
        <w:jc w:val="left"/>
        <w:tblInd w:w="0" w:type="dxa"/>
        <w:tblLayout w:type="fixed"/>
        <w:tblCellMar>
          <w:top w:w="0" w:type="dxa"/>
          <w:left w:w="28" w:type="dxa"/>
          <w:bottom w:w="0" w:type="dxa"/>
          <w:right w:w="28" w:type="dxa"/>
        </w:tblCellMar>
      </w:tblPr>
      <w:tblGrid>
        <w:gridCol w:w="748"/>
        <w:gridCol w:w="1265"/>
        <w:gridCol w:w="1331"/>
        <w:gridCol w:w="1504"/>
        <w:gridCol w:w="1808"/>
        <w:gridCol w:w="1736"/>
      </w:tblGrid>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480"/>
              <w:jc w:val="left"/>
              <w:rPr>
                <w:rFonts w:ascii="仿宋_GB2312" w:hAnsi="仿宋_GB2312" w:eastAsia="仿宋_GB2312" w:cs="仿宋"/>
                <w:b/>
                <w:color w:val="000000"/>
                <w:sz w:val="24"/>
              </w:rPr>
            </w:pPr>
            <w:r>
              <w:rPr>
                <w:rFonts w:ascii="仿宋_GB2312" w:hAnsi="仿宋_GB2312" w:cs="仿宋" w:eastAsia="仿宋_GB2312"/>
                <w:color w:val="000000"/>
                <w:sz w:val="24"/>
              </w:rPr>
              <w:t>序号</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480"/>
              <w:ind w:firstLine="120" w:right="0"/>
              <w:jc w:val="center"/>
              <w:rPr>
                <w:rFonts w:ascii="仿宋_GB2312" w:hAnsi="仿宋_GB2312" w:eastAsia="仿宋_GB2312" w:cs="仿宋"/>
                <w:b/>
                <w:color w:val="000000"/>
                <w:sz w:val="24"/>
              </w:rPr>
            </w:pPr>
            <w:r>
              <w:rPr>
                <w:rFonts w:ascii="仿宋_GB2312" w:hAnsi="仿宋_GB2312" w:cs="仿宋" w:eastAsia="仿宋_GB2312"/>
                <w:color w:val="000000"/>
                <w:sz w:val="24"/>
              </w:rPr>
              <w:t>姓名</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480"/>
              <w:jc w:val="center"/>
              <w:rPr>
                <w:rFonts w:ascii="仿宋_GB2312" w:hAnsi="仿宋_GB2312" w:eastAsia="仿宋_GB2312" w:cs="仿宋"/>
                <w:b/>
                <w:color w:val="000000"/>
                <w:sz w:val="24"/>
                <w:lang w:val="en-US" w:eastAsia="zh-CN"/>
              </w:rPr>
            </w:pPr>
            <w:r>
              <w:rPr>
                <w:rFonts w:ascii="仿宋_GB2312" w:hAnsi="仿宋_GB2312" w:cs="仿宋" w:eastAsia="仿宋_GB2312"/>
                <w:color w:val="000000"/>
                <w:sz w:val="24"/>
                <w:lang w:val="en-US" w:eastAsia="zh-CN"/>
              </w:rPr>
              <w:t>职称或职务</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480"/>
              <w:jc w:val="center"/>
              <w:rPr>
                <w:rFonts w:ascii="仿宋_GB2312" w:hAnsi="仿宋_GB2312" w:eastAsia="仿宋_GB2312" w:cs="仿宋"/>
                <w:b/>
                <w:color w:val="000000"/>
                <w:sz w:val="24"/>
              </w:rPr>
            </w:pPr>
            <w:r>
              <w:rPr>
                <w:rFonts w:ascii="仿宋_GB2312" w:hAnsi="仿宋_GB2312" w:cs="仿宋" w:eastAsia="仿宋_GB2312"/>
                <w:color w:val="000000"/>
                <w:sz w:val="24"/>
              </w:rPr>
              <w:t>专业</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480"/>
              <w:jc w:val="center"/>
              <w:rPr>
                <w:rFonts w:ascii="仿宋_GB2312" w:hAnsi="仿宋_GB2312" w:eastAsia="仿宋_GB2312" w:cs="仿宋"/>
                <w:b/>
                <w:color w:val="000000"/>
                <w:sz w:val="24"/>
              </w:rPr>
            </w:pPr>
            <w:r>
              <w:rPr>
                <w:rFonts w:ascii="仿宋_GB2312" w:hAnsi="仿宋_GB2312" w:cs="仿宋" w:eastAsia="仿宋_GB2312"/>
                <w:color w:val="000000"/>
                <w:sz w:val="24"/>
              </w:rPr>
              <w:t>工作单位</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480"/>
              <w:jc w:val="center"/>
              <w:rPr>
                <w:rFonts w:ascii="仿宋_GB2312" w:hAnsi="仿宋_GB2312" w:eastAsia="仿宋_GB2312" w:cs="仿宋"/>
                <w:b/>
                <w:color w:val="000000"/>
                <w:sz w:val="24"/>
              </w:rPr>
            </w:pPr>
            <w:r>
              <w:rPr>
                <w:rFonts w:ascii="仿宋_GB2312" w:hAnsi="仿宋_GB2312" w:cs="仿宋" w:eastAsia="仿宋_GB2312"/>
                <w:color w:val="000000"/>
                <w:sz w:val="24"/>
              </w:rPr>
              <w:t>工作分工</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eastAsia="仿宋_GB2312"/>
                <w:color w:val="000000"/>
                <w:sz w:val="28"/>
              </w:rPr>
            </w:pPr>
            <w:r>
              <w:rPr>
                <w:rFonts w:eastAsia="仿宋_GB2312"/>
                <w:color w:val="000000"/>
                <w:sz w:val="28"/>
              </w:rPr>
              <w:t>1</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许彦</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电力系统及其自动化</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项目负责人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ascii="Times New Roman" w:hAnsi="Times New Roman" w:eastAsia="仿宋_GB2312" w:cs="Times New Roman"/>
                <w:color w:val="000000"/>
                <w:kern w:val="2"/>
                <w:sz w:val="28"/>
                <w:lang w:val="en-US" w:eastAsia="zh-CN" w:bidi="ar-SA"/>
              </w:rPr>
            </w:pPr>
            <w:r>
              <w:rPr>
                <w:rFonts w:eastAsia="仿宋_GB2312"/>
                <w:color w:val="000000"/>
                <w:sz w:val="28"/>
                <w:lang w:val="en-US" w:eastAsia="zh-CN"/>
              </w:rPr>
              <w:t>2</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袁瑞</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电力系统及其自动化</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ascii="Times New Roman" w:hAnsi="Times New Roman" w:eastAsia="仿宋_GB2312" w:cs="Times New Roman"/>
                <w:color w:val="000000"/>
                <w:kern w:val="2"/>
                <w:sz w:val="28"/>
                <w:lang w:val="en-US" w:eastAsia="zh-CN" w:bidi="ar-SA"/>
              </w:rPr>
            </w:pPr>
            <w:r>
              <w:rPr>
                <w:rFonts w:eastAsia="仿宋_GB2312"/>
                <w:color w:val="000000"/>
                <w:sz w:val="28"/>
                <w:lang w:val="en-US" w:eastAsia="zh-CN"/>
              </w:rPr>
              <w:t>3</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kern w:val="2"/>
                <w:sz w:val="24"/>
                <w:lang w:val="en-US" w:eastAsia="zh-CN" w:bidi="ar-SA"/>
              </w:rPr>
              <w:t>童伟</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电力系统及其自动化</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ascii="Times New Roman" w:hAnsi="Times New Roman" w:eastAsia="仿宋_GB2312" w:cs="Times New Roman"/>
                <w:color w:val="000000"/>
                <w:kern w:val="2"/>
                <w:sz w:val="28"/>
                <w:lang w:val="en-US" w:eastAsia="zh-CN" w:bidi="ar-SA"/>
              </w:rPr>
            </w:pPr>
            <w:r>
              <w:rPr>
                <w:rFonts w:eastAsia="仿宋_GB2312"/>
                <w:color w:val="000000"/>
                <w:sz w:val="28"/>
                <w:lang w:val="en-US" w:eastAsia="zh-CN"/>
              </w:rPr>
              <w:t>4</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kern w:val="2"/>
                <w:sz w:val="24"/>
                <w:lang w:val="en-US" w:eastAsia="zh-CN" w:bidi="ar-SA"/>
              </w:rPr>
              <w:t>耿飞</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电气工程</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ascii="Times New Roman" w:hAnsi="Times New Roman" w:eastAsia="仿宋_GB2312" w:cs="Times New Roman"/>
                <w:color w:val="000000"/>
                <w:kern w:val="2"/>
                <w:sz w:val="28"/>
                <w:lang w:val="en-US" w:eastAsia="zh-CN" w:bidi="ar-SA"/>
              </w:rPr>
            </w:pPr>
            <w:r>
              <w:rPr>
                <w:rFonts w:eastAsia="仿宋_GB2312"/>
                <w:color w:val="000000"/>
                <w:sz w:val="28"/>
                <w:lang w:val="en-US" w:eastAsia="zh-CN"/>
              </w:rPr>
              <w:t>5</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kern w:val="2"/>
                <w:sz w:val="24"/>
                <w:lang w:val="en-US" w:eastAsia="zh-CN" w:bidi="ar-SA"/>
              </w:rPr>
              <w:t>齐敦金</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电力系统及其自动化</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ascii="Times New Roman" w:hAnsi="Times New Roman" w:eastAsia="仿宋_GB2312" w:cs="Times New Roman"/>
                <w:color w:val="000000"/>
                <w:kern w:val="2"/>
                <w:sz w:val="28"/>
                <w:lang w:val="en-US" w:eastAsia="zh-CN" w:bidi="ar-SA"/>
              </w:rPr>
            </w:pPr>
            <w:r>
              <w:rPr>
                <w:rFonts w:eastAsia="仿宋_GB2312"/>
                <w:color w:val="000000"/>
                <w:sz w:val="28"/>
                <w:lang w:val="en-US" w:eastAsia="zh-CN"/>
              </w:rPr>
              <w:t>6</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kern w:val="2"/>
                <w:sz w:val="24"/>
                <w:lang w:val="en-US" w:eastAsia="zh-CN" w:bidi="ar-SA"/>
              </w:rPr>
              <w:t>张国富</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通信工程</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eastAsia="仿宋_GB2312"/>
                <w:color w:val="000000"/>
                <w:sz w:val="28"/>
                <w:lang w:val="en-US" w:eastAsia="zh-CN"/>
              </w:rPr>
            </w:pPr>
            <w:r>
              <w:rPr>
                <w:rFonts w:eastAsia="仿宋_GB2312"/>
                <w:color w:val="000000"/>
                <w:sz w:val="28"/>
                <w:lang w:val="en-US" w:eastAsia="zh-CN"/>
              </w:rPr>
              <w:t>7</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kern w:val="2"/>
                <w:sz w:val="24"/>
                <w:lang w:val="en-US" w:eastAsia="zh-CN" w:bidi="ar-SA"/>
              </w:rPr>
              <w:t>李阳阳</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高电压与绝缘技术</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eastAsia="仿宋_GB2312"/>
                <w:color w:val="000000"/>
                <w:sz w:val="28"/>
                <w:lang w:val="en-US" w:eastAsia="zh-CN"/>
              </w:rPr>
            </w:pPr>
            <w:r>
              <w:rPr>
                <w:rFonts w:eastAsia="仿宋_GB2312"/>
                <w:color w:val="000000"/>
                <w:sz w:val="28"/>
                <w:lang w:val="en-US" w:eastAsia="zh-CN"/>
              </w:rPr>
              <w:t>8</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王素梅</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高级工程师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技术经济</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sz w:val="24"/>
                <w:lang w:val="en-US" w:eastAsia="zh-CN"/>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ascii="Times New Roman" w:hAnsi="Times New Roman" w:eastAsia="仿宋_GB2312" w:cs="Times New Roman"/>
                <w:color w:val="000000"/>
                <w:kern w:val="2"/>
                <w:sz w:val="28"/>
                <w:lang w:val="en-US" w:eastAsia="zh-CN" w:bidi="ar-SA"/>
              </w:rPr>
            </w:pPr>
            <w:r>
              <w:rPr>
                <w:rFonts w:eastAsia="仿宋_GB2312"/>
                <w:color w:val="000000"/>
                <w:sz w:val="28"/>
                <w:lang w:val="en-US" w:eastAsia="zh-CN"/>
              </w:rPr>
              <w:t>9</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王志祥</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助理工程师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通信工程</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主要编制人</w:t>
            </w:r>
          </w:p>
        </w:tc>
      </w:tr>
      <w:tr>
        <w:trPr>
          <w:trHeight w:val="624" w:hRule="exact"/>
        </w:trPr>
        <w:tc>
          <w:tcPr>
            <w:tcW w:w="74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360"/>
              <w:jc w:val="center"/>
              <w:rPr>
                <w:rFonts w:ascii="Times New Roman" w:hAnsi="Times New Roman" w:eastAsia="仿宋_GB2312" w:cs="Times New Roman"/>
                <w:color w:val="000000"/>
                <w:kern w:val="2"/>
                <w:sz w:val="28"/>
                <w:lang w:val="en-US" w:eastAsia="zh-CN" w:bidi="ar-SA"/>
              </w:rPr>
            </w:pPr>
            <w:r>
              <w:rPr>
                <w:rFonts w:eastAsia="仿宋_GB2312"/>
                <w:color w:val="000000"/>
                <w:sz w:val="28"/>
                <w:lang w:val="en-US" w:eastAsia="zh-CN"/>
              </w:rPr>
              <w:t>10</w:t>
            </w:r>
          </w:p>
        </w:tc>
        <w:tc>
          <w:tcPr>
            <w:tcW w:w="12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黄子越</w:t>
            </w:r>
          </w:p>
        </w:tc>
        <w:tc>
          <w:tcPr>
            <w:tcW w:w="133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工程师</w:t>
            </w:r>
          </w:p>
        </w:tc>
        <w:tc>
          <w:tcPr>
            <w:tcW w:w="15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电力系统及其自动化</w:t>
            </w:r>
          </w:p>
        </w:tc>
        <w:tc>
          <w:tcPr>
            <w:tcW w:w="180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国网江苏电力设计咨询有限公司</w:t>
            </w:r>
          </w:p>
        </w:tc>
        <w:tc>
          <w:tcPr>
            <w:tcW w:w="17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仿宋_GB2312" w:hAnsi="仿宋_GB2312" w:eastAsia="仿宋_GB2312" w:cs="仿宋"/>
                <w:color w:val="000000"/>
                <w:kern w:val="2"/>
                <w:sz w:val="24"/>
                <w:lang w:val="en-US" w:eastAsia="zh-CN" w:bidi="ar-SA"/>
              </w:rPr>
            </w:pPr>
            <w:r>
              <w:rPr>
                <w:rFonts w:ascii="仿宋_GB2312" w:hAnsi="仿宋_GB2312" w:cs="仿宋" w:eastAsia="仿宋_GB2312"/>
                <w:color w:val="000000"/>
                <w:sz w:val="24"/>
                <w:lang w:val="en-US" w:eastAsia="zh-CN"/>
              </w:rPr>
              <w:t>主要编制人</w:t>
            </w:r>
          </w:p>
        </w:tc>
      </w:tr>
    </w:tbl>
    <w:p>
      <w:pPr>
        <w:pStyle w:val="Normal"/>
        <w:widowControl/>
        <w:rPr>
          <w:rFonts w:ascii="仿宋_GB2312" w:hAnsi="仿宋_GB2312" w:eastAsia="仿宋_GB2312"/>
          <w:b/>
          <w:color w:val="000000"/>
          <w:kern w:val="0"/>
        </w:rPr>
      </w:pPr>
      <w:r>
        <w:rPr>
          <w:rFonts w:eastAsia="仿宋_GB2312" w:ascii="仿宋_GB2312" w:hAnsi="仿宋_GB2312"/>
          <w:b/>
          <w:color w:val="000000"/>
          <w:kern w:val="0"/>
        </w:rPr>
      </w:r>
      <w:r>
        <w:br w:type="page"/>
      </w:r>
    </w:p>
    <w:p>
      <w:pPr>
        <w:pStyle w:val="Normal"/>
        <w:widowControl/>
        <w:rPr>
          <w:rFonts w:ascii="仿宋_GB2312" w:hAnsi="仿宋_GB2312" w:eastAsia="仿宋_GB2312"/>
          <w:b/>
          <w:color w:val="000000"/>
          <w:kern w:val="0"/>
          <w:sz w:val="30"/>
        </w:rPr>
      </w:pPr>
      <w:r>
        <w:rPr>
          <w:rFonts w:ascii="仿宋_GB2312" w:hAnsi="仿宋_GB2312" w:eastAsia="仿宋_GB2312"/>
          <w:b/>
          <w:color w:val="000000"/>
          <w:kern w:val="0"/>
          <w:sz w:val="30"/>
        </w:rPr>
        <w:t>五、项目经费测算明细表</w:t>
      </w:r>
    </w:p>
    <w:p>
      <w:pPr>
        <w:pStyle w:val="Normal"/>
        <w:spacing w:lineRule="exact" w:line="400"/>
        <w:jc w:val="center"/>
        <w:rPr>
          <w:rFonts w:ascii="仿宋_GB2312" w:hAnsi="仿宋_GB2312" w:eastAsia="仿宋_GB2312" w:cs="仿宋_GB2312"/>
          <w:b/>
          <w:color w:val="000000"/>
          <w:kern w:val="0"/>
          <w:sz w:val="30"/>
        </w:rPr>
      </w:pPr>
      <w:r>
        <w:rPr>
          <w:rFonts w:eastAsia="仿宋_GB2312" w:cs="仿宋_GB2312" w:ascii="仿宋_GB2312" w:hAnsi="仿宋_GB2312"/>
          <w:b/>
          <w:color w:val="000000"/>
          <w:kern w:val="0"/>
          <w:sz w:val="30"/>
        </w:rPr>
      </w:r>
    </w:p>
    <w:p>
      <w:pPr>
        <w:pStyle w:val="Normal"/>
        <w:spacing w:lineRule="exact" w:line="400"/>
        <w:jc w:val="center"/>
        <w:rPr>
          <w:rFonts w:ascii="仿宋_GB2312" w:hAnsi="仿宋_GB2312" w:eastAsia="仿宋_GB2312" w:cs="仿宋_GB2312"/>
          <w:b/>
          <w:color w:val="000000"/>
        </w:rPr>
      </w:pPr>
      <w:r>
        <w:rPr>
          <w:rFonts w:ascii="仿宋_GB2312" w:hAnsi="仿宋_GB2312" w:cs="仿宋_GB2312" w:eastAsia="仿宋_GB2312"/>
          <w:b/>
          <w:color w:val="000000"/>
        </w:rPr>
        <w:t>报价汇总表</w:t>
      </w:r>
    </w:p>
    <w:tbl>
      <w:tblPr>
        <w:tblW w:w="9016" w:type="dxa"/>
        <w:jc w:val="left"/>
        <w:tblInd w:w="0" w:type="dxa"/>
        <w:tblLayout w:type="fixed"/>
        <w:tblCellMar>
          <w:top w:w="0" w:type="dxa"/>
          <w:left w:w="85" w:type="dxa"/>
          <w:bottom w:w="0" w:type="dxa"/>
          <w:right w:w="85" w:type="dxa"/>
        </w:tblCellMar>
      </w:tblPr>
      <w:tblGrid>
        <w:gridCol w:w="794"/>
        <w:gridCol w:w="5670"/>
        <w:gridCol w:w="2552"/>
      </w:tblGrid>
      <w:tr>
        <w:trPr>
          <w:trHeight w:val="280" w:hRule="atLeast"/>
        </w:trPr>
        <w:tc>
          <w:tcPr>
            <w:tcW w:w="794" w:type="dxa"/>
            <w:tcBorders>
              <w:top w:val="single" w:sz="12" w:space="0" w:color="000000"/>
              <w:left w:val="single" w:sz="12" w:space="0" w:color="000000"/>
              <w:bottom w:val="single" w:sz="4" w:space="0" w:color="000000"/>
              <w:right w:val="single" w:sz="4" w:space="0" w:color="000000"/>
            </w:tcBorders>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序号</w:t>
            </w:r>
          </w:p>
        </w:tc>
        <w:tc>
          <w:tcPr>
            <w:tcW w:w="5670"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项  目</w:t>
            </w:r>
          </w:p>
        </w:tc>
        <w:tc>
          <w:tcPr>
            <w:tcW w:w="2552" w:type="dxa"/>
            <w:tcBorders>
              <w:top w:val="single" w:sz="12" w:space="0" w:color="000000"/>
              <w:left w:val="single" w:sz="4" w:space="0" w:color="000000"/>
              <w:bottom w:val="single" w:sz="4"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价格（万元）</w:t>
            </w:r>
          </w:p>
        </w:tc>
      </w:tr>
      <w:tr>
        <w:trPr>
          <w:trHeight w:val="216" w:hRule="atLeast"/>
        </w:trPr>
        <w:tc>
          <w:tcPr>
            <w:tcW w:w="794" w:type="dxa"/>
            <w:tcBorders>
              <w:top w:val="single" w:sz="4" w:space="0" w:color="000000"/>
              <w:left w:val="single" w:sz="12" w:space="0" w:color="000000"/>
              <w:bottom w:val="single" w:sz="4" w:space="0" w:color="000000"/>
              <w:right w:val="single" w:sz="4" w:space="0" w:color="000000"/>
            </w:tcBorders>
            <w:vAlign w:val="bottom"/>
          </w:tcPr>
          <w:p>
            <w:pPr>
              <w:pStyle w:val="Normal"/>
              <w:numPr>
                <w:ilvl w:val="0"/>
                <w:numId w:val="2"/>
              </w:numPr>
              <w:snapToGrid w:val="false"/>
              <w:ind w:hanging="420" w:left="420" w:right="0"/>
              <w:jc w:val="center"/>
              <w:rPr>
                <w:rFonts w:ascii="仿宋_GB2312" w:hAnsi="仿宋_GB2312" w:eastAsia="仿宋_GB2312" w:cs="华文仿宋"/>
                <w:b/>
                <w:color w:val="000000"/>
              </w:rPr>
            </w:pPr>
            <w:r>
              <w:rPr>
                <w:rFonts w:eastAsia="仿宋_GB2312" w:cs="华文仿宋" w:ascii="仿宋_GB2312" w:hAnsi="仿宋_GB2312"/>
                <w:b/>
                <w:color w:val="000000"/>
              </w:rPr>
            </w:r>
          </w:p>
        </w:tc>
        <w:tc>
          <w:tcPr>
            <w:tcW w:w="567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人工费</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bottom"/>
          </w:tcPr>
          <w:p>
            <w:pPr>
              <w:pStyle w:val="Normal"/>
              <w:snapToGrid w:val="false"/>
              <w:jc w:val="center"/>
              <w:rPr>
                <w:rFonts w:ascii="仿宋_GB2312" w:hAnsi="仿宋_GB2312" w:eastAsia="仿宋_GB2312" w:cs="仿宋_GB2312"/>
                <w:b/>
                <w:color w:val="000000"/>
                <w:lang w:val="en-US" w:eastAsia="zh-CN"/>
              </w:rPr>
            </w:pPr>
            <w:r>
              <w:rPr>
                <w:rFonts w:eastAsia="仿宋_GB2312" w:cs="仿宋_GB2312" w:ascii="仿宋_GB2312" w:hAnsi="仿宋_GB2312"/>
                <w:b/>
                <w:color w:val="000000"/>
                <w:lang w:val="en-US" w:eastAsia="zh-CN"/>
              </w:rPr>
              <w:t>61.80</w:t>
            </w:r>
          </w:p>
        </w:tc>
      </w:tr>
      <w:tr>
        <w:trPr>
          <w:trHeight w:val="280" w:hRule="atLeast"/>
        </w:trPr>
        <w:tc>
          <w:tcPr>
            <w:tcW w:w="794" w:type="dxa"/>
            <w:tcBorders>
              <w:top w:val="single" w:sz="4" w:space="0" w:color="000000"/>
              <w:left w:val="single" w:sz="12" w:space="0" w:color="000000"/>
              <w:bottom w:val="single" w:sz="4" w:space="0" w:color="000000"/>
              <w:right w:val="single" w:sz="4" w:space="0" w:color="000000"/>
            </w:tcBorders>
            <w:vAlign w:val="bottom"/>
          </w:tcPr>
          <w:p>
            <w:pPr>
              <w:pStyle w:val="Normal"/>
              <w:numPr>
                <w:ilvl w:val="0"/>
                <w:numId w:val="2"/>
              </w:numPr>
              <w:snapToGrid w:val="false"/>
              <w:ind w:hanging="420" w:left="420" w:right="0"/>
              <w:jc w:val="center"/>
              <w:rPr>
                <w:rFonts w:ascii="仿宋_GB2312" w:hAnsi="仿宋_GB2312" w:eastAsia="仿宋_GB2312" w:cs="华文仿宋"/>
                <w:b/>
                <w:color w:val="000000"/>
                <w:lang w:val="en-US" w:eastAsia="zh-CN"/>
              </w:rPr>
            </w:pPr>
            <w:r>
              <w:rPr>
                <w:rFonts w:eastAsia="仿宋_GB2312" w:cs="华文仿宋" w:ascii="仿宋_GB2312" w:hAnsi="仿宋_GB2312"/>
                <w:b/>
                <w:color w:val="000000"/>
                <w:lang w:val="en-US" w:eastAsia="zh-CN"/>
              </w:rPr>
            </w:r>
          </w:p>
        </w:tc>
        <w:tc>
          <w:tcPr>
            <w:tcW w:w="567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设备费</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bottom"/>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r>
      <w:tr>
        <w:trPr>
          <w:trHeight w:val="280" w:hRule="atLeast"/>
        </w:trPr>
        <w:tc>
          <w:tcPr>
            <w:tcW w:w="794" w:type="dxa"/>
            <w:tcBorders>
              <w:top w:val="single" w:sz="4" w:space="0" w:color="000000"/>
              <w:left w:val="single" w:sz="12" w:space="0" w:color="000000"/>
              <w:bottom w:val="single" w:sz="4" w:space="0" w:color="000000"/>
              <w:right w:val="single" w:sz="4" w:space="0" w:color="000000"/>
            </w:tcBorders>
            <w:vAlign w:val="bottom"/>
          </w:tcPr>
          <w:p>
            <w:pPr>
              <w:pStyle w:val="Normal"/>
              <w:numPr>
                <w:ilvl w:val="0"/>
                <w:numId w:val="2"/>
              </w:numPr>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567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业务费</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bottom"/>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1.78</w:t>
            </w:r>
          </w:p>
        </w:tc>
      </w:tr>
      <w:tr>
        <w:trPr>
          <w:trHeight w:val="280" w:hRule="atLeast"/>
        </w:trPr>
        <w:tc>
          <w:tcPr>
            <w:tcW w:w="794" w:type="dxa"/>
            <w:tcBorders>
              <w:top w:val="single" w:sz="4" w:space="0" w:color="000000"/>
              <w:left w:val="single" w:sz="12" w:space="0" w:color="000000"/>
              <w:bottom w:val="single" w:sz="4" w:space="0" w:color="000000"/>
              <w:right w:val="single" w:sz="4" w:space="0" w:color="000000"/>
            </w:tcBorders>
            <w:vAlign w:val="center"/>
          </w:tcPr>
          <w:p>
            <w:pPr>
              <w:pStyle w:val="Normal"/>
              <w:numPr>
                <w:ilvl w:val="0"/>
                <w:numId w:val="2"/>
              </w:numPr>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场地使用费</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r>
      <w:tr>
        <w:trPr>
          <w:trHeight w:val="280" w:hRule="atLeast"/>
        </w:trPr>
        <w:tc>
          <w:tcPr>
            <w:tcW w:w="794" w:type="dxa"/>
            <w:tcBorders>
              <w:top w:val="single" w:sz="4" w:space="0" w:color="000000"/>
              <w:left w:val="single" w:sz="12" w:space="0" w:color="000000"/>
              <w:bottom w:val="single" w:sz="4" w:space="0" w:color="000000"/>
              <w:right w:val="single" w:sz="4" w:space="0" w:color="000000"/>
            </w:tcBorders>
            <w:vAlign w:val="center"/>
          </w:tcPr>
          <w:p>
            <w:pPr>
              <w:pStyle w:val="Normal"/>
              <w:numPr>
                <w:ilvl w:val="0"/>
                <w:numId w:val="2"/>
              </w:numPr>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专家咨询费</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r>
      <w:tr>
        <w:trPr>
          <w:trHeight w:val="280" w:hRule="atLeast"/>
        </w:trPr>
        <w:tc>
          <w:tcPr>
            <w:tcW w:w="794" w:type="dxa"/>
            <w:tcBorders>
              <w:top w:val="single" w:sz="4" w:space="0" w:color="000000"/>
              <w:left w:val="single" w:sz="12" w:space="0" w:color="000000"/>
              <w:bottom w:val="single" w:sz="4" w:space="0" w:color="000000"/>
              <w:right w:val="single" w:sz="4" w:space="0" w:color="000000"/>
            </w:tcBorders>
            <w:vAlign w:val="bottom"/>
          </w:tcPr>
          <w:p>
            <w:pPr>
              <w:pStyle w:val="Normal"/>
              <w:numPr>
                <w:ilvl w:val="0"/>
                <w:numId w:val="2"/>
              </w:numPr>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间接费</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r>
      <w:tr>
        <w:trPr>
          <w:trHeight w:val="280" w:hRule="atLeast"/>
        </w:trPr>
        <w:tc>
          <w:tcPr>
            <w:tcW w:w="794" w:type="dxa"/>
            <w:tcBorders>
              <w:top w:val="single" w:sz="4" w:space="0" w:color="000000"/>
              <w:left w:val="single" w:sz="12" w:space="0" w:color="000000"/>
              <w:bottom w:val="single" w:sz="4" w:space="0" w:color="000000"/>
              <w:right w:val="single" w:sz="4" w:space="0" w:color="000000"/>
            </w:tcBorders>
            <w:vAlign w:val="bottom"/>
          </w:tcPr>
          <w:p>
            <w:pPr>
              <w:pStyle w:val="Normal"/>
              <w:numPr>
                <w:ilvl w:val="0"/>
                <w:numId w:val="2"/>
              </w:numPr>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外委支出</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r>
      <w:tr>
        <w:trPr>
          <w:trHeight w:val="280" w:hRule="atLeast"/>
        </w:trPr>
        <w:tc>
          <w:tcPr>
            <w:tcW w:w="794" w:type="dxa"/>
            <w:tcBorders>
              <w:top w:val="single" w:sz="4" w:space="0" w:color="000000"/>
              <w:left w:val="single" w:sz="12" w:space="0" w:color="000000"/>
              <w:bottom w:val="single" w:sz="4" w:space="0" w:color="000000"/>
              <w:right w:val="single" w:sz="4" w:space="0" w:color="000000"/>
            </w:tcBorders>
            <w:vAlign w:val="bottom"/>
          </w:tcPr>
          <w:p>
            <w:pPr>
              <w:pStyle w:val="Normal"/>
              <w:numPr>
                <w:ilvl w:val="0"/>
                <w:numId w:val="2"/>
              </w:numPr>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仿宋_GB2312" w:hAnsi="仿宋_GB2312" w:eastAsia="仿宋_GB2312" w:cs="华文仿宋"/>
                <w:color w:val="000000"/>
              </w:rPr>
            </w:pPr>
            <w:r>
              <w:rPr>
                <w:rFonts w:ascii="仿宋_GB2312" w:hAnsi="仿宋_GB2312" w:cs="华文仿宋" w:eastAsia="仿宋_GB2312"/>
                <w:color w:val="000000"/>
              </w:rPr>
              <w:t>税金</w:t>
            </w:r>
          </w:p>
        </w:tc>
        <w:tc>
          <w:tcPr>
            <w:tcW w:w="2552" w:type="dxa"/>
            <w:tcBorders>
              <w:top w:val="single" w:sz="4" w:space="0" w:color="000000"/>
              <w:left w:val="single" w:sz="4" w:space="0" w:color="000000"/>
              <w:bottom w:val="single" w:sz="4"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3.708</w:t>
            </w:r>
          </w:p>
        </w:tc>
      </w:tr>
      <w:tr>
        <w:trPr>
          <w:trHeight w:val="484" w:hRule="atLeast"/>
        </w:trPr>
        <w:tc>
          <w:tcPr>
            <w:tcW w:w="6464" w:type="dxa"/>
            <w:gridSpan w:val="2"/>
            <w:tcBorders>
              <w:top w:val="single" w:sz="4" w:space="0" w:color="000000"/>
              <w:left w:val="single" w:sz="12" w:space="0" w:color="000000"/>
              <w:bottom w:val="single" w:sz="12" w:space="0" w:color="000000"/>
              <w:right w:val="single" w:sz="4" w:space="0" w:color="000000"/>
            </w:tcBorders>
            <w:vAlign w:val="center"/>
          </w:tcPr>
          <w:p>
            <w:pPr>
              <w:pStyle w:val="Normal"/>
              <w:snapToGrid w:val="false"/>
              <w:ind w:firstLine="422" w:right="0"/>
              <w:rPr>
                <w:rFonts w:ascii="仿宋_GB2312" w:hAnsi="仿宋_GB2312" w:eastAsia="仿宋_GB2312" w:cs="仿宋_GB2312"/>
                <w:b/>
                <w:color w:val="000000"/>
              </w:rPr>
            </w:pPr>
            <w:r>
              <w:rPr>
                <w:rFonts w:ascii="仿宋_GB2312" w:hAnsi="仿宋_GB2312" w:cs="仿宋_GB2312" w:eastAsia="仿宋_GB2312"/>
                <w:b/>
                <w:color w:val="000000"/>
              </w:rPr>
              <w:t>合计</w:t>
            </w:r>
          </w:p>
        </w:tc>
        <w:tc>
          <w:tcPr>
            <w:tcW w:w="2552" w:type="dxa"/>
            <w:tcBorders>
              <w:top w:val="single" w:sz="4" w:space="0" w:color="000000"/>
              <w:left w:val="single" w:sz="4" w:space="0" w:color="000000"/>
              <w:bottom w:val="single" w:sz="12" w:space="0" w:color="000000"/>
              <w:right w:val="single" w:sz="12" w:space="0" w:color="000000"/>
            </w:tcBorders>
            <w:tcMar>
              <w:left w:w="170" w:type="dxa"/>
            </w:tcMar>
            <w:vAlign w:val="center"/>
          </w:tcPr>
          <w:p>
            <w:pPr>
              <w:pStyle w:val="Normal"/>
              <w:snapToGrid w:val="false"/>
              <w:ind w:firstLine="422" w:right="0"/>
              <w:jc w:val="center"/>
              <w:rPr>
                <w:rFonts w:ascii="仿宋_GB2312" w:hAnsi="仿宋_GB2312" w:eastAsia="仿宋_GB2312" w:cs="仿宋_GB2312"/>
                <w:b/>
                <w:color w:val="000000"/>
                <w:lang w:val="en-US" w:eastAsia="zh-CN"/>
              </w:rPr>
            </w:pPr>
            <w:r>
              <w:rPr>
                <w:rFonts w:eastAsia="仿宋_GB2312" w:cs="仿宋_GB2312" w:ascii="仿宋_GB2312" w:hAnsi="仿宋_GB2312"/>
                <w:b/>
                <w:color w:val="000000"/>
                <w:lang w:val="en-US" w:eastAsia="zh-CN"/>
              </w:rPr>
              <w:t>61.80</w:t>
            </w:r>
          </w:p>
        </w:tc>
      </w:tr>
    </w:tbl>
    <w:p>
      <w:pPr>
        <w:pStyle w:val="Normal"/>
        <w:jc w:val="center"/>
        <w:rPr>
          <w:rFonts w:ascii="仿宋_GB2312" w:hAnsi="仿宋_GB2312" w:eastAsia="仿宋_GB2312" w:cs="仿宋_GB2312"/>
          <w:b/>
          <w:color w:val="000000"/>
        </w:rPr>
      </w:pPr>
      <w:r>
        <w:rPr>
          <w:rFonts w:eastAsia="仿宋_GB2312" w:cs="仿宋_GB2312" w:ascii="仿宋_GB2312" w:hAnsi="仿宋_GB2312"/>
          <w:b/>
          <w:color w:val="000000"/>
        </w:rPr>
      </w:r>
    </w:p>
    <w:p>
      <w:pPr>
        <w:pStyle w:val="Normal"/>
        <w:jc w:val="center"/>
        <w:rPr>
          <w:rFonts w:ascii="仿宋_GB2312" w:hAnsi="仿宋_GB2312" w:eastAsia="仿宋_GB2312" w:cs="仿宋_GB2312"/>
          <w:b/>
          <w:color w:val="000000"/>
        </w:rPr>
      </w:pPr>
      <w:r>
        <w:rPr>
          <w:rFonts w:ascii="仿宋_GB2312" w:hAnsi="仿宋_GB2312" w:cs="仿宋_GB2312" w:eastAsia="仿宋_GB2312"/>
          <w:b/>
          <w:color w:val="000000"/>
        </w:rPr>
        <w:t>分项报价表</w:t>
      </w:r>
    </w:p>
    <w:tbl>
      <w:tblPr>
        <w:tblW w:w="9044" w:type="dxa"/>
        <w:jc w:val="left"/>
        <w:tblInd w:w="0" w:type="dxa"/>
        <w:tblLayout w:type="fixed"/>
        <w:tblCellMar>
          <w:top w:w="0" w:type="dxa"/>
          <w:left w:w="85" w:type="dxa"/>
          <w:bottom w:w="0" w:type="dxa"/>
          <w:right w:w="85" w:type="dxa"/>
        </w:tblCellMar>
      </w:tblPr>
      <w:tblGrid>
        <w:gridCol w:w="767"/>
        <w:gridCol w:w="1465"/>
        <w:gridCol w:w="2416"/>
        <w:gridCol w:w="1091"/>
        <w:gridCol w:w="726"/>
        <w:gridCol w:w="1113"/>
        <w:gridCol w:w="1466"/>
      </w:tblGrid>
      <w:tr>
        <w:trPr>
          <w:trHeight w:val="493" w:hRule="atLeast"/>
        </w:trPr>
        <w:tc>
          <w:tcPr>
            <w:tcW w:w="767" w:type="dxa"/>
            <w:tcBorders>
              <w:top w:val="single" w:sz="12" w:space="0" w:color="000000"/>
              <w:left w:val="single" w:sz="12" w:space="0" w:color="000000"/>
              <w:bottom w:val="single" w:sz="8" w:space="0" w:color="000000"/>
              <w:right w:val="single" w:sz="8" w:space="0" w:color="000000"/>
            </w:tcBorders>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序号</w:t>
            </w:r>
          </w:p>
        </w:tc>
        <w:tc>
          <w:tcPr>
            <w:tcW w:w="1465" w:type="dxa"/>
            <w:tcBorders>
              <w:top w:val="single" w:sz="12" w:space="0" w:color="000000"/>
              <w:left w:val="single" w:sz="8" w:space="0" w:color="000000"/>
              <w:bottom w:val="single" w:sz="8" w:space="0" w:color="000000"/>
              <w:right w:val="single" w:sz="8" w:space="0" w:color="000000"/>
            </w:tcBorders>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项  目</w:t>
            </w:r>
          </w:p>
        </w:tc>
        <w:tc>
          <w:tcPr>
            <w:tcW w:w="2416" w:type="dxa"/>
            <w:tcBorders>
              <w:top w:val="single" w:sz="12"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分项</w:t>
            </w:r>
          </w:p>
        </w:tc>
        <w:tc>
          <w:tcPr>
            <w:tcW w:w="1091" w:type="dxa"/>
            <w:tcBorders>
              <w:top w:val="single" w:sz="12"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单价</w:t>
            </w:r>
          </w:p>
        </w:tc>
        <w:tc>
          <w:tcPr>
            <w:tcW w:w="726" w:type="dxa"/>
            <w:tcBorders>
              <w:top w:val="single" w:sz="12"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数量</w:t>
            </w:r>
          </w:p>
        </w:tc>
        <w:tc>
          <w:tcPr>
            <w:tcW w:w="1113" w:type="dxa"/>
            <w:tcBorders>
              <w:top w:val="single" w:sz="12"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合价（万元）</w:t>
            </w:r>
          </w:p>
        </w:tc>
        <w:tc>
          <w:tcPr>
            <w:tcW w:w="1466" w:type="dxa"/>
            <w:tcBorders>
              <w:top w:val="single" w:sz="12" w:space="0" w:color="000000"/>
              <w:left w:val="single" w:sz="8" w:space="0" w:color="000000"/>
              <w:bottom w:val="single" w:sz="8"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仿宋_GB2312"/>
                <w:b/>
                <w:color w:val="000000"/>
              </w:rPr>
            </w:pPr>
            <w:r>
              <w:rPr>
                <w:rFonts w:ascii="仿宋_GB2312" w:hAnsi="仿宋_GB2312" w:cs="仿宋_GB2312" w:eastAsia="仿宋_GB2312"/>
                <w:b/>
                <w:color w:val="000000"/>
              </w:rPr>
              <w:t>计算说明</w:t>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b/>
                <w:color w:val="000000"/>
              </w:rPr>
            </w:pPr>
            <w:r>
              <w:rPr>
                <w:rFonts w:eastAsia="仿宋_GB2312" w:cs="华文仿宋" w:ascii="仿宋_GB2312" w:hAnsi="仿宋_GB2312"/>
                <w:b/>
                <w:color w:val="000000"/>
              </w:rPr>
            </w:r>
          </w:p>
        </w:tc>
        <w:tc>
          <w:tcPr>
            <w:tcW w:w="146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华文仿宋" w:ascii="仿宋_GB2312" w:hAnsi="仿宋_GB2312"/>
                <w:color w:val="000000"/>
              </w:rPr>
              <w:t>1.</w:t>
            </w:r>
            <w:r>
              <w:rPr>
                <w:rFonts w:ascii="仿宋_GB2312" w:hAnsi="仿宋_GB2312" w:cs="华文仿宋" w:eastAsia="仿宋_GB2312"/>
                <w:color w:val="000000"/>
              </w:rPr>
              <w:t>人工费</w:t>
            </w:r>
          </w:p>
        </w:tc>
        <w:tc>
          <w:tcPr>
            <w:tcW w:w="241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t>(1)</w:t>
            </w:r>
            <w:r>
              <w:rPr>
                <w:rFonts w:ascii="仿宋_GB2312" w:hAnsi="仿宋_GB2312" w:cs="华文仿宋" w:eastAsia="仿宋_GB2312"/>
                <w:color w:val="000000"/>
              </w:rPr>
              <w:t>专职研究人员费</w:t>
            </w:r>
          </w:p>
        </w:tc>
        <w:tc>
          <w:tcPr>
            <w:tcW w:w="1091"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rPr>
              <w:t>2</w:t>
            </w:r>
            <w:r>
              <w:rPr>
                <w:rFonts w:ascii="仿宋_GB2312" w:hAnsi="仿宋_GB2312" w:cs="华文仿宋" w:eastAsia="仿宋_GB2312"/>
                <w:color w:val="000000"/>
              </w:rPr>
              <w:t>万元</w:t>
            </w:r>
            <w:r>
              <w:rPr>
                <w:rFonts w:eastAsia="仿宋_GB2312" w:cs="华文仿宋" w:ascii="仿宋_GB2312" w:hAnsi="仿宋_GB2312"/>
                <w:color w:val="000000"/>
              </w:rPr>
              <w:t>/</w:t>
            </w:r>
            <w:r>
              <w:rPr>
                <w:rFonts w:ascii="仿宋_GB2312" w:hAnsi="仿宋_GB2312" w:cs="华文仿宋" w:eastAsia="仿宋_GB2312"/>
                <w:color w:val="000000"/>
              </w:rPr>
              <w:t>人月</w:t>
            </w:r>
            <w:r>
              <w:rPr>
                <w:rFonts w:ascii="仿宋_GB2312" w:hAnsi="仿宋_GB2312" w:cs="华文仿宋" w:eastAsia="仿宋_GB2312"/>
                <w:color w:val="000000"/>
                <w:lang w:eastAsia="zh-CN"/>
              </w:rPr>
              <w:t>、</w:t>
            </w:r>
            <w:r>
              <w:rPr>
                <w:rFonts w:eastAsia="仿宋_GB2312" w:cs="华文仿宋" w:ascii="仿宋_GB2312" w:hAnsi="仿宋_GB2312"/>
                <w:color w:val="000000"/>
                <w:lang w:val="en-US" w:eastAsia="zh-CN"/>
              </w:rPr>
              <w:t>1.5</w:t>
            </w:r>
            <w:r>
              <w:rPr>
                <w:rFonts w:ascii="仿宋_GB2312" w:hAnsi="仿宋_GB2312" w:cs="华文仿宋" w:eastAsia="仿宋_GB2312"/>
                <w:color w:val="000000"/>
              </w:rPr>
              <w:t>万元</w:t>
            </w:r>
            <w:r>
              <w:rPr>
                <w:rFonts w:eastAsia="仿宋_GB2312" w:cs="华文仿宋" w:ascii="仿宋_GB2312" w:hAnsi="仿宋_GB2312"/>
                <w:color w:val="000000"/>
              </w:rPr>
              <w:t>/</w:t>
            </w:r>
            <w:r>
              <w:rPr>
                <w:rFonts w:ascii="仿宋_GB2312" w:hAnsi="仿宋_GB2312" w:cs="华文仿宋" w:eastAsia="仿宋_GB2312"/>
                <w:color w:val="000000"/>
              </w:rPr>
              <w:t>人月</w:t>
            </w:r>
          </w:p>
        </w:tc>
        <w:tc>
          <w:tcPr>
            <w:tcW w:w="72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left"/>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30</w:t>
            </w:r>
          </w:p>
        </w:tc>
        <w:tc>
          <w:tcPr>
            <w:tcW w:w="1113"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57</w:t>
            </w:r>
          </w:p>
        </w:tc>
        <w:tc>
          <w:tcPr>
            <w:tcW w:w="1466" w:type="dxa"/>
            <w:tcBorders>
              <w:top w:val="single" w:sz="8" w:space="0" w:color="000000"/>
              <w:left w:val="single" w:sz="8" w:space="0" w:color="000000"/>
              <w:bottom w:val="single" w:sz="8" w:space="0" w:color="000000"/>
              <w:right w:val="single" w:sz="12" w:space="0" w:color="000000"/>
            </w:tcBorders>
            <w:tcMar>
              <w:left w:w="170" w:type="dxa"/>
            </w:tcMar>
            <w:vAlign w:val="center"/>
          </w:tcPr>
          <w:p>
            <w:pPr>
              <w:pStyle w:val="Normal"/>
              <w:snapToGrid w:val="false"/>
              <w:spacing w:lineRule="atLeast" w:line="24"/>
              <w:jc w:val="center"/>
              <w:rPr>
                <w:rFonts w:ascii="仿宋_GB2312" w:hAnsi="仿宋_GB2312" w:eastAsia="仿宋_GB2312" w:cs="Times New Roman"/>
                <w:color w:val="000000"/>
              </w:rPr>
            </w:pPr>
            <w:r>
              <w:rPr>
                <w:rFonts w:ascii="仿宋_GB2312" w:hAnsi="仿宋_GB2312" w:cs="Times New Roman" w:eastAsia="仿宋_GB2312"/>
                <w:color w:val="000000"/>
              </w:rPr>
              <w:t>高级研究人员，标准为</w:t>
            </w:r>
            <w:r>
              <w:rPr>
                <w:rFonts w:eastAsia="仿宋_GB2312" w:cs="Times New Roman" w:ascii="仿宋_GB2312" w:hAnsi="仿宋_GB2312"/>
                <w:color w:val="000000"/>
              </w:rPr>
              <w:t>2</w:t>
            </w:r>
            <w:r>
              <w:rPr>
                <w:rFonts w:ascii="仿宋_GB2312" w:hAnsi="仿宋_GB2312" w:cs="Times New Roman" w:eastAsia="仿宋_GB2312"/>
                <w:color w:val="000000"/>
              </w:rPr>
              <w:t>万元</w:t>
            </w:r>
            <w:r>
              <w:rPr>
                <w:rFonts w:eastAsia="仿宋_GB2312" w:cs="Times New Roman" w:ascii="仿宋_GB2312" w:hAnsi="仿宋_GB2312"/>
                <w:color w:val="000000"/>
              </w:rPr>
              <w:t>/</w:t>
            </w:r>
            <w:r>
              <w:rPr>
                <w:rFonts w:ascii="仿宋_GB2312" w:hAnsi="仿宋_GB2312" w:cs="Times New Roman" w:eastAsia="仿宋_GB2312"/>
                <w:color w:val="000000"/>
              </w:rPr>
              <w:t>人月；其他研究人员，标准为</w:t>
            </w:r>
            <w:r>
              <w:rPr>
                <w:rFonts w:eastAsia="仿宋_GB2312" w:cs="Times New Roman" w:ascii="仿宋_GB2312" w:hAnsi="仿宋_GB2312"/>
                <w:color w:val="000000"/>
              </w:rPr>
              <w:t>1.5</w:t>
            </w:r>
            <w:r>
              <w:rPr>
                <w:rFonts w:ascii="仿宋_GB2312" w:hAnsi="仿宋_GB2312" w:cs="Times New Roman" w:eastAsia="仿宋_GB2312"/>
                <w:color w:val="000000"/>
              </w:rPr>
              <w:t>万元</w:t>
            </w:r>
            <w:r>
              <w:rPr>
                <w:rFonts w:eastAsia="仿宋_GB2312" w:cs="Times New Roman" w:ascii="仿宋_GB2312" w:hAnsi="仿宋_GB2312"/>
                <w:color w:val="000000"/>
              </w:rPr>
              <w:t>/</w:t>
            </w:r>
            <w:r>
              <w:rPr>
                <w:rFonts w:ascii="仿宋_GB2312" w:hAnsi="仿宋_GB2312" w:cs="Times New Roman" w:eastAsia="仿宋_GB2312"/>
                <w:color w:val="000000"/>
              </w:rPr>
              <w:t>人月。</w:t>
            </w:r>
          </w:p>
          <w:p>
            <w:pPr>
              <w:pStyle w:val="Style15"/>
              <w:ind w:hanging="0" w:right="0"/>
              <w:rPr>
                <w:rFonts w:eastAsia="宋体"/>
                <w:lang w:val="en-US" w:eastAsia="zh-CN"/>
              </w:rPr>
            </w:pPr>
            <w:r>
              <w:rPr>
                <w:lang w:val="en-US" w:eastAsia="zh-CN"/>
              </w:rPr>
              <w:t>24*2+6*1.5</w:t>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46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仿宋_GB2312" w:ascii="仿宋_GB2312" w:hAnsi="仿宋_GB2312"/>
                <w:b/>
                <w:color w:val="000000"/>
              </w:rPr>
            </w:r>
          </w:p>
        </w:tc>
        <w:tc>
          <w:tcPr>
            <w:tcW w:w="241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t>(2)</w:t>
            </w:r>
            <w:r>
              <w:rPr>
                <w:rFonts w:ascii="仿宋_GB2312" w:hAnsi="仿宋_GB2312" w:cs="华文仿宋" w:eastAsia="仿宋_GB2312"/>
                <w:color w:val="000000"/>
              </w:rPr>
              <w:t>临时性研究人员费</w:t>
            </w:r>
          </w:p>
        </w:tc>
        <w:tc>
          <w:tcPr>
            <w:tcW w:w="1091"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72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113"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466" w:type="dxa"/>
            <w:tcBorders>
              <w:top w:val="single" w:sz="8" w:space="0" w:color="000000"/>
              <w:left w:val="single" w:sz="8" w:space="0" w:color="000000"/>
              <w:bottom w:val="single" w:sz="8"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华文仿宋" w:ascii="仿宋_GB2312" w:hAnsi="仿宋_GB2312"/>
                <w:color w:val="000000"/>
              </w:rPr>
              <w:t>2.</w:t>
            </w:r>
            <w:r>
              <w:rPr>
                <w:rFonts w:ascii="仿宋_GB2312" w:hAnsi="仿宋_GB2312" w:cs="华文仿宋" w:eastAsia="仿宋_GB2312"/>
                <w:color w:val="000000"/>
              </w:rPr>
              <w:t>设备费</w:t>
            </w:r>
          </w:p>
        </w:tc>
        <w:tc>
          <w:tcPr>
            <w:tcW w:w="241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(1)</w:t>
            </w:r>
            <w:r>
              <w:rPr>
                <w:rFonts w:ascii="仿宋_GB2312" w:hAnsi="仿宋_GB2312" w:cs="华文仿宋" w:eastAsia="仿宋_GB2312"/>
                <w:color w:val="000000"/>
              </w:rPr>
              <w:t>仪器、设备试制费</w:t>
            </w:r>
          </w:p>
        </w:tc>
        <w:tc>
          <w:tcPr>
            <w:tcW w:w="1091"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仿宋_GB2312" w:ascii="仿宋_GB2312" w:hAnsi="仿宋_GB2312"/>
                <w:b/>
                <w:color w:val="000000"/>
              </w:rPr>
            </w:r>
          </w:p>
        </w:tc>
        <w:tc>
          <w:tcPr>
            <w:tcW w:w="241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(2)</w:t>
            </w:r>
            <w:r>
              <w:rPr>
                <w:rFonts w:ascii="仿宋_GB2312" w:hAnsi="仿宋_GB2312" w:cs="华文仿宋" w:eastAsia="仿宋_GB2312"/>
                <w:color w:val="000000"/>
              </w:rPr>
              <w:t>现有仪器设备使用费</w:t>
            </w:r>
          </w:p>
        </w:tc>
        <w:tc>
          <w:tcPr>
            <w:tcW w:w="1091"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70"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restar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华文仿宋" w:ascii="仿宋_GB2312" w:hAnsi="仿宋_GB2312"/>
                <w:color w:val="000000"/>
              </w:rPr>
              <w:t>3.</w:t>
            </w:r>
            <w:r>
              <w:rPr>
                <w:rFonts w:ascii="仿宋_GB2312" w:hAnsi="仿宋_GB2312" w:cs="华文仿宋" w:eastAsia="仿宋_GB2312"/>
                <w:color w:val="000000"/>
              </w:rPr>
              <w:t>业务费</w:t>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(1)</w:t>
            </w:r>
            <w:r>
              <w:rPr>
                <w:rFonts w:ascii="仿宋_GB2312" w:hAnsi="仿宋_GB2312" w:cs="华文仿宋" w:eastAsia="仿宋_GB2312"/>
                <w:color w:val="000000"/>
              </w:rPr>
              <w:t>材料费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仿宋_GB2312" w:ascii="仿宋_GB2312" w:hAnsi="仿宋_GB2312"/>
                <w:b/>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(2)</w:t>
            </w:r>
            <w:r>
              <w:rPr>
                <w:rFonts w:ascii="仿宋_GB2312" w:hAnsi="仿宋_GB2312" w:cs="华文仿宋" w:eastAsia="仿宋_GB2312"/>
                <w:color w:val="000000"/>
              </w:rPr>
              <w:t>资料费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仿宋_GB2312" w:ascii="仿宋_GB2312" w:hAnsi="仿宋_GB2312"/>
                <w:b/>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(3)</w:t>
            </w:r>
            <w:r>
              <w:rPr>
                <w:rFonts w:ascii="仿宋_GB2312" w:hAnsi="仿宋_GB2312" w:cs="华文仿宋" w:eastAsia="仿宋_GB2312"/>
                <w:color w:val="000000"/>
              </w:rPr>
              <w:t>印刷出版费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lang w:val="en-US" w:eastAsia="zh-CN"/>
              </w:rPr>
              <w:t>1.092</w:t>
            </w:r>
            <w:r>
              <w:rPr>
                <w:rFonts w:ascii="仿宋_GB2312" w:hAnsi="仿宋_GB2312" w:cs="华文仿宋" w:eastAsia="仿宋_GB2312"/>
                <w:color w:val="000000"/>
                <w:lang w:val="en-US" w:eastAsia="zh-CN"/>
              </w:rPr>
              <w:t>万元</w:t>
            </w:r>
            <w:r>
              <w:rPr>
                <w:rFonts w:eastAsia="仿宋_GB2312" w:cs="华文仿宋" w:ascii="仿宋_GB2312" w:hAnsi="仿宋_GB2312"/>
                <w:color w:val="000000"/>
                <w:lang w:val="en-US" w:eastAsia="zh-CN"/>
              </w:rPr>
              <w:t>/</w:t>
            </w:r>
            <w:r>
              <w:rPr>
                <w:rFonts w:ascii="仿宋_GB2312" w:hAnsi="仿宋_GB2312" w:cs="华文仿宋" w:eastAsia="仿宋_GB2312"/>
                <w:color w:val="000000"/>
                <w:lang w:val="en-US" w:eastAsia="zh-CN"/>
              </w:rPr>
              <w:t>项</w:t>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1</w:t>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1.092</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ascii="仿宋_GB2312" w:hAnsi="仿宋_GB2312" w:cs="华文仿宋" w:eastAsia="仿宋_GB2312"/>
                <w:color w:val="000000"/>
                <w:lang w:val="en-US" w:eastAsia="zh-CN"/>
              </w:rPr>
              <w:t>论文发表，报告出版</w:t>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仿宋_GB2312" w:ascii="仿宋_GB2312" w:hAnsi="仿宋_GB2312"/>
                <w:b/>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(4)</w:t>
            </w:r>
            <w:r>
              <w:rPr>
                <w:rFonts w:ascii="仿宋_GB2312" w:hAnsi="仿宋_GB2312" w:cs="华文仿宋" w:eastAsia="仿宋_GB2312"/>
                <w:color w:val="000000"/>
              </w:rPr>
              <w:t>专利与知识产权事务费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仿宋_GB2312" w:ascii="仿宋_GB2312" w:hAnsi="仿宋_GB2312"/>
                <w:b/>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(5)</w:t>
            </w:r>
            <w:r>
              <w:rPr>
                <w:rFonts w:ascii="仿宋_GB2312" w:hAnsi="仿宋_GB2312" w:cs="华文仿宋" w:eastAsia="仿宋_GB2312"/>
                <w:color w:val="000000"/>
              </w:rPr>
              <w:t>会议费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lang w:eastAsia="zh-CN"/>
              </w:rPr>
            </w:pPr>
            <w:r>
              <w:rPr>
                <w:rFonts w:eastAsia="仿宋_GB2312" w:cs="华文仿宋" w:ascii="仿宋_GB2312" w:hAnsi="仿宋_GB2312"/>
                <w:color w:val="000000"/>
                <w:lang w:eastAsia="zh-CN"/>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仿宋_GB2312"/>
                <w:b/>
                <w:color w:val="000000"/>
              </w:rPr>
            </w:pPr>
            <w:r>
              <w:rPr>
                <w:rFonts w:eastAsia="仿宋_GB2312" w:cs="仿宋_GB2312" w:ascii="仿宋_GB2312" w:hAnsi="仿宋_GB2312"/>
                <w:b/>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(6)</w:t>
            </w:r>
            <w:r>
              <w:rPr>
                <w:rFonts w:ascii="仿宋_GB2312" w:hAnsi="仿宋_GB2312" w:cs="华文仿宋" w:eastAsia="仿宋_GB2312"/>
                <w:color w:val="000000"/>
              </w:rPr>
              <w:t>差旅费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(7)</w:t>
            </w:r>
            <w:r>
              <w:rPr>
                <w:rFonts w:ascii="仿宋_GB2312" w:hAnsi="仿宋_GB2312" w:cs="华文仿宋" w:eastAsia="仿宋_GB2312"/>
                <w:color w:val="000000"/>
              </w:rPr>
              <w:t>培训费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restar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4.</w:t>
            </w:r>
            <w:r>
              <w:rPr>
                <w:rFonts w:ascii="仿宋_GB2312" w:hAnsi="仿宋_GB2312" w:cs="华文仿宋" w:eastAsia="仿宋_GB2312"/>
                <w:color w:val="000000"/>
              </w:rPr>
              <w:t>场地使用费</w:t>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(1)</w:t>
            </w:r>
            <w:r>
              <w:rPr>
                <w:rFonts w:ascii="仿宋_GB2312" w:hAnsi="仿宋_GB2312" w:cs="华文仿宋" w:eastAsia="仿宋_GB2312"/>
                <w:color w:val="000000"/>
              </w:rPr>
              <w:t>场地物业费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(2)</w:t>
            </w:r>
            <w:r>
              <w:rPr>
                <w:rFonts w:ascii="仿宋_GB2312" w:hAnsi="仿宋_GB2312" w:cs="华文仿宋" w:eastAsia="仿宋_GB2312"/>
                <w:color w:val="000000"/>
              </w:rPr>
              <w:t>场地使用租金</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5.</w:t>
            </w:r>
            <w:r>
              <w:rPr>
                <w:rFonts w:ascii="仿宋_GB2312" w:hAnsi="仿宋_GB2312" w:cs="华文仿宋" w:eastAsia="仿宋_GB2312"/>
                <w:color w:val="000000"/>
              </w:rPr>
              <w:t>专家咨询费</w:t>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ascii="仿宋_GB2312" w:hAnsi="仿宋_GB2312" w:cs="华文仿宋" w:eastAsia="仿宋_GB2312"/>
                <w:color w:val="000000"/>
              </w:rPr>
              <w:t>专家咨询费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kern w:val="2"/>
                <w:sz w:val="21"/>
                <w:highlight w:val="none"/>
                <w:lang w:val="en-US" w:eastAsia="zh-CN" w:bidi="ar-SA"/>
              </w:rPr>
            </w:pPr>
            <w:r>
              <w:rPr>
                <w:rFonts w:eastAsia="仿宋_GB2312" w:cs="华文仿宋" w:ascii="仿宋_GB2312" w:hAnsi="仿宋_GB2312"/>
                <w:color w:val="000000"/>
                <w:kern w:val="2"/>
                <w:sz w:val="21"/>
                <w:lang w:val="en-US" w:eastAsia="zh-CN" w:bidi="ar-SA"/>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kern w:val="2"/>
                <w:sz w:val="21"/>
                <w:highlight w:val="none"/>
                <w:lang w:val="en-US" w:eastAsia="zh-CN" w:bidi="ar-SA"/>
              </w:rPr>
            </w:pPr>
            <w:r>
              <w:rPr>
                <w:rFonts w:eastAsia="仿宋_GB2312" w:cs="华文仿宋" w:ascii="仿宋_GB2312" w:hAnsi="仿宋_GB2312"/>
                <w:color w:val="000000"/>
                <w:kern w:val="2"/>
                <w:sz w:val="21"/>
                <w:lang w:val="en-US" w:eastAsia="zh-CN" w:bidi="ar-SA"/>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kern w:val="2"/>
                <w:sz w:val="21"/>
                <w:highlight w:val="none"/>
                <w:lang w:val="en-US" w:eastAsia="zh-CN" w:bidi="ar-SA"/>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kern w:val="2"/>
                <w:sz w:val="21"/>
                <w:highlight w:val="none"/>
                <w:lang w:val="en-US" w:eastAsia="zh-CN" w:bidi="ar-SA"/>
              </w:rPr>
            </w:pPr>
            <w:r>
              <w:rPr>
                <w:rFonts w:eastAsia="仿宋_GB2312" w:cs="华文仿宋" w:ascii="仿宋_GB2312" w:hAnsi="仿宋_GB2312"/>
                <w:color w:val="000000"/>
                <w:kern w:val="2"/>
                <w:sz w:val="21"/>
                <w:lang w:val="en-US" w:eastAsia="zh-CN" w:bidi="ar-SA"/>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kern w:val="2"/>
                <w:sz w:val="21"/>
                <w:highlight w:val="none"/>
                <w:lang w:val="en-US" w:eastAsia="zh-CN" w:bidi="ar-SA"/>
              </w:rPr>
            </w:pPr>
            <w:r>
              <w:rPr>
                <w:rFonts w:eastAsia="仿宋_GB2312" w:cs="华文仿宋" w:ascii="仿宋_GB2312" w:hAnsi="仿宋_GB2312"/>
                <w:color w:val="000000"/>
                <w:kern w:val="2"/>
                <w:sz w:val="21"/>
                <w:lang w:val="en-US" w:eastAsia="zh-CN" w:bidi="ar-SA"/>
              </w:rPr>
            </w:r>
          </w:p>
        </w:tc>
        <w:tc>
          <w:tcPr>
            <w:tcW w:w="146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6.</w:t>
            </w:r>
            <w:r>
              <w:rPr>
                <w:rFonts w:ascii="仿宋_GB2312" w:hAnsi="仿宋_GB2312" w:cs="华文仿宋" w:eastAsia="仿宋_GB2312"/>
                <w:color w:val="000000"/>
              </w:rPr>
              <w:t>间接费</w:t>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ascii="仿宋_GB2312" w:hAnsi="仿宋_GB2312" w:cs="华文仿宋" w:eastAsia="仿宋_GB2312"/>
                <w:color w:val="000000"/>
              </w:rPr>
              <w:t>间接费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restar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7.</w:t>
            </w:r>
            <w:r>
              <w:rPr>
                <w:rFonts w:ascii="仿宋_GB2312" w:hAnsi="仿宋_GB2312" w:cs="华文仿宋" w:eastAsia="仿宋_GB2312"/>
                <w:color w:val="000000"/>
              </w:rPr>
              <w:t>外委支出</w:t>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(1)</w:t>
            </w:r>
            <w:r>
              <w:rPr>
                <w:rFonts w:ascii="仿宋_GB2312" w:hAnsi="仿宋_GB2312" w:cs="华文仿宋" w:eastAsia="仿宋_GB2312"/>
                <w:color w:val="000000"/>
              </w:rPr>
              <w:t>外委研究支出</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(2)</w:t>
            </w:r>
            <w:r>
              <w:rPr>
                <w:rFonts w:ascii="仿宋_GB2312" w:hAnsi="仿宋_GB2312" w:cs="华文仿宋" w:eastAsia="仿宋_GB2312"/>
                <w:color w:val="000000"/>
              </w:rPr>
              <w:t>仪器设备租赁费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280" w:hRule="atLeast"/>
        </w:trPr>
        <w:tc>
          <w:tcPr>
            <w:tcW w:w="767" w:type="dxa"/>
            <w:tcBorders>
              <w:top w:val="single" w:sz="8" w:space="0" w:color="000000"/>
              <w:left w:val="single" w:sz="12" w:space="0" w:color="000000"/>
              <w:bottom w:val="single" w:sz="8"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vMerge w:val="continue"/>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241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(3)</w:t>
            </w:r>
            <w:r>
              <w:rPr>
                <w:rFonts w:ascii="仿宋_GB2312" w:hAnsi="仿宋_GB2312" w:cs="华文仿宋" w:eastAsia="仿宋_GB2312"/>
                <w:color w:val="000000"/>
              </w:rPr>
              <w:t>外协测试试验与加工费</w:t>
            </w:r>
          </w:p>
        </w:tc>
        <w:tc>
          <w:tcPr>
            <w:tcW w:w="1091"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0</w:t>
            </w:r>
          </w:p>
        </w:tc>
        <w:tc>
          <w:tcPr>
            <w:tcW w:w="1466" w:type="dxa"/>
            <w:tcBorders>
              <w:top w:val="single" w:sz="8" w:space="0" w:color="000000"/>
              <w:left w:val="single" w:sz="8" w:space="0" w:color="000000"/>
              <w:bottom w:val="single" w:sz="8"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r>
          </w:p>
        </w:tc>
      </w:tr>
      <w:tr>
        <w:trPr>
          <w:trHeight w:val="382" w:hRule="atLeast"/>
        </w:trPr>
        <w:tc>
          <w:tcPr>
            <w:tcW w:w="767" w:type="dxa"/>
            <w:tcBorders>
              <w:top w:val="single" w:sz="8" w:space="0" w:color="000000"/>
              <w:left w:val="single" w:sz="12" w:space="0" w:color="000000"/>
              <w:bottom w:val="double" w:sz="4" w:space="0" w:color="000000"/>
              <w:right w:val="single" w:sz="8" w:space="0" w:color="000000"/>
            </w:tcBorders>
            <w:tcMar>
              <w:left w:w="108" w:type="dxa"/>
              <w:right w:w="108" w:type="dxa"/>
            </w:tcMar>
            <w:vAlign w:val="center"/>
          </w:tcPr>
          <w:p>
            <w:pPr>
              <w:pStyle w:val="Normal"/>
              <w:numPr>
                <w:ilvl w:val="0"/>
                <w:numId w:val="3"/>
              </w:numPr>
              <w:tabs>
                <w:tab w:val="clear" w:pos="420"/>
                <w:tab w:val="left" w:pos="0" w:leader="none"/>
              </w:tabs>
              <w:snapToGrid w:val="false"/>
              <w:ind w:hanging="420" w:left="420" w:right="0"/>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465" w:type="dxa"/>
            <w:tcBorders>
              <w:top w:val="single" w:sz="8" w:space="0" w:color="000000"/>
              <w:left w:val="single" w:sz="8" w:space="0" w:color="000000"/>
              <w:bottom w:val="double" w:sz="4"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eastAsia="仿宋_GB2312" w:cs="华文仿宋" w:ascii="仿宋_GB2312" w:hAnsi="仿宋_GB2312"/>
                <w:color w:val="000000"/>
              </w:rPr>
              <w:t>8.</w:t>
            </w:r>
            <w:r>
              <w:rPr>
                <w:rFonts w:ascii="仿宋_GB2312" w:hAnsi="仿宋_GB2312" w:cs="华文仿宋" w:eastAsia="仿宋_GB2312"/>
                <w:color w:val="000000"/>
              </w:rPr>
              <w:t>税金</w:t>
            </w:r>
          </w:p>
        </w:tc>
        <w:tc>
          <w:tcPr>
            <w:tcW w:w="2416" w:type="dxa"/>
            <w:tcBorders>
              <w:top w:val="single" w:sz="8" w:space="0" w:color="000000"/>
              <w:left w:val="single" w:sz="8" w:space="0" w:color="000000"/>
              <w:bottom w:val="double" w:sz="4" w:space="0" w:color="000000"/>
              <w:right w:val="single" w:sz="8" w:space="0" w:color="000000"/>
            </w:tcBorders>
            <w:tcMar>
              <w:left w:w="108" w:type="dxa"/>
              <w:right w:w="108" w:type="dxa"/>
            </w:tcMar>
            <w:vAlign w:val="center"/>
          </w:tcPr>
          <w:p>
            <w:pPr>
              <w:pStyle w:val="Normal"/>
              <w:snapToGrid w:val="false"/>
              <w:spacing w:lineRule="atLeast" w:line="24"/>
              <w:jc w:val="center"/>
              <w:rPr>
                <w:rFonts w:ascii="仿宋_GB2312" w:hAnsi="仿宋_GB2312" w:eastAsia="仿宋_GB2312" w:cs="华文仿宋"/>
                <w:color w:val="000000"/>
              </w:rPr>
            </w:pPr>
            <w:r>
              <w:rPr>
                <w:rFonts w:ascii="仿宋_GB2312" w:hAnsi="仿宋_GB2312" w:cs="华文仿宋" w:eastAsia="仿宋_GB2312"/>
                <w:color w:val="000000"/>
              </w:rPr>
              <w:t>税金</w:t>
            </w:r>
          </w:p>
        </w:tc>
        <w:tc>
          <w:tcPr>
            <w:tcW w:w="1091" w:type="dxa"/>
            <w:tcBorders>
              <w:top w:val="single" w:sz="8" w:space="0" w:color="000000"/>
              <w:left w:val="single" w:sz="8" w:space="0" w:color="000000"/>
              <w:bottom w:val="double" w:sz="4"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726" w:type="dxa"/>
            <w:tcBorders>
              <w:top w:val="single" w:sz="8" w:space="0" w:color="000000"/>
              <w:left w:val="single" w:sz="8" w:space="0" w:color="000000"/>
              <w:bottom w:val="double" w:sz="4"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rPr>
            </w:pPr>
            <w:r>
              <w:rPr>
                <w:rFonts w:eastAsia="仿宋_GB2312" w:cs="华文仿宋" w:ascii="仿宋_GB2312" w:hAnsi="仿宋_GB2312"/>
                <w:color w:val="000000"/>
              </w:rPr>
            </w:r>
          </w:p>
        </w:tc>
        <w:tc>
          <w:tcPr>
            <w:tcW w:w="1113" w:type="dxa"/>
            <w:tcBorders>
              <w:top w:val="single" w:sz="8" w:space="0" w:color="000000"/>
              <w:left w:val="single" w:sz="8" w:space="0" w:color="000000"/>
              <w:bottom w:val="double" w:sz="4" w:space="0" w:color="000000"/>
              <w:right w:val="single" w:sz="8"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eastAsia="仿宋_GB2312" w:cs="华文仿宋" w:ascii="仿宋_GB2312" w:hAnsi="仿宋_GB2312"/>
                <w:color w:val="000000"/>
                <w:lang w:val="en-US" w:eastAsia="zh-CN"/>
              </w:rPr>
              <w:t>3.708</w:t>
            </w:r>
          </w:p>
        </w:tc>
        <w:tc>
          <w:tcPr>
            <w:tcW w:w="1466" w:type="dxa"/>
            <w:tcBorders>
              <w:top w:val="single" w:sz="8" w:space="0" w:color="000000"/>
              <w:left w:val="single" w:sz="8" w:space="0" w:color="000000"/>
              <w:bottom w:val="double" w:sz="4" w:space="0" w:color="000000"/>
              <w:right w:val="single" w:sz="12" w:space="0" w:color="000000"/>
            </w:tcBorders>
            <w:tcMar>
              <w:left w:w="108" w:type="dxa"/>
              <w:right w:w="108" w:type="dxa"/>
            </w:tcMar>
            <w:vAlign w:val="center"/>
          </w:tcPr>
          <w:p>
            <w:pPr>
              <w:pStyle w:val="Normal"/>
              <w:snapToGrid w:val="false"/>
              <w:jc w:val="center"/>
              <w:rPr>
                <w:rFonts w:ascii="仿宋_GB2312" w:hAnsi="仿宋_GB2312" w:eastAsia="仿宋_GB2312" w:cs="华文仿宋"/>
                <w:color w:val="000000"/>
                <w:lang w:val="en-US" w:eastAsia="zh-CN"/>
              </w:rPr>
            </w:pPr>
            <w:r>
              <w:rPr>
                <w:rFonts w:ascii="仿宋_GB2312" w:hAnsi="仿宋_GB2312" w:cs="Times New Roman" w:eastAsia="仿宋_GB2312"/>
                <w:color w:val="000000"/>
                <w:lang w:val="en-US" w:eastAsia="zh-CN"/>
              </w:rPr>
              <w:t>税率</w:t>
            </w:r>
            <w:r>
              <w:rPr>
                <w:rFonts w:eastAsia="仿宋_GB2312" w:cs="Times New Roman" w:ascii="仿宋_GB2312" w:hAnsi="仿宋_GB2312"/>
                <w:color w:val="000000"/>
                <w:lang w:val="en-US" w:eastAsia="zh-CN"/>
              </w:rPr>
              <w:t>6%</w:t>
            </w:r>
          </w:p>
        </w:tc>
      </w:tr>
    </w:tbl>
    <w:p>
      <w:pPr>
        <w:pStyle w:val="Style18"/>
        <w:tabs>
          <w:tab w:val="clear" w:pos="420"/>
          <w:tab w:val="left" w:pos="6090" w:leader="none"/>
        </w:tabs>
        <w:spacing w:lineRule="exact" w:line="580"/>
        <w:rPr>
          <w:rFonts w:ascii="黑体" w:hAnsi="黑体" w:eastAsia="黑体" w:cs="黑体"/>
          <w:color w:val="000000"/>
          <w:sz w:val="32"/>
        </w:rPr>
      </w:pPr>
      <w:r>
        <w:rPr>
          <w:rFonts w:eastAsia="黑体" w:cs="黑体" w:ascii="黑体" w:hAnsi="黑体"/>
          <w:color w:val="000000"/>
          <w:sz w:val="32"/>
        </w:rPr>
      </w:r>
      <w:r>
        <w:br w:type="page"/>
      </w:r>
    </w:p>
    <w:p>
      <w:pPr>
        <w:pStyle w:val="Normal"/>
        <w:widowControl/>
        <w:rPr>
          <w:rFonts w:ascii="仿宋_GB2312" w:hAnsi="仿宋_GB2312" w:eastAsia="仿宋_GB2312"/>
          <w:b/>
          <w:color w:val="000000"/>
          <w:kern w:val="0"/>
          <w:sz w:val="30"/>
        </w:rPr>
      </w:pPr>
      <w:r>
        <w:rPr>
          <w:rFonts w:ascii="仿宋_GB2312" w:hAnsi="仿宋_GB2312" w:eastAsia="仿宋_GB2312"/>
          <w:b/>
          <w:color w:val="000000"/>
          <w:kern w:val="0"/>
          <w:sz w:val="30"/>
        </w:rPr>
        <w:t>六、项目开题审查意见</w:t>
      </w:r>
    </w:p>
    <w:tbl>
      <w:tblPr>
        <w:tblW w:w="8471" w:type="dxa"/>
        <w:jc w:val="center"/>
        <w:tblInd w:w="0" w:type="dxa"/>
        <w:tblLayout w:type="fixed"/>
        <w:tblCellMar>
          <w:top w:w="0" w:type="dxa"/>
          <w:left w:w="108" w:type="dxa"/>
          <w:bottom w:w="0" w:type="dxa"/>
          <w:right w:w="108" w:type="dxa"/>
        </w:tblCellMar>
      </w:tblPr>
      <w:tblGrid>
        <w:gridCol w:w="8471"/>
      </w:tblGrid>
      <w:tr>
        <w:trPr>
          <w:trHeight w:val="12765" w:hRule="atLeast"/>
          <w:cantSplit w:val="true"/>
        </w:trPr>
        <w:tc>
          <w:tcPr>
            <w:tcW w:w="8471" w:type="dxa"/>
            <w:tcBorders>
              <w:top w:val="single" w:sz="4" w:space="0" w:color="000000"/>
              <w:left w:val="single" w:sz="12" w:space="0" w:color="000000"/>
              <w:bottom w:val="single" w:sz="12" w:space="0" w:color="000000"/>
              <w:right w:val="single" w:sz="12" w:space="0" w:color="000000"/>
            </w:tcBorders>
          </w:tcPr>
          <w:p>
            <w:pPr>
              <w:pStyle w:val="Normal"/>
              <w:snapToGrid w:val="false"/>
              <w:spacing w:lineRule="atLeast" w:line="24"/>
              <w:rPr>
                <w:rFonts w:ascii="仿宋_GB2312" w:hAnsi="仿宋_GB2312" w:eastAsia="仿宋_GB2312" w:cs="华文仿宋"/>
                <w:color w:val="000000"/>
                <w:sz w:val="24"/>
              </w:rPr>
            </w:pPr>
            <w:r>
              <w:rPr>
                <w:rFonts w:ascii="仿宋_GB2312" w:hAnsi="仿宋_GB2312" w:cs="华文仿宋" w:eastAsia="仿宋_GB2312"/>
                <w:color w:val="000000"/>
                <w:sz w:val="24"/>
              </w:rPr>
              <w:t>（审查咨询团队成员分工、专业方向；研究的预期目标、思路方法、研究重点、研究成果、计划安排、资源保障等情况是否与项目采购谈判中双方约定一致；实施过程中的难点或风险是否有明确的解决方案；项目经费预算各项支出计划是否详细合理。）</w:t>
            </w:r>
          </w:p>
          <w:p>
            <w:pPr>
              <w:pStyle w:val="Normal"/>
              <w:spacing w:lineRule="auto" w:line="360"/>
              <w:ind w:firstLine="480" w:right="0"/>
              <w:rPr>
                <w:rFonts w:eastAsia="仿宋_GB2312"/>
                <w:color w:val="000000"/>
                <w:sz w:val="24"/>
                <w:szCs w:val="24"/>
              </w:rPr>
            </w:pPr>
            <w:r>
              <w:rPr>
                <w:rFonts w:eastAsia="仿宋_GB2312"/>
                <w:color w:val="000000"/>
                <w:sz w:val="24"/>
                <w:szCs w:val="24"/>
              </w:rPr>
              <w:t>1.</w:t>
            </w:r>
            <w:r>
              <w:rPr>
                <w:rFonts w:eastAsia="仿宋_GB2312"/>
                <w:color w:val="000000"/>
                <w:sz w:val="24"/>
                <w:szCs w:val="24"/>
              </w:rPr>
              <w:t>项目研究思路总体评价：</w:t>
            </w:r>
          </w:p>
          <w:p>
            <w:pPr>
              <w:pStyle w:val="Normal"/>
              <w:spacing w:lineRule="auto" w:line="360"/>
              <w:ind w:firstLine="480" w:right="0"/>
              <w:rPr>
                <w:rFonts w:eastAsia="仿宋_GB2312"/>
                <w:color w:val="000000"/>
                <w:sz w:val="24"/>
                <w:szCs w:val="24"/>
              </w:rPr>
            </w:pPr>
            <w:r>
              <w:rPr>
                <w:rFonts w:eastAsia="仿宋_GB2312"/>
                <w:color w:val="000000"/>
                <w:sz w:val="24"/>
                <w:szCs w:val="24"/>
              </w:rPr>
              <w:t>项目研究思路明确，研究路径可行，预期可以按要求完成项目要求。</w:t>
            </w:r>
          </w:p>
          <w:p>
            <w:pPr>
              <w:pStyle w:val="Normal"/>
              <w:spacing w:lineRule="auto" w:line="360"/>
              <w:ind w:firstLine="480" w:right="0"/>
              <w:rPr>
                <w:rFonts w:eastAsia="仿宋_GB2312"/>
                <w:color w:val="000000"/>
                <w:sz w:val="24"/>
                <w:szCs w:val="24"/>
              </w:rPr>
            </w:pPr>
            <w:r>
              <w:rPr>
                <w:rFonts w:eastAsia="仿宋_GB2312"/>
                <w:color w:val="000000"/>
                <w:sz w:val="24"/>
                <w:szCs w:val="24"/>
              </w:rPr>
              <w:t xml:space="preserve">2. </w:t>
            </w:r>
            <w:r>
              <w:rPr>
                <w:rFonts w:eastAsia="仿宋_GB2312"/>
                <w:color w:val="000000"/>
                <w:sz w:val="24"/>
                <w:szCs w:val="24"/>
              </w:rPr>
              <w:t>项目的创新点或难点突破：</w:t>
            </w:r>
          </w:p>
          <w:p>
            <w:pPr>
              <w:pStyle w:val="Normal"/>
              <w:spacing w:lineRule="auto" w:line="360"/>
              <w:ind w:firstLine="480" w:right="0"/>
              <w:rPr>
                <w:rFonts w:eastAsia="仿宋_GB2312"/>
                <w:color w:val="000000"/>
                <w:sz w:val="24"/>
                <w:szCs w:val="24"/>
              </w:rPr>
            </w:pPr>
            <w:r>
              <w:rPr>
                <w:rFonts w:eastAsia="仿宋_GB2312"/>
                <w:color w:val="000000"/>
                <w:sz w:val="24"/>
                <w:szCs w:val="24"/>
              </w:rPr>
              <w:t>本项目创新点及难点突破在于：</w:t>
            </w:r>
          </w:p>
          <w:p>
            <w:pPr>
              <w:pStyle w:val="Normal"/>
              <w:spacing w:lineRule="auto" w:line="360"/>
              <w:ind w:firstLine="480" w:right="0"/>
              <w:rPr>
                <w:rFonts w:eastAsia="仿宋_GB2312"/>
                <w:color w:val="000000"/>
                <w:sz w:val="24"/>
                <w:szCs w:val="24"/>
              </w:rPr>
            </w:pPr>
            <w:r>
              <w:rPr>
                <w:rFonts w:eastAsia="仿宋_GB2312"/>
                <w:color w:val="000000"/>
                <w:sz w:val="24"/>
                <w:szCs w:val="24"/>
                <w:lang w:eastAsia="zh-CN"/>
              </w:rPr>
              <w:t>（</w:t>
            </w:r>
            <w:r>
              <w:rPr>
                <w:rFonts w:eastAsia="仿宋_GB2312"/>
                <w:color w:val="000000"/>
                <w:sz w:val="24"/>
                <w:szCs w:val="24"/>
                <w:lang w:val="en-US" w:eastAsia="zh-CN"/>
              </w:rPr>
              <w:t>1</w:t>
            </w:r>
            <w:r>
              <w:rPr>
                <w:rFonts w:eastAsia="仿宋_GB2312"/>
                <w:color w:val="000000"/>
                <w:sz w:val="24"/>
                <w:szCs w:val="24"/>
                <w:lang w:eastAsia="zh-CN"/>
              </w:rPr>
              <w:t>）</w:t>
            </w:r>
            <w:r>
              <w:rPr>
                <w:rFonts w:eastAsia="仿宋_GB2312"/>
                <w:color w:val="000000"/>
                <w:sz w:val="24"/>
                <w:szCs w:val="24"/>
                <w:lang w:val="en-US" w:eastAsia="zh-CN"/>
              </w:rPr>
              <w:t>从设计视角对工程建设的全过程进行梳理分析</w:t>
            </w:r>
            <w:r>
              <w:rPr>
                <w:rFonts w:eastAsia="仿宋_GB2312"/>
                <w:color w:val="000000"/>
                <w:sz w:val="24"/>
                <w:szCs w:val="24"/>
                <w:lang w:eastAsia="zh-CN"/>
              </w:rPr>
              <w:t>；（</w:t>
            </w:r>
            <w:r>
              <w:rPr>
                <w:rFonts w:eastAsia="仿宋_GB2312"/>
                <w:color w:val="000000"/>
                <w:sz w:val="24"/>
                <w:szCs w:val="24"/>
                <w:lang w:val="en-US" w:eastAsia="zh-CN"/>
              </w:rPr>
              <w:t>2</w:t>
            </w:r>
            <w:r>
              <w:rPr>
                <w:rFonts w:eastAsia="仿宋_GB2312"/>
                <w:color w:val="000000"/>
                <w:sz w:val="24"/>
                <w:szCs w:val="24"/>
                <w:lang w:eastAsia="zh-CN"/>
              </w:rPr>
              <w:t>）</w:t>
            </w:r>
            <w:r>
              <w:rPr>
                <w:rFonts w:eastAsia="仿宋_GB2312"/>
                <w:color w:val="000000"/>
                <w:sz w:val="24"/>
                <w:szCs w:val="24"/>
                <w:lang w:val="en-US" w:eastAsia="zh-CN"/>
              </w:rPr>
              <w:t>深入发掘设计相关因素对项目进度的影响，兼顾考虑非设计因素影响</w:t>
            </w:r>
            <w:r>
              <w:rPr>
                <w:rFonts w:eastAsia="仿宋_GB2312"/>
                <w:color w:val="000000"/>
                <w:sz w:val="24"/>
                <w:szCs w:val="24"/>
                <w:lang w:eastAsia="zh-CN"/>
              </w:rPr>
              <w:t>；（</w:t>
            </w:r>
            <w:r>
              <w:rPr>
                <w:rFonts w:eastAsia="仿宋_GB2312"/>
                <w:color w:val="000000"/>
                <w:sz w:val="24"/>
                <w:szCs w:val="24"/>
                <w:lang w:val="en-US" w:eastAsia="zh-CN"/>
              </w:rPr>
              <w:t>3</w:t>
            </w:r>
            <w:r>
              <w:rPr>
                <w:rFonts w:eastAsia="仿宋_GB2312"/>
                <w:color w:val="000000"/>
                <w:sz w:val="24"/>
                <w:szCs w:val="24"/>
                <w:lang w:eastAsia="zh-CN"/>
              </w:rPr>
              <w:t>）</w:t>
            </w:r>
            <w:r>
              <w:rPr>
                <w:rFonts w:eastAsia="仿宋_GB2312"/>
                <w:color w:val="000000"/>
                <w:sz w:val="24"/>
                <w:szCs w:val="24"/>
                <w:lang w:val="en-US" w:eastAsia="zh-CN"/>
              </w:rPr>
              <w:t>形成提升投资完成率的措施</w:t>
            </w:r>
            <w:r>
              <w:rPr>
                <w:rFonts w:eastAsia="仿宋_GB2312"/>
                <w:color w:val="000000"/>
                <w:sz w:val="24"/>
                <w:szCs w:val="24"/>
              </w:rPr>
              <w:t>。</w:t>
            </w:r>
          </w:p>
          <w:p>
            <w:pPr>
              <w:pStyle w:val="Normal"/>
              <w:spacing w:lineRule="auto" w:line="360"/>
              <w:ind w:firstLine="480" w:right="0"/>
              <w:rPr>
                <w:rFonts w:eastAsia="仿宋_GB2312"/>
                <w:color w:val="000000"/>
                <w:sz w:val="24"/>
                <w:szCs w:val="24"/>
              </w:rPr>
            </w:pPr>
            <w:r>
              <w:rPr>
                <w:rFonts w:eastAsia="仿宋_GB2312"/>
                <w:color w:val="000000"/>
                <w:sz w:val="24"/>
                <w:szCs w:val="24"/>
              </w:rPr>
              <w:t xml:space="preserve">3. </w:t>
            </w:r>
            <w:r>
              <w:rPr>
                <w:rFonts w:eastAsia="仿宋_GB2312"/>
                <w:color w:val="000000"/>
                <w:sz w:val="24"/>
                <w:szCs w:val="24"/>
              </w:rPr>
              <w:t>针对本项目研究的意见或建议：</w:t>
            </w:r>
          </w:p>
          <w:p>
            <w:pPr>
              <w:pStyle w:val="Normal"/>
              <w:spacing w:lineRule="auto" w:line="360"/>
              <w:ind w:firstLine="480" w:right="0"/>
              <w:rPr>
                <w:rFonts w:eastAsia="仿宋_GB2312"/>
                <w:color w:val="000000"/>
                <w:sz w:val="24"/>
                <w:szCs w:val="24"/>
                <w:lang w:eastAsia="zh-CN"/>
              </w:rPr>
            </w:pPr>
            <w:r>
              <w:rPr>
                <w:rFonts w:eastAsia="仿宋_GB2312"/>
                <w:color w:val="000000"/>
                <w:sz w:val="24"/>
                <w:szCs w:val="24"/>
                <w:lang w:eastAsia="zh-CN"/>
              </w:rPr>
              <w:t>（</w:t>
            </w:r>
            <w:r>
              <w:rPr>
                <w:rFonts w:eastAsia="仿宋_GB2312"/>
                <w:color w:val="000000"/>
                <w:sz w:val="24"/>
                <w:szCs w:val="24"/>
                <w:lang w:eastAsia="zh-CN"/>
              </w:rPr>
              <w:t>1</w:t>
            </w:r>
            <w:r>
              <w:rPr>
                <w:rFonts w:eastAsia="仿宋_GB2312"/>
                <w:color w:val="000000"/>
                <w:sz w:val="24"/>
                <w:szCs w:val="24"/>
                <w:lang w:eastAsia="zh-CN"/>
              </w:rPr>
              <w:t>）</w:t>
            </w:r>
            <w:r>
              <w:rPr>
                <w:rFonts w:eastAsia="仿宋_GB2312"/>
                <w:color w:val="000000"/>
                <w:sz w:val="24"/>
                <w:szCs w:val="24"/>
                <w:lang w:val="en-US" w:eastAsia="zh-CN"/>
              </w:rPr>
              <w:t>XXX</w:t>
            </w:r>
            <w:r>
              <w:rPr>
                <w:rFonts w:eastAsia="仿宋_GB2312"/>
                <w:color w:val="000000"/>
                <w:sz w:val="24"/>
                <w:szCs w:val="24"/>
                <w:lang w:eastAsia="zh-CN"/>
              </w:rPr>
              <w:t>；（</w:t>
            </w:r>
            <w:r>
              <w:rPr>
                <w:rFonts w:eastAsia="仿宋_GB2312"/>
                <w:color w:val="000000"/>
                <w:sz w:val="24"/>
                <w:szCs w:val="24"/>
                <w:lang w:eastAsia="zh-CN"/>
              </w:rPr>
              <w:t>2</w:t>
            </w:r>
            <w:r>
              <w:rPr>
                <w:rFonts w:eastAsia="仿宋_GB2312"/>
                <w:color w:val="000000"/>
                <w:sz w:val="24"/>
                <w:szCs w:val="24"/>
                <w:lang w:eastAsia="zh-CN"/>
              </w:rPr>
              <w:t>）</w:t>
            </w:r>
            <w:r>
              <w:rPr>
                <w:rFonts w:eastAsia="仿宋_GB2312"/>
                <w:color w:val="000000"/>
                <w:sz w:val="24"/>
                <w:szCs w:val="24"/>
                <w:lang w:val="en-US" w:eastAsia="zh-CN"/>
              </w:rPr>
              <w:t>XXX</w:t>
            </w:r>
            <w:r>
              <w:rPr>
                <w:rFonts w:eastAsia="仿宋_GB2312"/>
                <w:color w:val="000000"/>
                <w:sz w:val="24"/>
                <w:szCs w:val="24"/>
                <w:lang w:eastAsia="zh-CN"/>
              </w:rPr>
              <w:t>。</w:t>
            </w:r>
          </w:p>
          <w:p>
            <w:pPr>
              <w:pStyle w:val="Normal"/>
              <w:spacing w:lineRule="auto" w:line="360"/>
              <w:ind w:firstLine="480" w:right="0"/>
              <w:rPr>
                <w:rFonts w:eastAsia="仿宋_GB2312"/>
                <w:color w:val="000000"/>
                <w:sz w:val="24"/>
                <w:szCs w:val="24"/>
              </w:rPr>
            </w:pPr>
            <w:r>
              <w:rPr>
                <w:rFonts w:eastAsia="仿宋_GB2312"/>
                <w:color w:val="000000"/>
                <w:sz w:val="24"/>
                <w:szCs w:val="24"/>
              </w:rPr>
              <w:t>经专家组商议决定，同意项目组按照项目开题方案确定的研究思路，并按照评审意见进一步完善后，开展后续研究工作。</w:t>
            </w:r>
          </w:p>
          <w:p>
            <w:pPr>
              <w:pStyle w:val="Normal"/>
              <w:spacing w:lineRule="auto" w:line="360"/>
              <w:ind w:firstLine="480" w:right="0"/>
              <w:rPr>
                <w:rFonts w:eastAsia="仿宋_GB2312"/>
                <w:color w:val="000000"/>
                <w:sz w:val="24"/>
                <w:szCs w:val="24"/>
              </w:rPr>
            </w:pPr>
            <w:r>
              <w:rPr>
                <w:rFonts w:eastAsia="仿宋_GB2312"/>
                <w:color w:val="000000"/>
                <w:sz w:val="24"/>
                <w:szCs w:val="24"/>
              </w:rPr>
            </w:r>
          </w:p>
          <w:p>
            <w:pPr>
              <w:pStyle w:val="Normal"/>
              <w:spacing w:lineRule="auto" w:line="360"/>
              <w:ind w:firstLine="480" w:right="0"/>
              <w:rPr>
                <w:rFonts w:eastAsia="仿宋_GB2312"/>
                <w:color w:val="000000"/>
                <w:sz w:val="24"/>
                <w:szCs w:val="24"/>
              </w:rPr>
            </w:pPr>
            <w:r>
              <w:rPr>
                <w:rFonts w:eastAsia="仿宋_GB2312"/>
                <w:color w:val="000000"/>
                <w:sz w:val="24"/>
                <w:szCs w:val="24"/>
              </w:rPr>
            </w:r>
          </w:p>
          <w:p>
            <w:pPr>
              <w:pStyle w:val="Normal"/>
              <w:spacing w:lineRule="auto" w:line="360"/>
              <w:ind w:firstLine="480" w:right="0"/>
              <w:rPr>
                <w:rFonts w:eastAsia="仿宋_GB2312"/>
                <w:color w:val="000000"/>
                <w:sz w:val="24"/>
                <w:szCs w:val="24"/>
              </w:rPr>
            </w:pPr>
            <w:r>
              <w:rPr>
                <w:rFonts w:eastAsia="仿宋_GB2312"/>
                <w:color w:val="000000"/>
                <w:sz w:val="24"/>
                <w:szCs w:val="24"/>
              </w:rPr>
              <w:t>专家组长签字：</w:t>
            </w:r>
          </w:p>
          <w:p>
            <w:pPr>
              <w:pStyle w:val="Normal"/>
              <w:spacing w:lineRule="auto" w:line="360"/>
              <w:ind w:firstLine="480" w:right="0"/>
              <w:rPr>
                <w:rFonts w:eastAsia="仿宋_GB2312"/>
                <w:color w:val="000000"/>
                <w:sz w:val="24"/>
                <w:szCs w:val="24"/>
              </w:rPr>
            </w:pPr>
            <w:r>
              <w:rPr>
                <w:rFonts w:eastAsia="仿宋_GB2312"/>
                <w:color w:val="000000"/>
                <w:sz w:val="24"/>
                <w:szCs w:val="24"/>
              </w:rPr>
            </w:r>
          </w:p>
          <w:p>
            <w:pPr>
              <w:pStyle w:val="Normal"/>
              <w:spacing w:lineRule="auto" w:line="360"/>
              <w:ind w:firstLine="480" w:right="0"/>
              <w:rPr>
                <w:rFonts w:eastAsia="仿宋_GB2312"/>
                <w:color w:val="000000"/>
                <w:sz w:val="28"/>
              </w:rPr>
            </w:pPr>
            <w:r>
              <w:rPr>
                <w:rFonts w:eastAsia="仿宋_GB2312"/>
                <w:color w:val="000000"/>
                <w:sz w:val="24"/>
                <w:szCs w:val="24"/>
              </w:rPr>
              <w:t>日期：</w:t>
            </w:r>
            <w:r>
              <w:rPr>
                <w:rFonts w:eastAsia="Times New Roman"/>
                <w:color w:val="000000"/>
                <w:sz w:val="24"/>
                <w:szCs w:val="24"/>
              </w:rPr>
              <w:t xml:space="preserve">           </w:t>
            </w:r>
          </w:p>
        </w:tc>
      </w:tr>
    </w:tbl>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宋体">
    <w:charset w:val="86"/>
    <w:family w:val="auto"/>
    <w:pitch w:val="default"/>
  </w:font>
  <w:font w:name="黑体">
    <w:charset w:val="86"/>
    <w:family w:val="auto"/>
    <w:pitch w:val="default"/>
  </w:font>
  <w:font w:name="Liberation Sans">
    <w:altName w:val="Arial"/>
    <w:charset w:val="01"/>
    <w:family w:val="swiss"/>
    <w:pitch w:val="variable"/>
  </w:font>
  <w:font w:name="仿宋_GB2312">
    <w:charset w:val="86"/>
    <w:family w:val="modern"/>
    <w:pitch w:val="default"/>
  </w:font>
  <w:font w:name="Segoe UI">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left"/>
      <w:pPr>
        <w:tabs>
          <w:tab w:val="num" w:pos="0"/>
        </w:tabs>
        <w:ind w:left="0" w:hanging="0"/>
      </w:pPr>
      <w:rPr/>
    </w:lvl>
  </w:abstractNum>
  <w:abstractNum w:abstractNumId="2">
    <w:lvl w:ilvl="0">
      <w:start w:val="1"/>
      <w:numFmt w:val="decimal"/>
      <w:suff w:val="nothing"/>
      <w:lvlText w:val="（%1）"/>
      <w:lvlJc w:val="left"/>
      <w:pPr>
        <w:tabs>
          <w:tab w:val="num" w:pos="0"/>
        </w:tabs>
        <w:ind w:left="0" w:hanging="0"/>
      </w:pPr>
      <w:rPr>
        <w:rFonts w:ascii="Times New Roman" w:hAnsi="Times New Roman"/>
      </w:rPr>
    </w:lvl>
    <w:lvl w:ilvl="1">
      <w:start w:val="1"/>
      <w:numFmt w:val="decimal"/>
      <w:lvlText w:val=""/>
      <w:lvlJc w:val="left"/>
      <w:pPr>
        <w:tabs>
          <w:tab w:val="num" w:pos="0"/>
        </w:tabs>
        <w:ind w:left="0" w:hanging="0"/>
      </w:pPr>
    </w:lvl>
    <w:lvl w:ilvl="2">
      <w:start w:val="1"/>
      <w:numFmt w:val="decimal"/>
      <w:lvlText w:val=""/>
      <w:lvlJc w:val="left"/>
      <w:pPr>
        <w:tabs>
          <w:tab w:val="num" w:pos="0"/>
        </w:tabs>
        <w:ind w:left="0" w:hanging="0"/>
      </w:pPr>
    </w:lvl>
    <w:lvl w:ilvl="3">
      <w:start w:val="1"/>
      <w:numFmt w:val="decimal"/>
      <w:lvlText w:val=""/>
      <w:lvlJc w:val="left"/>
      <w:pPr>
        <w:tabs>
          <w:tab w:val="num" w:pos="0"/>
        </w:tabs>
        <w:ind w:left="0" w:hanging="0"/>
      </w:pPr>
    </w:lvl>
    <w:lvl w:ilvl="4">
      <w:start w:val="1"/>
      <w:numFmt w:val="decimal"/>
      <w:lvlText w:val=""/>
      <w:lvlJc w:val="left"/>
      <w:pPr>
        <w:tabs>
          <w:tab w:val="num" w:pos="0"/>
        </w:tabs>
        <w:ind w:left="0" w:hanging="0"/>
      </w:pPr>
    </w:lvl>
    <w:lvl w:ilvl="5">
      <w:start w:val="1"/>
      <w:numFmt w:val="decimal"/>
      <w:lvlText w:val=""/>
      <w:lvlJc w:val="left"/>
      <w:pPr>
        <w:tabs>
          <w:tab w:val="num" w:pos="0"/>
        </w:tabs>
        <w:ind w:left="0" w:hanging="0"/>
      </w:pPr>
    </w:lvl>
    <w:lvl w:ilvl="6">
      <w:start w:val="1"/>
      <w:numFmt w:val="decimal"/>
      <w:lvlText w:val=""/>
      <w:lvlJc w:val="left"/>
      <w:pPr>
        <w:tabs>
          <w:tab w:val="num" w:pos="0"/>
        </w:tabs>
        <w:ind w:left="0" w:hanging="0"/>
      </w:pPr>
    </w:lvl>
    <w:lvl w:ilvl="7">
      <w:start w:val="1"/>
      <w:numFmt w:val="decimal"/>
      <w:lvlText w:val=""/>
      <w:lvlJc w:val="left"/>
      <w:pPr>
        <w:tabs>
          <w:tab w:val="num" w:pos="0"/>
        </w:tabs>
        <w:ind w:left="0" w:hanging="0"/>
      </w:pPr>
    </w:lvl>
    <w:lvl w:ilvl="8">
      <w:start w:val="1"/>
      <w:numFmt w:val="decimal"/>
      <w:lvlText w:val=""/>
      <w:lvlJc w:val="left"/>
      <w:pPr>
        <w:tabs>
          <w:tab w:val="num" w:pos="0"/>
        </w:tabs>
        <w:ind w:left="0" w:hanging="0"/>
      </w:pPr>
    </w:lvl>
  </w:abstractNum>
  <w:abstractNum w:abstractNumId="3">
    <w:lvl w:ilvl="0">
      <w:start w:val="1"/>
      <w:numFmt w:val="decimal"/>
      <w:lvlText w:val="%1."/>
      <w:lvlJc w:val="left"/>
      <w:pPr>
        <w:tabs>
          <w:tab w:val="num" w:pos="0"/>
        </w:tabs>
        <w:ind w:left="0" w:hanging="0"/>
      </w:pPr>
      <w:rPr>
        <w:rFonts w:ascii="Times New Roman" w:hAnsi="Times New Roman"/>
      </w:rPr>
    </w:lvl>
    <w:lvl w:ilvl="1">
      <w:start w:val="1"/>
      <w:numFmt w:val="decimal"/>
      <w:lvlText w:val="%1.%2."/>
      <w:lvlJc w:val="left"/>
      <w:pPr>
        <w:tabs>
          <w:tab w:val="num" w:pos="0"/>
        </w:tabs>
        <w:ind w:left="425" w:hanging="425"/>
      </w:pPr>
      <w:rPr>
        <w:rFonts w:ascii="Times New Roman" w:hAnsi="Times New Roman"/>
      </w:rPr>
    </w:lvl>
    <w:lvl w:ilvl="2">
      <w:start w:val="1"/>
      <w:numFmt w:val="decimal"/>
      <w:lvlText w:val="%1.%2.%3"/>
      <w:lvlJc w:val="left"/>
      <w:pPr>
        <w:tabs>
          <w:tab w:val="num" w:pos="0"/>
        </w:tabs>
        <w:ind w:left="850" w:hanging="425"/>
      </w:pPr>
      <w:rPr>
        <w:rFonts w:ascii="Times New Roman" w:hAnsi="Times New Roman"/>
      </w:rPr>
    </w:lvl>
    <w:lvl w:ilvl="3">
      <w:start w:val="1"/>
      <w:numFmt w:val="decimal"/>
      <w:lvlText w:val="%1.%2.%3.%4"/>
      <w:lvlJc w:val="left"/>
      <w:pPr>
        <w:tabs>
          <w:tab w:val="num" w:pos="0"/>
        </w:tabs>
        <w:ind w:left="1275" w:hanging="425"/>
      </w:pPr>
      <w:rPr>
        <w:rFonts w:ascii="Times New Roman" w:hAnsi="Times New Roman"/>
      </w:rPr>
    </w:lvl>
    <w:lvl w:ilvl="4">
      <w:start w:val="1"/>
      <w:numFmt w:val="decimal"/>
      <w:lvlText w:val="%1.%2.%3.%4.%5."/>
      <w:lvlJc w:val="left"/>
      <w:pPr>
        <w:tabs>
          <w:tab w:val="num" w:pos="0"/>
        </w:tabs>
        <w:ind w:left="1700" w:hanging="425"/>
      </w:pPr>
      <w:rPr>
        <w:rFonts w:ascii="Times New Roman" w:hAnsi="Times New Roman"/>
      </w:rPr>
    </w:lvl>
    <w:lvl w:ilvl="5">
      <w:start w:val="1"/>
      <w:numFmt w:val="decimal"/>
      <w:lvlText w:val="%1.%2.%3.%4.%5.%6."/>
      <w:lvlJc w:val="left"/>
      <w:pPr>
        <w:tabs>
          <w:tab w:val="num" w:pos="0"/>
        </w:tabs>
        <w:ind w:left="2125" w:hanging="425"/>
      </w:pPr>
      <w:rPr>
        <w:rFonts w:ascii="Times New Roman" w:hAnsi="Times New Roman"/>
      </w:rPr>
    </w:lvl>
    <w:lvl w:ilvl="6">
      <w:start w:val="1"/>
      <w:numFmt w:val="decimal"/>
      <w:lvlText w:val="%1.%2.%3.%4.%5.%6.%7."/>
      <w:lvlJc w:val="left"/>
      <w:pPr>
        <w:tabs>
          <w:tab w:val="num" w:pos="0"/>
        </w:tabs>
        <w:ind w:left="2550" w:hanging="425"/>
      </w:pPr>
      <w:rPr>
        <w:rFonts w:ascii="Times New Roman" w:hAnsi="Times New Roman"/>
      </w:rPr>
    </w:lvl>
    <w:lvl w:ilvl="7">
      <w:start w:val="1"/>
      <w:numFmt w:val="decimal"/>
      <w:lvlText w:val="%1.%2.%3.%4.%5.%6.%7.%8."/>
      <w:lvlJc w:val="left"/>
      <w:pPr>
        <w:tabs>
          <w:tab w:val="num" w:pos="0"/>
        </w:tabs>
        <w:ind w:left="2975" w:hanging="425"/>
      </w:pPr>
      <w:rPr>
        <w:rFonts w:ascii="Times New Roman" w:hAnsi="Times New Roman"/>
      </w:rPr>
    </w:lvl>
    <w:lvl w:ilvl="8">
      <w:start w:val="1"/>
      <w:numFmt w:val="decimal"/>
      <w:lvlText w:val="%1.%2.%3.%4.%5.%6.%7.%8.%9."/>
      <w:lvlJc w:val="left"/>
      <w:pPr>
        <w:tabs>
          <w:tab w:val="num" w:pos="0"/>
        </w:tabs>
        <w:ind w:left="3400" w:hanging="425"/>
      </w:pPr>
      <w:rPr>
        <w:rFonts w:ascii="Times New Roman" w:hAnsi="Times New Roman"/>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1"/>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0"/>
      <w:lang w:val="en-US" w:eastAsia="zh-CN" w:bidi="ar-SA"/>
    </w:rPr>
  </w:style>
  <w:style w:type="character" w:styleId="WW8Num1z0">
    <w:name w:val="WW8Num1z0"/>
    <w:qFormat/>
    <w:rPr/>
  </w:style>
  <w:style w:type="character" w:styleId="WW8Num2z0">
    <w:name w:val="WW8Num2z0"/>
    <w:qFormat/>
    <w:rPr>
      <w:rFonts w:ascii="Times New Roman" w:hAnsi="Times New Roman"/>
    </w:rPr>
  </w:style>
  <w:style w:type="character" w:styleId="WW8Num3z0">
    <w:name w:val="WW8Num3z0"/>
    <w:qFormat/>
    <w:rPr>
      <w:rFonts w:ascii="Times New Roman" w:hAnsi="Times New Roman"/>
    </w:rPr>
  </w:style>
  <w:style w:type="character" w:styleId="Style14">
    <w:name w:val="默认段落字体"/>
    <w:qFormat/>
    <w:rPr/>
  </w:style>
  <w:style w:type="character" w:styleId="Char">
    <w:name w:val="文档结构图 Char"/>
    <w:basedOn w:val="Style14"/>
    <w:qFormat/>
    <w:rPr>
      <w:rFonts w:ascii="宋体" w:hAnsi="宋体" w:eastAsia="宋体" w:cs="Times New Roman"/>
      <w:sz w:val="18"/>
      <w:szCs w:val="18"/>
    </w:rPr>
  </w:style>
  <w:style w:type="character" w:styleId="Char1">
    <w:name w:val="正文文本 Char"/>
    <w:basedOn w:val="Style14"/>
    <w:qFormat/>
    <w:rPr>
      <w:rFonts w:ascii="黑体" w:hAnsi="黑体" w:eastAsia="PMingLiU;PMingLiU-ExtB" w:cs="Times New Roman"/>
      <w:sz w:val="24"/>
      <w:lang w:eastAsia="en-US"/>
    </w:rPr>
  </w:style>
  <w:style w:type="character" w:styleId="Char2">
    <w:name w:val="纯文本 Char"/>
    <w:basedOn w:val="Style14"/>
    <w:qFormat/>
    <w:rPr>
      <w:rFonts w:ascii="宋体" w:hAnsi="宋体" w:cs="Courier New"/>
    </w:rPr>
  </w:style>
  <w:style w:type="character" w:styleId="Char3">
    <w:name w:val="页脚 Char"/>
    <w:basedOn w:val="Style14"/>
    <w:qFormat/>
    <w:rPr>
      <w:rFonts w:ascii="Times New Roman" w:hAnsi="Times New Roman" w:eastAsia="宋体" w:cs="Times New Roman"/>
      <w:sz w:val="18"/>
      <w:szCs w:val="18"/>
    </w:rPr>
  </w:style>
  <w:style w:type="character" w:styleId="Char4">
    <w:name w:val="页眉 Char"/>
    <w:basedOn w:val="Style14"/>
    <w:qFormat/>
    <w:rPr>
      <w:rFonts w:ascii="Times New Roman" w:hAnsi="Times New Roman" w:eastAsia="宋体" w:cs="Times New Roman"/>
      <w:sz w:val="18"/>
      <w:szCs w:val="18"/>
    </w:rPr>
  </w:style>
  <w:style w:type="character" w:styleId="Char11">
    <w:name w:val="纯文本 Char1"/>
    <w:basedOn w:val="Style14"/>
    <w:qFormat/>
    <w:rPr>
      <w:rFonts w:ascii="宋体" w:hAnsi="宋体" w:cs="Courier New"/>
      <w:kern w:val="2"/>
      <w:sz w:val="21"/>
      <w:szCs w:val="21"/>
    </w:rPr>
  </w:style>
  <w:style w:type="character" w:styleId="Char12">
    <w:name w:val="正文文本 Char1"/>
    <w:basedOn w:val="Style14"/>
    <w:qFormat/>
    <w:rPr>
      <w:rFonts w:ascii="Times New Roman" w:hAnsi="Times New Roman" w:eastAsia="宋体" w:cs="Times New Roman"/>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firstLine="200" w:left="0" w:right="0"/>
      <w:jc w:val="left"/>
    </w:pPr>
    <w:rPr>
      <w:rFonts w:ascii="黑体" w:hAnsi="黑体" w:eastAsia="PMingLiU;PMingLiU-ExtB" w:cs="黑体"/>
      <w:sz w:val="24"/>
      <w:szCs w:val="22"/>
      <w:lang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5">
    <w:name w:val="正文缩进"/>
    <w:basedOn w:val="Normal"/>
    <w:next w:val="Normal"/>
    <w:qFormat/>
    <w:pPr>
      <w:ind w:firstLine="420" w:left="0" w:right="0"/>
    </w:pPr>
    <w:rPr/>
  </w:style>
  <w:style w:type="paragraph" w:styleId="Style16">
    <w:name w:val="文档结构图"/>
    <w:basedOn w:val="Normal"/>
    <w:qFormat/>
    <w:pPr/>
    <w:rPr>
      <w:rFonts w:ascii="宋体" w:hAnsi="宋体"/>
      <w:sz w:val="18"/>
      <w:szCs w:val="18"/>
    </w:rPr>
  </w:style>
  <w:style w:type="paragraph" w:styleId="Style17">
    <w:name w:val="批注文字"/>
    <w:basedOn w:val="Normal"/>
    <w:qFormat/>
    <w:pPr>
      <w:jc w:val="left"/>
    </w:pPr>
    <w:rPr/>
  </w:style>
  <w:style w:type="paragraph" w:styleId="Style18">
    <w:name w:val="纯文本"/>
    <w:basedOn w:val="Normal"/>
    <w:qFormat/>
    <w:pPr/>
    <w:rPr>
      <w:rFonts w:ascii="宋体" w:hAnsi="宋体" w:cs="Courier New"/>
      <w:kern w:val="0"/>
      <w:sz w:val="20"/>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rPr>
      <w:sz w:val="24"/>
    </w:rPr>
  </w:style>
  <w:style w:type="paragraph" w:styleId="p0">
    <w:name w:val="p0"/>
    <w:basedOn w:val="Normal"/>
    <w:qFormat/>
    <w:pPr>
      <w:widowContro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2018-04-20T16:21:00Z</dcterms:created>
  <dc:creator>微软用户</dc:creator>
  <dc:description/>
  <dc:language>en-US</dc:language>
  <cp:lastModifiedBy>白日梦想家</cp:lastModifiedBy>
  <cp:lastPrinted>2026-05-28T17:19:00Z</cp:lastPrinted>
  <dcterms:modified xsi:type="dcterms:W3CDTF">2026-06-03T16:51:56Z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AF3505DA33134432AA04068BBFE2CCC8_13</vt:lpwstr>
  </property>
  <property fmtid="{D5CDD505-2E9C-101B-9397-08002B2CF9AE}" pid="3" name="KSOProductBuildVer">
    <vt:lpwstr>2052-12.1.0.26375</vt:lpwstr>
  </property>
  <property fmtid="{D5CDD505-2E9C-101B-9397-08002B2CF9AE}" pid="4" name="KSOTemplateDocerSaveRecord">
    <vt:lpwstr>eyJoZGlkIjoiN2VjZGI4ZDlkNzg3OWNiNGE1Yzk4NTM0NGQyNDg4MWUiLCJ1c2VySWQiOiIyMzM5MTEwMTkifQ==</vt:lpwstr>
  </property>
</Properties>
</file>