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  <w:jc w:val="center"/>
      </w:pPr>
      <w:r>
        <w:rPr>
          <w:rFonts w:ascii="Arial" w:hAnsi="Arial" w:eastAsia="宋体" w:cs="Arial"/>
          <w:b/>
          <w:bCs/>
          <w:color w:val="17365D"/>
          <w:sz w:val="32"/>
          <w:szCs w:val="32"/>
        </w:rPr>
        <w:t xml:space="preserve">110 kV 县区正式推荐矩阵</w:t>
      </w:r>
    </w:p>
    <w:p>
      <w:pPr>
        <w:pStyle w:val="Normal"/>
        <w:spacing w:after="100"/>
        <w:jc w:val="center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8 片区｜2021 年共同基准｜2022—2025 年决策期｜2025 年价格口径</w:t>
      </w:r>
    </w:p>
    <w:p>
      <w:pPr>
        <w:pStyle w:val="Normal"/>
        <w:spacing w:after="150"/>
        <w:jc w:val="left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说明：110 kV 为正式推荐矩阵；Word 为人工审查层，精确查值以同目录 CSV/Markdown 为准。</w:t>
      </w:r>
    </w:p>
    <w:tbl>
      <w:tblPr>
        <w:tblW w:w="0" w:type="auto"/>
        <w:tblLayout w:type="fixed"/>
        <w:tblBorders>
          <w:top w:val="single" w:sz="4" w:color="B4C7E7"/>
          <w:left w:val="single" w:sz="4" w:color="B4C7E7"/>
          <w:bottom w:val="single" w:sz="4" w:color="B4C7E7"/>
          <w:right w:val="single" w:sz="4" w:color="B4C7E7"/>
          <w:insideH w:val="single" w:sz="4" w:color="D9E2F3"/>
          <w:insideV w:val="single" w:sz="4" w:color="D9E2F3"/>
        </w:tblBorders>
      </w:tblPr>
      <w:tblGrid>
        <w:gridCol w:w="3100"/>
        <w:gridCol w:w="1547"/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cantSplit/>
          <w:tblHeader/>
        </w:trPr>
        <w:tc>
          <w:tcPr>
            <w:tcW w:w="3100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片区01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片区02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片区03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片区04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片区05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片区06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片区07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片区08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口径与推荐结论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资产范围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证据等级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A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推荐容载比区间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2.27–2.36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2.23–2.23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2.97–2.97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2.17–2.17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2.04–2.07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推荐容载比中心值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未形成唯一中心值（给区间）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未形成唯一中心值（给区间）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未形成唯一中心值（给区间）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未形成唯一中心值（给区间）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未形成唯一中心值（给区间）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措施触发约束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无缺口触发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反向承载缺口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正向容量缺口、反向承载缺口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推荐措施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新建第三台主变、储能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新建第三台主变、储能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新建第三台主变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推荐区间依据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推荐区间有效样本数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推荐区间形成方法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弹性扫描前沿近优带（Rcap=1.5~3.0 步长0.1，最低成本5%内）；措施翻转，仅给区间∩cos_phi敏感性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弹性扫描前沿近优带（Rcap=1.5~3.0 步长0.1，最低成本5%内）；措施翻转，仅给区间∩cos_phi敏感性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弹性扫描前沿近优带（Rcap=1.5~3.0 步长0.1，最低成本5%内）；措施翻转，仅给区间∩cos_phi敏感性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弹性扫描前沿近优带（Rcap=1.5~3.0 步长0.1，最低成本5%内）；措施翻转，仅给区间∩cos_phi敏感性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弹性扫描前沿近优带（Rcap=1.5~3.0 步长0.1，最低成本5%内）；措施翻转，仅给区间∩cos_phi敏感性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未形成推荐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2025 年容载比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年容载比｜2021—2025 实际（事实对照）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2.617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3.088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3.301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2.237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2.308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2.694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年容载比｜不限制容载比优化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2.360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2.235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2.973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2.172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2.069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年容载比｜控制容载比不超过 2.0 优化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1.663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1.697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1.978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1.582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1.907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未提供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累计年化成本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累计年化成本｜2021—2025 实际（事实对照）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累计年化成本｜不限制容载比优化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188.18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604.70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433.54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1,745.53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121.74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累计年化成本｜控制容载比不超过 2.0 优化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188.18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604.70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433.54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1,745.53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121.74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严格约束增量成本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跨口径不可比（严格路径起点为容载比2.0归一约定状态，见manifest path_comparison_note）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设备与负荷口径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公用变容量（MVA）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1,425.00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966.50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2,094.00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2,139.50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3,701.00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1,839.00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1,877.00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1,979.50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正向最大净负荷（MW）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544.55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313.03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634.28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956.45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1,528.82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759.56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813.38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734.91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反向峰值（MW）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397.229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缺口与设备数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正向容量缺口（MW）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60.96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2.76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1.22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32.44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反向承载缺口（MW）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2.92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5.07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19.67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17.48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1.97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39.03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</w:t>
            </w:r>
          </w:p>
        </w:tc>
      </w:tr>
    </w:tbl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注：正式容载比只使用同电压等级公用变容量除以该路径、该年度同步正向最大净负荷；反向峰值和反向承载力单列。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注：推荐区间来自不限制容载比成本最小可行结果及已验证敏感性结果；“未识别”不等于 0，“不可行”不等于缺失。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注：数据映射、异常值、历史范围、成本闭合和跨年光伏快照见“实验/研究/分析/v3真实数据问题补充说明_供甲方汇报.md”。</w:t>
      </w:r>
    </w:p>
    <w:sectPr>
      <w:footerReference w:type="default" r:id="rIdFooter"/>
      <w:pgSz w:w="16838" w:h="11906" w:orient="landscape"/>
      <w:pgMar w:top="709" w:right="680" w:bottom="709" w:left="680"/>
      <w:cols w:num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 w:cs="Arial"/>
        <w:color w:val="808080"/>
        <w:sz w:val="14"/>
        <w:szCs w:val="14"/>
      </w:rPr>
      <w:t xml:space="preserve">v3 真实数据｜Word 人工审查层｜精确查值以同目录 CSV 为准｜第 </w:t>
    </w: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18"/>
        <w:szCs w:val="18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qFormat/>
    <w:rPr>
      <w:rFonts w:ascii="Arial" w:hAnsi="Arial" w:eastAsia="黑体"/>
      <w:b/>
      <w:color w:val="17365D"/>
      <w:sz w:val="32"/>
    </w:rPr>
  </w:style>
  <w:style w:type="table" w:styleId="TableGrid">
    <w:name w:val="Table Grid"/>
    <w:basedOn w:val="Normal"/>
    <w:tblPr>
      <w:tblBorders>
        <w:top w:val="single" w:sz="4" w:color="B4C7E7"/>
        <w:left w:val="single" w:sz="4" w:color="B4C7E7"/>
        <w:bottom w:val="single" w:sz="4" w:color="B4C7E7"/>
        <w:right w:val="single" w:sz="4" w:color="B4C7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</Relationships>
</file>