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00"/>
        <w:jc w:val="center"/>
      </w:pPr>
      <w:r>
        <w:rPr>
          <w:rFonts w:ascii="Arial" w:hAnsi="Arial" w:eastAsia="宋体" w:cs="Arial"/>
          <w:b/>
          <w:bCs/>
          <w:color w:val="17365D"/>
          <w:sz w:val="32"/>
          <w:szCs w:val="32"/>
        </w:rPr>
        <w:t xml:space="preserve">35 kV 县区辅助矩阵</w:t>
      </w:r>
    </w:p>
    <w:p>
      <w:pPr>
        <w:pStyle w:val="Normal"/>
        <w:spacing w:after="100"/>
        <w:jc w:val="center"/>
      </w:pPr>
      <w:r>
        <w:rPr>
          <w:rFonts w:ascii="Arial" w:hAnsi="Arial" w:eastAsia="宋体" w:cs="Arial"/>
          <w:color w:val="404040"/>
          <w:sz w:val="17"/>
          <w:szCs w:val="17"/>
        </w:rPr>
        <w:t xml:space="preserve">8 片区｜2021 年共同基准｜2022—2025 年决策期｜2025 年价格口径</w:t>
      </w:r>
    </w:p>
    <w:p>
      <w:pPr>
        <w:pStyle w:val="Normal"/>
        <w:spacing w:after="150"/>
        <w:jc w:val="left"/>
      </w:pPr>
      <w:r>
        <w:rPr>
          <w:rFonts w:ascii="Arial" w:hAnsi="Arial" w:eastAsia="宋体" w:cs="Arial"/>
          <w:color w:val="7F6000"/>
          <w:sz w:val="17"/>
          <w:szCs w:val="17"/>
        </w:rPr>
        <w:t xml:space="preserve">说明：35 kV 为辅助分析矩阵，不替代 110 kV 正式推荐；严格路径不可行的片区不形成正式唯一推荐。</w:t>
      </w:r>
    </w:p>
    <w:tbl>
      <w:tblPr>
        <w:tblW w:w="0" w:type="auto"/>
        <w:tblLayout w:type="fixed"/>
        <w:tblBorders>
          <w:top w:val="single" w:sz="4" w:color="B4C7E7"/>
          <w:left w:val="single" w:sz="4" w:color="B4C7E7"/>
          <w:bottom w:val="single" w:sz="4" w:color="B4C7E7"/>
          <w:right w:val="single" w:sz="4" w:color="B4C7E7"/>
          <w:insideH w:val="single" w:sz="4" w:color="D9E2F3"/>
          <w:insideV w:val="single" w:sz="4" w:color="D9E2F3"/>
        </w:tblBorders>
      </w:tblPr>
      <w:tblGrid>
        <w:gridCol w:w="3100"/>
        <w:gridCol w:w="1547"/>
        <w:gridCol w:w="1547"/>
        <w:gridCol w:w="1547"/>
        <w:gridCol w:w="1547"/>
        <w:gridCol w:w="1547"/>
        <w:gridCol w:w="1547"/>
        <w:gridCol w:w="1547"/>
        <w:gridCol w:w="1547"/>
      </w:tblGrid>
      <w:tr>
        <w:trPr>
          <w:cantSplit/>
          <w:tblHeader/>
        </w:trPr>
        <w:tc>
          <w:tcPr>
            <w:tcW w:w="3100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指标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片区01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片区02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片区03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片区04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片区05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片区06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片区07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片区08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口径与推荐结论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资产范围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证据等级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C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推荐容载比区间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2.613–2.613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3.487–3.487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3.605–3.605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推荐容载比中心值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2.613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3.487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3.605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措施触发约束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无缺口触发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正向容量缺口、反向承载缺口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无缺口触发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正向容量缺口、反向承载缺口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正向容量缺口、反向承载缺口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推荐措施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储能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储能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储能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推荐区间依据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推荐区间有效样本数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推荐区间形成方法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不限制容载比成本最小可行结果+cos_phi敏感性（0.90、0.95、1.00）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不限制容载比成本最小可行结果+cos_phi敏感性（0.90、0.95、1.00）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不限制容载比成本最小可行结果+cos_phi敏感性（0.90、0.95、1.00）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2025 年容载比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年容载比｜2021—2025 实际（事实对照）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2.314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2.420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2.345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1.863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2.452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1.996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3.082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2.909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年容载比｜不限制容载比优化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2.613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3.487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3.605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年容载比｜控制容载比不超过 2.0 优化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1.538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1.935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1.599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累计年化成本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累计年化成本｜2021—2025 实际（事实对照）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累计年化成本｜不限制容载比优化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506.73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21.40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2,140.65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累计年化成本｜控制容载比不超过 2.0 优化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506.73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21.40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2,140.65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严格约束增量成本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跨口径不可比（严格路径起点为容载比2.0归一约定状态，见manifest path_comparison_note）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跨口径不可比（严格路径起点为容载比2.0归一约定状态，见manifest path_comparison_note）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跨口径不可比（严格路径起点为容载比2.0归一约定状态，见manifest path_comparison_note）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设备与负荷口径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公用变容量（MVA）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276.50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302.00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250.00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275.00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36.00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164.30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274.30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232.00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正向最大净负荷（MW）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119.49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124.78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106.61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147.65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14.68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82.31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89.00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79.75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反向峰值（MW）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缺口与设备数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正向容量缺口（MW）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2.50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17.29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反向承载缺口（MW）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8.42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24.56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34.00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0.56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17.94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正向缺口设备数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反向缺口设备数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9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6</w:t>
            </w:r>
          </w:p>
        </w:tc>
      </w:tr>
    </w:tbl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注：正式容载比只使用同电压等级公用变容量除以该路径、该年度同步正向最大净负荷；反向峰值和反向承载力单列。</w:t>
      </w:r>
    </w:p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注：推荐区间来自不限制容载比成本最小可行结果及已验证敏感性结果；“未识别”不等于 0，“不可行”不等于缺失。</w:t>
      </w:r>
    </w:p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注：数据映射、异常值、历史范围、成本闭合和跨年光伏快照见“实验/研究/分析/v3真实数据问题补充说明_供甲方汇报.md”。</w:t>
      </w:r>
    </w:p>
    <w:sectPr>
      <w:footerReference w:type="default" r:id="rIdFooter"/>
      <w:pgSz w:w="16838" w:h="11906" w:orient="landscape"/>
      <w:pgMar w:top="709" w:right="680" w:bottom="709" w:left="680"/>
      <w:cols w:num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 w:cs="Arial"/>
        <w:color w:val="808080"/>
        <w:sz w:val="14"/>
        <w:szCs w:val="14"/>
      </w:rPr>
      <w:t xml:space="preserve">v3 真实数据｜Word 人工审查层｜精确查值以同目录 CSV 为准｜第 </w:t>
    </w: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18"/>
        <w:szCs w:val="18"/>
      </w:rPr>
    </w:rPrDefault>
  </w:docDefaults>
  <w:style w:type="paragraph" w:default="1" w:styleId="Normal">
    <w:name w:val="Normal"/>
    <w:qFormat/>
    <w:pPr>
      <w:spacing w:after="80"/>
    </w:pPr>
  </w:style>
  <w:style w:type="paragraph" w:styleId="Title">
    <w:name w:val="Title"/>
    <w:basedOn w:val="Normal"/>
    <w:qFormat/>
    <w:rPr>
      <w:rFonts w:ascii="Arial" w:hAnsi="Arial" w:eastAsia="黑体"/>
      <w:b/>
      <w:color w:val="17365D"/>
      <w:sz w:val="32"/>
    </w:rPr>
  </w:style>
  <w:style w:type="table" w:styleId="TableGrid">
    <w:name w:val="Table Grid"/>
    <w:basedOn w:val="Normal"/>
    <w:tblPr>
      <w:tblBorders>
        <w:top w:val="single" w:sz="4" w:color="B4C7E7"/>
        <w:left w:val="single" w:sz="4" w:color="B4C7E7"/>
        <w:bottom w:val="single" w:sz="4" w:color="B4C7E7"/>
        <w:right w:val="single" w:sz="4" w:color="B4C7E7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1.xml"/>
</Relationships>
</file>