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F235F4">
      <w:pPr>
        <w:spacing w:before="80" w:after="240" w:line="288" w:lineRule="auto"/>
        <w:jc w:val="center"/>
        <w:rPr>
          <w:rFonts w:ascii="Times New Roman" w:hAnsi="Times New Roman" w:eastAsia="仿宋_GB2312"/>
          <w:b/>
          <w:sz w:val="36"/>
        </w:rPr>
      </w:pPr>
      <w:r>
        <w:rPr>
          <w:rFonts w:ascii="Times New Roman" w:hAnsi="Times New Roman" w:eastAsia="仿宋_GB2312"/>
          <w:b/>
          <w:sz w:val="36"/>
        </w:rPr>
        <w:t>徐州地区110kV电网容载比弹性指标优化研究</w:t>
      </w:r>
    </w:p>
    <w:p w14:paraId="0D7FE122">
      <w:pPr>
        <w:spacing w:before="80" w:after="240" w:line="288" w:lineRule="auto"/>
        <w:jc w:val="center"/>
      </w:pPr>
      <w:r>
        <w:rPr>
          <w:rFonts w:ascii="Times New Roman" w:hAnsi="Times New Roman" w:eastAsia="仿宋_GB2312"/>
          <w:b/>
          <w:sz w:val="36"/>
        </w:rPr>
        <w:t>数据需求清单</w:t>
      </w:r>
    </w:p>
    <w:p w14:paraId="1E68412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仿宋_GB2312"/>
          <w:b/>
          <w:sz w:val="24"/>
        </w:rPr>
        <w:t>项目：</w:t>
      </w:r>
      <w:r>
        <w:rPr>
          <w:rFonts w:ascii="Times New Roman" w:hAnsi="Times New Roman" w:eastAsia="仿宋_GB2312"/>
          <w:b w:val="0"/>
          <w:sz w:val="24"/>
        </w:rPr>
        <w:t xml:space="preserve"> 徐州地区分布式新能源高渗透率地区110kV电网容载比弹性指标优化研究</w:t>
      </w:r>
    </w:p>
    <w:p w14:paraId="01615D0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仿宋_GB2312"/>
          <w:b/>
          <w:sz w:val="24"/>
        </w:rPr>
        <w:t>日期：</w:t>
      </w:r>
      <w:r>
        <w:rPr>
          <w:rFonts w:ascii="Times New Roman" w:hAnsi="Times New Roman" w:eastAsia="仿宋_GB2312"/>
          <w:b w:val="0"/>
          <w:sz w:val="24"/>
        </w:rPr>
        <w:t xml:space="preserve"> 2026-06-23</w:t>
      </w:r>
    </w:p>
    <w:p w14:paraId="4F95F93C">
      <w:pPr>
        <w:spacing w:before="240" w:after="120" w:line="288" w:lineRule="auto"/>
        <w:jc w:val="left"/>
      </w:pPr>
      <w:r>
        <w:rPr>
          <w:rFonts w:ascii="Times New Roman" w:hAnsi="Times New Roman" w:eastAsia="仿宋_GB2312"/>
          <w:b/>
          <w:sz w:val="30"/>
        </w:rPr>
        <w:t>一、说明</w:t>
      </w:r>
    </w:p>
    <w:p w14:paraId="64BD89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36" w:lineRule="auto"/>
        <w:ind w:firstLine="482" w:firstLineChars="200"/>
        <w:jc w:val="both"/>
        <w:textAlignment w:val="auto"/>
      </w:pPr>
      <w:r>
        <w:rPr>
          <w:rFonts w:ascii="Times New Roman" w:hAnsi="Times New Roman" w:eastAsia="仿宋_GB2312"/>
          <w:b/>
          <w:sz w:val="24"/>
        </w:rPr>
        <w:t>收资单元</w:t>
      </w:r>
      <w:r>
        <w:rPr>
          <w:rFonts w:ascii="Times New Roman" w:hAnsi="Times New Roman" w:eastAsia="仿宋_GB2312"/>
          <w:b w:val="0"/>
          <w:sz w:val="24"/>
        </w:rPr>
        <w:t>是典型新能源高渗透率片区（片区约对应一个110（35）kV变电站供电范围）</w:t>
      </w:r>
      <w:r>
        <w:rPr>
          <w:rFonts w:hint="eastAsia"/>
          <w:b w:val="0"/>
          <w:sz w:val="24"/>
          <w:lang w:eastAsia="zh-CN"/>
        </w:rPr>
        <w:t>，期望涵盖</w:t>
      </w:r>
      <w:r>
        <w:rPr>
          <w:rFonts w:hint="eastAsia"/>
          <w:b w:val="0"/>
          <w:sz w:val="24"/>
          <w:lang w:val="en-US" w:eastAsia="zh-CN"/>
        </w:rPr>
        <w:t>5-8个片区数据以充分支撑</w:t>
      </w:r>
      <w:r>
        <w:rPr>
          <w:rFonts w:hint="eastAsia"/>
          <w:szCs w:val="22"/>
          <w:lang w:val="en-US" w:eastAsia="zh-CN"/>
        </w:rPr>
        <w:t>“一片一策”决策矩阵建立</w:t>
      </w:r>
      <w:r>
        <w:rPr>
          <w:rFonts w:ascii="Times New Roman" w:hAnsi="Times New Roman" w:eastAsia="仿宋_GB2312"/>
          <w:b w:val="0"/>
          <w:sz w:val="24"/>
        </w:rPr>
        <w:t>。</w:t>
      </w:r>
    </w:p>
    <w:p w14:paraId="01909A30">
      <w:pPr>
        <w:spacing w:before="240" w:after="120" w:line="288" w:lineRule="auto"/>
        <w:jc w:val="left"/>
      </w:pPr>
      <w:r>
        <w:rPr>
          <w:rFonts w:ascii="Times New Roman" w:hAnsi="Times New Roman" w:eastAsia="仿宋_GB2312"/>
          <w:b/>
          <w:sz w:val="30"/>
        </w:rPr>
        <w:t>二、片区数据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4"/>
        <w:gridCol w:w="2168"/>
        <w:gridCol w:w="1885"/>
        <w:gridCol w:w="1885"/>
        <w:gridCol w:w="2032"/>
      </w:tblGrid>
      <w:tr w14:paraId="1FFE1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4" w:type="dxa"/>
            <w:shd w:val="clear" w:color="auto" w:fill="D9E2F3"/>
            <w:vAlign w:val="center"/>
          </w:tcPr>
          <w:p w14:paraId="2BC9A7E8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仿宋_GB2312"/>
                <w:b/>
                <w:sz w:val="18"/>
              </w:rPr>
              <w:t>类别</w:t>
            </w:r>
          </w:p>
        </w:tc>
        <w:tc>
          <w:tcPr>
            <w:tcW w:w="2168" w:type="dxa"/>
            <w:shd w:val="clear" w:color="auto" w:fill="D9E2F3"/>
            <w:vAlign w:val="center"/>
          </w:tcPr>
          <w:p w14:paraId="23A20C1D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仿宋_GB2312"/>
                <w:b/>
                <w:sz w:val="18"/>
              </w:rPr>
              <w:t>数据项</w:t>
            </w:r>
          </w:p>
        </w:tc>
        <w:tc>
          <w:tcPr>
            <w:tcW w:w="1885" w:type="dxa"/>
            <w:shd w:val="clear" w:color="auto" w:fill="D9E2F3"/>
            <w:vAlign w:val="center"/>
          </w:tcPr>
          <w:p w14:paraId="2CC55F76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仿宋_GB2312"/>
                <w:b/>
                <w:sz w:val="18"/>
              </w:rPr>
              <w:t>用途（对应模型变量／分析环节）</w:t>
            </w:r>
          </w:p>
        </w:tc>
        <w:tc>
          <w:tcPr>
            <w:tcW w:w="1885" w:type="dxa"/>
            <w:shd w:val="clear" w:color="auto" w:fill="D9E2F3"/>
            <w:vAlign w:val="center"/>
          </w:tcPr>
          <w:p w14:paraId="7E2C1E1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仿宋_GB2312"/>
                <w:b/>
                <w:sz w:val="18"/>
              </w:rPr>
              <w:t>时间跨度</w:t>
            </w:r>
          </w:p>
        </w:tc>
        <w:tc>
          <w:tcPr>
            <w:tcW w:w="2032" w:type="dxa"/>
            <w:shd w:val="clear" w:color="auto" w:fill="D9E2F3"/>
            <w:vAlign w:val="center"/>
          </w:tcPr>
          <w:p w14:paraId="71112CAC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仿宋_GB2312"/>
                <w:b/>
                <w:sz w:val="18"/>
              </w:rPr>
              <w:t>单位·格式</w:t>
            </w:r>
          </w:p>
        </w:tc>
      </w:tr>
      <w:tr w14:paraId="74DB3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4" w:type="dxa"/>
            <w:vAlign w:val="center"/>
          </w:tcPr>
          <w:p w14:paraId="553926C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运行统计</w:t>
            </w:r>
          </w:p>
        </w:tc>
        <w:tc>
          <w:tcPr>
            <w:tcW w:w="2168" w:type="dxa"/>
            <w:vAlign w:val="center"/>
          </w:tcPr>
          <w:p w14:paraId="562716CE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片区内110（35）kV变电站台账：主变容量、台数、型号、投运年份、电压等级</w:t>
            </w:r>
          </w:p>
        </w:tc>
        <w:tc>
          <w:tcPr>
            <w:tcW w:w="1885" w:type="dxa"/>
            <w:vAlign w:val="center"/>
          </w:tcPr>
          <w:p w14:paraId="72E94A17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容载比分子；站建造成本基线；主变损耗等级</w:t>
            </w:r>
          </w:p>
        </w:tc>
        <w:tc>
          <w:tcPr>
            <w:tcW w:w="1885" w:type="dxa"/>
            <w:vAlign w:val="center"/>
          </w:tcPr>
          <w:p w14:paraId="13F3A5F3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现状</w:t>
            </w:r>
          </w:p>
        </w:tc>
        <w:tc>
          <w:tcPr>
            <w:tcW w:w="2032" w:type="dxa"/>
            <w:vAlign w:val="center"/>
          </w:tcPr>
          <w:p w14:paraId="5BA3F41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MVA、台、年</w:t>
            </w:r>
          </w:p>
        </w:tc>
      </w:tr>
      <w:tr w14:paraId="79DB7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4" w:type="dxa"/>
            <w:vAlign w:val="center"/>
          </w:tcPr>
          <w:p w14:paraId="40F1DADB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运行统计</w:t>
            </w:r>
          </w:p>
        </w:tc>
        <w:tc>
          <w:tcPr>
            <w:tcW w:w="2168" w:type="dxa"/>
            <w:vAlign w:val="center"/>
          </w:tcPr>
          <w:p w14:paraId="7E1EC81F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主变负载率——降压运行工况（夏、冬季大负荷方式，晚峰与午峰分列）</w:t>
            </w:r>
          </w:p>
        </w:tc>
        <w:tc>
          <w:tcPr>
            <w:tcW w:w="1885" w:type="dxa"/>
            <w:vAlign w:val="center"/>
          </w:tcPr>
          <w:p w14:paraId="4ABE7A63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决策矩阵分档；正向运行小时数</w:t>
            </w:r>
          </w:p>
        </w:tc>
        <w:tc>
          <w:tcPr>
            <w:tcW w:w="1885" w:type="dxa"/>
            <w:vAlign w:val="center"/>
          </w:tcPr>
          <w:p w14:paraId="68BF998B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近五年·月度均值或典型日逐时</w:t>
            </w:r>
          </w:p>
        </w:tc>
        <w:tc>
          <w:tcPr>
            <w:tcW w:w="2032" w:type="dxa"/>
            <w:vAlign w:val="center"/>
          </w:tcPr>
          <w:p w14:paraId="39E80B35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% 或 p.u.</w:t>
            </w:r>
          </w:p>
        </w:tc>
      </w:tr>
      <w:tr w14:paraId="1DB9D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84" w:type="dxa"/>
            <w:vAlign w:val="center"/>
          </w:tcPr>
          <w:p w14:paraId="06B65DBE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运行统计</w:t>
            </w:r>
          </w:p>
        </w:tc>
        <w:tc>
          <w:tcPr>
            <w:tcW w:w="2168" w:type="dxa"/>
            <w:vAlign w:val="center"/>
          </w:tcPr>
          <w:p w14:paraId="5471012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主变负载率——升压运行工况（春、秋季小负荷方式，午间反送）</w:t>
            </w:r>
          </w:p>
        </w:tc>
        <w:tc>
          <w:tcPr>
            <w:tcW w:w="1885" w:type="dxa"/>
            <w:vAlign w:val="center"/>
          </w:tcPr>
          <w:p w14:paraId="2BD2A3A3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反向运行小时数；反送暴露量</w:t>
            </w:r>
          </w:p>
        </w:tc>
        <w:tc>
          <w:tcPr>
            <w:tcW w:w="1885" w:type="dxa"/>
            <w:vAlign w:val="center"/>
          </w:tcPr>
          <w:p w14:paraId="3D1323E3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近五年·月度均值或典型日逐时</w:t>
            </w:r>
          </w:p>
        </w:tc>
        <w:tc>
          <w:tcPr>
            <w:tcW w:w="2032" w:type="dxa"/>
            <w:vAlign w:val="center"/>
          </w:tcPr>
          <w:p w14:paraId="403A55A7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% 或 p.u.</w:t>
            </w:r>
          </w:p>
        </w:tc>
      </w:tr>
      <w:tr w14:paraId="6EBCD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4" w:type="dxa"/>
            <w:vAlign w:val="center"/>
          </w:tcPr>
          <w:p w14:paraId="6EC990CB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运行统计</w:t>
            </w:r>
          </w:p>
        </w:tc>
        <w:tc>
          <w:tcPr>
            <w:tcW w:w="2168" w:type="dxa"/>
            <w:vAlign w:val="center"/>
          </w:tcPr>
          <w:p w14:paraId="6108BCDF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电量渗透率（分布式发电量÷片区全社会用电量）</w:t>
            </w:r>
          </w:p>
        </w:tc>
        <w:tc>
          <w:tcPr>
            <w:tcW w:w="1885" w:type="dxa"/>
            <w:vAlign w:val="center"/>
          </w:tcPr>
          <w:p w14:paraId="656B100F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渗透率计算</w:t>
            </w:r>
          </w:p>
        </w:tc>
        <w:tc>
          <w:tcPr>
            <w:tcW w:w="1885" w:type="dxa"/>
            <w:vAlign w:val="center"/>
          </w:tcPr>
          <w:p w14:paraId="04246E7A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近五年·年度</w:t>
            </w:r>
          </w:p>
        </w:tc>
        <w:tc>
          <w:tcPr>
            <w:tcW w:w="2032" w:type="dxa"/>
            <w:vAlign w:val="center"/>
          </w:tcPr>
          <w:p w14:paraId="33B009B5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%</w:t>
            </w:r>
          </w:p>
        </w:tc>
      </w:tr>
      <w:tr w14:paraId="5CE11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4" w:type="dxa"/>
            <w:vAlign w:val="center"/>
          </w:tcPr>
          <w:p w14:paraId="13448638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运行统计</w:t>
            </w:r>
          </w:p>
        </w:tc>
        <w:tc>
          <w:tcPr>
            <w:tcW w:w="2168" w:type="dxa"/>
            <w:vAlign w:val="center"/>
          </w:tcPr>
          <w:p w14:paraId="48BE37E7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分布式新能源已并网装机容量及接入分布（以光伏为主，标明0.4/10/35kV接入层级）</w:t>
            </w:r>
          </w:p>
        </w:tc>
        <w:tc>
          <w:tcPr>
            <w:tcW w:w="1885" w:type="dxa"/>
            <w:vAlign w:val="center"/>
          </w:tcPr>
          <w:p w14:paraId="11043D56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反送场景构建</w:t>
            </w:r>
          </w:p>
        </w:tc>
        <w:tc>
          <w:tcPr>
            <w:tcW w:w="1885" w:type="dxa"/>
            <w:vAlign w:val="center"/>
          </w:tcPr>
          <w:p w14:paraId="7698F4C4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近五年·年度及逐年新增</w:t>
            </w:r>
          </w:p>
        </w:tc>
        <w:tc>
          <w:tcPr>
            <w:tcW w:w="2032" w:type="dxa"/>
            <w:vAlign w:val="center"/>
          </w:tcPr>
          <w:p w14:paraId="5C5454F4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MW / MWp</w:t>
            </w:r>
          </w:p>
        </w:tc>
      </w:tr>
      <w:tr w14:paraId="55EC4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4" w:type="dxa"/>
            <w:vAlign w:val="center"/>
          </w:tcPr>
          <w:p w14:paraId="464321BF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运行统计</w:t>
            </w:r>
          </w:p>
        </w:tc>
        <w:tc>
          <w:tcPr>
            <w:tcW w:w="2168" w:type="dxa"/>
            <w:vAlign w:val="center"/>
          </w:tcPr>
          <w:p w14:paraId="10FA70D5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片区全社会用电量与最大负荷（夏、冬双峰；最大负荷取有功MW并附功率因数）</w:t>
            </w:r>
          </w:p>
        </w:tc>
        <w:tc>
          <w:tcPr>
            <w:tcW w:w="1885" w:type="dxa"/>
            <w:vAlign w:val="center"/>
          </w:tcPr>
          <w:p w14:paraId="2A5CCDAB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源荷比计算、渗透率计算；负荷基数</w:t>
            </w:r>
          </w:p>
        </w:tc>
        <w:tc>
          <w:tcPr>
            <w:tcW w:w="1885" w:type="dxa"/>
            <w:vAlign w:val="center"/>
          </w:tcPr>
          <w:p w14:paraId="5C342F56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近五年·年度</w:t>
            </w:r>
          </w:p>
        </w:tc>
        <w:tc>
          <w:tcPr>
            <w:tcW w:w="2032" w:type="dxa"/>
            <w:vAlign w:val="center"/>
          </w:tcPr>
          <w:p w14:paraId="2B2DA4C8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MWh / MW</w:t>
            </w:r>
          </w:p>
        </w:tc>
      </w:tr>
      <w:tr w14:paraId="72FFD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84" w:type="dxa"/>
            <w:vAlign w:val="center"/>
          </w:tcPr>
          <w:p w14:paraId="0E43E478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造价案例</w:t>
            </w:r>
          </w:p>
        </w:tc>
        <w:tc>
          <w:tcPr>
            <w:tcW w:w="2168" w:type="dxa"/>
            <w:vAlign w:val="center"/>
          </w:tcPr>
          <w:p w14:paraId="26706994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分布式新能源送出工程造价（10kV及以下电网侧配套接入投资）</w:t>
            </w:r>
          </w:p>
        </w:tc>
        <w:tc>
          <w:tcPr>
            <w:tcW w:w="1885" w:type="dxa"/>
            <w:vAlign w:val="center"/>
          </w:tcPr>
          <w:p w14:paraId="61EC2086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送出分量 Z2</w:t>
            </w:r>
          </w:p>
        </w:tc>
        <w:tc>
          <w:tcPr>
            <w:tcW w:w="1885" w:type="dxa"/>
            <w:vAlign w:val="center"/>
          </w:tcPr>
          <w:p w14:paraId="1AA54DC5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项目级或单位容量</w:t>
            </w:r>
          </w:p>
        </w:tc>
        <w:tc>
          <w:tcPr>
            <w:tcW w:w="2032" w:type="dxa"/>
            <w:vAlign w:val="center"/>
          </w:tcPr>
          <w:p w14:paraId="7770A922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万元 / 万元·MW⁻¹</w:t>
            </w:r>
          </w:p>
        </w:tc>
      </w:tr>
      <w:tr w14:paraId="1111A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4" w:type="dxa"/>
            <w:vAlign w:val="center"/>
          </w:tcPr>
          <w:p w14:paraId="3E2C4607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造价案例</w:t>
            </w:r>
          </w:p>
        </w:tc>
        <w:tc>
          <w:tcPr>
            <w:tcW w:w="2168" w:type="dxa"/>
            <w:vAlign w:val="center"/>
          </w:tcPr>
          <w:p w14:paraId="7415896F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电网配套增容工程造价（解决容量缺口的扩容投资）</w:t>
            </w:r>
          </w:p>
        </w:tc>
        <w:tc>
          <w:tcPr>
            <w:tcW w:w="1885" w:type="dxa"/>
            <w:vAlign w:val="center"/>
          </w:tcPr>
          <w:p w14:paraId="269BF4AA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扩容分量 Z2；刚性方案成本</w:t>
            </w:r>
          </w:p>
        </w:tc>
        <w:tc>
          <w:tcPr>
            <w:tcW w:w="1885" w:type="dxa"/>
            <w:vAlign w:val="center"/>
          </w:tcPr>
          <w:p w14:paraId="2D3F7FE1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项目级</w:t>
            </w:r>
          </w:p>
        </w:tc>
        <w:tc>
          <w:tcPr>
            <w:tcW w:w="2032" w:type="dxa"/>
            <w:vAlign w:val="center"/>
          </w:tcPr>
          <w:p w14:paraId="03DED51A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万元</w:t>
            </w:r>
          </w:p>
        </w:tc>
      </w:tr>
      <w:tr w14:paraId="52F55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4" w:type="dxa"/>
            <w:vAlign w:val="center"/>
          </w:tcPr>
          <w:p w14:paraId="579A17E9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造价案例</w:t>
            </w:r>
          </w:p>
        </w:tc>
        <w:tc>
          <w:tcPr>
            <w:tcW w:w="2168" w:type="dxa"/>
            <w:vAlign w:val="center"/>
          </w:tcPr>
          <w:p w14:paraId="1509C15C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分布式电源限发/弃光及送出受阻记录（因反送、容载比或卡口约束导致的限发）</w:t>
            </w:r>
          </w:p>
        </w:tc>
        <w:tc>
          <w:tcPr>
            <w:tcW w:w="1885" w:type="dxa"/>
            <w:vAlign w:val="center"/>
          </w:tcPr>
          <w:p w14:paraId="27FF64EE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反向损耗 Z4；刚性方案机会成本</w:t>
            </w:r>
          </w:p>
        </w:tc>
        <w:tc>
          <w:tcPr>
            <w:tcW w:w="1885" w:type="dxa"/>
            <w:vAlign w:val="center"/>
          </w:tcPr>
          <w:p w14:paraId="406A6ADE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近五年</w:t>
            </w:r>
          </w:p>
        </w:tc>
        <w:tc>
          <w:tcPr>
            <w:tcW w:w="2032" w:type="dxa"/>
            <w:vAlign w:val="center"/>
          </w:tcPr>
          <w:p w14:paraId="10F57731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MWh / 小时</w:t>
            </w:r>
          </w:p>
        </w:tc>
      </w:tr>
      <w:tr w14:paraId="126E8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4" w:type="dxa"/>
            <w:vAlign w:val="center"/>
          </w:tcPr>
          <w:p w14:paraId="23C09F6A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网架</w:t>
            </w:r>
          </w:p>
        </w:tc>
        <w:tc>
          <w:tcPr>
            <w:tcW w:w="2168" w:type="dxa"/>
            <w:vAlign w:val="center"/>
          </w:tcPr>
          <w:p w14:paraId="525350DC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10kV中压配电网接线图（含联络与转供能力）</w:t>
            </w:r>
          </w:p>
        </w:tc>
        <w:tc>
          <w:tcPr>
            <w:tcW w:w="1885" w:type="dxa"/>
            <w:vAlign w:val="center"/>
          </w:tcPr>
          <w:p w14:paraId="2DFBAFAC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联络度计算；N-1转供项</w:t>
            </w:r>
          </w:p>
        </w:tc>
        <w:tc>
          <w:tcPr>
            <w:tcW w:w="1885" w:type="dxa"/>
            <w:vAlign w:val="center"/>
          </w:tcPr>
          <w:p w14:paraId="4CF9F7A3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现状</w:t>
            </w:r>
          </w:p>
        </w:tc>
        <w:tc>
          <w:tcPr>
            <w:tcW w:w="2032" w:type="dxa"/>
            <w:vAlign w:val="center"/>
          </w:tcPr>
          <w:p w14:paraId="7EADC384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接线图/拓扑表</w:t>
            </w:r>
          </w:p>
        </w:tc>
      </w:tr>
    </w:tbl>
    <w:p w14:paraId="6A192565">
      <w:pPr>
        <w:spacing w:after="40"/>
      </w:pPr>
    </w:p>
    <w:p w14:paraId="48556674">
      <w:pPr>
        <w:spacing w:before="0" w:after="40" w:line="300" w:lineRule="auto"/>
        <w:jc w:val="both"/>
      </w:pPr>
      <w:r>
        <w:rPr>
          <w:rFonts w:ascii="Times New Roman" w:hAnsi="Times New Roman" w:eastAsia="仿宋_GB2312"/>
          <w:b w:val="0"/>
          <w:sz w:val="22"/>
        </w:rPr>
        <w:t>主变负载率的场景拆分请保持原样，不要合并。降压/升压、夏冬/春秋、晚峰/午峰/午间分列，直接决定双向损耗的正、反向年运行小时数，是本课题区别于传统单向算法的关键。</w:t>
      </w:r>
    </w:p>
    <w:p w14:paraId="6DBB72F6">
      <w:pPr>
        <w:spacing w:before="0" w:after="40" w:line="300" w:lineRule="auto"/>
        <w:jc w:val="both"/>
      </w:pPr>
      <w:r>
        <w:rPr>
          <w:rFonts w:ascii="Times New Roman" w:hAnsi="Times New Roman" w:eastAsia="仿宋_GB2312"/>
          <w:b w:val="0"/>
          <w:sz w:val="22"/>
        </w:rPr>
        <w:t>造价案例若没有决算，提供工程估算即可。个别片区送出造价缺失时，按单位容量典型值给出也可用于参数化建模。</w:t>
      </w:r>
    </w:p>
    <w:p w14:paraId="7B0BB07E">
      <w:pPr>
        <w:spacing w:before="240" w:after="120" w:line="288" w:lineRule="auto"/>
        <w:jc w:val="left"/>
      </w:pPr>
      <w:r>
        <w:rPr>
          <w:rFonts w:ascii="Times New Roman" w:hAnsi="Times New Roman" w:eastAsia="仿宋_GB2312"/>
          <w:b/>
          <w:sz w:val="30"/>
        </w:rPr>
        <w:t>三、通用参数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0"/>
        <w:gridCol w:w="3474"/>
        <w:gridCol w:w="3230"/>
      </w:tblGrid>
      <w:tr w14:paraId="1A763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50" w:type="dxa"/>
            <w:shd w:val="clear" w:color="auto" w:fill="D9E2F3"/>
            <w:vAlign w:val="center"/>
          </w:tcPr>
          <w:p w14:paraId="248723CD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仿宋_GB2312"/>
                <w:b/>
                <w:sz w:val="18"/>
              </w:rPr>
              <w:t>参数项</w:t>
            </w:r>
          </w:p>
        </w:tc>
        <w:tc>
          <w:tcPr>
            <w:tcW w:w="3474" w:type="dxa"/>
            <w:shd w:val="clear" w:color="auto" w:fill="D9E2F3"/>
            <w:vAlign w:val="center"/>
          </w:tcPr>
          <w:p w14:paraId="7C81ED05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仿宋_GB2312"/>
                <w:b/>
                <w:sz w:val="18"/>
              </w:rPr>
              <w:t>用途（对应模型变量）</w:t>
            </w:r>
          </w:p>
        </w:tc>
        <w:tc>
          <w:tcPr>
            <w:tcW w:w="3230" w:type="dxa"/>
            <w:shd w:val="clear" w:color="auto" w:fill="D9E2F3"/>
            <w:vAlign w:val="center"/>
          </w:tcPr>
          <w:p w14:paraId="180250A2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仿宋_GB2312"/>
                <w:b/>
                <w:sz w:val="18"/>
              </w:rPr>
              <w:t>单位·格式</w:t>
            </w:r>
          </w:p>
        </w:tc>
      </w:tr>
      <w:tr w14:paraId="7B71D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50" w:type="dxa"/>
            <w:vAlign w:val="center"/>
          </w:tcPr>
          <w:p w14:paraId="7523E17D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110kV变电站新建/扩容工程造价（≥2例代表性决算或估算，按容量分档，分建筑工程费、安装工程费、设备购置费、其他费用（含征地）等科目）</w:t>
            </w:r>
          </w:p>
        </w:tc>
        <w:tc>
          <w:tcPr>
            <w:tcW w:w="3474" w:type="dxa"/>
            <w:vAlign w:val="center"/>
          </w:tcPr>
          <w:p w14:paraId="68CA7605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站建造成本 Z1（含容量分档与扩容系数）</w:t>
            </w:r>
          </w:p>
        </w:tc>
        <w:tc>
          <w:tcPr>
            <w:tcW w:w="3230" w:type="dxa"/>
            <w:vAlign w:val="center"/>
          </w:tcPr>
          <w:p w14:paraId="1241FBE2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万元</w:t>
            </w:r>
          </w:p>
        </w:tc>
      </w:tr>
      <w:tr w14:paraId="41274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50" w:type="dxa"/>
            <w:vAlign w:val="center"/>
          </w:tcPr>
          <w:p w14:paraId="1B90B36B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10kV及以下线路工程造价（架空、电缆，单位长度）</w:t>
            </w:r>
          </w:p>
        </w:tc>
        <w:tc>
          <w:tcPr>
            <w:tcW w:w="3474" w:type="dxa"/>
            <w:vAlign w:val="center"/>
          </w:tcPr>
          <w:p w14:paraId="2BF3C82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线路造价 Z2</w:t>
            </w:r>
          </w:p>
        </w:tc>
        <w:tc>
          <w:tcPr>
            <w:tcW w:w="3230" w:type="dxa"/>
            <w:vAlign w:val="center"/>
          </w:tcPr>
          <w:p w14:paraId="556AD57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万元/km</w:t>
            </w:r>
          </w:p>
        </w:tc>
      </w:tr>
      <w:tr w14:paraId="0D060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50" w:type="dxa"/>
            <w:vAlign w:val="center"/>
          </w:tcPr>
          <w:p w14:paraId="168D7804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配储工程造价（功率单价、容量单价）</w:t>
            </w:r>
          </w:p>
        </w:tc>
        <w:tc>
          <w:tcPr>
            <w:tcW w:w="3474" w:type="dxa"/>
            <w:vAlign w:val="center"/>
          </w:tcPr>
          <w:p w14:paraId="44705CFA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刚性方案中的配储成本</w:t>
            </w:r>
          </w:p>
        </w:tc>
        <w:tc>
          <w:tcPr>
            <w:tcW w:w="3230" w:type="dxa"/>
            <w:vAlign w:val="center"/>
          </w:tcPr>
          <w:p w14:paraId="288DDA8A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元·kW⁻¹ / 元·kWh⁻¹</w:t>
            </w:r>
          </w:p>
        </w:tc>
      </w:tr>
      <w:tr w14:paraId="0C5DB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50" w:type="dxa"/>
            <w:vAlign w:val="center"/>
          </w:tcPr>
          <w:p w14:paraId="653D9B52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负荷年增长率与 N-1 校核目标年（规划水平年）</w:t>
            </w:r>
          </w:p>
        </w:tc>
        <w:tc>
          <w:tcPr>
            <w:tcW w:w="3474" w:type="dxa"/>
            <w:vAlign w:val="center"/>
          </w:tcPr>
          <w:p w14:paraId="69E575CA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未来峰荷校核</w:t>
            </w:r>
            <w:bookmarkStart w:id="0" w:name="_GoBack"/>
            <w:bookmarkEnd w:id="0"/>
          </w:p>
        </w:tc>
        <w:tc>
          <w:tcPr>
            <w:tcW w:w="3230" w:type="dxa"/>
            <w:vAlign w:val="center"/>
          </w:tcPr>
          <w:p w14:paraId="5AFA8752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%/年、年</w:t>
            </w:r>
          </w:p>
        </w:tc>
      </w:tr>
    </w:tbl>
    <w:p w14:paraId="401E095C">
      <w:pPr>
        <w:spacing w:after="40"/>
      </w:pPr>
    </w:p>
    <w:p w14:paraId="73CE05A5">
      <w:pPr>
        <w:spacing w:before="240" w:after="120" w:line="288" w:lineRule="auto"/>
        <w:jc w:val="left"/>
      </w:pPr>
      <w:r>
        <w:rPr>
          <w:rFonts w:ascii="Times New Roman" w:hAnsi="Times New Roman" w:eastAsia="仿宋_GB2312"/>
          <w:b/>
          <w:sz w:val="30"/>
        </w:rPr>
        <w:t>四、交付方式</w:t>
      </w:r>
    </w:p>
    <w:p w14:paraId="12EFEE94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仿宋_GB2312"/>
          <w:b w:val="0"/>
          <w:sz w:val="24"/>
        </w:rPr>
        <w:t>时序类数据建议逐时或月度均值，至少给出典型日及夏冬峰值；接线图 CAD、PDF、图片均可；台账与造价用 Excel。</w:t>
      </w:r>
    </w:p>
    <w:sectPr>
      <w:pgSz w:w="11906" w:h="16838"/>
      <w:pgMar w:top="1020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2010600030101010101"/>
    <w:charset w:val="00"/>
    <w:family w:val="auto"/>
    <w:pitch w:val="default"/>
    <w:sig w:usb0="00000000" w:usb1="00000000" w:usb2="00000006" w:usb3="00000000" w:csb0="00040001" w:csb1="00000000"/>
  </w:font>
  <w:font w:name="Wingdings">
    <w:altName w:val="Noto Serif CJK TC Black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Cambria">
    <w:altName w:val="FreeSerif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FreeSerif">
    <w:panose1 w:val="02020603050405020304"/>
    <w:charset w:val="00"/>
    <w:family w:val="auto"/>
    <w:pitch w:val="default"/>
    <w:sig w:usb0="E59FAFFF" w:usb1="C200FDFF" w:usb2="43501B29" w:usb3="04000003" w:csb0="600101FF" w:csb1="FFFF0000"/>
  </w:font>
  <w:font w:name="ＭＳ 明朝">
    <w:altName w:val="Gubbi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ＭＳ 明朝">
    <w:altName w:val="Gubb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_GB2312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ＭＳ ゴシック">
    <w:altName w:val="Gubbi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  <w:font w:name="ＭＳ ゴシック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erif CJK TC Black">
    <w:panose1 w:val="02020900000000000000"/>
    <w:charset w:val="88"/>
    <w:family w:val="auto"/>
    <w:pitch w:val="default"/>
    <w:sig w:usb0="30000083" w:usb1="2BDF3C10" w:usb2="00000016" w:usb3="00000000" w:csb0="603A0107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AE7EF00"/>
    <w:rsid w:val="34FF62E6"/>
    <w:rsid w:val="3DF75B7E"/>
    <w:rsid w:val="3F5D9D26"/>
    <w:rsid w:val="3FBFFE9A"/>
    <w:rsid w:val="490F3C60"/>
    <w:rsid w:val="5E7F81A3"/>
    <w:rsid w:val="5EB73381"/>
    <w:rsid w:val="6BE22E9A"/>
    <w:rsid w:val="6F46234C"/>
    <w:rsid w:val="71BFEDCF"/>
    <w:rsid w:val="75CFCCE0"/>
    <w:rsid w:val="7AEF7873"/>
    <w:rsid w:val="7BF625C6"/>
    <w:rsid w:val="7BFF7B2D"/>
    <w:rsid w:val="7FCEC351"/>
    <w:rsid w:val="7FFF2566"/>
    <w:rsid w:val="9CF576B2"/>
    <w:rsid w:val="BFDF8797"/>
    <w:rsid w:val="D27300E8"/>
    <w:rsid w:val="D6F7EAA1"/>
    <w:rsid w:val="DF57F1BF"/>
    <w:rsid w:val="DFCD16E3"/>
    <w:rsid w:val="DFFF9669"/>
    <w:rsid w:val="EEBE41DE"/>
    <w:rsid w:val="EEF772B2"/>
    <w:rsid w:val="F0EE4C52"/>
    <w:rsid w:val="F6A7C239"/>
    <w:rsid w:val="F7788D5A"/>
    <w:rsid w:val="F7BE309E"/>
    <w:rsid w:val="FB9BB848"/>
    <w:rsid w:val="FBBFC344"/>
    <w:rsid w:val="FE335FA6"/>
    <w:rsid w:val="FF3FC4D4"/>
    <w:rsid w:val="FFEF8F29"/>
    <w:rsid w:val="FFFE7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仿宋_GB2312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Office_12.1.2.23578_F1E327BC-269C-435d-A152-05C5408002CA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许恒</cp:lastModifiedBy>
  <dcterms:modified xsi:type="dcterms:W3CDTF">2026-06-23T15:21:11Z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2052-12.1.2.23578</vt:lpwstr>
  </property>
  <property fmtid="{D5CDD505-2E9C-101B-9397-08002B2CF9AE}" pid="3" name="ICV">
    <vt:lpwstr>88F97EFD9F1F31CE3F2A3A6A9E2F7860_42</vt:lpwstr>
  </property>
</Properties>
</file>