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363063">
      <w:pPr>
        <w:spacing w:line="240" w:lineRule="auto"/>
        <w:ind w:firstLine="0" w:firstLineChars="0"/>
        <w:jc w:val="center"/>
        <w:rPr>
          <w:rFonts w:eastAsia="方正小标宋简体"/>
          <w:b/>
          <w:bCs/>
          <w:kern w:val="2"/>
          <w:sz w:val="50"/>
          <w:szCs w:val="50"/>
          <w:lang w:val="zh-CN"/>
        </w:rPr>
      </w:pPr>
      <w:r>
        <w:rPr>
          <w:rFonts w:hint="eastAsia" w:eastAsia="方正小标宋简体"/>
          <w:b/>
          <w:bCs/>
          <w:kern w:val="2"/>
          <w:sz w:val="50"/>
          <w:szCs w:val="50"/>
          <w:lang w:val="zh-CN"/>
        </w:rPr>
        <w:t>国网徐州公司徐州地区分布式新能源高渗透率地区110kV电网容载比弹性指标优化研究</w:t>
      </w:r>
    </w:p>
    <w:p w14:paraId="77EB2951">
      <w:pPr>
        <w:spacing w:line="240" w:lineRule="auto"/>
        <w:ind w:firstLine="0" w:firstLineChars="0"/>
        <w:jc w:val="center"/>
        <w:rPr>
          <w:rFonts w:eastAsia="方正小标宋简体"/>
          <w:b/>
          <w:bCs/>
          <w:kern w:val="2"/>
          <w:sz w:val="50"/>
          <w:szCs w:val="50"/>
        </w:rPr>
      </w:pPr>
    </w:p>
    <w:p w14:paraId="139D0316">
      <w:pPr>
        <w:spacing w:line="240" w:lineRule="auto"/>
        <w:ind w:firstLine="0" w:firstLineChars="0"/>
        <w:jc w:val="center"/>
        <w:rPr>
          <w:rFonts w:eastAsia="方正小标宋简体"/>
          <w:b/>
          <w:bCs/>
          <w:kern w:val="2"/>
          <w:sz w:val="50"/>
          <w:szCs w:val="50"/>
        </w:rPr>
      </w:pPr>
      <w:r>
        <w:rPr>
          <w:rFonts w:hint="eastAsia" w:eastAsia="方正小标宋简体"/>
          <w:b/>
          <w:bCs/>
          <w:kern w:val="2"/>
          <w:sz w:val="50"/>
          <w:szCs w:val="50"/>
        </w:rPr>
        <w:t>服务报告</w:t>
      </w:r>
    </w:p>
    <w:p w14:paraId="098C23CF">
      <w:pPr>
        <w:spacing w:line="240" w:lineRule="auto"/>
        <w:ind w:firstLine="0" w:firstLineChars="0"/>
        <w:jc w:val="center"/>
        <w:rPr>
          <w:rFonts w:eastAsia="方正小标宋简体"/>
          <w:b/>
          <w:bCs/>
          <w:kern w:val="2"/>
          <w:sz w:val="50"/>
          <w:szCs w:val="50"/>
          <w:lang w:val="zh-CN"/>
        </w:rPr>
      </w:pPr>
    </w:p>
    <w:p w14:paraId="6046743E">
      <w:pPr>
        <w:spacing w:line="240" w:lineRule="auto"/>
        <w:ind w:firstLine="0" w:firstLineChars="0"/>
        <w:jc w:val="center"/>
        <w:rPr>
          <w:rFonts w:eastAsia="方正小标宋简体"/>
          <w:b/>
          <w:bCs/>
          <w:kern w:val="2"/>
          <w:sz w:val="50"/>
          <w:szCs w:val="50"/>
          <w:lang w:val="zh-CN"/>
        </w:rPr>
      </w:pPr>
    </w:p>
    <w:p w14:paraId="09E669A2">
      <w:pPr>
        <w:ind w:firstLine="1680" w:firstLineChars="800"/>
        <w:jc w:val="left"/>
        <w:rPr>
          <w:bCs/>
          <w:szCs w:val="32"/>
        </w:rPr>
      </w:pPr>
    </w:p>
    <w:p w14:paraId="676F3009">
      <w:pPr>
        <w:ind w:firstLine="1680" w:firstLineChars="800"/>
        <w:jc w:val="left"/>
        <w:rPr>
          <w:bCs/>
          <w:szCs w:val="32"/>
        </w:rPr>
      </w:pPr>
    </w:p>
    <w:p w14:paraId="2F92AE59">
      <w:pPr>
        <w:ind w:firstLine="1680" w:firstLineChars="800"/>
        <w:jc w:val="left"/>
        <w:rPr>
          <w:bCs/>
          <w:szCs w:val="32"/>
        </w:rPr>
      </w:pPr>
    </w:p>
    <w:p w14:paraId="29376772">
      <w:pPr>
        <w:ind w:firstLine="1680" w:firstLineChars="800"/>
        <w:jc w:val="left"/>
        <w:rPr>
          <w:bCs/>
          <w:szCs w:val="32"/>
        </w:rPr>
      </w:pPr>
    </w:p>
    <w:p w14:paraId="4D885575">
      <w:pPr>
        <w:ind w:firstLine="1680" w:firstLineChars="800"/>
        <w:jc w:val="left"/>
        <w:rPr>
          <w:bCs/>
          <w:szCs w:val="32"/>
        </w:rPr>
      </w:pPr>
    </w:p>
    <w:p w14:paraId="02434991">
      <w:pPr>
        <w:ind w:firstLine="0" w:firstLineChars="0"/>
        <w:jc w:val="center"/>
        <w:rPr>
          <w:b/>
          <w:sz w:val="32"/>
          <w:szCs w:val="36"/>
        </w:rPr>
      </w:pPr>
      <w:r>
        <w:rPr>
          <w:rFonts w:hint="eastAsia"/>
          <w:b/>
          <w:sz w:val="32"/>
          <w:szCs w:val="36"/>
        </w:rPr>
        <w:t>国网江苏省电力有限公司徐州供电分公司</w:t>
      </w:r>
    </w:p>
    <w:p w14:paraId="6A69EDE7">
      <w:pPr>
        <w:ind w:firstLine="0" w:firstLineChars="0"/>
        <w:jc w:val="center"/>
        <w:rPr>
          <w:b/>
          <w:sz w:val="32"/>
          <w:szCs w:val="36"/>
        </w:rPr>
        <w:sectPr>
          <w:headerReference r:id="rId7" w:type="first"/>
          <w:footerReference r:id="rId10" w:type="first"/>
          <w:headerReference r:id="rId5" w:type="default"/>
          <w:footerReference r:id="rId8" w:type="default"/>
          <w:headerReference r:id="rId6" w:type="even"/>
          <w:footerReference r:id="rId9" w:type="even"/>
          <w:pgSz w:w="11906" w:h="16838"/>
          <w:pgMar w:top="1701" w:right="1418" w:bottom="1588" w:left="1418" w:header="851" w:footer="992" w:gutter="0"/>
          <w:cols w:space="425" w:num="1"/>
          <w:docGrid w:type="lines" w:linePitch="435" w:charSpace="0"/>
        </w:sectPr>
      </w:pPr>
      <w:r>
        <w:rPr>
          <w:b/>
          <w:sz w:val="32"/>
          <w:szCs w:val="36"/>
        </w:rPr>
        <w:t>202</w:t>
      </w:r>
      <w:r>
        <w:rPr>
          <w:rFonts w:hint="eastAsia"/>
          <w:b/>
          <w:sz w:val="32"/>
          <w:szCs w:val="36"/>
          <w:lang w:val="en-US" w:eastAsia="zh-CN"/>
        </w:rPr>
        <w:t>6</w:t>
      </w:r>
      <w:r>
        <w:rPr>
          <w:b/>
          <w:sz w:val="32"/>
          <w:szCs w:val="36"/>
        </w:rPr>
        <w:t>年</w:t>
      </w:r>
      <w:r>
        <w:rPr>
          <w:rFonts w:hint="eastAsia"/>
          <w:b/>
          <w:sz w:val="32"/>
          <w:szCs w:val="36"/>
          <w:lang w:val="en-US" w:eastAsia="zh-CN"/>
        </w:rPr>
        <w:t>10</w:t>
      </w:r>
      <w:r>
        <w:rPr>
          <w:b/>
          <w:sz w:val="32"/>
          <w:szCs w:val="36"/>
        </w:rPr>
        <w:t>月</w:t>
      </w:r>
    </w:p>
    <w:p w14:paraId="7CD8B9E4">
      <w:pPr>
        <w:ind w:firstLine="723"/>
        <w:jc w:val="left"/>
        <w:rPr>
          <w:b/>
          <w:sz w:val="36"/>
          <w:szCs w:val="40"/>
        </w:rPr>
      </w:pPr>
      <w:r>
        <w:rPr>
          <w:rFonts w:hint="eastAsia"/>
          <w:b/>
          <w:sz w:val="36"/>
          <w:szCs w:val="40"/>
        </w:rPr>
        <w:t>编制：</w:t>
      </w:r>
    </w:p>
    <w:p w14:paraId="21606427">
      <w:pPr>
        <w:ind w:firstLine="2883" w:firstLineChars="800"/>
        <w:jc w:val="left"/>
        <w:rPr>
          <w:b/>
          <w:sz w:val="36"/>
          <w:szCs w:val="40"/>
        </w:rPr>
      </w:pPr>
    </w:p>
    <w:p w14:paraId="09EEFD9E">
      <w:pPr>
        <w:ind w:firstLine="2883" w:firstLineChars="800"/>
        <w:jc w:val="left"/>
        <w:rPr>
          <w:b/>
          <w:sz w:val="36"/>
          <w:szCs w:val="40"/>
        </w:rPr>
      </w:pPr>
    </w:p>
    <w:p w14:paraId="30845AE2">
      <w:pPr>
        <w:ind w:firstLine="723"/>
        <w:jc w:val="left"/>
        <w:rPr>
          <w:b/>
          <w:sz w:val="36"/>
          <w:szCs w:val="40"/>
        </w:rPr>
      </w:pPr>
      <w:r>
        <w:rPr>
          <w:rFonts w:hint="eastAsia"/>
          <w:b/>
          <w:sz w:val="36"/>
          <w:szCs w:val="40"/>
        </w:rPr>
        <w:t>审核：</w:t>
      </w:r>
    </w:p>
    <w:p w14:paraId="609F6AB0">
      <w:pPr>
        <w:ind w:firstLine="2883" w:firstLineChars="800"/>
        <w:jc w:val="left"/>
        <w:rPr>
          <w:b/>
          <w:sz w:val="36"/>
          <w:szCs w:val="40"/>
        </w:rPr>
      </w:pPr>
    </w:p>
    <w:p w14:paraId="5ECCD2EE">
      <w:pPr>
        <w:ind w:firstLine="2883" w:firstLineChars="800"/>
        <w:jc w:val="left"/>
        <w:rPr>
          <w:b/>
          <w:sz w:val="36"/>
          <w:szCs w:val="40"/>
        </w:rPr>
      </w:pPr>
    </w:p>
    <w:p w14:paraId="72C4CB00">
      <w:pPr>
        <w:ind w:firstLine="723"/>
        <w:jc w:val="left"/>
        <w:rPr>
          <w:b/>
          <w:sz w:val="36"/>
          <w:szCs w:val="40"/>
        </w:rPr>
      </w:pPr>
      <w:r>
        <w:rPr>
          <w:rFonts w:hint="eastAsia"/>
          <w:b/>
          <w:sz w:val="36"/>
          <w:szCs w:val="40"/>
        </w:rPr>
        <w:t>批准：</w:t>
      </w:r>
    </w:p>
    <w:p w14:paraId="02ACB757">
      <w:pPr>
        <w:ind w:firstLine="723"/>
        <w:jc w:val="left"/>
        <w:rPr>
          <w:b/>
          <w:sz w:val="36"/>
          <w:szCs w:val="40"/>
        </w:rPr>
      </w:pPr>
    </w:p>
    <w:p w14:paraId="37022D4B">
      <w:pPr>
        <w:ind w:firstLine="723"/>
        <w:jc w:val="left"/>
        <w:rPr>
          <w:b/>
          <w:sz w:val="36"/>
          <w:szCs w:val="40"/>
        </w:rPr>
      </w:pPr>
    </w:p>
    <w:p w14:paraId="699061EC">
      <w:pPr>
        <w:ind w:firstLine="723"/>
        <w:jc w:val="left"/>
        <w:rPr>
          <w:b/>
          <w:sz w:val="36"/>
          <w:szCs w:val="40"/>
        </w:rPr>
      </w:pPr>
    </w:p>
    <w:p w14:paraId="63099D1C">
      <w:pPr>
        <w:ind w:firstLine="723"/>
        <w:jc w:val="left"/>
        <w:rPr>
          <w:b/>
          <w:sz w:val="36"/>
          <w:szCs w:val="40"/>
        </w:rPr>
      </w:pPr>
      <w:r>
        <w:rPr>
          <w:b/>
          <w:sz w:val="36"/>
          <w:szCs w:val="40"/>
        </w:rPr>
        <w:br w:type="page"/>
      </w:r>
    </w:p>
    <w:p w14:paraId="02DD171D">
      <w:pPr>
        <w:ind w:firstLine="643"/>
        <w:jc w:val="left"/>
        <w:rPr>
          <w:b/>
          <w:sz w:val="32"/>
          <w:szCs w:val="36"/>
        </w:rPr>
        <w:sectPr>
          <w:pgSz w:w="11906" w:h="16838"/>
          <w:pgMar w:top="1701" w:right="1418" w:bottom="1588" w:left="1418" w:header="851" w:footer="992" w:gutter="0"/>
          <w:cols w:space="425" w:num="1"/>
          <w:docGrid w:type="lines" w:linePitch="435" w:charSpace="0"/>
        </w:sectPr>
      </w:pPr>
    </w:p>
    <w:p w14:paraId="19DA3BFC">
      <w:pPr>
        <w:jc w:val="center"/>
        <w:rPr>
          <w:rFonts w:hint="eastAsia"/>
        </w:rPr>
      </w:pPr>
      <w:r>
        <w:rPr>
          <w:rFonts w:hint="eastAsia"/>
        </w:rPr>
        <w:t xml:space="preserve">目 </w:t>
      </w:r>
      <w:r>
        <w:t xml:space="preserve"> </w:t>
      </w:r>
      <w:r>
        <w:rPr>
          <w:rFonts w:hint="eastAsia"/>
        </w:rPr>
        <w:t>录</w:t>
      </w:r>
    </w:p>
    <w:p w14:paraId="16223D7B">
      <w:pPr>
        <w:jc w:val="center"/>
        <w:rPr>
          <w:rFonts w:hint="eastAsia"/>
        </w:rPr>
      </w:pPr>
    </w:p>
    <w:p w14:paraId="1623DB6B">
      <w:pPr>
        <w:rPr>
          <w:rFonts w:hint="default"/>
          <w:lang w:eastAsia="zh-CN"/>
        </w:rPr>
      </w:pPr>
      <w:r>
        <w:rPr>
          <w:rFonts w:hint="default"/>
          <w:lang w:eastAsia="zh-CN"/>
        </w:rPr>
        <w:br w:type="page"/>
      </w:r>
    </w:p>
    <w:p w14:paraId="7EDCC0AB">
      <w:pPr>
        <w:spacing w:before="360" w:after="240"/>
        <w:jc w:val="center"/>
      </w:pPr>
      <w:r>
        <w:rPr>
          <w:rFonts w:ascii="Times New Roman" w:hAnsi="Times New Roman" w:eastAsia="仿宋_GB2312"/>
          <w:b/>
          <w:sz w:val="32"/>
        </w:rPr>
        <w:t>第一章 绪论</w:t>
      </w:r>
    </w:p>
    <w:p w14:paraId="771FE944">
      <w:pPr>
        <w:spacing w:before="240" w:after="120"/>
        <w:jc w:val="left"/>
      </w:pPr>
      <w:r>
        <w:rPr>
          <w:rFonts w:ascii="Times New Roman" w:hAnsi="Times New Roman" w:eastAsia="仿宋_GB2312"/>
          <w:b/>
          <w:sz w:val="28"/>
        </w:rPr>
        <w:t>1.1 研究背景与意义</w:t>
      </w:r>
    </w:p>
    <w:p w14:paraId="4080F4F0">
      <w:pPr>
        <w:spacing w:before="0" w:after="0" w:line="360" w:lineRule="auto"/>
        <w:ind w:firstLine="480" w:firstLineChars="200"/>
        <w:jc w:val="both"/>
      </w:pPr>
      <w:r>
        <w:rPr>
          <w:rFonts w:ascii="Times New Roman" w:hAnsi="Times New Roman" w:eastAsia="仿宋_GB2312"/>
          <w:b w:val="0"/>
          <w:sz w:val="24"/>
        </w:rPr>
        <w:t>随着碳达峰碳中和目标和新型电力系统建设持续推进，分布式光伏进入规模化发展阶段。国家能源局数据显示，</w:t>
      </w:r>
      <w:commentRangeStart w:id="0"/>
      <w:r>
        <w:rPr>
          <w:rFonts w:ascii="Times New Roman" w:hAnsi="Times New Roman" w:eastAsia="仿宋_GB2312"/>
          <w:b w:val="0"/>
          <w:sz w:val="24"/>
        </w:rPr>
        <w:t>截至2025年底</w:t>
      </w:r>
      <w:commentRangeEnd w:id="0"/>
      <w:r>
        <w:commentReference w:id="0"/>
      </w:r>
      <w:r>
        <w:rPr>
          <w:rFonts w:ascii="Times New Roman" w:hAnsi="Times New Roman" w:eastAsia="仿宋_GB2312"/>
          <w:b w:val="0"/>
          <w:sz w:val="24"/>
        </w:rPr>
        <w:t>，全国分布式光伏累计并网容量达到5.3亿千瓦[1]。江苏省分布式光伏装机规模较大，徐州部分县域和高压分区已呈现新能源占比较高、局部反向潮流增多等特征。需要指出的是，某一区域是否属于“高渗透率地区”，应结合分布式电源装机渗透水平、年电量渗透水平、反向净负荷及设备运行约束综合判定，不宜仅依据行政区域作笼统认定。</w:t>
      </w:r>
    </w:p>
    <w:p w14:paraId="5490F180">
      <w:pPr>
        <w:spacing w:before="0" w:after="0" w:line="360" w:lineRule="auto"/>
        <w:ind w:firstLine="480" w:firstLineChars="200"/>
        <w:jc w:val="both"/>
      </w:pPr>
      <w:r>
        <w:rPr>
          <w:rFonts w:ascii="Times New Roman" w:hAnsi="Times New Roman" w:eastAsia="仿宋_GB2312"/>
          <w:b w:val="0"/>
          <w:sz w:val="24"/>
        </w:rPr>
        <w:t>分布式电源规模化接入后，配电网可能由传统单向供电转变为正、反向潮流交替的运行形态。负荷高峰时段，主变主要承担由上级电网向负荷侧供电的正向负载；光伏大发且本地负荷较低时，局部电力可能经主变向上级电网反送。上述工况与季节、天气、工作日类型、产业负荷特性以及光伏出力共同相关。本研究不预设“夏冬必然重载、春秋必然反送”的固定规律，而是基于近五个完整年度的时序运行数据识别季节、典型日和关键时段特征，并据此判断主变正向重载、反向重载及容量裕度问题。</w:t>
      </w:r>
    </w:p>
    <w:p w14:paraId="24CFF28F">
      <w:pPr>
        <w:spacing w:before="0" w:after="0" w:line="360" w:lineRule="auto"/>
        <w:ind w:firstLine="480" w:firstLineChars="200"/>
        <w:jc w:val="both"/>
      </w:pPr>
      <w:r>
        <w:rPr>
          <w:rFonts w:ascii="Times New Roman" w:hAnsi="Times New Roman" w:eastAsia="仿宋_GB2312"/>
          <w:b w:val="0"/>
          <w:sz w:val="24"/>
        </w:rPr>
        <w:t>容载比是配电网规划阶段衡量变电容量配置水平的宏观指标。DL/T 5729—2023规定，110～35 kV电网容载比以规划区域公用变压器总容量与最大正向净负荷之比表征，取值应综合考虑负荷增长、供电安全和转供能力[4]；DL/T 2041—2025则从系统级和设备级开展分布式电源承载力评估，校核设备容量、电压、反向潮流及新能源利用等约束[5]。因此，高渗透率地区的核心问题并非现行标准完全忽略反向潮流，而是工程规划中需要把正向容载比选取与反向承载力校核协同起来，避免仅凭单一容载比数值作出扩建或缓建决策。</w:t>
      </w:r>
    </w:p>
    <w:p w14:paraId="02CE19CA">
      <w:pPr>
        <w:spacing w:before="0" w:after="0" w:line="360" w:lineRule="auto"/>
        <w:ind w:firstLine="480" w:firstLineChars="200"/>
        <w:jc w:val="both"/>
      </w:pPr>
      <w:r>
        <w:rPr>
          <w:rFonts w:ascii="Times New Roman" w:hAnsi="Times New Roman" w:eastAsia="仿宋_GB2312"/>
          <w:b w:val="0"/>
          <w:sz w:val="24"/>
        </w:rPr>
        <w:t>本研究以徐州典型县域或高压分区的110 kV变电层为主要对象，从电网规划与投资决策协同优化角度，研究容载比差异化取值及配套技术方案的决策方法。理论上，拟将全寿命周期成本分析与正向容载比、反向承载力校核相结合，并按正向、反向潮流时段分类统计电能损耗成本，形成适用于分布式新能源高占比场景的经济技术评价框架。工程上，拟在满足供电安全、电能质量和设备承载力约束的前提下，为不同片区提出容载比推荐区间及网架、储能、可调节资源等方案组合，为徐州及类似地区开展差异化规划和精准投资提供参考。</w:t>
      </w:r>
    </w:p>
    <w:p w14:paraId="753F0079">
      <w:pPr>
        <w:spacing w:before="240" w:after="120"/>
        <w:jc w:val="left"/>
      </w:pPr>
      <w:r>
        <w:rPr>
          <w:rFonts w:ascii="Times New Roman" w:hAnsi="Times New Roman" w:eastAsia="仿宋_GB2312"/>
          <w:b/>
          <w:sz w:val="28"/>
        </w:rPr>
        <w:t>1.2 研究范围与对象</w:t>
      </w:r>
    </w:p>
    <w:p w14:paraId="009972D7">
      <w:pPr>
        <w:spacing w:before="0" w:after="0" w:line="360" w:lineRule="auto"/>
        <w:ind w:firstLine="480" w:firstLineChars="200"/>
        <w:jc w:val="both"/>
      </w:pPr>
      <w:r>
        <w:rPr>
          <w:rFonts w:ascii="Times New Roman" w:hAnsi="Times New Roman" w:eastAsia="仿宋_GB2312"/>
          <w:b w:val="0"/>
          <w:sz w:val="24"/>
        </w:rPr>
        <w:t>本研究聚焦110～35 kV高压配电网，重点分析110 kV变电层及其下接35 kV、10 kV网络的源荷与潮流特征。该层级是下级分布式电源汇集和可能发生反向送电的重要环节，也是容载比指标的主要应用层级。DL/T 5729—2023适用于110 kV及以下公用交流配电网规划[4]；GB/T 45418—2025主要适用于10 kV及以下交流配电网，其相关要求仅作为研究下级配电网影响时的补充依据[6]。</w:t>
      </w:r>
    </w:p>
    <w:p w14:paraId="3F812028">
      <w:pPr>
        <w:spacing w:before="0" w:after="0" w:line="360" w:lineRule="auto"/>
        <w:ind w:firstLine="480" w:firstLineChars="200"/>
        <w:jc w:val="both"/>
      </w:pPr>
      <w:r>
        <w:rPr>
          <w:rFonts w:ascii="Times New Roman" w:hAnsi="Times New Roman" w:eastAsia="仿宋_GB2312"/>
          <w:b w:val="0"/>
          <w:sz w:val="24"/>
        </w:rPr>
        <w:t>研究地域对象为徐州分布式新能源占比较高、具有代表性且数据条件完整的县（市、区）或高压供电分区。按照配电网规划导则，容载比宜以县（市、区）或在发展阶段、负荷特性差异明显时以高压分区为基本计算单元[4]。在此基础上，可选取边界清晰、拓扑关系明确的典型片区开展案例分析，但不以任意划定的小片区替代规范要求的容载比统计单元。</w:t>
      </w:r>
    </w:p>
    <w:p w14:paraId="3736CA3D">
      <w:pPr>
        <w:spacing w:before="0" w:after="0" w:line="360" w:lineRule="auto"/>
        <w:ind w:firstLine="480" w:firstLineChars="200"/>
        <w:jc w:val="both"/>
      </w:pPr>
      <w:r>
        <w:rPr>
          <w:rFonts w:ascii="Times New Roman" w:hAnsi="Times New Roman" w:eastAsia="仿宋_GB2312"/>
          <w:b w:val="0"/>
          <w:sz w:val="24"/>
        </w:rPr>
        <w:t>研究时间范围以2021—2025年五个完整年度的运行数据为基础，并结合规划年份负荷及分布式光伏发展预测开展前瞻分析。数据宜包括15 min或小时级主变有功功率及方向、最大正向净负荷、最大反向净负荷、主变额定容量和运行方式、分布式电源装机与发电量、负荷电量、网络联络关系、储能及可调节资源，以及相关扩建、改造工程造价。数据分析不预设季节类型，而应通过时序统计识别正向重载、反向潮流和典型运行场景，构建“新能源渗透水平—电网运行状态”数据库。</w:t>
      </w:r>
    </w:p>
    <w:p w14:paraId="24FAA34C">
      <w:pPr>
        <w:spacing w:before="0" w:after="0" w:line="360" w:lineRule="auto"/>
        <w:ind w:firstLine="480" w:firstLineChars="200"/>
        <w:jc w:val="both"/>
      </w:pPr>
      <w:r>
        <w:rPr>
          <w:rFonts w:ascii="Times New Roman" w:hAnsi="Times New Roman" w:eastAsia="仿宋_GB2312"/>
          <w:b w:val="0"/>
          <w:sz w:val="24"/>
        </w:rPr>
        <w:t>本研究属于规划方法与投资决策研究。所有推荐方案均应以现行国家和行业标准、N-1供电安全、电压与设备热稳定等约束为前提，并按DL/T 2041—2025开展系统级和设备级承载力校核[5]。研究不替代具体工程的潮流、短路电流、继电保护、电能质量和接入系统专题论证；对储能、网架加强、运行方式优化等措施，主要开展方案组合与经济性比较，不展开设备级控制策略设计。</w:t>
      </w:r>
    </w:p>
    <w:p w14:paraId="51FDA3B2">
      <w:pPr>
        <w:spacing w:before="240" w:after="120"/>
        <w:jc w:val="left"/>
      </w:pPr>
      <w:r>
        <w:rPr>
          <w:rFonts w:ascii="Times New Roman" w:hAnsi="Times New Roman" w:eastAsia="仿宋_GB2312"/>
          <w:b/>
          <w:sz w:val="28"/>
        </w:rPr>
        <w:t>1.3 研究目标与内容</w:t>
      </w:r>
    </w:p>
    <w:p w14:paraId="322FAE88">
      <w:pPr>
        <w:spacing w:before="0" w:after="0" w:line="360" w:lineRule="auto"/>
        <w:ind w:firstLine="480" w:firstLineChars="200"/>
        <w:jc w:val="both"/>
      </w:pPr>
      <w:r>
        <w:rPr>
          <w:rFonts w:ascii="Times New Roman" w:hAnsi="Times New Roman" w:eastAsia="仿宋_GB2312"/>
          <w:b w:val="0"/>
          <w:sz w:val="24"/>
        </w:rPr>
        <w:t>本项目拟分析徐州典型地区新能源渗透水平、网络结构与电网运行状态之间的关系，建立计及投资、运维、电能损耗和期末残值等因素的全寿命周期成本模型，并构建“规范基准方案—差异化方案组合”的经济技术比较框架。规范基准方案按照现行导则推荐区间、负荷增长水平和供电安全要求确定容载比，同时完成反向承载力校核；差异化方案在同样满足安全与承载力约束的前提下，结合源荷特征、联络能力及技术措施选择不同的容载比区间和建设方案。最终形成面向不同县域或高压分区的“一片一策”规划建议。</w:t>
      </w:r>
    </w:p>
    <w:p w14:paraId="61647D52">
      <w:pPr>
        <w:spacing w:before="0" w:after="0" w:line="360" w:lineRule="auto"/>
        <w:ind w:firstLine="480" w:firstLineChars="200"/>
        <w:jc w:val="both"/>
      </w:pPr>
      <w:r>
        <w:rPr>
          <w:rFonts w:ascii="Times New Roman" w:hAnsi="Times New Roman" w:eastAsia="仿宋_GB2312"/>
          <w:b w:val="0"/>
          <w:color w:val="C00000"/>
          <w:sz w:val="24"/>
          <w:u w:val="single"/>
        </w:rPr>
        <w:t>本研究沿用项目名称中的“弹性容载比”表述，</w:t>
      </w:r>
      <w:r>
        <w:rPr>
          <w:rFonts w:ascii="Times New Roman" w:hAnsi="Times New Roman" w:eastAsia="仿宋_GB2312"/>
          <w:b w:val="0"/>
          <w:color w:val="C00000"/>
          <w:sz w:val="24"/>
          <w:highlight w:val="yellow"/>
          <w:u w:val="single"/>
        </w:rPr>
        <w:t>但将其界定为项目内部的规划决策概念，而非国家或行业标准术语</w:t>
      </w:r>
      <w:r>
        <w:rPr>
          <w:rFonts w:ascii="Times New Roman" w:hAnsi="Times New Roman" w:eastAsia="仿宋_GB2312"/>
          <w:b w:val="0"/>
          <w:color w:val="C00000"/>
          <w:sz w:val="24"/>
          <w:u w:val="single"/>
        </w:rPr>
        <w:t>。</w:t>
      </w:r>
      <w:r>
        <w:rPr>
          <w:rFonts w:ascii="Times New Roman" w:hAnsi="Times New Roman" w:eastAsia="仿宋_GB2312"/>
          <w:b w:val="0"/>
          <w:sz w:val="24"/>
        </w:rPr>
        <w:t>其含义是：在DL/T 5729—2023规定的容载比方法和推荐范围内，结合负荷增长、供电安全、网络转供能力及分布式电源发展特征进行差异化取值，并同步依据DL/T 2041—2025校核系统级和设备级承载力[4-5]。容载比2.0仅是相关推荐范围的上限，不是所有区域统一适用的刚性值；“弹性”也不等于突破标准上限或以提高容载比代替反向过载、电压越限等安全校核。</w:t>
      </w:r>
    </w:p>
    <w:p w14:paraId="1ECB2C2E">
      <w:pPr>
        <w:spacing w:before="0" w:after="0" w:line="360" w:lineRule="auto"/>
        <w:ind w:firstLine="480" w:firstLineChars="200"/>
        <w:jc w:val="both"/>
      </w:pPr>
      <w:r>
        <w:rPr>
          <w:rFonts w:ascii="Times New Roman" w:hAnsi="Times New Roman" w:eastAsia="仿宋_GB2312"/>
          <w:b w:val="0"/>
          <w:sz w:val="24"/>
        </w:rPr>
        <w:t>围绕上述目标，研究内容按如下七章组织：</w:t>
      </w:r>
    </w:p>
    <w:p w14:paraId="7233B64E">
      <w:pPr>
        <w:spacing w:before="0" w:after="0" w:line="360" w:lineRule="auto"/>
        <w:ind w:firstLine="480" w:firstLineChars="200"/>
        <w:jc w:val="both"/>
      </w:pPr>
      <w:r>
        <w:rPr>
          <w:rFonts w:ascii="Times New Roman" w:hAnsi="Times New Roman" w:eastAsia="仿宋_GB2312"/>
          <w:b w:val="0"/>
          <w:sz w:val="24"/>
        </w:rPr>
        <w:t>第一章 绪论，阐述研究背景与意义、研究范围与对象、研究目标与内容以及研究方法与技术路线。</w:t>
      </w:r>
    </w:p>
    <w:p w14:paraId="7B325799">
      <w:pPr>
        <w:spacing w:before="0" w:after="0" w:line="360" w:lineRule="auto"/>
        <w:ind w:firstLine="480" w:firstLineChars="200"/>
        <w:jc w:val="both"/>
      </w:pPr>
      <w:r>
        <w:rPr>
          <w:rFonts w:ascii="Times New Roman" w:hAnsi="Times New Roman" w:eastAsia="仿宋_GB2312"/>
          <w:b w:val="0"/>
          <w:sz w:val="24"/>
        </w:rPr>
        <w:t>第二章 文献综述与理论基础，梳理容载比、分布式电源承载力及高渗透率配电网规划研究进展，界定容载比、源荷比、电量渗透率、联络度、全寿命周期成本和层次分析法等概念。</w:t>
      </w:r>
    </w:p>
    <w:p w14:paraId="1F520259">
      <w:pPr>
        <w:spacing w:before="0" w:after="0" w:line="360" w:lineRule="auto"/>
        <w:ind w:firstLine="480" w:firstLineChars="200"/>
        <w:jc w:val="both"/>
      </w:pPr>
      <w:r>
        <w:rPr>
          <w:rFonts w:ascii="Times New Roman" w:hAnsi="Times New Roman" w:eastAsia="仿宋_GB2312"/>
          <w:b w:val="0"/>
          <w:sz w:val="24"/>
        </w:rPr>
        <w:t>第三章 徐州典型地区“新能源—电网”运行特征分析，统计分布式电源与负荷发展情况，识别主变正向重载、反向潮流等多工况规律，分析源荷指标与电网运行状态的关系，构建基础数据库。</w:t>
      </w:r>
    </w:p>
    <w:p w14:paraId="5E0D8DDB">
      <w:pPr>
        <w:spacing w:before="0" w:after="0" w:line="360" w:lineRule="auto"/>
        <w:ind w:firstLine="480" w:firstLineChars="200"/>
        <w:jc w:val="both"/>
      </w:pPr>
      <w:r>
        <w:rPr>
          <w:rFonts w:ascii="Times New Roman" w:hAnsi="Times New Roman" w:eastAsia="仿宋_GB2312"/>
          <w:b w:val="0"/>
          <w:sz w:val="24"/>
        </w:rPr>
        <w:t>第四章 基于实际工程的电网建设成本模型，明确成本边界和参数口径，识别成本驱动因素，分别测算规范基准方案与差异化方案组合的全寿命周期成本，并形成决策案例库。</w:t>
      </w:r>
    </w:p>
    <w:p w14:paraId="5D3559AB">
      <w:pPr>
        <w:spacing w:before="0" w:after="0" w:line="360" w:lineRule="auto"/>
        <w:ind w:firstLine="480" w:firstLineChars="200"/>
        <w:jc w:val="both"/>
      </w:pPr>
      <w:r>
        <w:rPr>
          <w:rFonts w:ascii="Times New Roman" w:hAnsi="Times New Roman" w:eastAsia="仿宋_GB2312"/>
          <w:b w:val="0"/>
          <w:sz w:val="24"/>
        </w:rPr>
        <w:t>第五章 “一片一策”规划建议，在完成负荷和分布式光伏预测及承载力校核的基础上，构建评价指标体系，对通过安全约束筛选的备选方案开展层次分析，提出不同地区类型的容载比推荐区间及配套技术方案。</w:t>
      </w:r>
    </w:p>
    <w:p w14:paraId="30A4697E">
      <w:pPr>
        <w:spacing w:before="0" w:after="0" w:line="360" w:lineRule="auto"/>
        <w:ind w:firstLine="480" w:firstLineChars="200"/>
        <w:jc w:val="both"/>
      </w:pPr>
      <w:r>
        <w:rPr>
          <w:rFonts w:ascii="Times New Roman" w:hAnsi="Times New Roman" w:eastAsia="仿宋_GB2312"/>
          <w:b w:val="0"/>
          <w:sz w:val="24"/>
        </w:rPr>
        <w:t>第六章 典型案例验证，选取数据完整的典型县域或高压分区，对规范基准方案与差异化方案进行对比，评价方法的适用性和经济技术效果。</w:t>
      </w:r>
    </w:p>
    <w:p w14:paraId="535D8F29">
      <w:pPr>
        <w:spacing w:before="0" w:after="0" w:line="360" w:lineRule="auto"/>
        <w:ind w:firstLine="480" w:firstLineChars="200"/>
        <w:jc w:val="both"/>
      </w:pPr>
      <w:r>
        <w:rPr>
          <w:rFonts w:ascii="Times New Roman" w:hAnsi="Times New Roman" w:eastAsia="仿宋_GB2312"/>
          <w:b w:val="0"/>
          <w:sz w:val="24"/>
        </w:rPr>
        <w:t>第七章 结论与展望。</w:t>
      </w:r>
    </w:p>
    <w:p w14:paraId="2D72B2CB">
      <w:pPr>
        <w:spacing w:before="240" w:after="120"/>
        <w:jc w:val="left"/>
      </w:pPr>
      <w:r>
        <w:rPr>
          <w:rFonts w:ascii="Times New Roman" w:hAnsi="Times New Roman" w:eastAsia="仿宋_GB2312"/>
          <w:b/>
          <w:sz w:val="28"/>
        </w:rPr>
        <w:t>1.4 研究方法与技术路线</w:t>
      </w:r>
    </w:p>
    <w:p w14:paraId="37DD8602">
      <w:pPr>
        <w:spacing w:before="0" w:after="0" w:line="360" w:lineRule="auto"/>
        <w:ind w:firstLine="480" w:firstLineChars="200"/>
        <w:jc w:val="both"/>
      </w:pPr>
      <w:r>
        <w:rPr>
          <w:rFonts w:ascii="Times New Roman" w:hAnsi="Times New Roman" w:eastAsia="仿宋_GB2312"/>
          <w:b w:val="0"/>
          <w:sz w:val="24"/>
        </w:rPr>
        <w:t>本研究综合采用规范分析、时序数据统计、潮流与安全校核、成本分析和多准则决策等方法。首先，依据国家政策和现行国家、行业标准明确指标定义、计算单元和约束边界；其次，对主变负荷、分布式电源出力及潮流方向开展时序统计，识别典型运行场景；再次，对备选规划方案进行潮流、N-1及承载力校核，并建立全寿命周期成本模型；最后，仅对通过安全、电能质量和设备承载力约束的可行方案采用层次分析法进行综合排序，并通过权重敏感性分析和典型案例验证结论的稳健性。</w:t>
      </w:r>
    </w:p>
    <w:p w14:paraId="32415A7E">
      <w:pPr>
        <w:spacing w:before="0" w:after="0" w:line="360" w:lineRule="auto"/>
        <w:ind w:firstLine="480" w:firstLineChars="200"/>
        <w:jc w:val="both"/>
      </w:pPr>
      <w:r>
        <w:rPr>
          <w:rFonts w:ascii="Times New Roman" w:hAnsi="Times New Roman" w:eastAsia="仿宋_GB2312"/>
          <w:b w:val="0"/>
          <w:sz w:val="24"/>
        </w:rPr>
        <w:t>技术路线分为五个步骤：①数据与规范准备——收集2021—2025年完整时序运行数据、源荷指标、网络结构和实际工程造价，统一数据口径并形成基础数据库；②运行特征与承载力分析——识别最大正向净负荷、最大反向净负荷及典型场景，按现行标准开展正向容载比计算和系统级、设备级承载力校核；③成本建模与方案构建——建立包含建设、运维、损耗和期末残值抵扣的全寿命周期成本模型，设置规范基准方案及若干差异化技术方案组合；④综合决策——在安全可行方案中，结合源荷特征、联络能力、负荷增长及经济性指标，运用AHP确定权重，并开展权重扰动敏感性分析；⑤案例验证——选取典型地区对方案进行复盘与比较，形成可核验的“一片一策”建议、技术研究报告和期刊论文。</w:t>
      </w:r>
    </w:p>
    <w:p w14:paraId="44D2070F">
      <w:pPr>
        <w:spacing w:before="0" w:after="0" w:line="360" w:lineRule="auto"/>
        <w:ind w:firstLine="480" w:firstLineChars="200"/>
        <w:jc w:val="both"/>
        <w:rPr>
          <w:rFonts w:ascii="Times New Roman" w:hAnsi="Times New Roman" w:eastAsia="仿宋_GB2312"/>
          <w:b w:val="0"/>
          <w:sz w:val="24"/>
        </w:rPr>
      </w:pPr>
      <w:r>
        <w:rPr>
          <w:rFonts w:ascii="Times New Roman" w:hAnsi="Times New Roman" w:eastAsia="仿宋_GB2312"/>
          <w:b w:val="0"/>
          <w:sz w:val="24"/>
        </w:rPr>
        <w:t>上述路线以“规范边界—数据识别—安全校核—成本比较—综合决策—案例验证”为主线。研究重点是建立正向容载比选择、反向承载力校核与全寿命周期成本评价相互衔接的规划决策框架，确保推荐区间和技术方案均可追溯至规范要求、运行数据与工程成本。</w:t>
      </w:r>
    </w:p>
    <w:p w14:paraId="5DDB9C49">
      <w:pPr>
        <w:spacing w:before="0" w:after="0" w:line="360" w:lineRule="auto"/>
        <w:ind w:firstLine="480" w:firstLineChars="200"/>
        <w:jc w:val="center"/>
      </w:pPr>
      <w:r>
        <w:rPr>
          <w:rFonts w:ascii="Times New Roman" w:hAnsi="Times New Roman" w:eastAsia="仿宋_GB2312"/>
          <w:b w:val="0"/>
          <w:sz w:val="24"/>
        </w:rPr>
        <w:br w:type="page"/>
      </w:r>
      <w:r>
        <w:rPr>
          <w:rFonts w:ascii="Times New Roman" w:hAnsi="Times New Roman" w:eastAsia="仿宋_GB2312"/>
          <w:b/>
          <w:sz w:val="32"/>
        </w:rPr>
        <w:t>第二章 文献综述与理论基础</w:t>
      </w:r>
    </w:p>
    <w:p w14:paraId="420FC9D0">
      <w:pPr>
        <w:spacing w:before="240" w:after="120"/>
        <w:jc w:val="left"/>
      </w:pPr>
      <w:r>
        <w:rPr>
          <w:rFonts w:ascii="Times New Roman" w:hAnsi="Times New Roman" w:eastAsia="仿宋_GB2312"/>
          <w:b/>
          <w:sz w:val="28"/>
        </w:rPr>
        <w:t>2.1 国内外研究现状</w:t>
      </w:r>
    </w:p>
    <w:p w14:paraId="1B08B890">
      <w:pPr>
        <w:spacing w:before="0" w:after="0" w:line="360" w:lineRule="auto"/>
        <w:ind w:firstLine="480" w:firstLineChars="200"/>
        <w:jc w:val="both"/>
      </w:pPr>
      <w:r>
        <w:rPr>
          <w:rFonts w:ascii="Times New Roman" w:hAnsi="Times New Roman" w:eastAsia="仿宋_GB2312"/>
          <w:b w:val="0"/>
          <w:sz w:val="24"/>
        </w:rPr>
        <w:t>容载比、分布式电源承载力和配电网规划研究已形成较为丰富的理论与工程成果。本节分别梳理国外承载力与灵活资源规划研究、国内容载比与安全经济承载力研究，并据此明确本课题在徐州110 kV变电层开展本地化、工程化研究的切入点。</w:t>
      </w:r>
    </w:p>
    <w:p w14:paraId="66095CF7">
      <w:pPr>
        <w:spacing w:before="160" w:after="80"/>
        <w:jc w:val="left"/>
      </w:pPr>
      <w:r>
        <w:rPr>
          <w:rFonts w:ascii="Times New Roman" w:hAnsi="Times New Roman" w:eastAsia="仿宋_GB2312"/>
          <w:b/>
          <w:sz w:val="24"/>
        </w:rPr>
        <w:t>2.1.1 国外研究现状</w:t>
      </w:r>
    </w:p>
    <w:p w14:paraId="7FEE2C0F">
      <w:pPr>
        <w:spacing w:before="0" w:after="0" w:line="360" w:lineRule="auto"/>
        <w:ind w:firstLine="480" w:firstLineChars="200"/>
        <w:jc w:val="both"/>
      </w:pPr>
      <w:r>
        <w:rPr>
          <w:rFonts w:ascii="Times New Roman" w:hAnsi="Times New Roman" w:eastAsia="仿宋_GB2312"/>
          <w:b w:val="0"/>
          <w:sz w:val="24"/>
        </w:rPr>
        <w:t>国外配电网规划中常用分布式电源承载力（Hosting Capacity，HC）描述在满足设备容量、电压、电能质量和保护等约束条件下，电网可接纳的分布式电源规模。DL/T 2041—2025也将承载力划分为系统级和设备级，并综合考虑负荷、新能源利用及灵活调节资源[5]。承载力与容载比相互关联但并不等同：前者侧重分布式电源接入边界，后者侧重变电容量与最大正向净负荷的配置关系，规划中需要分别计算并协同校核。</w:t>
      </w:r>
    </w:p>
    <w:p w14:paraId="255FB5A9">
      <w:pPr>
        <w:spacing w:before="0" w:after="0" w:line="360" w:lineRule="auto"/>
        <w:ind w:firstLine="480" w:firstLineChars="200"/>
        <w:jc w:val="both"/>
      </w:pPr>
      <w:r>
        <w:rPr>
          <w:rFonts w:ascii="Times New Roman" w:hAnsi="Times New Roman" w:eastAsia="仿宋_GB2312"/>
          <w:b w:val="0"/>
          <w:sz w:val="24"/>
        </w:rPr>
        <w:t>在方法层面，国外研究逐步由确定性静态评估拓展到时序、概率和多资源协同规划。Wang等提出柔性配电网多资源动态协同规划方法，说明网络重构、灵活互联和可调资源的协同配置可提升系统适应性[14]；Matthiss等针对高光伏渗透配电网研究储能定址定容，为比较储能与网架投资方案提供了方法参考[15]。这些研究表明，提升承载力不应仅依赖扩建单一设备，而应综合比较网架、储能和运行灵活性等措施。</w:t>
      </w:r>
    </w:p>
    <w:p w14:paraId="7C72C696">
      <w:pPr>
        <w:spacing w:before="160" w:after="80"/>
        <w:jc w:val="left"/>
      </w:pPr>
      <w:r>
        <w:rPr>
          <w:rFonts w:ascii="Times New Roman" w:hAnsi="Times New Roman" w:eastAsia="仿宋_GB2312"/>
          <w:b/>
          <w:sz w:val="24"/>
        </w:rPr>
        <w:t>2.1.2 国内研究现状</w:t>
      </w:r>
    </w:p>
    <w:p w14:paraId="51D8BC24">
      <w:pPr>
        <w:spacing w:before="0" w:after="0" w:line="360" w:lineRule="auto"/>
        <w:ind w:firstLine="480" w:firstLineChars="200"/>
        <w:jc w:val="both"/>
      </w:pPr>
      <w:r>
        <w:rPr>
          <w:rFonts w:ascii="Times New Roman" w:hAnsi="Times New Roman" w:eastAsia="仿宋_GB2312"/>
          <w:b w:val="0"/>
          <w:sz w:val="24"/>
        </w:rPr>
        <w:t>国内相关研究可概括为容载比理论与指标改进、最大供电能力与承载力评估、安全经济规划以及政策标准四个方面。</w:t>
      </w:r>
    </w:p>
    <w:p w14:paraId="5ACF3DA2">
      <w:pPr>
        <w:spacing w:before="0" w:after="0" w:line="360" w:lineRule="auto"/>
        <w:ind w:firstLine="480" w:firstLineChars="200"/>
        <w:jc w:val="both"/>
      </w:pPr>
      <w:r>
        <w:rPr>
          <w:rFonts w:ascii="Times New Roman" w:hAnsi="Times New Roman" w:eastAsia="仿宋_GB2312"/>
          <w:b w:val="0"/>
          <w:sz w:val="24"/>
        </w:rPr>
        <w:t>在容载比理论与最大供电能力方面，肖峻等量化分析了变电容载比与下一级中压配电网络结构的关系，说明网络联络与负载均衡会影响所需变电容量裕度[7]；陈浩等从多电压等级电网技术经济约束出发研究最优容载比计算方法[8]；马雨欣、林凌雪提出面向精准规划的最大供电能力评估方法，将分布式电源场景纳入供电能力计算[11]。上述研究为本课题把网络转供能力、源荷特征与容量配置统筹分析提供了基础。</w:t>
      </w:r>
    </w:p>
    <w:p w14:paraId="19CDC277">
      <w:pPr>
        <w:spacing w:before="0" w:after="0" w:line="360" w:lineRule="auto"/>
        <w:ind w:firstLine="480" w:firstLineChars="200"/>
        <w:jc w:val="both"/>
      </w:pPr>
      <w:r>
        <w:rPr>
          <w:rFonts w:ascii="Times New Roman" w:hAnsi="Times New Roman" w:eastAsia="仿宋_GB2312"/>
          <w:b w:val="0"/>
          <w:sz w:val="24"/>
        </w:rPr>
        <w:t>在指标精细化和参数优化方面，刘文霞等提出基于容载比色带的区域配电网充裕性分析方法，以分区分级方式表达容量配置状态[9]；刘炜彬等基于全寿命周期成本对容载比参数进行精细化分析，指出参数选择应结合地区发展和电源结构特征[10]。这些成果支持由单一经验值转向分区间、分情景评价，但具体推荐值仍须服从现行导则的计算口径和安全约束。</w:t>
      </w:r>
    </w:p>
    <w:p w14:paraId="11ECA897">
      <w:pPr>
        <w:spacing w:before="0" w:after="0" w:line="360" w:lineRule="auto"/>
        <w:ind w:firstLine="480" w:firstLineChars="200"/>
        <w:jc w:val="both"/>
      </w:pPr>
      <w:r>
        <w:rPr>
          <w:rFonts w:ascii="Times New Roman" w:hAnsi="Times New Roman" w:eastAsia="仿宋_GB2312"/>
          <w:b w:val="0"/>
          <w:sz w:val="24"/>
        </w:rPr>
        <w:t>在分布式光伏承载力和安全经济规划方面，宋钰等构建兼顾安全与经济性的分布式光伏承载力评估方法[12]；李敬如等研究主配协同条件下的安全经济承载力计算[13]。此类研究强调，应先满足电压、设备容量和运行安全等约束，再比较扩网、储能和调节措施的经济性。本课题借鉴其“安全约束先行、经济比较随后”的思路，但不直接移植复杂优化模型，而是结合徐州实际数据建立可解释、可复核的规划决策流程。</w:t>
      </w:r>
    </w:p>
    <w:p w14:paraId="0FE963BB">
      <w:pPr>
        <w:spacing w:before="0" w:after="0" w:line="360" w:lineRule="auto"/>
        <w:ind w:firstLine="480" w:firstLineChars="200"/>
        <w:jc w:val="both"/>
      </w:pPr>
      <w:r>
        <w:rPr>
          <w:rFonts w:ascii="Times New Roman" w:hAnsi="Times New Roman" w:eastAsia="仿宋_GB2312"/>
          <w:b w:val="0"/>
          <w:sz w:val="24"/>
        </w:rPr>
        <w:t>在政策与标准方面，《关于新形势下配电网高质量发展的指导意见》提出加强配电网承载力分析，推动源网荷储协同和差异化规划，提高投资效益[2]；《分布式光伏发电开发建设管理办法》进一步规范分布式光伏开发建设与接网管理[3]。DL/T 5729—2023明确110 kV及以下配电网规划和容载比要求[4]，DL/T 2041—2025明确分布式电源承载力评估方法[5]，GB/T 45418—2025则为10 kV及以下配电网提供通用技术要求[6]。上述文件共同构成本研究确定指标口径和约束边界的主要依据。</w:t>
      </w:r>
    </w:p>
    <w:p w14:paraId="05CF115C">
      <w:pPr>
        <w:spacing w:before="160" w:after="80"/>
        <w:jc w:val="left"/>
      </w:pPr>
      <w:r>
        <w:rPr>
          <w:rFonts w:ascii="Times New Roman" w:hAnsi="Times New Roman" w:eastAsia="仿宋_GB2312"/>
          <w:b/>
          <w:sz w:val="24"/>
        </w:rPr>
        <w:t>2.1.3 现状评述与本课题切入点</w:t>
      </w:r>
    </w:p>
    <w:p w14:paraId="6118CC4A">
      <w:pPr>
        <w:spacing w:before="0" w:after="0" w:line="360" w:lineRule="auto"/>
        <w:ind w:firstLine="480" w:firstLineChars="200"/>
        <w:jc w:val="both"/>
      </w:pPr>
      <w:r>
        <w:rPr>
          <w:rFonts w:ascii="Times New Roman" w:hAnsi="Times New Roman" w:eastAsia="仿宋_GB2312"/>
          <w:b w:val="0"/>
          <w:sz w:val="24"/>
        </w:rPr>
        <w:t>综合已有研究，容载比、最大供电能力和分布式电源承载力的理论方法已较成熟，时序分析、分级评价和安全经济协同成为重要发展方向。相较而言，针对地方110 kV高压分区，将正向容载比选择、反向承载力校核、实际工程成本和差异化方案推荐贯通起来的工程决策研究仍相对有限。本课题拟以徐州完整时序运行数据和实际造价为基础，在现行标准约束内构建可追溯的方案比较与“一片一策”建议方法，不以突破标准边界或追求单一数学最优值为目标。</w:t>
      </w:r>
    </w:p>
    <w:p w14:paraId="70B530ED">
      <w:pPr>
        <w:spacing w:before="240" w:after="120"/>
        <w:jc w:val="left"/>
      </w:pPr>
      <w:r>
        <w:rPr>
          <w:rFonts w:ascii="Times New Roman" w:hAnsi="Times New Roman" w:eastAsia="仿宋_GB2312"/>
          <w:b/>
          <w:sz w:val="28"/>
        </w:rPr>
        <w:t>2.2 核心概念与理论基础</w:t>
      </w:r>
    </w:p>
    <w:p w14:paraId="2E8E93C0">
      <w:pPr>
        <w:spacing w:before="160" w:after="80"/>
        <w:jc w:val="left"/>
      </w:pPr>
      <w:r>
        <w:rPr>
          <w:rFonts w:ascii="Times New Roman" w:hAnsi="Times New Roman" w:eastAsia="仿宋_GB2312"/>
          <w:b/>
          <w:sz w:val="24"/>
        </w:rPr>
        <w:t>2.2.1 容载比</w:t>
      </w:r>
    </w:p>
    <w:p w14:paraId="51657C55">
      <w:pPr>
        <w:spacing w:before="0" w:after="0" w:line="360" w:lineRule="auto"/>
        <w:ind w:firstLine="480" w:firstLineChars="200"/>
        <w:jc w:val="both"/>
      </w:pPr>
      <w:r>
        <w:rPr>
          <w:rFonts w:ascii="Times New Roman" w:hAnsi="Times New Roman" w:eastAsia="仿宋_GB2312"/>
          <w:b w:val="0"/>
          <w:sz w:val="24"/>
        </w:rPr>
        <w:t>容载比是规划区域某电压等级公用变压器总容量与该区域最大正向净负荷之比。按照DL/T 5729—2023，110～35 kV电网容载比一般在1.5～2.0范围内，并根据规划区域年最大负荷增长率分档推荐：增长率不大于2%时为1.5～1.7，2%～4%时为1.6～1.8，4%～7%时为1.7～1.9，大于7%时为1.8～2.0；具体取值还应考虑供电安全和转供能力[4]。因此，2.0是推荐范围上限而非统一控制值，容载比也不能替代对反向潮流、设备过载和电压问题的专项校核。</w:t>
      </w:r>
    </w:p>
    <w:p w14:paraId="37D30EC0">
      <w:pPr>
        <w:spacing w:before="160" w:after="80"/>
        <w:jc w:val="left"/>
      </w:pPr>
      <w:r>
        <w:rPr>
          <w:rFonts w:ascii="Times New Roman" w:hAnsi="Times New Roman" w:eastAsia="仿宋_GB2312"/>
          <w:b/>
          <w:sz w:val="24"/>
        </w:rPr>
        <w:t>2.2.2 源荷比与电量渗透率</w:t>
      </w:r>
    </w:p>
    <w:p w14:paraId="08FE9424">
      <w:pPr>
        <w:spacing w:before="0" w:after="0" w:line="360" w:lineRule="auto"/>
        <w:ind w:firstLine="480" w:firstLineChars="200"/>
        <w:jc w:val="both"/>
      </w:pPr>
      <w:r>
        <w:rPr>
          <w:rFonts w:ascii="Times New Roman" w:hAnsi="Times New Roman" w:eastAsia="仿宋_GB2312"/>
          <w:b w:val="0"/>
          <w:sz w:val="24"/>
        </w:rPr>
        <w:t>本研究将“源荷比”作为项目分析指标，定义为研究单元内分布式电源装机容量与最大负荷之比，用于表征装机规模相对负荷水平；将“电量渗透率”定义为分布式电源年发电量与同期用电量之比，用于表征年度电量平衡特征。两者分别属于容量口径和电量口径，不能相互替代，也不能单独作为承载力合格判据。实际承载力应按DL/T 2041—2025结合负荷时序、新能源出力、设备容量、电压和灵活调节资源进行系统级、设备级评估[5]。若引用修订稿或地方文件中的阈值，应明确其适用范围，不将其表述为全国统一的强制性判据。</w:t>
      </w:r>
    </w:p>
    <w:p w14:paraId="5D611C62">
      <w:pPr>
        <w:spacing w:before="160" w:after="80"/>
        <w:jc w:val="left"/>
      </w:pPr>
      <w:r>
        <w:rPr>
          <w:rFonts w:ascii="Times New Roman" w:hAnsi="Times New Roman" w:eastAsia="仿宋_GB2312"/>
          <w:b/>
          <w:sz w:val="24"/>
        </w:rPr>
        <w:t>2.2.3 联络度与最大供电能力</w:t>
      </w:r>
    </w:p>
    <w:p w14:paraId="653C41F5">
      <w:pPr>
        <w:spacing w:before="0" w:after="0" w:line="360" w:lineRule="auto"/>
        <w:ind w:firstLine="480" w:firstLineChars="200"/>
        <w:jc w:val="both"/>
      </w:pPr>
      <w:r>
        <w:rPr>
          <w:rFonts w:ascii="Times New Roman" w:hAnsi="Times New Roman" w:eastAsia="仿宋_GB2312"/>
          <w:b w:val="0"/>
          <w:sz w:val="24"/>
        </w:rPr>
        <w:t>最大供电能力（Total Supply Capability，TSC）通常指在满足N-1等安全约束条件下，配电网可持续供应的最大负荷。联络度（CD）是相关学术研究中用于表征相邻变电站通过中压网络相互转供能力的指标[7]，并非现行国家或行业标准规定的统一强制指标。联络能力较强通常有利于故障转供和容量共享，但其作用需通过实际拓扑、线路容量和运行方式校核。本课题将联络能力作为方案评价因素之一，不直接依据单一联络度数值下调容载比。</w:t>
      </w:r>
    </w:p>
    <w:p w14:paraId="09FFBA3C">
      <w:pPr>
        <w:spacing w:before="160" w:after="80"/>
        <w:jc w:val="left"/>
      </w:pPr>
      <w:r>
        <w:rPr>
          <w:rFonts w:ascii="Times New Roman" w:hAnsi="Times New Roman" w:eastAsia="仿宋_GB2312"/>
          <w:b/>
          <w:sz w:val="24"/>
        </w:rPr>
        <w:t>2.2.4 全寿命周期成本与年费用法</w:t>
      </w:r>
    </w:p>
    <w:p w14:paraId="5744DC0A">
      <w:pPr>
        <w:spacing w:before="0" w:after="0" w:line="360" w:lineRule="auto"/>
        <w:ind w:firstLine="480" w:firstLineChars="200"/>
        <w:jc w:val="both"/>
      </w:pPr>
      <w:r>
        <w:rPr>
          <w:rFonts w:ascii="Times New Roman" w:hAnsi="Times New Roman" w:eastAsia="仿宋_GB2312"/>
          <w:b w:val="0"/>
          <w:sz w:val="24"/>
        </w:rPr>
        <w:t>全寿命周期成本（Life Cycle Cost，LCC）用于比较规划方案在评价期内的综合经济代价。本课题根据工程数据将成本边界划分为变电工程投资、线路及配套工程投资、运行维护费用、电能损耗费用和评价期末残值等项目；该分项体系属于本课题的建模口径，应在报告中明确计算范围、价格基准年、折现率、寿命和更新规则。期末残值应作为成本抵扣项，而不是与其他费用同向相加。电能损耗的物理机理均由电流和设备参数决定，可按正向、反向潮流发生时段分类统计和归集成本，但不应表述为两种不同的损耗机理。采用年费用法时，应把一次投资和更新费用折算为等额年值，再与年运维及损耗费用统一比较。</w:t>
      </w:r>
    </w:p>
    <w:p w14:paraId="3F9EDD20">
      <w:pPr>
        <w:spacing w:before="160" w:after="80"/>
        <w:jc w:val="left"/>
      </w:pPr>
      <w:r>
        <w:rPr>
          <w:rFonts w:ascii="Times New Roman" w:hAnsi="Times New Roman" w:eastAsia="仿宋_GB2312"/>
          <w:b/>
          <w:sz w:val="24"/>
        </w:rPr>
        <w:t>2.2.5 层次分析法</w:t>
      </w:r>
    </w:p>
    <w:p w14:paraId="3A19E947">
      <w:pPr>
        <w:spacing w:before="0" w:after="0" w:line="360" w:lineRule="auto"/>
        <w:ind w:firstLine="480" w:firstLineChars="200"/>
        <w:jc w:val="both"/>
      </w:pPr>
      <w:r>
        <w:rPr>
          <w:rFonts w:ascii="Times New Roman" w:hAnsi="Times New Roman" w:eastAsia="仿宋_GB2312"/>
          <w:b w:val="0"/>
          <w:sz w:val="24"/>
        </w:rPr>
        <w:t>层次分析法（Analytic Hierarchy Process，AHP）是一种多准则决策方法，其基本过程包括构建层次结构、采用Saaty 1～9标度形成判断矩阵、计算权重并进行一致性检验；通常以一致性比率CR小于0.1作为判断矩阵可接受的参考条件[16]。本课题仅对已通过供电安全、电压、设备承载力和标准边界校核的备选方案采用AHP排序，AHP不替代强制性安全校核。指标体系、专家来源、判断矩阵、权重结果及敏感性分析过程应在报告中公开，避免权重设置掩盖方案不可行问题。</w:t>
      </w:r>
    </w:p>
    <w:p w14:paraId="2E559512">
      <w:pPr>
        <w:spacing w:before="160" w:after="80"/>
        <w:jc w:val="left"/>
      </w:pPr>
      <w:r>
        <w:rPr>
          <w:rFonts w:ascii="Times New Roman" w:hAnsi="Times New Roman" w:eastAsia="仿宋_GB2312"/>
          <w:b/>
          <w:sz w:val="24"/>
        </w:rPr>
        <w:t>2.2.6 "一片一策"差异化规划理念</w:t>
      </w:r>
    </w:p>
    <w:p w14:paraId="2972A9E8">
      <w:pPr>
        <w:spacing w:before="0" w:after="0" w:line="360" w:lineRule="auto"/>
        <w:ind w:firstLine="480" w:firstLineChars="200"/>
        <w:jc w:val="both"/>
      </w:pPr>
      <w:r>
        <w:rPr>
          <w:rFonts w:ascii="Times New Roman" w:hAnsi="Times New Roman" w:eastAsia="仿宋_GB2312"/>
          <w:b w:val="0"/>
          <w:sz w:val="24"/>
        </w:rPr>
        <w:t>“一片一策”是指在统一的国家和行业标准边界下，针对不同县域或高压分区的负荷增长、新能源发展、网络转供能力和设备约束，提出差异化的容载比推荐区间及配套方案。分类决策矩阵中的每一项建议均应先通过规范与安全约束校核，再进行成本和综合效益比较。对于实际案例未覆盖的组合，只能作为待验证或规则推断结果并明确标识，不得将推断值作为直接工程结论，也不得用“一片一策”突破容载比、设备承载力或电能质量要求。</w:t>
      </w:r>
    </w:p>
    <w:p w14:paraId="7CB1E711">
      <w:pPr>
        <w:spacing w:before="240" w:after="120"/>
        <w:jc w:val="left"/>
      </w:pPr>
      <w:r>
        <w:rPr>
          <w:rFonts w:ascii="Times New Roman" w:hAnsi="Times New Roman" w:eastAsia="仿宋_GB2312"/>
          <w:b/>
          <w:sz w:val="28"/>
        </w:rPr>
        <w:t>参考文献</w:t>
      </w:r>
    </w:p>
    <w:p w14:paraId="4F75FB55">
      <w:pPr>
        <w:spacing w:before="0" w:after="40" w:line="300" w:lineRule="auto"/>
        <w:ind w:left="420" w:hanging="480" w:hangingChars="200"/>
      </w:pPr>
      <w:r>
        <w:rPr>
          <w:rFonts w:ascii="Times New Roman" w:hAnsi="Times New Roman" w:eastAsia="仿宋_GB2312"/>
          <w:b w:val="0"/>
          <w:sz w:val="24"/>
        </w:rPr>
        <w:t>[1] 国家能源局. 2025年可再生能源并网运行情况[EB/OL]. 2026-02-12.</w:t>
      </w:r>
    </w:p>
    <w:p w14:paraId="602C6271">
      <w:pPr>
        <w:spacing w:before="0" w:after="40" w:line="300" w:lineRule="auto"/>
        <w:ind w:left="420" w:hanging="480" w:hangingChars="200"/>
      </w:pPr>
      <w:r>
        <w:rPr>
          <w:rFonts w:ascii="Times New Roman" w:hAnsi="Times New Roman" w:eastAsia="仿宋_GB2312"/>
          <w:b w:val="0"/>
          <w:sz w:val="24"/>
        </w:rPr>
        <w:t>[2] 国家发展改革委, 国家能源局. 关于新形势下配电网高质量发展的指导意见: 发改能源〔2024〕187号[Z]. 2024.</w:t>
      </w:r>
    </w:p>
    <w:p w14:paraId="10824FF2">
      <w:pPr>
        <w:spacing w:before="0" w:after="40" w:line="300" w:lineRule="auto"/>
        <w:ind w:left="420" w:hanging="480" w:hangingChars="200"/>
      </w:pPr>
      <w:r>
        <w:rPr>
          <w:rFonts w:ascii="Times New Roman" w:hAnsi="Times New Roman" w:eastAsia="仿宋_GB2312"/>
          <w:b w:val="0"/>
          <w:sz w:val="24"/>
        </w:rPr>
        <w:t>[3] 国家能源局. 分布式光伏发电开发建设管理办法[Z]. 2025.</w:t>
      </w:r>
    </w:p>
    <w:p w14:paraId="217E7D12">
      <w:pPr>
        <w:spacing w:before="0" w:after="40" w:line="300" w:lineRule="auto"/>
        <w:ind w:left="420" w:hanging="480" w:hangingChars="200"/>
      </w:pPr>
      <w:r>
        <w:rPr>
          <w:rFonts w:ascii="Times New Roman" w:hAnsi="Times New Roman" w:eastAsia="仿宋_GB2312"/>
          <w:b w:val="0"/>
          <w:sz w:val="24"/>
        </w:rPr>
        <w:t>[4] DL/T 5729—2023 配电网规划设计技术导则[S].</w:t>
      </w:r>
    </w:p>
    <w:p w14:paraId="318B7743">
      <w:pPr>
        <w:spacing w:before="0" w:after="40" w:line="300" w:lineRule="auto"/>
        <w:ind w:left="420" w:hanging="480" w:hangingChars="200"/>
      </w:pPr>
      <w:r>
        <w:rPr>
          <w:rFonts w:ascii="Times New Roman" w:hAnsi="Times New Roman" w:eastAsia="仿宋_GB2312"/>
          <w:b w:val="0"/>
          <w:sz w:val="24"/>
        </w:rPr>
        <w:t>[5] DL/T 2041—2025 分布式电源接入电力系统承载力评估导则[S].</w:t>
      </w:r>
    </w:p>
    <w:p w14:paraId="1328BF9A">
      <w:pPr>
        <w:spacing w:before="0" w:after="40" w:line="300" w:lineRule="auto"/>
        <w:ind w:left="420" w:hanging="480" w:hangingChars="200"/>
      </w:pPr>
      <w:r>
        <w:rPr>
          <w:rFonts w:ascii="Times New Roman" w:hAnsi="Times New Roman" w:eastAsia="仿宋_GB2312"/>
          <w:b w:val="0"/>
          <w:sz w:val="24"/>
        </w:rPr>
        <w:t>[6] GB/T 45418—2025 配电网通用技术导则[S].</w:t>
      </w:r>
    </w:p>
    <w:p w14:paraId="683FCD00">
      <w:pPr>
        <w:spacing w:before="0" w:after="40" w:line="300" w:lineRule="auto"/>
        <w:ind w:left="420" w:hanging="480" w:hangingChars="200"/>
      </w:pPr>
      <w:r>
        <w:rPr>
          <w:rFonts w:ascii="Times New Roman" w:hAnsi="Times New Roman" w:eastAsia="仿宋_GB2312"/>
          <w:b w:val="0"/>
          <w:sz w:val="24"/>
        </w:rPr>
        <w:t>[7] 肖峻, 刘柔嘉, 龙梦皓. 变电容载比与下一级中压配电网络关系的量化分析[J]. 电力建设, 2015, 36(11): 45-50. DOI: 10.3969/j.issn.1000-7229.2015.11.007.</w:t>
      </w:r>
    </w:p>
    <w:p w14:paraId="1178AC71">
      <w:pPr>
        <w:spacing w:before="0" w:after="40" w:line="300" w:lineRule="auto"/>
        <w:ind w:left="420" w:hanging="480" w:hangingChars="200"/>
      </w:pPr>
      <w:r>
        <w:rPr>
          <w:rFonts w:ascii="Times New Roman" w:hAnsi="Times New Roman" w:eastAsia="仿宋_GB2312"/>
          <w:b w:val="0"/>
          <w:sz w:val="24"/>
        </w:rPr>
        <w:t>[8] 陈浩, 张焰, 俞国勤, 等. 多电压等级配电网最优容载比的计算方法[J]. 电气应用, 2011, 30(1): 25-29.</w:t>
      </w:r>
    </w:p>
    <w:p w14:paraId="6ED6CB2D">
      <w:pPr>
        <w:spacing w:before="0" w:after="40" w:line="300" w:lineRule="auto"/>
        <w:ind w:left="420" w:hanging="480" w:hangingChars="200"/>
      </w:pPr>
      <w:r>
        <w:rPr>
          <w:rFonts w:ascii="Times New Roman" w:hAnsi="Times New Roman" w:eastAsia="仿宋_GB2312"/>
          <w:b w:val="0"/>
          <w:sz w:val="24"/>
        </w:rPr>
        <w:t>[9] 刘文霞, 刘其达, 邓诗语, 等. 基于容载比色带的区域配电网充裕性分析[J]. 华北电力大学学报(自然科学版), 2022, 49(2): 1-12, 22.</w:t>
      </w:r>
    </w:p>
    <w:p w14:paraId="0AFC83C8">
      <w:pPr>
        <w:spacing w:before="0" w:after="40" w:line="300" w:lineRule="auto"/>
        <w:ind w:left="420" w:hanging="480" w:hangingChars="200"/>
      </w:pPr>
      <w:r>
        <w:rPr>
          <w:rFonts w:ascii="Times New Roman" w:hAnsi="Times New Roman" w:eastAsia="仿宋_GB2312"/>
          <w:b w:val="0"/>
          <w:sz w:val="24"/>
        </w:rPr>
        <w:t>[10] 刘炜彬, 梁咏秋, 李锡刚, 等. 面向精细化规划的容载比参数优化方法研究[J]. 电气工程学报, 2025, 20(1): 208-217. DOI: 10.11985/2025.01.020.</w:t>
      </w:r>
    </w:p>
    <w:p w14:paraId="140B8BD5">
      <w:pPr>
        <w:spacing w:before="0" w:after="40" w:line="300" w:lineRule="auto"/>
        <w:ind w:left="420" w:hanging="480" w:hangingChars="200"/>
      </w:pPr>
      <w:r>
        <w:rPr>
          <w:rFonts w:ascii="Times New Roman" w:hAnsi="Times New Roman" w:eastAsia="仿宋_GB2312"/>
          <w:b w:val="0"/>
          <w:sz w:val="24"/>
        </w:rPr>
        <w:t>[11] 马雨欣, 林凌雪. 面向配电网精准规划的最大供电能力评估方法[J]. 现代电力, 2025, 42(6): 1120-1130. DOI: 10.19725/j.cnki.1007-2322.2023.0244.</w:t>
      </w:r>
    </w:p>
    <w:p w14:paraId="24BEECE6">
      <w:pPr>
        <w:spacing w:before="0" w:after="40" w:line="300" w:lineRule="auto"/>
        <w:ind w:left="420" w:hanging="480" w:hangingChars="200"/>
      </w:pPr>
      <w:r>
        <w:rPr>
          <w:rFonts w:ascii="Times New Roman" w:hAnsi="Times New Roman" w:eastAsia="仿宋_GB2312"/>
          <w:b w:val="0"/>
          <w:sz w:val="24"/>
        </w:rPr>
        <w:t>[12] 宋钰, 郭玥, 王旭阳, 等. 分布式光伏接入配电网安全经济承载力评估[J]. 浙江电力, 2025, 44(11): 93-102. DOI: 10.19585/j.zjdl.202511009.</w:t>
      </w:r>
    </w:p>
    <w:p w14:paraId="303F7B84">
      <w:pPr>
        <w:spacing w:before="0" w:after="40" w:line="300" w:lineRule="auto"/>
        <w:ind w:left="420" w:hanging="480" w:hangingChars="200"/>
      </w:pPr>
      <w:r>
        <w:rPr>
          <w:rFonts w:ascii="Times New Roman" w:hAnsi="Times New Roman" w:eastAsia="仿宋_GB2312"/>
          <w:b w:val="0"/>
          <w:sz w:val="24"/>
        </w:rPr>
        <w:t>[13] 李敬如, 白宇, 王旭阳, 等. 考虑主配协同的分布式光伏接入电网安全经济承载力计算方法[J]. 电力建设, 2025, 46(10): 113-121. DOI: 10.12204/j.issn.1000-7229.2025.10.010.</w:t>
      </w:r>
    </w:p>
    <w:p w14:paraId="27718D57">
      <w:pPr>
        <w:spacing w:before="0" w:after="40" w:line="300" w:lineRule="auto"/>
        <w:ind w:left="420" w:hanging="480" w:hangingChars="200"/>
      </w:pPr>
      <w:r>
        <w:rPr>
          <w:rFonts w:ascii="Times New Roman" w:hAnsi="Times New Roman" w:eastAsia="仿宋_GB2312"/>
          <w:b w:val="0"/>
          <w:sz w:val="24"/>
        </w:rPr>
        <w:t>[14] WANG R, JI H, LI P, et al. Multi-resource dynamic coordinated planning of flexible distribution network[J]. Nature Communications, 2024, 15: 4576. DOI: 10.1038/s41467-024-48862-5.</w:t>
      </w:r>
    </w:p>
    <w:p w14:paraId="7596CF80">
      <w:pPr>
        <w:spacing w:before="0" w:after="40" w:line="300" w:lineRule="auto"/>
        <w:ind w:left="420" w:hanging="480" w:hangingChars="200"/>
      </w:pPr>
      <w:r>
        <w:rPr>
          <w:rFonts w:ascii="Times New Roman" w:hAnsi="Times New Roman" w:eastAsia="仿宋_GB2312"/>
          <w:b w:val="0"/>
          <w:sz w:val="24"/>
        </w:rPr>
        <w:t>[15] MATTHISS B, MOMENIFARAHANI A, BINDER J. Storage Placement and Sizing in a Distribution Grid with High PV-Generation[EB/OL]. arXiv:2001.05814, 2020.</w:t>
      </w:r>
    </w:p>
    <w:p w14:paraId="6C9ED4B2">
      <w:pPr>
        <w:jc w:val="both"/>
        <w:rPr>
          <w:rFonts w:ascii="Times New Roman" w:hAnsi="Times New Roman" w:eastAsia="仿宋_GB2312"/>
          <w:b w:val="0"/>
          <w:sz w:val="24"/>
        </w:rPr>
      </w:pPr>
      <w:r>
        <w:rPr>
          <w:rFonts w:ascii="Times New Roman" w:hAnsi="Times New Roman" w:eastAsia="仿宋_GB2312"/>
          <w:b w:val="0"/>
          <w:sz w:val="24"/>
        </w:rPr>
        <w:t>[16] SAATY T L. The Analytic Hierarchy Process[M]. New York: McGraw-Hill, 1980.</w:t>
      </w:r>
    </w:p>
    <w:p w14:paraId="0A7258F7">
      <w:pPr>
        <w:pStyle w:val="2"/>
        <w:rPr>
          <w:rFonts w:ascii="Times New Roman" w:hAnsi="Times New Roman" w:eastAsia="仿宋_GB2312"/>
          <w:b w:val="0"/>
          <w:sz w:val="24"/>
        </w:rPr>
      </w:pPr>
    </w:p>
    <w:p w14:paraId="699C74F6">
      <w:pPr>
        <w:rPr>
          <w:rFonts w:ascii="Times New Roman" w:hAnsi="Times New Roman" w:eastAsia="仿宋_GB2312"/>
          <w:b w:val="0"/>
          <w:sz w:val="24"/>
        </w:rPr>
      </w:pPr>
    </w:p>
    <w:p w14:paraId="1B0678D3">
      <w:pPr>
        <w:pStyle w:val="2"/>
        <w:rPr>
          <w:rFonts w:ascii="Times New Roman" w:hAnsi="Times New Roman" w:eastAsia="仿宋_GB2312"/>
          <w:b w:val="0"/>
          <w:sz w:val="24"/>
        </w:rPr>
      </w:pPr>
    </w:p>
    <w:p w14:paraId="1B1695B2">
      <w:pPr>
        <w:rPr>
          <w:rFonts w:hint="eastAsia" w:ascii="Times New Roman" w:hAnsi="Times New Roman" w:eastAsia="仿宋_GB2312"/>
          <w:b w:val="0"/>
          <w:sz w:val="24"/>
          <w:lang w:val="en-US" w:eastAsia="zh-CN"/>
        </w:rPr>
      </w:pPr>
      <w:r>
        <w:rPr>
          <w:rFonts w:hint="eastAsia" w:ascii="Times New Roman" w:hAnsi="Times New Roman" w:eastAsia="仿宋_GB2312"/>
          <w:b w:val="0"/>
          <w:sz w:val="24"/>
          <w:lang w:val="en-US" w:eastAsia="zh-CN"/>
        </w:rPr>
        <w:t>检索：</w:t>
      </w:r>
      <w:r>
        <w:rPr>
          <w:rFonts w:hint="eastAsia" w:ascii="Times New Roman" w:hAnsi="Times New Roman" w:eastAsia="仿宋_GB2312"/>
          <w:b w:val="0"/>
          <w:sz w:val="24"/>
          <w:lang w:val="en-US" w:eastAsia="zh-CN"/>
        </w:rPr>
        <w:br w:type="textWrapping"/>
      </w:r>
      <w:r>
        <w:rPr>
          <w:rFonts w:hint="eastAsia" w:ascii="Times New Roman" w:hAnsi="Times New Roman" w:eastAsia="仿宋_GB2312"/>
          <w:b w:val="0"/>
          <w:sz w:val="24"/>
          <w:lang w:val="en-US" w:eastAsia="zh-CN"/>
        </w:rPr>
        <w:tab/>
        <w:t>核心：容载比、承载力 确定 对应的英文术语</w:t>
      </w:r>
    </w:p>
    <w:p w14:paraId="7667AE92">
      <w:pPr>
        <w:pStyle w:val="2"/>
        <w:rPr>
          <w:rFonts w:hint="eastAsia" w:ascii="Times New Roman" w:hAnsi="Times New Roman" w:eastAsia="仿宋_GB2312"/>
          <w:b w:val="0"/>
          <w:sz w:val="24"/>
          <w:lang w:val="en-US" w:eastAsia="zh-CN"/>
        </w:rPr>
      </w:pPr>
      <w:r>
        <w:rPr>
          <w:rFonts w:hint="eastAsia" w:ascii="Times New Roman" w:hAnsi="Times New Roman" w:eastAsia="仿宋_GB2312"/>
          <w:b w:val="0"/>
          <w:sz w:val="24"/>
          <w:lang w:val="en-US" w:eastAsia="zh-CN"/>
        </w:rPr>
        <w:t>限定：分布式新能源高渗透率地区110kV电网</w:t>
      </w:r>
    </w:p>
    <w:p w14:paraId="10665675">
      <w:pPr>
        <w:rPr>
          <w:rFonts w:hint="eastAsia" w:ascii="Times New Roman" w:hAnsi="Times New Roman" w:eastAsia="仿宋_GB2312"/>
          <w:b w:val="0"/>
          <w:sz w:val="24"/>
          <w:lang w:val="en-US" w:eastAsia="zh-CN"/>
        </w:rPr>
      </w:pPr>
    </w:p>
    <w:p w14:paraId="64CCF8A4">
      <w:pPr>
        <w:widowControl/>
        <w:spacing w:line="360" w:lineRule="auto"/>
        <w:ind w:left="482"/>
        <w:jc w:val="left"/>
        <w:rPr>
          <w:rFonts w:hint="default" w:ascii="仿宋_GB2312" w:eastAsia="仿宋_GB2312"/>
          <w:color w:val="000000"/>
          <w:kern w:val="0"/>
          <w:sz w:val="24"/>
          <w:lang w:val="en-US" w:eastAsia="zh-CN"/>
        </w:rPr>
      </w:pPr>
      <w:r>
        <w:rPr>
          <w:rFonts w:hint="eastAsia" w:ascii="仿宋_GB2312" w:eastAsia="仿宋_GB2312"/>
          <w:color w:val="000000"/>
          <w:kern w:val="0"/>
          <w:sz w:val="24"/>
          <w:lang w:val="en-US" w:eastAsia="zh-CN"/>
        </w:rPr>
        <w:t>关注：经典论文、近三年(顶刊顶会)文章、博士-硕士毕业学位论文、专利、标准</w:t>
      </w:r>
    </w:p>
    <w:p w14:paraId="436A7A69">
      <w:pPr>
        <w:widowControl/>
        <w:spacing w:line="360" w:lineRule="auto"/>
        <w:ind w:left="482"/>
        <w:jc w:val="left"/>
        <w:rPr>
          <w:rFonts w:hint="eastAsia" w:ascii="仿宋_GB2312" w:eastAsia="仿宋_GB2312"/>
          <w:color w:val="000000"/>
          <w:kern w:val="0"/>
          <w:sz w:val="24"/>
        </w:rPr>
      </w:pPr>
      <w:r>
        <w:rPr>
          <w:rFonts w:hint="eastAsia" w:ascii="仿宋_GB2312" w:eastAsia="仿宋_GB2312"/>
          <w:color w:val="000000"/>
          <w:kern w:val="0"/>
          <w:sz w:val="24"/>
        </w:rPr>
        <w:t>本项目的具体研究框架如下：</w:t>
      </w:r>
    </w:p>
    <w:p w14:paraId="72FE1ECE">
      <w:pPr>
        <w:tabs>
          <w:tab w:val="right" w:leader="dot" w:pos="8925"/>
        </w:tabs>
        <w:spacing w:line="360" w:lineRule="auto"/>
        <w:rPr>
          <w:rFonts w:hint="default" w:ascii="Times New Roman" w:hAnsi="Times New Roman" w:eastAsia="SimSun" w:cs="Times New Roman"/>
          <w:b/>
          <w:bCs/>
          <w:kern w:val="2"/>
          <w:sz w:val="24"/>
          <w:szCs w:val="24"/>
          <w:lang w:val="en-US" w:eastAsia="zh-CN" w:bidi="ar-SA"/>
        </w:rPr>
      </w:pPr>
      <w:r>
        <w:rPr>
          <w:rFonts w:hint="default" w:ascii="Times New Roman" w:hAnsi="Times New Roman" w:eastAsia="SimSun" w:cs="Times New Roman"/>
          <w:b/>
          <w:bCs/>
          <w:kern w:val="2"/>
          <w:sz w:val="24"/>
          <w:szCs w:val="24"/>
          <w:lang w:val="en-US" w:eastAsia="zh-CN" w:bidi="ar-SA"/>
        </w:rPr>
        <w:t>第一章 绪论</w:t>
      </w:r>
    </w:p>
    <w:p w14:paraId="5249A471">
      <w:pPr>
        <w:tabs>
          <w:tab w:val="right" w:leader="dot" w:pos="8925"/>
        </w:tabs>
        <w:spacing w:line="360" w:lineRule="auto"/>
        <w:ind w:firstLine="480" w:firstLineChars="200"/>
        <w:rPr>
          <w:rFonts w:hint="default" w:ascii="Times New Roman" w:hAnsi="Times New Roman" w:eastAsia="SimSun" w:cs="Times New Roman"/>
          <w:kern w:val="2"/>
          <w:sz w:val="24"/>
          <w:szCs w:val="24"/>
          <w:lang w:val="en-US" w:eastAsia="zh-CN" w:bidi="ar-SA"/>
        </w:rPr>
      </w:pPr>
      <w:r>
        <w:rPr>
          <w:rFonts w:hint="default" w:ascii="Times New Roman" w:hAnsi="Times New Roman" w:eastAsia="SimSun" w:cs="Times New Roman"/>
          <w:kern w:val="2"/>
          <w:sz w:val="24"/>
          <w:szCs w:val="24"/>
          <w:lang w:val="en-US" w:eastAsia="zh-CN" w:bidi="ar-SA"/>
        </w:rPr>
        <w:t>1.1 研究背景与意义</w:t>
      </w:r>
    </w:p>
    <w:p w14:paraId="4FC787E9">
      <w:pPr>
        <w:tabs>
          <w:tab w:val="right" w:leader="dot" w:pos="8925"/>
        </w:tabs>
        <w:spacing w:line="360" w:lineRule="auto"/>
        <w:ind w:firstLine="480" w:firstLineChars="200"/>
        <w:rPr>
          <w:rFonts w:hint="default" w:ascii="Times New Roman" w:hAnsi="Times New Roman" w:eastAsia="SimSun" w:cs="Times New Roman"/>
          <w:kern w:val="2"/>
          <w:sz w:val="24"/>
          <w:szCs w:val="24"/>
          <w:lang w:val="en-US" w:eastAsia="zh-CN" w:bidi="ar-SA"/>
        </w:rPr>
      </w:pPr>
      <w:r>
        <w:rPr>
          <w:rFonts w:hint="default" w:ascii="Times New Roman" w:hAnsi="Times New Roman" w:eastAsia="SimSun" w:cs="Times New Roman"/>
          <w:kern w:val="2"/>
          <w:sz w:val="24"/>
          <w:szCs w:val="24"/>
          <w:lang w:val="en-US" w:eastAsia="zh-CN" w:bidi="ar-SA"/>
        </w:rPr>
        <w:t>1.</w:t>
      </w:r>
      <w:r>
        <w:rPr>
          <w:rFonts w:hint="default" w:eastAsia="SimSun" w:cs="Times New Roman"/>
          <w:sz w:val="24"/>
          <w:szCs w:val="24"/>
          <w:lang w:val="en-US" w:eastAsia="zh-CN"/>
        </w:rPr>
        <w:t xml:space="preserve">2 </w:t>
      </w:r>
      <w:r>
        <w:rPr>
          <w:rFonts w:hint="default" w:ascii="Times New Roman" w:hAnsi="Times New Roman" w:eastAsia="SimSun" w:cs="Times New Roman"/>
          <w:kern w:val="2"/>
          <w:sz w:val="24"/>
          <w:szCs w:val="24"/>
          <w:lang w:val="en-US" w:eastAsia="zh-CN" w:bidi="ar-SA"/>
        </w:rPr>
        <w:t>研究范围与对象</w:t>
      </w:r>
    </w:p>
    <w:p w14:paraId="27C135D7">
      <w:pPr>
        <w:tabs>
          <w:tab w:val="right" w:leader="dot" w:pos="8925"/>
        </w:tabs>
        <w:spacing w:line="360" w:lineRule="auto"/>
        <w:ind w:firstLine="480" w:firstLineChars="200"/>
        <w:rPr>
          <w:rFonts w:hint="default" w:ascii="Times New Roman" w:hAnsi="Times New Roman" w:eastAsia="SimSun" w:cs="Times New Roman"/>
          <w:kern w:val="2"/>
          <w:sz w:val="24"/>
          <w:szCs w:val="24"/>
          <w:lang w:val="en-US" w:eastAsia="zh-CN" w:bidi="ar-SA"/>
        </w:rPr>
      </w:pPr>
      <w:r>
        <w:rPr>
          <w:rFonts w:hint="default" w:ascii="Times New Roman" w:hAnsi="Times New Roman" w:eastAsia="SimSun" w:cs="Times New Roman"/>
          <w:kern w:val="2"/>
          <w:sz w:val="24"/>
          <w:szCs w:val="24"/>
          <w:lang w:val="en-US" w:eastAsia="zh-CN" w:bidi="ar-SA"/>
        </w:rPr>
        <w:t>1.3 研究目标与内容</w:t>
      </w:r>
    </w:p>
    <w:p w14:paraId="54F554B2">
      <w:pPr>
        <w:tabs>
          <w:tab w:val="right" w:leader="dot" w:pos="8925"/>
        </w:tabs>
        <w:spacing w:line="360" w:lineRule="auto"/>
        <w:ind w:firstLine="480" w:firstLineChars="200"/>
        <w:rPr>
          <w:rFonts w:ascii="Segoe UI" w:hAnsi="Segoe UI" w:eastAsia="Segoe UI" w:cs="Segoe UI"/>
          <w:i w:val="0"/>
          <w:iCs w:val="0"/>
          <w:caps w:val="0"/>
          <w:color w:val="0F1115"/>
          <w:spacing w:val="0"/>
          <w:sz w:val="16"/>
          <w:szCs w:val="16"/>
        </w:rPr>
      </w:pPr>
      <w:r>
        <w:rPr>
          <w:rFonts w:hint="default" w:ascii="Times New Roman" w:hAnsi="Times New Roman" w:eastAsia="SimSun" w:cs="Times New Roman"/>
          <w:kern w:val="2"/>
          <w:sz w:val="24"/>
          <w:szCs w:val="24"/>
          <w:lang w:val="en-US" w:eastAsia="zh-CN" w:bidi="ar-SA"/>
        </w:rPr>
        <w:t>1.4 研究方法与技术路线</w:t>
      </w:r>
    </w:p>
    <w:p w14:paraId="5381C455">
      <w:pPr>
        <w:tabs>
          <w:tab w:val="right" w:leader="dot" w:pos="8925"/>
        </w:tabs>
        <w:spacing w:line="360" w:lineRule="auto"/>
        <w:rPr>
          <w:rFonts w:hint="default" w:ascii="Times New Roman" w:hAnsi="Times New Roman" w:eastAsia="SimSun" w:cs="Times New Roman"/>
          <w:b/>
          <w:bCs/>
          <w:kern w:val="2"/>
          <w:sz w:val="24"/>
          <w:szCs w:val="24"/>
          <w:lang w:val="en-US" w:eastAsia="zh-CN" w:bidi="ar-SA"/>
        </w:rPr>
      </w:pPr>
      <w:r>
        <w:rPr>
          <w:rFonts w:hint="default" w:ascii="Times New Roman" w:hAnsi="Times New Roman" w:eastAsia="SimSun" w:cs="Times New Roman"/>
          <w:b/>
          <w:bCs/>
          <w:kern w:val="2"/>
          <w:sz w:val="24"/>
          <w:szCs w:val="24"/>
          <w:lang w:val="en-US" w:eastAsia="zh-CN" w:bidi="ar-SA"/>
        </w:rPr>
        <w:t>第二章 文献综述与理论基础</w:t>
      </w:r>
    </w:p>
    <w:p w14:paraId="75FB7B0A">
      <w:pPr>
        <w:tabs>
          <w:tab w:val="right" w:leader="dot" w:pos="8925"/>
        </w:tabs>
        <w:spacing w:line="360" w:lineRule="auto"/>
        <w:ind w:firstLine="480" w:firstLineChars="200"/>
        <w:rPr>
          <w:rFonts w:hint="default" w:ascii="Times New Roman" w:hAnsi="Times New Roman" w:eastAsia="SimSun" w:cs="Times New Roman"/>
          <w:kern w:val="2"/>
          <w:sz w:val="24"/>
          <w:szCs w:val="24"/>
          <w:lang w:val="en-US" w:eastAsia="zh-CN" w:bidi="ar-SA"/>
        </w:rPr>
      </w:pPr>
      <w:r>
        <w:rPr>
          <w:rFonts w:hint="default" w:ascii="Times New Roman" w:hAnsi="Times New Roman" w:eastAsia="SimSun" w:cs="Times New Roman"/>
          <w:kern w:val="2"/>
          <w:sz w:val="24"/>
          <w:szCs w:val="24"/>
          <w:lang w:val="en-US" w:eastAsia="zh-CN" w:bidi="ar-SA"/>
        </w:rPr>
        <w:t>2.1 国内外研究现状</w:t>
      </w:r>
    </w:p>
    <w:p w14:paraId="22C76CD6">
      <w:pPr>
        <w:tabs>
          <w:tab w:val="right" w:leader="dot" w:pos="8925"/>
        </w:tabs>
        <w:spacing w:line="360" w:lineRule="auto"/>
        <w:ind w:firstLine="480" w:firstLineChars="200"/>
        <w:rPr>
          <w:rFonts w:hint="default" w:ascii="Segoe UI" w:hAnsi="Segoe UI" w:eastAsia="Segoe UI" w:cs="Segoe UI"/>
          <w:i w:val="0"/>
          <w:iCs w:val="0"/>
          <w:caps w:val="0"/>
          <w:color w:val="0F1115"/>
          <w:spacing w:val="0"/>
          <w:sz w:val="16"/>
          <w:szCs w:val="16"/>
        </w:rPr>
      </w:pPr>
      <w:r>
        <w:rPr>
          <w:rFonts w:hint="default" w:ascii="Times New Roman" w:hAnsi="Times New Roman" w:eastAsia="SimSun" w:cs="Times New Roman"/>
          <w:kern w:val="2"/>
          <w:sz w:val="24"/>
          <w:szCs w:val="24"/>
          <w:lang w:val="en-US" w:eastAsia="zh-CN" w:bidi="ar-SA"/>
        </w:rPr>
        <w:t>2.2 核心概念与理论基础</w:t>
      </w:r>
    </w:p>
    <w:p w14:paraId="381C5448">
      <w:pPr>
        <w:tabs>
          <w:tab w:val="right" w:leader="dot" w:pos="8925"/>
        </w:tabs>
        <w:spacing w:line="360" w:lineRule="auto"/>
        <w:rPr>
          <w:rFonts w:hint="default" w:ascii="Times New Roman" w:hAnsi="Times New Roman" w:eastAsia="SimSun" w:cs="Times New Roman"/>
          <w:b/>
          <w:bCs/>
          <w:kern w:val="2"/>
          <w:sz w:val="24"/>
          <w:szCs w:val="24"/>
          <w:lang w:val="en-US" w:eastAsia="zh-CN" w:bidi="ar-SA"/>
        </w:rPr>
      </w:pPr>
      <w:r>
        <w:rPr>
          <w:rFonts w:hint="default" w:ascii="Times New Roman" w:hAnsi="Times New Roman" w:eastAsia="SimSun" w:cs="Times New Roman"/>
          <w:b/>
          <w:bCs/>
          <w:kern w:val="2"/>
          <w:sz w:val="24"/>
          <w:szCs w:val="24"/>
          <w:lang w:val="en-US" w:eastAsia="zh-CN" w:bidi="ar-SA"/>
        </w:rPr>
        <w:t>第三章 徐州典型地</w:t>
      </w:r>
      <w:r>
        <w:rPr>
          <w:rFonts w:hint="default" w:ascii="Times New Roman" w:hAnsi="Times New Roman" w:eastAsia="SimSun" w:cs="Times New Roman"/>
          <w:b/>
          <w:bCs/>
          <w:kern w:val="2"/>
          <w:sz w:val="24"/>
          <w:szCs w:val="24"/>
          <w:highlight w:val="green"/>
          <w:lang w:val="en-US" w:eastAsia="zh-CN" w:bidi="ar-SA"/>
        </w:rPr>
        <w:t>区“新能源</w:t>
      </w:r>
      <w:r>
        <w:rPr>
          <w:rFonts w:hint="eastAsia" w:ascii="Times New Roman" w:hAnsi="Times New Roman" w:eastAsia="SimSun" w:cs="Times New Roman"/>
          <w:b/>
          <w:bCs/>
          <w:kern w:val="2"/>
          <w:sz w:val="24"/>
          <w:szCs w:val="24"/>
          <w:highlight w:val="green"/>
          <w:lang w:val="en-US" w:eastAsia="zh-CN" w:bidi="ar-SA"/>
        </w:rPr>
        <w:t>（）</w:t>
      </w:r>
      <w:r>
        <w:rPr>
          <w:rFonts w:hint="default" w:ascii="Times New Roman" w:hAnsi="Times New Roman" w:eastAsia="SimSun" w:cs="Times New Roman"/>
          <w:b/>
          <w:bCs/>
          <w:kern w:val="2"/>
          <w:sz w:val="24"/>
          <w:szCs w:val="24"/>
          <w:highlight w:val="green"/>
          <w:lang w:val="en-US" w:eastAsia="zh-CN" w:bidi="ar-SA"/>
        </w:rPr>
        <w:t>—电网</w:t>
      </w:r>
      <w:r>
        <w:rPr>
          <w:rFonts w:hint="eastAsia" w:ascii="Times New Roman" w:hAnsi="Times New Roman" w:eastAsia="SimSun" w:cs="Times New Roman"/>
          <w:b/>
          <w:bCs/>
          <w:kern w:val="2"/>
          <w:sz w:val="24"/>
          <w:szCs w:val="24"/>
          <w:highlight w:val="green"/>
          <w:lang w:val="en-US" w:eastAsia="zh-CN" w:bidi="ar-SA"/>
        </w:rPr>
        <w:t>（）</w:t>
      </w:r>
      <w:r>
        <w:rPr>
          <w:rFonts w:hint="default" w:ascii="Times New Roman" w:hAnsi="Times New Roman" w:eastAsia="SimSun" w:cs="Times New Roman"/>
          <w:b/>
          <w:bCs/>
          <w:kern w:val="2"/>
          <w:sz w:val="24"/>
          <w:szCs w:val="24"/>
          <w:highlight w:val="green"/>
          <w:lang w:val="en-US" w:eastAsia="zh-CN" w:bidi="ar-SA"/>
        </w:rPr>
        <w:t>”运行特征</w:t>
      </w:r>
      <w:r>
        <w:rPr>
          <w:rFonts w:hint="default" w:ascii="Times New Roman" w:hAnsi="Times New Roman" w:eastAsia="SimSun" w:cs="Times New Roman"/>
          <w:b/>
          <w:bCs/>
          <w:kern w:val="2"/>
          <w:sz w:val="24"/>
          <w:szCs w:val="24"/>
          <w:lang w:val="en-US" w:eastAsia="zh-CN" w:bidi="ar-SA"/>
        </w:rPr>
        <w:t>分析</w:t>
      </w:r>
    </w:p>
    <w:p w14:paraId="13499367">
      <w:pPr>
        <w:tabs>
          <w:tab w:val="right" w:leader="dot" w:pos="8925"/>
        </w:tabs>
        <w:spacing w:line="360" w:lineRule="auto"/>
        <w:ind w:firstLine="480" w:firstLineChars="200"/>
        <w:rPr>
          <w:rFonts w:hint="default" w:ascii="Times New Roman" w:hAnsi="Times New Roman" w:eastAsia="SimSun" w:cs="Times New Roman"/>
          <w:kern w:val="2"/>
          <w:sz w:val="24"/>
          <w:szCs w:val="24"/>
          <w:lang w:val="en-US" w:eastAsia="zh-CN" w:bidi="ar-SA"/>
        </w:rPr>
      </w:pPr>
      <w:r>
        <w:rPr>
          <w:rFonts w:hint="default" w:ascii="Times New Roman" w:hAnsi="Times New Roman" w:eastAsia="SimSun" w:cs="Times New Roman"/>
          <w:kern w:val="2"/>
          <w:sz w:val="24"/>
          <w:szCs w:val="24"/>
          <w:lang w:val="en-US" w:eastAsia="zh-CN" w:bidi="ar-SA"/>
        </w:rPr>
        <w:t>3.1 徐州新能源发展与电力负荷</w:t>
      </w:r>
      <w:r>
        <w:rPr>
          <w:rFonts w:hint="eastAsia" w:ascii="Times New Roman" w:hAnsi="Times New Roman" w:eastAsia="SimSun" w:cs="Times New Roman"/>
          <w:kern w:val="2"/>
          <w:sz w:val="24"/>
          <w:szCs w:val="24"/>
          <w:lang w:val="en-US" w:eastAsia="zh-CN" w:bidi="ar-SA"/>
        </w:rPr>
        <w:t>（）</w:t>
      </w:r>
      <w:r>
        <w:rPr>
          <w:rFonts w:hint="default" w:ascii="Times New Roman" w:hAnsi="Times New Roman" w:eastAsia="SimSun" w:cs="Times New Roman"/>
          <w:kern w:val="2"/>
          <w:sz w:val="24"/>
          <w:szCs w:val="24"/>
          <w:lang w:val="en-US" w:eastAsia="zh-CN" w:bidi="ar-SA"/>
        </w:rPr>
        <w:t>概况</w:t>
      </w:r>
      <w:bookmarkStart w:id="0" w:name="_GoBack"/>
      <w:bookmarkEnd w:id="0"/>
    </w:p>
    <w:p w14:paraId="56EB0294">
      <w:pPr>
        <w:tabs>
          <w:tab w:val="right" w:leader="dot" w:pos="8925"/>
        </w:tabs>
        <w:spacing w:line="360" w:lineRule="auto"/>
        <w:ind w:firstLine="480" w:firstLineChars="200"/>
        <w:rPr>
          <w:rFonts w:hint="default" w:ascii="Times New Roman" w:hAnsi="Times New Roman" w:eastAsia="SimSun" w:cs="Times New Roman"/>
          <w:kern w:val="2"/>
          <w:sz w:val="24"/>
          <w:szCs w:val="24"/>
          <w:lang w:val="en-US" w:eastAsia="zh-CN" w:bidi="ar-SA"/>
        </w:rPr>
      </w:pPr>
      <w:r>
        <w:rPr>
          <w:rFonts w:hint="default" w:ascii="Times New Roman" w:hAnsi="Times New Roman" w:eastAsia="SimSun" w:cs="Times New Roman"/>
          <w:kern w:val="2"/>
          <w:sz w:val="24"/>
          <w:szCs w:val="24"/>
          <w:lang w:val="en-US" w:eastAsia="zh-CN" w:bidi="ar-SA"/>
        </w:rPr>
        <w:t>3.2 主变负载率多工况统计分析</w:t>
      </w:r>
    </w:p>
    <w:p w14:paraId="318E5692">
      <w:pPr>
        <w:tabs>
          <w:tab w:val="right" w:leader="dot" w:pos="8925"/>
        </w:tabs>
        <w:spacing w:line="360" w:lineRule="auto"/>
        <w:ind w:firstLine="480" w:firstLineChars="200"/>
        <w:rPr>
          <w:rFonts w:hint="default" w:ascii="Times New Roman" w:hAnsi="Times New Roman" w:eastAsia="SimSun" w:cs="Times New Roman"/>
          <w:kern w:val="2"/>
          <w:sz w:val="24"/>
          <w:szCs w:val="24"/>
          <w:lang w:val="en-US" w:eastAsia="zh-CN" w:bidi="ar-SA"/>
        </w:rPr>
      </w:pPr>
      <w:r>
        <w:rPr>
          <w:rFonts w:hint="default" w:ascii="Times New Roman" w:hAnsi="Times New Roman" w:eastAsia="SimSun" w:cs="Times New Roman"/>
          <w:kern w:val="2"/>
          <w:sz w:val="24"/>
          <w:szCs w:val="24"/>
          <w:lang w:val="en-US" w:eastAsia="zh-CN" w:bidi="ar-SA"/>
        </w:rPr>
        <w:t>3.3 源荷比、电量渗透率与容载比的关联规律</w:t>
      </w:r>
    </w:p>
    <w:p w14:paraId="4880CF2B">
      <w:pPr>
        <w:tabs>
          <w:tab w:val="right" w:leader="dot" w:pos="8925"/>
        </w:tabs>
        <w:spacing w:line="360" w:lineRule="auto"/>
        <w:ind w:firstLine="480" w:firstLineChars="200"/>
        <w:rPr>
          <w:rFonts w:hint="default" w:ascii="Segoe UI" w:hAnsi="Segoe UI" w:eastAsia="Segoe UI" w:cs="Segoe UI"/>
          <w:i w:val="0"/>
          <w:iCs w:val="0"/>
          <w:caps w:val="0"/>
          <w:color w:val="0F1115"/>
          <w:spacing w:val="0"/>
          <w:sz w:val="16"/>
          <w:szCs w:val="16"/>
        </w:rPr>
      </w:pPr>
      <w:r>
        <w:rPr>
          <w:rFonts w:hint="default" w:ascii="Times New Roman" w:hAnsi="Times New Roman" w:eastAsia="SimSun" w:cs="Times New Roman"/>
          <w:kern w:val="2"/>
          <w:sz w:val="24"/>
          <w:szCs w:val="24"/>
          <w:lang w:val="en-US" w:eastAsia="zh-CN" w:bidi="ar-SA"/>
        </w:rPr>
        <w:t>3.4 “新能源渗透水平—电网运行状态”数据库的构建</w:t>
      </w:r>
    </w:p>
    <w:p w14:paraId="0375493A">
      <w:pPr>
        <w:tabs>
          <w:tab w:val="right" w:leader="dot" w:pos="8925"/>
        </w:tabs>
        <w:spacing w:line="360" w:lineRule="auto"/>
        <w:rPr>
          <w:rFonts w:hint="default" w:ascii="Times New Roman" w:hAnsi="Times New Roman" w:eastAsia="SimSun" w:cs="Times New Roman"/>
          <w:b/>
          <w:bCs/>
          <w:kern w:val="2"/>
          <w:sz w:val="24"/>
          <w:szCs w:val="24"/>
          <w:lang w:val="en-US" w:eastAsia="zh-CN" w:bidi="ar-SA"/>
        </w:rPr>
      </w:pPr>
      <w:r>
        <w:rPr>
          <w:rFonts w:hint="default" w:ascii="Times New Roman" w:hAnsi="Times New Roman" w:eastAsia="SimSun" w:cs="Times New Roman"/>
          <w:b/>
          <w:bCs/>
          <w:kern w:val="2"/>
          <w:sz w:val="24"/>
          <w:szCs w:val="24"/>
          <w:lang w:val="en-US" w:eastAsia="zh-CN" w:bidi="ar-SA"/>
        </w:rPr>
        <w:t>第四章 基于实际工程的</w:t>
      </w:r>
      <w:r>
        <w:rPr>
          <w:rFonts w:hint="default" w:ascii="Times New Roman" w:hAnsi="Times New Roman" w:eastAsia="SimSun" w:cs="Times New Roman"/>
          <w:b/>
          <w:bCs/>
          <w:kern w:val="2"/>
          <w:sz w:val="24"/>
          <w:szCs w:val="24"/>
          <w:highlight w:val="green"/>
          <w:lang w:val="en-US" w:eastAsia="zh-CN" w:bidi="ar-SA"/>
        </w:rPr>
        <w:t>电网建设成本模型</w:t>
      </w:r>
    </w:p>
    <w:p w14:paraId="57516787">
      <w:pPr>
        <w:tabs>
          <w:tab w:val="right" w:leader="dot" w:pos="8925"/>
        </w:tabs>
        <w:spacing w:line="360" w:lineRule="auto"/>
        <w:ind w:firstLine="480" w:firstLineChars="200"/>
        <w:rPr>
          <w:rFonts w:hint="default" w:ascii="Times New Roman" w:hAnsi="Times New Roman" w:eastAsia="SimSun" w:cs="Times New Roman"/>
          <w:kern w:val="2"/>
          <w:sz w:val="24"/>
          <w:szCs w:val="24"/>
          <w:lang w:val="en-US" w:eastAsia="zh-CN" w:bidi="ar-SA"/>
        </w:rPr>
      </w:pPr>
      <w:r>
        <w:rPr>
          <w:rFonts w:hint="default" w:ascii="Times New Roman" w:hAnsi="Times New Roman" w:eastAsia="SimSun" w:cs="Times New Roman"/>
          <w:kern w:val="2"/>
          <w:sz w:val="24"/>
          <w:szCs w:val="24"/>
          <w:lang w:val="en-US" w:eastAsia="zh-CN" w:bidi="ar-SA"/>
        </w:rPr>
        <w:t>4.1 分布式新能源配套工程成本数据收集与处理</w:t>
      </w:r>
    </w:p>
    <w:p w14:paraId="51E6CC20">
      <w:pPr>
        <w:tabs>
          <w:tab w:val="right" w:leader="dot" w:pos="8925"/>
        </w:tabs>
        <w:spacing w:line="360" w:lineRule="auto"/>
        <w:ind w:firstLine="480" w:firstLineChars="200"/>
        <w:rPr>
          <w:rFonts w:hint="default" w:ascii="Times New Roman" w:hAnsi="Times New Roman" w:eastAsia="SimSun" w:cs="Times New Roman"/>
          <w:kern w:val="2"/>
          <w:sz w:val="24"/>
          <w:szCs w:val="24"/>
          <w:lang w:val="en-US" w:eastAsia="zh-CN" w:bidi="ar-SA"/>
        </w:rPr>
      </w:pPr>
      <w:r>
        <w:rPr>
          <w:rFonts w:hint="default" w:ascii="Times New Roman" w:hAnsi="Times New Roman" w:eastAsia="SimSun" w:cs="Times New Roman"/>
          <w:kern w:val="2"/>
          <w:sz w:val="24"/>
          <w:szCs w:val="24"/>
          <w:lang w:val="en-US" w:eastAsia="zh-CN" w:bidi="ar-SA"/>
        </w:rPr>
        <w:t>4.2 成本驱动因子识别与参数化模型建立</w:t>
      </w:r>
    </w:p>
    <w:p w14:paraId="390C8B85">
      <w:pPr>
        <w:tabs>
          <w:tab w:val="right" w:leader="dot" w:pos="8925"/>
        </w:tabs>
        <w:spacing w:line="360" w:lineRule="auto"/>
        <w:ind w:firstLine="480" w:firstLineChars="200"/>
        <w:rPr>
          <w:rFonts w:hint="default" w:ascii="Times New Roman" w:hAnsi="Times New Roman" w:eastAsia="SimSun" w:cs="Times New Roman"/>
          <w:kern w:val="2"/>
          <w:sz w:val="24"/>
          <w:szCs w:val="24"/>
          <w:lang w:val="en-US" w:eastAsia="zh-CN" w:bidi="ar-SA"/>
        </w:rPr>
      </w:pPr>
      <w:r>
        <w:rPr>
          <w:rFonts w:hint="default" w:ascii="Times New Roman" w:hAnsi="Times New Roman" w:eastAsia="SimSun" w:cs="Times New Roman"/>
          <w:kern w:val="2"/>
          <w:sz w:val="24"/>
          <w:szCs w:val="24"/>
          <w:lang w:val="en-US" w:eastAsia="zh-CN" w:bidi="ar-SA"/>
        </w:rPr>
        <w:t>4.3 刚性容载比场景全寿命周期成本测算</w:t>
      </w:r>
    </w:p>
    <w:p w14:paraId="3CC78627">
      <w:pPr>
        <w:tabs>
          <w:tab w:val="right" w:leader="dot" w:pos="8925"/>
        </w:tabs>
        <w:spacing w:line="360" w:lineRule="auto"/>
        <w:ind w:firstLine="480" w:firstLineChars="200"/>
        <w:rPr>
          <w:rFonts w:hint="default" w:ascii="Times New Roman" w:hAnsi="Times New Roman" w:eastAsia="SimSun" w:cs="Times New Roman"/>
          <w:kern w:val="2"/>
          <w:sz w:val="24"/>
          <w:szCs w:val="24"/>
          <w:lang w:val="en-US" w:eastAsia="zh-CN" w:bidi="ar-SA"/>
        </w:rPr>
      </w:pPr>
      <w:r>
        <w:rPr>
          <w:rFonts w:hint="default" w:ascii="Times New Roman" w:hAnsi="Times New Roman" w:eastAsia="SimSun" w:cs="Times New Roman"/>
          <w:kern w:val="2"/>
          <w:sz w:val="24"/>
          <w:szCs w:val="24"/>
          <w:lang w:val="en-US" w:eastAsia="zh-CN" w:bidi="ar-SA"/>
        </w:rPr>
        <w:t>4.4 弹性容载比场景全寿命周期成本测算</w:t>
      </w:r>
    </w:p>
    <w:p w14:paraId="32C458F0">
      <w:pPr>
        <w:tabs>
          <w:tab w:val="right" w:leader="dot" w:pos="8925"/>
        </w:tabs>
        <w:spacing w:line="360" w:lineRule="auto"/>
        <w:ind w:firstLine="480" w:firstLineChars="200"/>
        <w:rPr>
          <w:rFonts w:hint="default" w:ascii="Segoe UI" w:hAnsi="Segoe UI" w:eastAsia="Segoe UI" w:cs="Segoe UI"/>
          <w:i w:val="0"/>
          <w:iCs w:val="0"/>
          <w:caps w:val="0"/>
          <w:color w:val="0F1115"/>
          <w:spacing w:val="0"/>
          <w:sz w:val="16"/>
          <w:szCs w:val="16"/>
        </w:rPr>
      </w:pPr>
      <w:r>
        <w:rPr>
          <w:rFonts w:hint="default" w:ascii="Times New Roman" w:hAnsi="Times New Roman" w:eastAsia="SimSun" w:cs="Times New Roman"/>
          <w:kern w:val="2"/>
          <w:sz w:val="24"/>
          <w:szCs w:val="24"/>
          <w:lang w:val="en-US" w:eastAsia="zh-CN" w:bidi="ar-SA"/>
        </w:rPr>
        <w:t>4.5 两场景经济技术对比与决策案例库形成</w:t>
      </w:r>
    </w:p>
    <w:p w14:paraId="11EA5A0A">
      <w:pPr>
        <w:tabs>
          <w:tab w:val="right" w:leader="dot" w:pos="8925"/>
        </w:tabs>
        <w:spacing w:line="360" w:lineRule="auto"/>
        <w:rPr>
          <w:rFonts w:hint="default" w:ascii="Times New Roman" w:hAnsi="Times New Roman" w:eastAsia="SimSun" w:cs="Times New Roman"/>
          <w:b/>
          <w:bCs/>
          <w:kern w:val="2"/>
          <w:sz w:val="24"/>
          <w:szCs w:val="24"/>
          <w:lang w:val="en-US" w:eastAsia="zh-CN" w:bidi="ar-SA"/>
        </w:rPr>
      </w:pPr>
      <w:r>
        <w:rPr>
          <w:rFonts w:hint="default" w:ascii="Times New Roman" w:hAnsi="Times New Roman" w:eastAsia="SimSun" w:cs="Times New Roman"/>
          <w:b/>
          <w:bCs/>
          <w:kern w:val="2"/>
          <w:sz w:val="24"/>
          <w:szCs w:val="24"/>
          <w:lang w:val="en-US" w:eastAsia="zh-CN" w:bidi="ar-SA"/>
        </w:rPr>
        <w:t>第五章 “一片一策”弹性</w:t>
      </w:r>
      <w:r>
        <w:rPr>
          <w:rFonts w:hint="default" w:ascii="Times New Roman" w:hAnsi="Times New Roman" w:eastAsia="SimSun" w:cs="Times New Roman"/>
          <w:b/>
          <w:bCs/>
          <w:kern w:val="2"/>
          <w:sz w:val="24"/>
          <w:szCs w:val="24"/>
          <w:highlight w:val="green"/>
          <w:lang w:val="en-US" w:eastAsia="zh-CN" w:bidi="ar-SA"/>
        </w:rPr>
        <w:t>容载比规划</w:t>
      </w:r>
      <w:r>
        <w:rPr>
          <w:rFonts w:hint="default" w:ascii="Times New Roman" w:hAnsi="Times New Roman" w:eastAsia="SimSun" w:cs="Times New Roman"/>
          <w:b/>
          <w:bCs/>
          <w:kern w:val="2"/>
          <w:sz w:val="24"/>
          <w:szCs w:val="24"/>
          <w:lang w:val="en-US" w:eastAsia="zh-CN" w:bidi="ar-SA"/>
        </w:rPr>
        <w:t>建议</w:t>
      </w:r>
    </w:p>
    <w:p w14:paraId="1E6230BB">
      <w:pPr>
        <w:tabs>
          <w:tab w:val="right" w:leader="dot" w:pos="8925"/>
        </w:tabs>
        <w:spacing w:line="360" w:lineRule="auto"/>
        <w:ind w:firstLine="480" w:firstLineChars="200"/>
        <w:rPr>
          <w:rFonts w:hint="default" w:ascii="Times New Roman" w:hAnsi="Times New Roman" w:eastAsia="SimSun" w:cs="Times New Roman"/>
          <w:kern w:val="2"/>
          <w:sz w:val="24"/>
          <w:szCs w:val="24"/>
          <w:lang w:val="en-US" w:eastAsia="zh-CN" w:bidi="ar-SA"/>
        </w:rPr>
      </w:pPr>
      <w:r>
        <w:rPr>
          <w:rFonts w:hint="default" w:ascii="Times New Roman" w:hAnsi="Times New Roman" w:eastAsia="SimSun" w:cs="Times New Roman"/>
          <w:kern w:val="2"/>
          <w:sz w:val="24"/>
          <w:szCs w:val="24"/>
          <w:lang w:val="en-US" w:eastAsia="zh-CN" w:bidi="ar-SA"/>
        </w:rPr>
        <w:t>5.1 典型片区负荷与分布式光伏预测</w:t>
      </w:r>
    </w:p>
    <w:p w14:paraId="1D098351">
      <w:pPr>
        <w:tabs>
          <w:tab w:val="right" w:leader="dot" w:pos="8925"/>
        </w:tabs>
        <w:spacing w:line="360" w:lineRule="auto"/>
        <w:ind w:firstLine="480" w:firstLineChars="200"/>
        <w:rPr>
          <w:rFonts w:hint="default" w:ascii="Times New Roman" w:hAnsi="Times New Roman" w:eastAsia="SimSun" w:cs="Times New Roman"/>
          <w:kern w:val="2"/>
          <w:sz w:val="24"/>
          <w:szCs w:val="24"/>
          <w:lang w:val="en-US" w:eastAsia="zh-CN" w:bidi="ar-SA"/>
        </w:rPr>
      </w:pPr>
      <w:r>
        <w:rPr>
          <w:rFonts w:hint="default" w:ascii="Times New Roman" w:hAnsi="Times New Roman" w:eastAsia="SimSun" w:cs="Times New Roman"/>
          <w:kern w:val="2"/>
          <w:sz w:val="24"/>
          <w:szCs w:val="24"/>
          <w:lang w:val="en-US" w:eastAsia="zh-CN" w:bidi="ar-SA"/>
        </w:rPr>
        <w:t>5.2 弹性规划评价指标体系设计</w:t>
      </w:r>
    </w:p>
    <w:p w14:paraId="55FB3838">
      <w:pPr>
        <w:tabs>
          <w:tab w:val="right" w:leader="dot" w:pos="8925"/>
        </w:tabs>
        <w:spacing w:line="360" w:lineRule="auto"/>
        <w:ind w:firstLine="480" w:firstLineChars="200"/>
        <w:rPr>
          <w:rFonts w:hint="default" w:ascii="Times New Roman" w:hAnsi="Times New Roman" w:eastAsia="SimSun" w:cs="Times New Roman"/>
          <w:kern w:val="2"/>
          <w:sz w:val="24"/>
          <w:szCs w:val="24"/>
          <w:lang w:val="en-US" w:eastAsia="zh-CN" w:bidi="ar-SA"/>
        </w:rPr>
      </w:pPr>
      <w:r>
        <w:rPr>
          <w:rFonts w:hint="default" w:ascii="Times New Roman" w:hAnsi="Times New Roman" w:eastAsia="SimSun" w:cs="Times New Roman"/>
          <w:kern w:val="2"/>
          <w:sz w:val="24"/>
          <w:szCs w:val="24"/>
          <w:lang w:val="en-US" w:eastAsia="zh-CN" w:bidi="ar-SA"/>
        </w:rPr>
        <w:t>5.3 基于层次分析法的指标赋权</w:t>
      </w:r>
    </w:p>
    <w:p w14:paraId="34BBAA9F">
      <w:pPr>
        <w:tabs>
          <w:tab w:val="right" w:leader="dot" w:pos="8925"/>
        </w:tabs>
        <w:spacing w:line="360" w:lineRule="auto"/>
        <w:ind w:firstLine="480" w:firstLineChars="200"/>
        <w:rPr>
          <w:rFonts w:hint="default" w:ascii="Segoe UI" w:hAnsi="Segoe UI" w:eastAsia="Segoe UI" w:cs="Segoe UI"/>
          <w:i w:val="0"/>
          <w:iCs w:val="0"/>
          <w:caps w:val="0"/>
          <w:color w:val="0F1115"/>
          <w:spacing w:val="0"/>
          <w:sz w:val="16"/>
          <w:szCs w:val="16"/>
        </w:rPr>
      </w:pPr>
      <w:r>
        <w:rPr>
          <w:rFonts w:hint="default" w:ascii="Times New Roman" w:hAnsi="Times New Roman" w:eastAsia="SimSun" w:cs="Times New Roman"/>
          <w:kern w:val="2"/>
          <w:sz w:val="24"/>
          <w:szCs w:val="24"/>
          <w:lang w:val="en-US" w:eastAsia="zh-CN" w:bidi="ar-SA"/>
        </w:rPr>
        <w:t>5.4 不同片区类型的容载比推荐区间及技术方案组合</w:t>
      </w:r>
    </w:p>
    <w:p w14:paraId="0B42BFFF">
      <w:pPr>
        <w:tabs>
          <w:tab w:val="right" w:leader="dot" w:pos="8925"/>
        </w:tabs>
        <w:spacing w:line="360" w:lineRule="auto"/>
        <w:rPr>
          <w:rFonts w:hint="default" w:ascii="Times New Roman" w:hAnsi="Times New Roman" w:eastAsia="SimSun" w:cs="Times New Roman"/>
          <w:b/>
          <w:bCs/>
          <w:kern w:val="2"/>
          <w:sz w:val="24"/>
          <w:szCs w:val="24"/>
          <w:lang w:val="en-US" w:eastAsia="zh-CN" w:bidi="ar-SA"/>
        </w:rPr>
      </w:pPr>
      <w:r>
        <w:rPr>
          <w:rFonts w:hint="default" w:ascii="Times New Roman" w:hAnsi="Times New Roman" w:eastAsia="SimSun" w:cs="Times New Roman"/>
          <w:b/>
          <w:bCs/>
          <w:kern w:val="2"/>
          <w:sz w:val="24"/>
          <w:szCs w:val="24"/>
          <w:lang w:val="en-US" w:eastAsia="zh-CN" w:bidi="ar-SA"/>
        </w:rPr>
        <w:t>第六章 典型案例验证</w:t>
      </w:r>
    </w:p>
    <w:p w14:paraId="25D767E9">
      <w:pPr>
        <w:tabs>
          <w:tab w:val="right" w:leader="dot" w:pos="8925"/>
        </w:tabs>
        <w:spacing w:line="360" w:lineRule="auto"/>
        <w:ind w:firstLine="480" w:firstLineChars="200"/>
        <w:rPr>
          <w:rFonts w:hint="default" w:ascii="Times New Roman" w:hAnsi="Times New Roman" w:eastAsia="SimSun" w:cs="Times New Roman"/>
          <w:kern w:val="2"/>
          <w:sz w:val="24"/>
          <w:szCs w:val="24"/>
          <w:lang w:val="en-US" w:eastAsia="zh-CN" w:bidi="ar-SA"/>
        </w:rPr>
      </w:pPr>
      <w:r>
        <w:rPr>
          <w:rFonts w:hint="default" w:ascii="Times New Roman" w:hAnsi="Times New Roman" w:eastAsia="SimSun" w:cs="Times New Roman"/>
          <w:kern w:val="2"/>
          <w:sz w:val="24"/>
          <w:szCs w:val="24"/>
          <w:lang w:val="en-US" w:eastAsia="zh-CN" w:bidi="ar-SA"/>
        </w:rPr>
        <w:t>6.1 刚性规划方案复盘（以某高渗透率片区为例）</w:t>
      </w:r>
    </w:p>
    <w:p w14:paraId="0D001FD4">
      <w:pPr>
        <w:tabs>
          <w:tab w:val="right" w:leader="dot" w:pos="8925"/>
        </w:tabs>
        <w:spacing w:line="360" w:lineRule="auto"/>
        <w:ind w:firstLine="480" w:firstLineChars="200"/>
        <w:rPr>
          <w:rFonts w:hint="default" w:ascii="Times New Roman" w:hAnsi="Times New Roman" w:eastAsia="SimSun" w:cs="Times New Roman"/>
          <w:kern w:val="2"/>
          <w:sz w:val="24"/>
          <w:szCs w:val="24"/>
          <w:lang w:val="en-US" w:eastAsia="zh-CN" w:bidi="ar-SA"/>
        </w:rPr>
      </w:pPr>
      <w:r>
        <w:rPr>
          <w:rFonts w:hint="default" w:ascii="Times New Roman" w:hAnsi="Times New Roman" w:eastAsia="SimSun" w:cs="Times New Roman"/>
          <w:kern w:val="2"/>
          <w:sz w:val="24"/>
          <w:szCs w:val="24"/>
          <w:lang w:val="en-US" w:eastAsia="zh-CN" w:bidi="ar-SA"/>
        </w:rPr>
        <w:t>6.2 弹性容载比方案设计与对比</w:t>
      </w:r>
    </w:p>
    <w:p w14:paraId="5E068E32">
      <w:pPr>
        <w:tabs>
          <w:tab w:val="right" w:leader="dot" w:pos="8925"/>
        </w:tabs>
        <w:spacing w:line="360" w:lineRule="auto"/>
        <w:ind w:firstLine="480" w:firstLineChars="200"/>
        <w:rPr>
          <w:rFonts w:hint="default" w:ascii="Segoe UI" w:hAnsi="Segoe UI" w:eastAsia="Segoe UI" w:cs="Segoe UI"/>
          <w:i w:val="0"/>
          <w:iCs w:val="0"/>
          <w:caps w:val="0"/>
          <w:color w:val="0F1115"/>
          <w:spacing w:val="0"/>
          <w:sz w:val="16"/>
          <w:szCs w:val="16"/>
        </w:rPr>
      </w:pPr>
      <w:r>
        <w:rPr>
          <w:rFonts w:hint="default" w:ascii="Times New Roman" w:hAnsi="Times New Roman" w:eastAsia="SimSun" w:cs="Times New Roman"/>
          <w:kern w:val="2"/>
          <w:sz w:val="24"/>
          <w:szCs w:val="24"/>
          <w:lang w:val="en-US" w:eastAsia="zh-CN" w:bidi="ar-SA"/>
        </w:rPr>
        <w:t>6.3 效果</w:t>
      </w:r>
      <w:r>
        <w:rPr>
          <w:rFonts w:hint="default" w:ascii="Times New Roman" w:hAnsi="Times New Roman" w:eastAsia="SimSun" w:cs="Times New Roman"/>
          <w:kern w:val="2"/>
          <w:sz w:val="24"/>
          <w:szCs w:val="24"/>
          <w:highlight w:val="green"/>
          <w:lang w:val="en-US" w:eastAsia="zh-CN" w:bidi="ar-SA"/>
        </w:rPr>
        <w:t>评估</w:t>
      </w:r>
      <w:r>
        <w:rPr>
          <w:rFonts w:hint="default" w:ascii="Times New Roman" w:hAnsi="Times New Roman" w:eastAsia="SimSun" w:cs="Times New Roman"/>
          <w:kern w:val="2"/>
          <w:sz w:val="24"/>
          <w:szCs w:val="24"/>
          <w:lang w:val="en-US" w:eastAsia="zh-CN" w:bidi="ar-SA"/>
        </w:rPr>
        <w:t>与方法有效性验证</w:t>
      </w:r>
    </w:p>
    <w:p w14:paraId="027733E4">
      <w:pPr>
        <w:tabs>
          <w:tab w:val="right" w:leader="dot" w:pos="8925"/>
        </w:tabs>
        <w:spacing w:line="360" w:lineRule="auto"/>
        <w:rPr>
          <w:rFonts w:hint="default" w:eastAsia="SimSun" w:cs="Times New Roman"/>
          <w:b/>
          <w:bCs/>
          <w:sz w:val="24"/>
          <w:szCs w:val="24"/>
        </w:rPr>
      </w:pPr>
      <w:r>
        <w:rPr>
          <w:rFonts w:hint="default" w:eastAsia="SimSun" w:cs="Times New Roman"/>
          <w:b/>
          <w:bCs/>
          <w:sz w:val="24"/>
          <w:szCs w:val="24"/>
        </w:rPr>
        <w:t>第七章 结论与展望</w:t>
      </w:r>
    </w:p>
    <w:p w14:paraId="30655C22">
      <w:pPr>
        <w:widowControl/>
        <w:snapToGrid w:val="0"/>
        <w:spacing w:line="360" w:lineRule="auto"/>
        <w:ind w:firstLine="480" w:firstLineChars="200"/>
        <w:rPr>
          <w:rFonts w:ascii="仿宋_GB2312" w:eastAsia="仿宋_GB2312"/>
          <w:color w:val="000000"/>
          <w:kern w:val="0"/>
          <w:sz w:val="24"/>
          <w:szCs w:val="24"/>
        </w:rPr>
      </w:pPr>
      <w:r>
        <w:rPr>
          <w:rFonts w:hint="eastAsia" w:ascii="仿宋_GB2312" w:eastAsia="仿宋_GB2312"/>
          <w:color w:val="000000"/>
          <w:kern w:val="0"/>
          <w:sz w:val="24"/>
        </w:rPr>
        <w:t>（二）研究成果</w:t>
      </w:r>
    </w:p>
    <w:p w14:paraId="28C3D444">
      <w:pPr>
        <w:widowControl/>
        <w:snapToGrid w:val="0"/>
        <w:spacing w:line="360" w:lineRule="auto"/>
        <w:ind w:firstLine="480" w:firstLineChars="200"/>
        <w:rPr>
          <w:rFonts w:hint="eastAsia" w:ascii="仿宋_GB2312" w:eastAsia="仿宋_GB2312"/>
          <w:color w:val="000000"/>
          <w:kern w:val="0"/>
          <w:sz w:val="24"/>
          <w:szCs w:val="24"/>
        </w:rPr>
      </w:pPr>
      <w:r>
        <w:rPr>
          <w:rFonts w:hint="eastAsia" w:ascii="仿宋_GB2312" w:eastAsia="仿宋_GB2312"/>
          <w:color w:val="000000"/>
          <w:kern w:val="0"/>
          <w:sz w:val="24"/>
          <w:szCs w:val="24"/>
        </w:rPr>
        <w:t>基于研究目标和研究任务，按照双方商定结果，课题预期研究成果如下：</w:t>
      </w:r>
    </w:p>
    <w:p w14:paraId="3D0B311A">
      <w:pPr>
        <w:widowControl/>
        <w:snapToGrid w:val="0"/>
        <w:spacing w:line="360" w:lineRule="auto"/>
        <w:ind w:firstLine="480" w:firstLineChars="200"/>
        <w:rPr>
          <w:rFonts w:ascii="仿宋_GB2312" w:eastAsia="仿宋_GB2312"/>
          <w:color w:val="000000"/>
          <w:kern w:val="0"/>
          <w:sz w:val="24"/>
          <w:szCs w:val="24"/>
        </w:rPr>
      </w:pPr>
      <w:r>
        <w:rPr>
          <w:rFonts w:hint="eastAsia" w:ascii="仿宋_GB2312" w:eastAsia="仿宋_GB2312"/>
          <w:color w:val="000000"/>
          <w:kern w:val="0"/>
          <w:sz w:val="24"/>
          <w:szCs w:val="24"/>
        </w:rPr>
        <w:t>（1）提交《</w:t>
      </w:r>
      <w:r>
        <w:rPr>
          <w:rFonts w:hint="eastAsia" w:ascii="仿宋_GB2312" w:eastAsia="仿宋_GB2312"/>
          <w:color w:val="000000"/>
          <w:kern w:val="0"/>
          <w:sz w:val="24"/>
          <w:szCs w:val="24"/>
          <w:lang w:val="en-US" w:eastAsia="zh-CN"/>
        </w:rPr>
        <w:t>徐州地区分布式新能源高渗透率地区110kV电网容载比弹性指标优化研究</w:t>
      </w:r>
      <w:r>
        <w:rPr>
          <w:rFonts w:hint="eastAsia" w:ascii="仿宋_GB2312" w:eastAsia="仿宋_GB2312"/>
          <w:color w:val="000000"/>
          <w:kern w:val="0"/>
          <w:sz w:val="24"/>
          <w:szCs w:val="24"/>
        </w:rPr>
        <w:t>》报告1份。</w:t>
      </w:r>
    </w:p>
    <w:p w14:paraId="7583E211">
      <w:pPr>
        <w:pStyle w:val="2"/>
        <w:rPr>
          <w:rFonts w:hint="eastAsia"/>
          <w:lang w:val="en-US" w:eastAsia="zh-CN"/>
        </w:rPr>
      </w:pPr>
      <w:r>
        <w:rPr>
          <w:rFonts w:hint="eastAsia" w:ascii="仿宋_GB2312" w:eastAsia="仿宋_GB2312"/>
          <w:color w:val="000000"/>
          <w:kern w:val="0"/>
          <w:sz w:val="24"/>
          <w:szCs w:val="24"/>
        </w:rPr>
        <w:t>（2）录用或发表期刊论文1篇。</w:t>
      </w:r>
    </w:p>
    <w:p w14:paraId="0ADA9EC5">
      <w:pPr>
        <w:rPr>
          <w:rFonts w:hint="default"/>
          <w:lang w:val="en-US" w:eastAsia="zh-CN"/>
        </w:rPr>
      </w:pPr>
    </w:p>
    <w:sectPr>
      <w:pgSz w:w="11906" w:h="16838"/>
      <w:pgMar w:top="1440" w:right="1800" w:bottom="1440" w:left="1800" w:header="851" w:footer="992" w:gutter="0"/>
      <w:cols w:space="0" w:num="1"/>
      <w:rtlGutter w:val="0"/>
      <w:docGrid w:type="lines" w:linePitch="387"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fedoracy9" w:date="2026-06-22T08:50:06Z" w:initials="">
    <w:p w14:paraId="22EEFB86">
      <w:pPr>
        <w:pStyle w:val="12"/>
        <w:rPr>
          <w:rFonts w:hint="default" w:eastAsia="Microsoft YaHei"/>
          <w:lang w:val="en-US" w:eastAsia="zh-CN"/>
        </w:rPr>
      </w:pPr>
      <w:r>
        <w:rPr>
          <w:rFonts w:hint="eastAsia"/>
          <w:lang w:val="en-US" w:eastAsia="zh-CN"/>
        </w:rPr>
        <w:t>更新到26年更新的数据</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2EEFB8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Microsoft YaHei">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方正小标宋简体">
    <w:altName w:val="汉仪书宋二KW"/>
    <w:panose1 w:val="00000000000000000000"/>
    <w:charset w:val="86"/>
    <w:family w:val="script"/>
    <w:pitch w:val="default"/>
    <w:sig w:usb0="00000000" w:usb1="00000000" w:usb2="00000010" w:usb3="00000000" w:csb0="00040000" w:csb1="00000000"/>
  </w:font>
  <w:font w:name="仿宋_GB2312">
    <w:altName w:val="方正仿宋_GBK"/>
    <w:panose1 w:val="02010609030101010101"/>
    <w:charset w:val="86"/>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仿宋_GB2312">
    <w:altName w:val="方正仿宋_GBK"/>
    <w:panose1 w:val="02010609030101010101"/>
    <w:charset w:val="00"/>
    <w:family w:val="modern"/>
    <w:pitch w:val="default"/>
    <w:sig w:usb0="00000000" w:usb1="00000000" w:usb2="00000000" w:usb3="00000000" w:csb0="00040000" w:csb1="00000000"/>
  </w:font>
  <w:font w:name="Segoe UI">
    <w:altName w:val="苹方-简"/>
    <w:panose1 w:val="020B0502040204020203"/>
    <w:charset w:val="00"/>
    <w:family w:val="auto"/>
    <w:pitch w:val="default"/>
    <w:sig w:usb0="00000000" w:usb1="00000000" w:usb2="00000009" w:usb3="00000000" w:csb0="200001FF"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71398">
    <w:pPr>
      <w:pStyle w:val="13"/>
      <w:ind w:firstLine="480"/>
      <w:jc w:val="center"/>
      <w:rPr>
        <w:rFonts w:ascii="仿宋_GB2312"/>
        <w:sz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B2729">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0633C">
    <w:pPr>
      <w:pStyle w:val="13"/>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3196F">
    <w:pPr>
      <w:pStyle w:val="14"/>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08966">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392008">
    <w:pPr>
      <w:pStyle w:val="14"/>
      <w:ind w:firstLine="360"/>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edoracy9">
    <w15:presenceInfo w15:providerId="WPS Office" w15:userId="8181735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AE174A3"/>
    <w:rsid w:val="43446334"/>
    <w:rsid w:val="44A84E71"/>
    <w:rsid w:val="477DCE1E"/>
    <w:rsid w:val="4F555B06"/>
    <w:rsid w:val="573E1E21"/>
    <w:rsid w:val="5B487E91"/>
    <w:rsid w:val="5CF9550F"/>
    <w:rsid w:val="5EFEBDE8"/>
    <w:rsid w:val="68CA2609"/>
    <w:rsid w:val="68CC1AED"/>
    <w:rsid w:val="69BB0F42"/>
    <w:rsid w:val="6A637494"/>
    <w:rsid w:val="6BCF62E6"/>
    <w:rsid w:val="6CD3A16D"/>
    <w:rsid w:val="6D535020"/>
    <w:rsid w:val="6E5F49A6"/>
    <w:rsid w:val="6FFF37D2"/>
    <w:rsid w:val="70DE2EF1"/>
    <w:rsid w:val="75CFF831"/>
    <w:rsid w:val="7C5F4108"/>
    <w:rsid w:val="7F79C282"/>
    <w:rsid w:val="7F7B6CAE"/>
    <w:rsid w:val="7FBF6DD0"/>
    <w:rsid w:val="7FCD104A"/>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 w:val="FFDA021C"/>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Arial" w:hAnsi="Arial" w:eastAsia="Microsoft YaHei" w:cs="Times New Roman"/>
      <w:kern w:val="2"/>
      <w:sz w:val="21"/>
      <w:szCs w:val="24"/>
      <w:lang w:val="en-US" w:eastAsia="zh-CN" w:bidi="ar-SA"/>
    </w:rPr>
  </w:style>
  <w:style w:type="paragraph" w:styleId="3">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4">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5">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6">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7">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8">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9">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10">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1">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8">
    <w:name w:val="Default Paragraph Font"/>
    <w:qFormat/>
    <w:uiPriority w:val="0"/>
    <w:rPr>
      <w:rFonts w:eastAsia="Microsoft YaHei" w:asciiTheme="minorAscii" w:hAnsiTheme="minorAscii"/>
    </w:rPr>
  </w:style>
  <w:style w:type="table" w:default="1" w:styleId="16">
    <w:name w:val="Normal Table"/>
    <w:semiHidden/>
    <w:qFormat/>
    <w:uiPriority w:val="0"/>
    <w:tblPr>
      <w:tblCellMar>
        <w:top w:w="0" w:type="dxa"/>
        <w:left w:w="108" w:type="dxa"/>
        <w:bottom w:w="0" w:type="dxa"/>
        <w:right w:w="108" w:type="dxa"/>
      </w:tblCellMar>
    </w:tblPr>
  </w:style>
  <w:style w:type="paragraph" w:customStyle="1" w:styleId="2">
    <w:name w:val="正文缩进1"/>
    <w:basedOn w:val="1"/>
    <w:next w:val="1"/>
    <w:qFormat/>
    <w:uiPriority w:val="0"/>
    <w:pPr>
      <w:ind w:left="0" w:right="0" w:firstLine="420"/>
    </w:pPr>
  </w:style>
  <w:style w:type="paragraph" w:styleId="12">
    <w:name w:val="annotation text"/>
    <w:basedOn w:val="1"/>
    <w:uiPriority w:val="0"/>
    <w:pPr>
      <w:jc w:val="left"/>
    </w:pPr>
  </w:style>
  <w:style w:type="paragraph" w:styleId="13">
    <w:name w:val="footer"/>
    <w:basedOn w:val="1"/>
    <w:unhideWhenUsed/>
    <w:qFormat/>
    <w:uiPriority w:val="99"/>
    <w:pPr>
      <w:tabs>
        <w:tab w:val="center" w:pos="4153"/>
        <w:tab w:val="right" w:pos="8306"/>
      </w:tabs>
      <w:snapToGrid w:val="0"/>
    </w:pPr>
    <w:rPr>
      <w:sz w:val="18"/>
      <w:szCs w:val="18"/>
    </w:rPr>
  </w:style>
  <w:style w:type="paragraph" w:styleId="14">
    <w:name w:val="header"/>
    <w:basedOn w:val="1"/>
    <w:next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unhideWhenUsed/>
    <w:qFormat/>
    <w:uiPriority w:val="39"/>
    <w:pPr>
      <w:tabs>
        <w:tab w:val="right" w:leader="dot" w:pos="9060"/>
      </w:tabs>
      <w:spacing w:before="80" w:after="80" w:line="240" w:lineRule="auto"/>
      <w:ind w:firstLine="482"/>
      <w:jc w:val="center"/>
    </w:pPr>
    <w:rPr>
      <w:b/>
      <w:bCs/>
      <w:caps/>
      <w:sz w:val="24"/>
      <w:szCs w:val="20"/>
    </w:rPr>
  </w:style>
  <w:style w:type="table" w:styleId="17">
    <w:name w:val="Table Grid"/>
    <w:basedOn w:val="16"/>
    <w:qFormat/>
    <w:uiPriority w:val="0"/>
    <w:pPr>
      <w:widowControl w:val="0"/>
      <w:jc w:val="both"/>
    </w:pPr>
    <w:rPr>
      <w:rFonts w:eastAsia="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0</Words>
  <Characters>0</Characters>
  <Lines>0</Lines>
  <Paragraphs>0</Paragraphs>
  <TotalTime>8</TotalTime>
  <ScaleCrop>false</ScaleCrop>
  <LinksUpToDate>false</LinksUpToDate>
  <CharactersWithSpaces>0</CharactersWithSpaces>
  <Application>WPS Office_12.1.25195.25195_F1E327BC-269C-435d-A152-05C5408002CA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2018-05-28T08:24:00Z</dcterms:created>
  <dc:creator>Data</dc:creator>
  <cp:lastModifiedBy>fedoracy9</cp:lastModifiedBy>
  <dcterms:modified xsi:type="dcterms:W3CDTF">2026-06-22T09:40:19Z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2052-12.1.25195.25195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98D20F85F988B4029D86386A8AE57069_42</vt:lpwstr>
  </property>
</Properties>
</file>