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360"/>
        <w:jc w:val="center"/>
      </w:pPr>
      <w:r>
        <w:rPr>
          <w:rFonts w:ascii="Times New Roman" w:hAnsi="Times New Roman" w:eastAsia="仿宋_GB2312"/>
          <w:b/>
          <w:sz w:val="44"/>
        </w:rPr>
        <w:t>徐州地区分布式新能源高渗透率地区110kV电网容载比弹性指标优化研究</w:t>
      </w:r>
    </w:p>
    <w:p>
      <w:pPr>
        <w:spacing w:before="360" w:after="240"/>
        <w:jc w:val="center"/>
      </w:pPr>
      <w:r>
        <w:rPr>
          <w:rFonts w:ascii="Times New Roman" w:hAnsi="Times New Roman" w:eastAsia="仿宋_GB2312"/>
          <w:b/>
          <w:sz w:val="32"/>
        </w:rPr>
        <w:t>服务报告·国内外研究现状分析</w:t>
      </w:r>
    </w:p>
    <w:p>
      <w:pPr>
        <w:spacing w:line="300" w:lineRule="auto" w:before="0" w:after="40"/>
        <w:jc w:val="both"/>
      </w:pPr>
      <w:r>
        <w:rPr>
          <w:rFonts w:ascii="Times New Roman" w:hAnsi="Times New Roman" w:eastAsia="仿宋_GB2312"/>
          <w:b w:val="0"/>
          <w:sz w:val="24"/>
        </w:rPr>
        <w:t>国网江苏省电力有限公司徐州供电分公司</w:t>
      </w:r>
    </w:p>
    <w:p>
      <w:pPr>
        <w:spacing w:line="300" w:lineRule="auto" w:before="0" w:after="40"/>
        <w:jc w:val="both"/>
      </w:pPr>
      <w:r>
        <w:rPr>
          <w:rFonts w:ascii="Times New Roman" w:hAnsi="Times New Roman" w:eastAsia="仿宋_GB2312"/>
          <w:b w:val="0"/>
          <w:sz w:val="24"/>
        </w:rPr>
        <w:t>二〇二六年</w:t>
      </w:r>
    </w:p>
    <w:p>
      <w:pPr>
        <w:spacing w:before="360" w:after="240"/>
        <w:jc w:val="center"/>
      </w:pPr>
      <w:r>
        <w:rPr>
          <w:rFonts w:ascii="Times New Roman" w:hAnsi="Times New Roman" w:eastAsia="仿宋_GB2312"/>
          <w:b/>
          <w:sz w:val="32"/>
        </w:rPr>
        <w:t>第一章 研究背景与综述范围</w:t>
      </w:r>
    </w:p>
    <w:p>
      <w:pPr>
        <w:spacing w:before="240" w:after="120"/>
        <w:jc w:val="left"/>
      </w:pPr>
      <w:r>
        <w:rPr>
          <w:rFonts w:ascii="Times New Roman" w:hAnsi="Times New Roman" w:eastAsia="仿宋_GB2312"/>
          <w:b/>
          <w:sz w:val="28"/>
        </w:rPr>
        <w:t>1.1 研究背景与问题提出</w:t>
      </w:r>
    </w:p>
    <w:p>
      <w:pPr>
        <w:spacing w:line="360" w:lineRule="auto" w:before="0" w:after="0"/>
        <w:jc w:val="both"/>
        <w:ind w:firstLineChars="200" w:firstLine="480"/>
      </w:pPr>
      <w:r>
        <w:rPr>
          <w:rFonts w:ascii="Times New Roman" w:hAnsi="Times New Roman" w:eastAsia="仿宋_GB2312"/>
          <w:b w:val="0"/>
          <w:sz w:val="24"/>
        </w:rPr>
        <w:t>在碳达峰碳中和目标和新型电力系统建设持续推进的背景下，分布式光伏进入规模化发展阶段。据国家能源局统计，截至2026年一季度末，全国分布式光伏发电装机容量已达5.54亿千瓦[1]。江苏省是分布式光伏发展的重点地区：截至2025年底，全省新能源发电装机总量突破1.1亿千瓦，其中分布式光伏装机约6221万千瓦，装机规模及年度新增量均居全国首位，约占全省新能源装机的72%[86]；2025年夏季午间用电高峰时段，全省分布式光伏顶峰出力超过4700万千瓦，约占同期全省最大负荷的25%[87]。徐州为江苏分布式光伏重点开发地区之一，已在新沂等地开展农村分布式光伏整村连片开发，并对存量配电台区实施改造以提升承载能力[88]。</w:t>
      </w:r>
    </w:p>
    <w:p>
      <w:pPr>
        <w:spacing w:line="360" w:lineRule="auto" w:before="0" w:after="0"/>
        <w:jc w:val="both"/>
        <w:ind w:firstLineChars="200" w:firstLine="480"/>
      </w:pPr>
      <w:r>
        <w:rPr>
          <w:rFonts w:ascii="Times New Roman" w:hAnsi="Times New Roman" w:eastAsia="仿宋_GB2312"/>
          <w:b w:val="0"/>
          <w:sz w:val="24"/>
        </w:rPr>
        <w:t>分布式电源规模化接入使配电网由传统单向供电转变为正、反向潮流交替的运行形态：负荷高峰时段主变承担由上级电网向负荷侧供电的正向负载，光伏大发而本地负荷较低时局部电力可能经主变向上级电网反送。主变正向重载与反向潮流的发生与季节、天气、负荷特性及光伏出力共同相关，应基于多年时序运行数据按源荷比与净负荷统计识别，而非按季节先验判定。</w:t>
      </w:r>
    </w:p>
    <w:p>
      <w:pPr>
        <w:spacing w:line="360" w:lineRule="auto" w:before="0" w:after="0"/>
        <w:jc w:val="both"/>
        <w:ind w:firstLineChars="200" w:firstLine="480"/>
      </w:pPr>
      <w:r>
        <w:rPr>
          <w:rFonts w:ascii="Times New Roman" w:hAnsi="Times New Roman" w:eastAsia="仿宋_GB2312"/>
          <w:b w:val="0"/>
          <w:sz w:val="24"/>
        </w:rPr>
        <w:t>高渗透率给传统以刚性容载比为核心的规划方法带来三重挑战。其一，净负荷曲线被重塑、容量选型逻辑边界改变——行业调研指出，当分布式装机超过用电负荷时，传统负荷预测、供需平衡与变（配）电容量选型逻辑已不再完全适用，且调度多以 110 kV 及以上为主、对 10 kV 及以下管控相对薄弱[3]。其二，反向潮流引发设备反向重过载与电压越限——以甘肃高比例新能源地区为例，2024 年部分 35 kV 线路与配变潮流反转分别超过 5000 次、9000 次，10 kV 配变反转超过 9 万次，部分配变负载率长期高于 95%，多地变电容量不满足 N-1[4]。其三，容载比指标频繁越限导致电网建设投资低效、扩建或缓建决策困难。</w:t>
      </w:r>
    </w:p>
    <w:p>
      <w:pPr>
        <w:spacing w:line="360" w:lineRule="auto" w:before="0" w:after="0"/>
        <w:jc w:val="both"/>
        <w:ind w:firstLineChars="200" w:firstLine="480"/>
      </w:pPr>
      <w:r>
        <w:rPr>
          <w:rFonts w:ascii="Times New Roman" w:hAnsi="Times New Roman" w:eastAsia="仿宋_GB2312"/>
          <w:b w:val="0"/>
          <w:sz w:val="24"/>
        </w:rPr>
        <w:t>需要强调的是，某一区域是否属于"高渗透率地区"，应结合分布式电源装机渗透水平、年电量渗透水平、反向净负荷及设备运行约束综合判定，而非仅依据行政区域笼统认定。高渗透率地区的核心问题并非现行标准忽略反向潮流，而是工程规划中需要把正向容载比选取与反向承载力校核协同起来，避免仅凭单一容载比数值作出投资决策。这正是本课题在徐州典型县域或高压分区 110 kV 变电层开展"容载比弹性指标优化"研究的出发点。</w:t>
      </w:r>
    </w:p>
    <w:p>
      <w:pPr>
        <w:spacing w:before="240" w:after="120"/>
        <w:jc w:val="left"/>
      </w:pPr>
      <w:r>
        <w:rPr>
          <w:rFonts w:ascii="Times New Roman" w:hAnsi="Times New Roman" w:eastAsia="仿宋_GB2312"/>
          <w:b/>
          <w:sz w:val="28"/>
        </w:rPr>
        <w:t>1.2 核心概念与口径界定</w:t>
      </w:r>
    </w:p>
    <w:p>
      <w:pPr>
        <w:spacing w:line="360" w:lineRule="auto" w:before="0" w:after="0"/>
        <w:jc w:val="both"/>
        <w:ind w:firstLineChars="200" w:firstLine="480"/>
      </w:pPr>
      <w:r>
        <w:rPr>
          <w:rFonts w:ascii="Times New Roman" w:hAnsi="Times New Roman" w:eastAsia="仿宋_GB2312"/>
          <w:b/>
          <w:sz w:val="24"/>
        </w:rPr>
        <w:t>容载比</w:t>
      </w:r>
      <w:r>
        <w:rPr>
          <w:rFonts w:ascii="Times New Roman" w:hAnsi="Times New Roman" w:eastAsia="仿宋_GB2312"/>
          <w:b w:val="0"/>
          <w:sz w:val="24"/>
        </w:rPr>
        <w:t>指规划区域某电压等级公用变压器总容量与该区域最大正向净负荷之比。按 DL/T 5729—2023 及《配电网规划设计技术导则（修订稿）》，110～35 kV 电网容载比总体控制在 1.5～2.0，并按规划区域年最大负荷增长率 KP 分档推荐：饱和期（KP≤2%）取 1.5～1.7、较慢增长（2%＜KP≤4%）取 1.6～1.8、中等增长（4%＜KP≤7%）取 1.7～1.9、较快增长（KP＞7%）取 1.8～2.0；具体取值还应考虑供电安全、负荷转移能力，并以县（市、区）为最小计算单元[5]。因此 2.0 是推荐上限而非统一控制值。</w:t>
      </w:r>
    </w:p>
    <w:p>
      <w:pPr>
        <w:spacing w:line="360" w:lineRule="auto" w:before="0" w:after="0"/>
        <w:jc w:val="both"/>
        <w:ind w:firstLineChars="200" w:firstLine="480"/>
      </w:pPr>
      <w:r>
        <w:rPr>
          <w:rFonts w:ascii="Times New Roman" w:hAnsi="Times New Roman" w:eastAsia="仿宋_GB2312"/>
          <w:b/>
          <w:sz w:val="24"/>
        </w:rPr>
        <w:t>分布式电源承载力</w:t>
      </w:r>
      <w:r>
        <w:rPr>
          <w:rFonts w:ascii="Times New Roman" w:hAnsi="Times New Roman" w:eastAsia="仿宋_GB2312"/>
          <w:b w:val="0"/>
          <w:sz w:val="24"/>
        </w:rPr>
        <w:t>指在满足设备容量、电压、电能质量与保护等约束下电网可接纳的分布式电源规模，国际通称 Hosting Capacity（HC）。DL/T 2041—2025 将承载力分为系统级（行政区/调度可控区可接入装机上限）与设备级（变配电设备供电范围），适用于并网点 110(66) kV、总装机原则上不超过 50 MW 的分布式电源，并给出功率因数取 0.95、设备反向负载率、可开放容量"红黄绿"分级等关键口径[6]。承载力与容载比互相关联但不等同：前者侧重分布式电源接入边界，后者侧重变电容量与最大正向净负荷的配置关系，规划中需分别计算、协同校核。</w:t>
      </w:r>
    </w:p>
    <w:p>
      <w:pPr>
        <w:spacing w:line="360" w:lineRule="auto" w:before="0" w:after="0"/>
        <w:jc w:val="both"/>
        <w:ind w:firstLineChars="200" w:firstLine="480"/>
      </w:pPr>
      <w:r>
        <w:rPr>
          <w:rFonts w:ascii="Times New Roman" w:hAnsi="Times New Roman" w:eastAsia="仿宋_GB2312"/>
          <w:b/>
          <w:sz w:val="24"/>
        </w:rPr>
        <w:t>最大供电能力（Total Supply Capability，TSC）</w:t>
      </w:r>
      <w:r>
        <w:rPr>
          <w:rFonts w:ascii="Times New Roman" w:hAnsi="Times New Roman" w:eastAsia="仿宋_GB2312"/>
          <w:b w:val="0"/>
          <w:sz w:val="24"/>
        </w:rPr>
        <w:t>指满足 N-1 等安全约束下配电网可持续供应的最大负荷，是连接"容载比（容量配置）"与"真实供电上限"的关键桥梁；相邻变电站通过中压网络相互转供的能力可用联络度（CD）、联络均衡度（BD）等学术指标表征[7]，但其作用须经实际拓扑、线路容量与运行方式校核，并非现行标准的强制指标。</w:t>
      </w:r>
      <w:r>
        <w:rPr>
          <w:rFonts w:ascii="Times New Roman" w:hAnsi="Times New Roman" w:eastAsia="仿宋_GB2312"/>
          <w:b/>
          <w:sz w:val="24"/>
        </w:rPr>
        <w:t>源荷比</w:t>
      </w:r>
      <w:r>
        <w:rPr>
          <w:rFonts w:ascii="Times New Roman" w:hAnsi="Times New Roman" w:eastAsia="仿宋_GB2312"/>
          <w:b w:val="0"/>
          <w:sz w:val="24"/>
        </w:rPr>
        <w:t>（分布式电源装机容量与最大负荷之比，属容量口径）与</w:t>
      </w:r>
      <w:r>
        <w:rPr>
          <w:rFonts w:ascii="Times New Roman" w:hAnsi="Times New Roman" w:eastAsia="仿宋_GB2312"/>
          <w:b/>
          <w:sz w:val="24"/>
        </w:rPr>
        <w:t>电量渗透率</w:t>
      </w:r>
      <w:r>
        <w:rPr>
          <w:rFonts w:ascii="Times New Roman" w:hAnsi="Times New Roman" w:eastAsia="仿宋_GB2312"/>
          <w:b w:val="0"/>
          <w:sz w:val="24"/>
        </w:rPr>
        <w:t>（分布式电源年发电量与同期用电量之比，属电量口径）分别表征装机与电量两个维度，不能相互替代，也不单独作为承载力合格判据。</w:t>
      </w:r>
      <w:r>
        <w:rPr>
          <w:rFonts w:ascii="Times New Roman" w:hAnsi="Times New Roman" w:eastAsia="仿宋_GB2312"/>
          <w:b/>
          <w:sz w:val="24"/>
        </w:rPr>
        <w:t>全寿命周期成本（LCC）</w:t>
      </w:r>
      <w:r>
        <w:rPr>
          <w:rFonts w:ascii="Times New Roman" w:hAnsi="Times New Roman" w:eastAsia="仿宋_GB2312"/>
          <w:b w:val="0"/>
          <w:sz w:val="24"/>
        </w:rPr>
        <w:t>用于比较方案在评价期内的综合经济代价，本课题将成本边界划分为变电工程投资、线路及配套工程投资、运维费用、电能损耗费用与期末残值（抵扣项）；采用年费用法把一次投资与更新费用折算为等额年值后与年运维、损耗费用统一比较。</w:t>
      </w:r>
      <w:r>
        <w:rPr>
          <w:rFonts w:ascii="Times New Roman" w:hAnsi="Times New Roman" w:eastAsia="仿宋_GB2312"/>
          <w:b/>
          <w:sz w:val="24"/>
        </w:rPr>
        <w:t>层次分析法（AHP）</w:t>
      </w:r>
      <w:r>
        <w:rPr>
          <w:rFonts w:ascii="Times New Roman" w:hAnsi="Times New Roman" w:eastAsia="仿宋_GB2312"/>
          <w:b w:val="0"/>
          <w:sz w:val="24"/>
        </w:rPr>
        <w:t>为多准则决策方法，以 Saaty 1～9 标度构造判断矩阵、计算权重并以一致性比率 CR＜0.1 校验[8]，本课题仅对已通过安全与标准边界校核的可行方案用其排序。GB/T 45418—2025《配电网通用技术导则》主要适用于 10 kV 及以下交流配电网，作为研究下级配电网影响时的补充依据[9]。</w:t>
      </w:r>
    </w:p>
    <w:p>
      <w:pPr>
        <w:spacing w:line="360" w:lineRule="auto" w:before="0" w:after="0"/>
        <w:jc w:val="both"/>
        <w:ind w:firstLineChars="200" w:firstLine="480"/>
      </w:pPr>
      <w:r>
        <w:rPr>
          <w:rFonts w:ascii="Times New Roman" w:hAnsi="Times New Roman" w:eastAsia="仿宋_GB2312"/>
          <w:b w:val="0"/>
          <w:sz w:val="24"/>
        </w:rPr>
        <w:t>在上述口径下，</w:t>
      </w:r>
      <w:r>
        <w:rPr>
          <w:rFonts w:ascii="Times New Roman" w:hAnsi="Times New Roman" w:eastAsia="仿宋_GB2312"/>
          <w:b/>
          <w:sz w:val="24"/>
        </w:rPr>
        <w:t>"弹性容载比"</w:t>
      </w:r>
      <w:r>
        <w:rPr>
          <w:rFonts w:ascii="Times New Roman" w:hAnsi="Times New Roman" w:eastAsia="仿宋_GB2312"/>
          <w:b w:val="0"/>
          <w:sz w:val="24"/>
        </w:rPr>
        <w:t>界定为：在 DL/T 5729—2023 规定的容载比方法与 1.5～2.0 推荐范围内，结合负荷增长、供电安全、网络转供能力与分布式电源发展特征进行差异化取值，并同步按 DL/T 2041—2025 校核系统级、设备级承载力。"弹性"不等于突破标准上限，也不等于以提高容载比替代反向过载、电压越限等安全校核。</w:t>
      </w:r>
    </w:p>
    <w:p>
      <w:pPr>
        <w:spacing w:before="240" w:after="120"/>
        <w:jc w:val="left"/>
      </w:pPr>
      <w:r>
        <w:rPr>
          <w:rFonts w:ascii="Times New Roman" w:hAnsi="Times New Roman" w:eastAsia="仿宋_GB2312"/>
          <w:b/>
          <w:sz w:val="28"/>
        </w:rPr>
        <w:t>1.3 文献综述范围与方法</w:t>
      </w:r>
    </w:p>
    <w:p>
      <w:pPr>
        <w:spacing w:line="360" w:lineRule="auto" w:before="0" w:after="0"/>
        <w:jc w:val="both"/>
        <w:ind w:firstLineChars="200" w:firstLine="480"/>
      </w:pPr>
      <w:r>
        <w:rPr>
          <w:rFonts w:ascii="Times New Roman" w:hAnsi="Times New Roman" w:eastAsia="仿宋_GB2312"/>
          <w:b w:val="0"/>
          <w:sz w:val="24"/>
        </w:rPr>
        <w:t>本综述检索范围覆盖 CNKI、万方、维普（中国电机工程学报、电力系统自动化、电网技术、高电压技术、电力建设、电力自动化设备、中国电力、现代电力、电气工程学报、电工技术学报等）与 IEEE Xplore、ScienceDirect（Applied Energy、Energy、Renewable Energy、IJEPES、EPSR）、MDPI（Energies、Electronics、Sustainability）、Frontiers、arXiv 等国际源，并辅以行业报告、学位论文与现行标准政策。时间上以近三年（2023—2026）为主，兼收经典高被引奠基文献。鉴于"容载比"为我国规划专有指标、国际文献多以 Hosting Capacity 与 TSC 表述，检索前已统一中英文术语对照（容载比 = Capacity-Load Ratio，承载力 = Hosting Capacity，最大供电能力 = Total Supply Capability 等），以保证英文检索的准确性。</w:t>
      </w:r>
    </w:p>
    <w:p>
      <w:pPr>
        <w:spacing w:line="360" w:lineRule="auto" w:before="0" w:after="0"/>
        <w:jc w:val="both"/>
        <w:ind w:firstLineChars="200" w:firstLine="480"/>
      </w:pPr>
      <w:r>
        <w:rPr>
          <w:rFonts w:ascii="Times New Roman" w:hAnsi="Times New Roman" w:eastAsia="仿宋_GB2312"/>
          <w:b w:val="0"/>
          <w:sz w:val="24"/>
        </w:rPr>
        <w:t>由于容载比为我国规划体系特有指标，而国际研究多以分布式电源承载力与灵活资源规划为重心，下文国外、国内两部分依各自研究侧重分别展开，并在此基础上形成对比述评与本课题切入点。</w:t>
      </w:r>
    </w:p>
    <w:p>
      <w:pPr>
        <w:spacing w:before="360" w:after="240"/>
        <w:jc w:val="center"/>
      </w:pPr>
      <w:r>
        <w:rPr>
          <w:rFonts w:ascii="Times New Roman" w:hAnsi="Times New Roman" w:eastAsia="仿宋_GB2312"/>
          <w:b/>
          <w:sz w:val="32"/>
        </w:rPr>
        <w:t>第二章 国外研究现状</w:t>
      </w:r>
    </w:p>
    <w:p>
      <w:pPr>
        <w:spacing w:line="360" w:lineRule="auto" w:before="0" w:after="0"/>
        <w:jc w:val="both"/>
        <w:ind w:firstLineChars="200" w:firstLine="480"/>
      </w:pPr>
      <w:r>
        <w:rPr>
          <w:rFonts w:ascii="Times New Roman" w:hAnsi="Times New Roman" w:eastAsia="仿宋_GB2312"/>
          <w:b w:val="0"/>
          <w:sz w:val="24"/>
        </w:rPr>
        <w:t>国外配电网规划长期以分布式电源承载力（HC）刻画接入边界，近年沿"确定性静态评估→不确定性与时序建模→多资源协同与经济性比较→多准则决策"的脉络演进，研究主要集中在承载力评估、高渗透运行特征、灵活资源与"储能—网架"经济性、全寿命周期成本与多准则决策等方面。</w:t>
      </w:r>
    </w:p>
    <w:p>
      <w:pPr>
        <w:spacing w:before="240" w:after="120"/>
        <w:jc w:val="left"/>
      </w:pPr>
      <w:r>
        <w:rPr>
          <w:rFonts w:ascii="Times New Roman" w:hAnsi="Times New Roman" w:eastAsia="仿宋_GB2312"/>
          <w:b/>
          <w:sz w:val="28"/>
        </w:rPr>
        <w:t>2.1 分布式电源承载力（HC）评估范式及其演进</w:t>
      </w:r>
    </w:p>
    <w:p>
      <w:pPr>
        <w:spacing w:line="360" w:lineRule="auto" w:before="0" w:after="0"/>
        <w:jc w:val="both"/>
        <w:ind w:firstLineChars="200" w:firstLine="480"/>
      </w:pPr>
      <w:r>
        <w:rPr>
          <w:rFonts w:ascii="Times New Roman" w:hAnsi="Times New Roman" w:eastAsia="仿宋_GB2312"/>
          <w:b w:val="0"/>
          <w:sz w:val="24"/>
        </w:rPr>
        <w:t>承载力评估的方法主线，是从"最劣断面确定性评估"转向"源荷不确定性建模 + 主动管理 + 动态/概率表达"。在不确定性建模方面，Lin 等提出两阶段 PV 承载力计算模型，先以鲁棒优化刻画源荷不确定性分析最劣场景，再构建计及主动管理的混合整数二阶锥（MISOC）模型，得到三点可直接借鉴的结论：仅"降低负荷或提高出力效率"方向的不确定性影响承载力；对受过电压限制的网络主动管理（无功、SVC）提升明显、对受最大传输功率限制的网络效果有限；网络重构可使薄弱支路网络承载力提升超过 50%（达原值约 150%）[10]。Chen 等进一步引入物理—数据双驱动的 WGAN-GP 场景生成（夜间辐照硬置零等物理约束）刻画源侧时序不确定性，以麻雀搜索算法寻优最大承载力，为承载力评估提供高质量出力场景上游支撑[11]。Liu 等在 IEEE 33 节点上构建涵盖安全、可靠性、经济的多维风险指标体系，给出"最优承载力 vs 风险阈值下最大承载力"的双值结果：仅考虑安全风险时最优承载力 3.715 MW（渗透率 100%），综合风险阈值约束下渗透率上限可达 140%、最大承载力 5.201 MW，较仅安全风险提升 33.36%，超过 175% 渗透率后边际收益递减、风险非线性上升[12]。Shu 等则提出以静态电压稳定裕度（SVSM）为硬约束的动态承载力（DHC）闭环框架，通过集中—分布协同主动支撑，使动态承载力较被动场景提升约 20%～34%，实现从"被动接纳"到"主动、稳定感知"的范式转变[13]。在机理层面，Majeed 等揭示反向潮流（PV 出力大于本地负荷时发生，多见于低峰荷区域）会抬升 LV/MV 电压、造成配变过载并加速绝缘老化、缩短变压器寿命[14]。</w:t>
      </w:r>
    </w:p>
    <w:p>
      <w:pPr>
        <w:spacing w:line="360" w:lineRule="auto" w:before="0" w:after="0"/>
        <w:jc w:val="both"/>
        <w:ind w:firstLineChars="200" w:firstLine="480"/>
      </w:pPr>
      <w:r>
        <w:rPr>
          <w:rFonts w:ascii="Times New Roman" w:hAnsi="Times New Roman" w:eastAsia="仿宋_GB2312"/>
          <w:b w:val="0"/>
          <w:sz w:val="24"/>
        </w:rPr>
        <w:t>综上，承载力评估已普遍确立"基准承载力 + 风险/稳定阈值下弹性上限"的双指标范式，且主动管理（SVC、网络重构、协同控制）可带来 33%～150% 的提升空间——这与本课题"弹性容载比 = 基准值 + 可调控弹性区间"在思想上同构。其共性局限是算例多为 IEEE 33/123 中压网，缺 110 kV 与主配协同视角。</w:t>
      </w:r>
    </w:p>
    <w:p>
      <w:pPr>
        <w:spacing w:before="240" w:after="120"/>
        <w:jc w:val="left"/>
      </w:pPr>
      <w:r>
        <w:rPr>
          <w:rFonts w:ascii="Times New Roman" w:hAnsi="Times New Roman" w:eastAsia="仿宋_GB2312"/>
          <w:b/>
          <w:sz w:val="28"/>
        </w:rPr>
        <w:t>2.2 高渗透率运行特征与反向潮流、电压问题</w:t>
      </w:r>
    </w:p>
    <w:p>
      <w:pPr>
        <w:spacing w:line="360" w:lineRule="auto" w:before="0" w:after="0"/>
        <w:jc w:val="both"/>
        <w:ind w:firstLineChars="200" w:firstLine="480"/>
      </w:pPr>
      <w:r>
        <w:rPr>
          <w:rFonts w:ascii="Times New Roman" w:hAnsi="Times New Roman" w:eastAsia="仿宋_GB2312"/>
          <w:b w:val="0"/>
          <w:sz w:val="24"/>
        </w:rPr>
        <w:t>高渗透率对运行特征的影响集中体现为净负荷曲线重塑与反向潮流引致的电压、热与寿命问题。在净负荷形态上，Hou 等提出概率鸭子曲线（PDC）与概率爬坡曲线（PRC），以 copula 与相依离散卷积建模光伏与负荷的相依不确定性，并以青海 2020 年（PV 装机 10 GW、约占峰荷 77%）实证：净负荷需求谷由凌晨移至正午（14:00 期望约 6000 MW、不确定带宽超 8000 MW），最坏场景净负荷谷不足 2000 MW（近 80% 负荷由 PV 供给，但该场景概率小于 1%）[15]。Haider 等表明分布式柔性资源（柔性负荷、电池）的分布式协调可将主网机组爬坡需求最多降低 23%，为以灵活资源平抑净负荷爬坡提供依据[16]。在反向潮流引致的电压问题上，Xie 等从主网与配网线路参数差异出发严格推导过电压算法，并验证抑制策略可使反向潮流引起的过电压由高于额定约 10% 降至 1.5%[17]；Ghorbansarvi 等以模型预测控制（MPC）联合管理母线电压与配变温度、最小化弃光，将过载触发时间从基线的 t=11.5 推迟至 t=13[18]。综述性研究则归纳出 PV 有功削减、OLTC、配网重构、多柔性资源协调四类电压越限治理手段，并指出现有协调控制普遍忽视调节时序与经济性、低压建模过度简化，存在"目的达到但经济性差"的共性短板[19]。</w:t>
      </w:r>
    </w:p>
    <w:p>
      <w:pPr>
        <w:spacing w:line="360" w:lineRule="auto" w:before="0" w:after="0"/>
        <w:jc w:val="both"/>
        <w:ind w:firstLineChars="200" w:firstLine="480"/>
      </w:pPr>
      <w:r>
        <w:rPr>
          <w:rFonts w:ascii="Times New Roman" w:hAnsi="Times New Roman" w:eastAsia="仿宋_GB2312"/>
          <w:b w:val="0"/>
          <w:sz w:val="24"/>
        </w:rPr>
        <w:t>综上，国外研究从概率净负荷刻画、过电压定量（10%→1.5%）、变压器热/寿命影响到控制手段比较，已形成较完整的运行特征认知链，并一致指向"以控制与灵活资源替代盲目扩容"。但其算例尺度多为低压/中压，向 110 kV 主变规划口径迁移须做尺度与口径转换；且青海、加州等区域数据仅可类比，反送均归因于源荷比而非季节先验，与本课题校正口径一致。</w:t>
      </w:r>
    </w:p>
    <w:p>
      <w:pPr>
        <w:spacing w:before="240" w:after="120"/>
        <w:jc w:val="left"/>
      </w:pPr>
      <w:r>
        <w:rPr>
          <w:rFonts w:ascii="Times New Roman" w:hAnsi="Times New Roman" w:eastAsia="仿宋_GB2312"/>
          <w:b/>
          <w:sz w:val="28"/>
        </w:rPr>
        <w:t>2.3 灵活资源协同规划与"储能—网架"经济性比较</w:t>
      </w:r>
    </w:p>
    <w:p>
      <w:pPr>
        <w:spacing w:line="360" w:lineRule="auto" w:before="0" w:after="0"/>
        <w:jc w:val="both"/>
        <w:ind w:firstLineChars="200" w:firstLine="480"/>
      </w:pPr>
      <w:r>
        <w:rPr>
          <w:rFonts w:ascii="Times New Roman" w:hAnsi="Times New Roman" w:eastAsia="仿宋_GB2312"/>
          <w:b w:val="0"/>
          <w:sz w:val="24"/>
        </w:rPr>
        <w:t>国外研究的一条主线，是论证"承载力/容载比的弹性主要由柔性资源动态协调释放"，并据此比较"储能/柔性资源"与"网架增强"的经济性。在弹性来源量化上，Nair 等以确定性迭代、两阶段随机 MISOCP 与蒙特卡洛三法对比，表明动态资源协调可使 IEEE 123 馈线 PV 承载力由 48% 提升至 83%（两阶段随机规划达 98%），可行域体积扩大逾 22 倍，并指出动态方案波动性更高、临界性排序为电池＞热泵＞EV[20]；Wang 等（Nature Communications）提出基于智能软开关（SOP）的柔性配电网多资源动态协同规划，在风险小于 5% 内实现 100% 本地光伏消纳，且最优方案总成本较对照方案降低 6.7%～55.0%[21]。在"储能 vs 网架增强"经济性比较上，多项研究给出可直接转化为判据的硬阈值：Martínez 等基于西班牙真实 500 节点中压网得出，专用分布式电池储能（BESS）替代网架增容仅在年负荷增长率不超过 0.16% 时净现值为正，移动式储能仅在不超过 0.25% 时可行[22]；Holweger 等在 CIGRE 低压网上得到分布式柔性优于网架增强的盈亏平衡点位于 PV 占年用电量的 110%～145% 区间（廉价变压器约 110%、昂贵变压器约 145%），且变压器为承载瓶颈元件[23]；Matthiss 等则提醒口径差异的影响——按投资成本储能远低于网架增强，但折算为计入电池 10 年寿命的年成本后差距明显收窄[24]。储能定容方法上，Xu 等以两阶段启发式优化最小化储能 LCC（投资+更换+运维+处置，含锂电容量衰减寿命模型），算例显示合理定容可使节点平均年化成本下降约 47%[25]；Wu 等以两阶段分布鲁棒优化并嵌入并网点短路电流约束做 PV+储能联合规划，较传统方法 PV 可装容量提升约 60%、电压偏差降低 16.7%，且"联合规划"优于"先 PV 后储能"[26]。此外，Zhang 等表明随 PV 渗透由 9% 升至 99%，配电系统供电恢复量较基准提升 26.85%～45.21%，但 99% 相对 81% 的边际收益已不显著（拐点约 81% 渗透率），且唯有构网型 PV+储能才能支撑孤岛恢复[27]。面向高负荷密度与含可再生能源的变电容量优化，Huang 等以多元宇宙优化器同时优化主变容量与台数，证明可再生能源抵消部分净负荷可延缓新主变投运、降低容量需求[28]；Xu 等则从分时电价/需求侧响应改变负荷曲线的角度论证削峰可节省变电建设投资[29]，Nespoli 等给出无需历史数据量化柔性负荷经济价值的全局预测方法[30]。在源网荷储/柔性互联的国际期刊成果中，多区域 E-SOP（SOP+储能）协同规划可使年总成本降低约 14.9%、电压不平衡全部降至 2% 以内[31]，SOP+储能联合规划使供电能力提升 31.25%[32]，源—网—储协同随机规划以仅增成本 2.23% 换取大幅消纳提升[33]，而源网荷储多主体演化博弈研究则揭示一个关键警示：在单目标最小成本规划下储能会被"优化掉"（容量降为 0），故必须为储能计入容量电价/辅助服务价值[34]。</w:t>
      </w:r>
    </w:p>
    <w:p>
      <w:pPr>
        <w:spacing w:line="360" w:lineRule="auto" w:before="0" w:after="0"/>
        <w:jc w:val="both"/>
        <w:ind w:firstLineChars="200" w:firstLine="480"/>
      </w:pPr>
      <w:r>
        <w:rPr>
          <w:rFonts w:ascii="Times New Roman" w:hAnsi="Times New Roman" w:eastAsia="仿宋_GB2312"/>
          <w:b w:val="0"/>
          <w:sz w:val="24"/>
        </w:rPr>
        <w:t>综上，国外已把"灵活资源协调可显著放大承载弹性"量化（HC 48%→83%～98%、供电能力+31%、消纳达 100%），并给出"储能 vs 网架"的可操作阈值（负荷增长率 0.16%、PV 占用电 110%～145%）。两点对本课题至关重要：一是经济性比较必须以等年值/全寿命周期口径、并按片区负荷增速差异化判定"增容还是上柔性资源"；二是 LCC 比较应为储能纳入辅助服务/容量价值，否则差异化储能方案会被系统性低估。</w:t>
      </w:r>
    </w:p>
    <w:p>
      <w:pPr>
        <w:spacing w:before="240" w:after="120"/>
        <w:jc w:val="left"/>
      </w:pPr>
      <w:r>
        <w:rPr>
          <w:rFonts w:ascii="Times New Roman" w:hAnsi="Times New Roman" w:eastAsia="仿宋_GB2312"/>
          <w:b/>
          <w:sz w:val="28"/>
        </w:rPr>
        <w:t>2.4 全寿命周期成本与多准则决策方法</w:t>
      </w:r>
    </w:p>
    <w:p>
      <w:pPr>
        <w:spacing w:line="360" w:lineRule="auto" w:before="0" w:after="0"/>
        <w:jc w:val="both"/>
        <w:ind w:firstLineChars="200" w:firstLine="480"/>
      </w:pPr>
      <w:r>
        <w:rPr>
          <w:rFonts w:ascii="Times New Roman" w:hAnsi="Times New Roman" w:eastAsia="仿宋_GB2312"/>
          <w:b w:val="0"/>
          <w:sz w:val="24"/>
        </w:rPr>
        <w:t>在成本评价方面，Zeng 等基于全寿命周期成本（投资、运行、维护、故障）建立输电线路经济寿命区间法，并以改进 GM(1,1) 在小样本下预测成本、以区间法处理不确定性[35]；Zhu 等对 10 kV 三类线路建立显式包含投资、运维、故障与报废（discard）四部分的 LCC 模型，得到两点对本课题尤为关键的结论——高负载率下运维成本成为 LCC 最主要影响因素、三类线路 LCC 平衡点出现在第 7～8 年，为本课题"期末残值（抵扣项）"建模与"容载比—成本非线性"提供了直接借鉴[36]。在多准则决策方面，国际期刊成果以"主客观组合赋权 + 排序模型"为主流：AHP-CRITIC 组合赋权叠加 GRA-TOPSIS 与累积前景理论用于电网规划方案适应性评价[37]；Fermatean 模糊 TOPSIS 配合 FAHP-熵权与 DEMATEL 因果分析处理专家评分不确定性[38]；最优最劣法（BWM）+ 反熵权 + 纳什博弈 + 马氏距离改进 TOPSIS 用于输电项目优选[39]；改进 AHP 叠加物元可拓评估实现效益分级[40]。这些方法为"对通过安全校核的可行方案排序"提供了成熟工具箱，并提示应通过敏感性分析控制赋权与心理参数的主观性。</w:t>
      </w:r>
    </w:p>
    <w:p>
      <w:pPr>
        <w:spacing w:line="360" w:lineRule="auto" w:before="0" w:after="0"/>
        <w:jc w:val="both"/>
        <w:ind w:firstLineChars="200" w:firstLine="480"/>
      </w:pPr>
      <w:r>
        <w:rPr>
          <w:rFonts w:ascii="Times New Roman" w:hAnsi="Times New Roman" w:eastAsia="仿宋_GB2312"/>
          <w:b w:val="0"/>
          <w:sz w:val="24"/>
        </w:rPr>
        <w:t>综上，LCC/年费用法已形成"四成本构成 + 经济寿命/等年值"的成熟范式，且 Zhu 等的"运维随负载率上升而主导"为容载比与成本的非线性关系提供了直接证据；多准则决策则趋向"组合赋权 + 模糊/前景理论 + 多排序方法交叉验证"。两者共同支撑本课题"规范基准方案 vs 差异化方案组合"的全寿命周期成本对比与方案排序框架。</w:t>
      </w:r>
    </w:p>
    <w:p>
      <w:pPr>
        <w:spacing w:before="360" w:after="240"/>
        <w:jc w:val="center"/>
      </w:pPr>
      <w:r>
        <w:rPr>
          <w:rFonts w:ascii="Times New Roman" w:hAnsi="Times New Roman" w:eastAsia="仿宋_GB2312"/>
          <w:b/>
          <w:sz w:val="32"/>
        </w:rPr>
        <w:t>第三章 国内研究现状</w:t>
      </w:r>
    </w:p>
    <w:p>
      <w:pPr>
        <w:spacing w:line="360" w:lineRule="auto" w:before="0" w:after="0"/>
        <w:jc w:val="both"/>
        <w:ind w:firstLineChars="200" w:firstLine="480"/>
      </w:pPr>
      <w:r>
        <w:rPr>
          <w:rFonts w:ascii="Times New Roman" w:hAnsi="Times New Roman" w:eastAsia="仿宋_GB2312"/>
          <w:b w:val="0"/>
          <w:sz w:val="24"/>
        </w:rPr>
        <w:t>国内相关研究可概括为容载比理论与指标精细化、分布式光伏承载力与安全经济评估、高渗透率运行特征、源网荷储协同规划、电网建设成本模型、规划方案多准则决策、典型案例实证以及政策标准导向八个方面。</w:t>
      </w:r>
    </w:p>
    <w:p>
      <w:pPr>
        <w:spacing w:before="240" w:after="120"/>
        <w:jc w:val="left"/>
      </w:pPr>
      <w:r>
        <w:rPr>
          <w:rFonts w:ascii="Times New Roman" w:hAnsi="Times New Roman" w:eastAsia="仿宋_GB2312"/>
          <w:b/>
          <w:sz w:val="28"/>
        </w:rPr>
        <w:t>3.1 容载比理论、最大供电能力与指标精细化</w:t>
      </w:r>
    </w:p>
    <w:p>
      <w:pPr>
        <w:spacing w:line="360" w:lineRule="auto" w:before="0" w:after="0"/>
        <w:jc w:val="both"/>
        <w:ind w:firstLineChars="200" w:firstLine="480"/>
      </w:pPr>
      <w:r>
        <w:rPr>
          <w:rFonts w:ascii="Times New Roman" w:hAnsi="Times New Roman" w:eastAsia="仿宋_GB2312"/>
          <w:b w:val="0"/>
          <w:sz w:val="24"/>
        </w:rPr>
        <w:t>容载比的经典定义与"过大浪费、过小卡脖子"的技术经济权衡早已成为共识，国内研究近年沿"单电压等级含参公式→多电压等级协同优化→参数精细化与指标可视化"演进。在最优容载比计算上，陈浩等较早建立含高、低压两电压等级变电站的最优容载比优化模型，以年综合费用最小为目标、用离散粒子群算法求解[41]；王凯亮等进一步以建设成本最小为目标统筹 220/110/10 kV 协同规划，用贝叶斯优化—遗传算法（BOA-GA）求解多电压等级容载比配比，证明长时间尺度下容载比配比与整体投资近似呈二次关系，规划方案较实际网架降低建设成本约 7.6%，并给出按负荷密度（以 10 MW·km⁻² 为界）与负荷增长率分档的差异化容载比推荐表[42]。在指标精细化上，刘文霞等针对导则容载比区间过宽、与可靠性脱钩的问题提出"容载比色带"，以理想值为基准的带状标尺可视化表达充裕性，并指出国内城市配电网容载比普遍高于 2.0（部分达 2.5～2.6）而东京、香港、新加坡均低于 1.6 却可靠性更高[43]；刘炜彬等则从负荷分散系数、储备系数、变压器安全运行率、平均功率因数四参数入手，用 BP 神经网络拟合负荷同时率、将 N-1 通过率纳入安全运行率，实现容载比精细化与差异化配置[44]。在最大供电能力方面，肖峻等以 TSC 理论（计及主变与下级网络转带、满足 N-1）量化容载比与下级网络强弱的关系，证明网络越强容载比可越低——达到 TSC 时容载比理论范围约 1.1～2.0，常见城市配电网联络度 0.4～0.5 时对应容载比 1.5～1.6，比导则 1.8～2.0 明显降低、可多消纳负荷约 20%，并建议互联程度高的城市配电网容载比控制在 1.6 左右[7]；张锐等进一步以改进供电能力指标指导低压柔性互联装置规划，强调"容量≠真实供电上限"[45]；马雨欣、林凌雪提出面向精准规划的 TSC 评估方法并将分布式电源场景纳入供电能力计算[46]。</w:t>
      </w:r>
    </w:p>
    <w:p>
      <w:pPr>
        <w:spacing w:line="360" w:lineRule="auto" w:before="0" w:after="0"/>
        <w:jc w:val="both"/>
        <w:ind w:firstLineChars="200" w:firstLine="480"/>
      </w:pPr>
      <w:r>
        <w:rPr>
          <w:rFonts w:ascii="Times New Roman" w:hAnsi="Times New Roman" w:eastAsia="仿宋_GB2312"/>
          <w:b w:val="0"/>
          <w:sz w:val="24"/>
        </w:rPr>
        <w:t>综上，国内已形成"多电压等级协同优化 + 参数精细化 + 指标可视化（色带）+ TSC 真实供电上限"四条相互支撑的路径，并提供了"网络越强容载比越低（肖峻 1.5～1.6）"与"按负荷密度/增长率差异化取值（王凯亮）"两类可直接迁移的弹性范式。共性空白是经典模型普遍未将分布式光伏出力与反送约束内生化，这正是高渗透地区弹性容载比需补足之处。</w:t>
      </w:r>
    </w:p>
    <w:p>
      <w:pPr>
        <w:spacing w:before="240" w:after="120"/>
        <w:jc w:val="left"/>
      </w:pPr>
      <w:r>
        <w:rPr>
          <w:rFonts w:ascii="Times New Roman" w:hAnsi="Times New Roman" w:eastAsia="仿宋_GB2312"/>
          <w:b/>
          <w:sz w:val="28"/>
        </w:rPr>
        <w:t>3.2 分布式光伏承载力与安全经济评估</w:t>
      </w:r>
    </w:p>
    <w:p>
      <w:pPr>
        <w:spacing w:line="360" w:lineRule="auto" w:before="0" w:after="0"/>
        <w:jc w:val="both"/>
        <w:ind w:firstLineChars="200" w:firstLine="480"/>
      </w:pPr>
      <w:r>
        <w:rPr>
          <w:rFonts w:ascii="Times New Roman" w:hAnsi="Times New Roman" w:eastAsia="仿宋_GB2312"/>
          <w:b w:val="0"/>
          <w:sz w:val="24"/>
        </w:rPr>
        <w:t>国内承载力评估已由"单一电压等级、最劣断面"转向"多供电层级耦合、逐站逐线逐台区精细化"与"概率/区间表达"。在精细化评估上，王守相等提出"变电站—馈线—台区"多供电层级耦合的一体化评估，明确区分"消纳能力（运行角度，电力电量平衡）"与"接纳能力（规划角度，不越过载/电压/谐波约束）"，并指出单电压等级独立评估会使低压侧承载力估计过于乐观[47]。在概率/区间评估上，王方敏等提出基于历史场景的分层分级概率评估，以反向负载率分级并将薄弱环节分为红/黄/蓝/绿四级，可按不同置信水平给出各供电区域光伏可新增容量（采用 DL/T 2041 口径）[48]；徐非非等提出计及不确定性的承载能力区间分析方法[52]；张伟等针对含储能与软开关的柔性配电网，以确定性模型刻画最乐观、双层鲁棒优化刻画最悲观，构成消纳能力区间，并验证随 E-SOP 端口容量增大区间整体抬升、宽度收窄（由 7.93～10.89 MW 升至 9.32～11.34 MW）[53]。在安全经济承载力上，宋钰等构建兼顾安全与经济的分布式光伏承载力评估方法[50]，李敬如等研究主配协同条件下的安全经济承载力计算[51]，二者均强调"先满足电压、设备容量与运行安全约束，再比较扩网、储能与调节措施经济性"。龚锐等则提出"综合承载力"概念，将运行状态评估结果折算为系数与接入容量相乘得"期望接入容量"，把承载力由单一容量升级为质量加权指标[54]。此外，黄凯东从整县/县域视角给出"承载力—消纳—储能"工程框架与问题清单，但为概述性综述、无定量算例，仅作背景佐证[49]。需要说明的是，部分文献沿用 DL/T 2041—2019 或 DL/T 5729—2016 旧版口径，本研究援引其方法贡献时统一按现行 2023/2025 版口径理解。</w:t>
      </w:r>
    </w:p>
    <w:p>
      <w:pPr>
        <w:spacing w:line="360" w:lineRule="auto" w:before="0" w:after="0"/>
        <w:jc w:val="both"/>
        <w:ind w:firstLineChars="200" w:firstLine="480"/>
      </w:pPr>
      <w:r>
        <w:rPr>
          <w:rFonts w:ascii="Times New Roman" w:hAnsi="Times New Roman" w:eastAsia="仿宋_GB2312"/>
          <w:b w:val="0"/>
          <w:sz w:val="24"/>
        </w:rPr>
        <w:t>综上，国内承载力研究在方法学上已达"多层级耦合 + 概率分级 + 区间表达 + 安全经济协同"的较高水平，"消纳能力/接纳能力"二分与"基准值 + 弹性上限/区间"双指标与本课题"弹性容载比"高度同构。短板在于评估多止步于中低压、与上级 110 kV 容载比指标尚未打通——这正是本课题的接口价值所在。</w:t>
      </w:r>
    </w:p>
    <w:p>
      <w:pPr>
        <w:spacing w:before="240" w:after="120"/>
        <w:jc w:val="left"/>
      </w:pPr>
      <w:r>
        <w:rPr>
          <w:rFonts w:ascii="Times New Roman" w:hAnsi="Times New Roman" w:eastAsia="仿宋_GB2312"/>
          <w:b/>
          <w:sz w:val="28"/>
        </w:rPr>
        <w:t>3.3 高渗透率"源—网—荷"运行特征与净负荷</w:t>
      </w:r>
    </w:p>
    <w:p>
      <w:pPr>
        <w:spacing w:line="360" w:lineRule="auto" w:before="0" w:after="0"/>
        <w:jc w:val="both"/>
        <w:ind w:firstLineChars="200" w:firstLine="480"/>
      </w:pPr>
      <w:r>
        <w:rPr>
          <w:rFonts w:ascii="Times New Roman" w:hAnsi="Times New Roman" w:eastAsia="仿宋_GB2312"/>
          <w:b w:val="0"/>
          <w:sz w:val="24"/>
        </w:rPr>
        <w:t>运行特征类研究为本课题第三章数据库建设提供方法与区域数据。曹炜等综述德国可再生能源法与英国伦敦"8·9"大停电经验，佐证"高渗透率→功率倒送主网"是高比例接入的标志，并提示防孤岛与频率保护设定的重要性[2]。在区域负荷特征上，龚玺等基于 2016—2021 年江苏逐小时负荷与南京气象数据，得出江苏夏季日最大负荷与日最高气温相关性达 0.9、负荷随气温呈"V/U 型"，是少数可用于徐州负荷标定的本地化数据[55]；山东行业报告则揭示分布式装机超过用电负荷使中午台区"发大于用"、电压越限并触发保护，传统容量选型逻辑边界改变[3]。在风险评估与控制上，梁志峰等构建主配网"安全（电压越限、断面重载）、平衡、消纳"风险评估指标体系并提出分层分区紧急切负荷策略[56]，吕达夫等以多场景源荷不确定性模型评估承载能力、得出"储能提升承载能力优于需求响应"[57]，CN_CSEE（2026）以分布式电源变流器与 SVC 协同、引入鲁棒 H∞ 约束实现高渗透片区电压快速稳定控制[58]，刘克权等则以甘肃为例定性论证高比例新能源下"承载力不足/潮流反转/N-1 不满足/网架联络率低"的真实困境[4]。</w:t>
      </w:r>
    </w:p>
    <w:p>
      <w:pPr>
        <w:spacing w:line="360" w:lineRule="auto" w:before="0" w:after="0"/>
        <w:jc w:val="both"/>
        <w:ind w:firstLineChars="200" w:firstLine="480"/>
      </w:pPr>
      <w:r>
        <w:rPr>
          <w:rFonts w:ascii="Times New Roman" w:hAnsi="Times New Roman" w:eastAsia="仿宋_GB2312"/>
          <w:b w:val="0"/>
          <w:sz w:val="24"/>
        </w:rPr>
        <w:t>综上，国内运行特征研究已构成"经验—机理—风险—控制"链条，并一致表明高渗透率重塑净负荷曲线、使传统容量选型逻辑失效；其中江苏负荷—气温关系（r=0.9）为徐州本地标定提供了难得的区域数据。须注意多数风险/控制研究面向运行调度与中低压尺度，向 110 kV 规划容载比迁移需做尺度与口径转换，且区域数据仅作类比、不预设季节性重载/反送先验。</w:t>
      </w:r>
    </w:p>
    <w:p>
      <w:pPr>
        <w:spacing w:before="240" w:after="120"/>
        <w:jc w:val="left"/>
      </w:pPr>
      <w:r>
        <w:rPr>
          <w:rFonts w:ascii="Times New Roman" w:hAnsi="Times New Roman" w:eastAsia="仿宋_GB2312"/>
          <w:b/>
          <w:sz w:val="28"/>
        </w:rPr>
        <w:t>3.4 源网荷储协同规划与灵活资源配置</w:t>
      </w:r>
    </w:p>
    <w:p>
      <w:pPr>
        <w:spacing w:line="360" w:lineRule="auto" w:before="0" w:after="0"/>
        <w:jc w:val="both"/>
        <w:ind w:firstLineChars="200" w:firstLine="480"/>
      </w:pPr>
      <w:r>
        <w:rPr>
          <w:rFonts w:ascii="Times New Roman" w:hAnsi="Times New Roman" w:eastAsia="仿宋_GB2312"/>
          <w:b w:val="0"/>
          <w:sz w:val="24"/>
        </w:rPr>
        <w:t>国内源网荷储/柔性互联协同规划成果丰富，核心价值在于"以柔性互联与小幅投资换取大幅消纳与承载提升"。综述类研究系统梳理了分布式光伏规模化并网关键技术[59]、主动配电网规划[60]与新型配电网分布式储能配置[61]。在 SOP/柔性互联协同上，贺春光等以混合整数二阶锥规划做多电压等级 SOP 协同规划，算例中年综合成本由 457.3 万元降至 357.7 万元、各节点电压维持在 [0.95,1.05]、缓解 220 kV 变电站潮流倒送[62]。在"源—网—储"联合扩展规划上，徐峰亮等提出三层扩展规划并定义净负荷适应率、净负荷波动率、线路负载裕度均衡性三个运行灵活性指标，本文方案在五方案中总成本最低（1300.5 万元）、DG 渗透率最高（57.10%）[63]；乐健等以 Frank-Copula 刻画源荷时空相关、蒙特卡洛生成并削减典型场景，给出完整的"基准 vs 差异化"源网储联合 LCC 成本对比（25 节点方案 4 综合成本较方案 2 降约 44.9%）[64]。</w:t>
      </w:r>
    </w:p>
    <w:p>
      <w:pPr>
        <w:spacing w:line="360" w:lineRule="auto" w:before="0" w:after="0"/>
        <w:jc w:val="both"/>
        <w:ind w:firstLineChars="200" w:firstLine="480"/>
      </w:pPr>
      <w:r>
        <w:rPr>
          <w:rFonts w:ascii="Times New Roman" w:hAnsi="Times New Roman" w:eastAsia="仿宋_GB2312"/>
          <w:b w:val="0"/>
          <w:sz w:val="24"/>
        </w:rPr>
        <w:t>综上，源网荷储/SOP 协同已被证明可在不大幅增容下显著抬升消纳与供电能力，是"差异化方案 = 柔性互联/储能"的高质量论据；尤其徐峰亮提出的净负荷适应率、波动率与线路负载裕度均衡性，是与本课题"容载比弹性指标"最贴近的现成量化候选。需注意算例多为改进 IEEE 33/中压辐射网、单变电站，且 LCC 比较须计入储能的容量电价/辅助服务价值、并将短路电流与 N-1 纳入安全校核。</w:t>
      </w:r>
    </w:p>
    <w:p>
      <w:pPr>
        <w:spacing w:before="240" w:after="120"/>
        <w:jc w:val="left"/>
      </w:pPr>
      <w:r>
        <w:rPr>
          <w:rFonts w:ascii="Times New Roman" w:hAnsi="Times New Roman" w:eastAsia="仿宋_GB2312"/>
          <w:b/>
          <w:sz w:val="28"/>
        </w:rPr>
        <w:t>3.5 电网建设成本模型与全寿命周期经济评价</w:t>
      </w:r>
    </w:p>
    <w:p>
      <w:pPr>
        <w:spacing w:line="360" w:lineRule="auto" w:before="0" w:after="0"/>
        <w:jc w:val="both"/>
        <w:ind w:firstLineChars="200" w:firstLine="480"/>
      </w:pPr>
      <w:r>
        <w:rPr>
          <w:rFonts w:ascii="Times New Roman" w:hAnsi="Times New Roman" w:eastAsia="仿宋_GB2312"/>
          <w:b w:val="0"/>
          <w:sz w:val="24"/>
        </w:rPr>
        <w:t>成本建模是本课题"规范基准方案 vs 差异化方案组合"对比的核心。在投资优选范式上，张全等建立电网规划全生命周期投入产出效益评价体系，选取 6 类典型投资场景按"先项目重要性、后投入产出效益"排序，区分"刚性必选"（如区域供电能力提升、配用电升级）与"弹性排序"（如 220 kV 网架、灵活资源）项目，与本课题"刚性 vs 弹性容载比方案"对比框架高度契合[65]；何凯等提出"全成本电价"（节点边际电价 + 单位负荷建设与运维成本）并以基态/N-1 态负荷率为安全指标、"收入成本比"为经济指标做方案优选，其算例含 110 kV、155 MW 负荷接入（基态线路负荷率达 84%～92%），尺度与本课题贴近[66]。在造价参数化上，武小琳等以技术/组织/环境/造价四层因子构建 LM-CNN 模型预测输变电单位容量造价，平均精度达 97.87%、RMSE 7.38 元/(kV·A)，为本课题参数化建设成本公式提供方法上界参考[67]。最契合本课题的是黄碧斌等的研究：其辨识分布式光伏接入的成本（初投资、电网改造、维护、限电损失）与效益（降损、延缓投资、节能、环境），基于年度 8760 h 潮流分析做"改造 vs 限电"权衡，并发现降损效益随渗透率呈 U 型——渗透率不高时降损、渗透率提高后反向潮流超过原正向潮流时损耗反而回升，不同规划情景年化综合成本最多相差近 40%[68]。结合国外 Zhu 等显式含报废成本的 LCC 四分量模型[36]与 Zeng 等的经济寿命区间法[35]，本课题可形成覆盖"建设造价—改造成本—运维损耗—期末残值"的完整全寿命周期成本链。</w:t>
      </w:r>
    </w:p>
    <w:p>
      <w:pPr>
        <w:spacing w:line="360" w:lineRule="auto" w:before="0" w:after="0"/>
        <w:jc w:val="both"/>
        <w:ind w:firstLineChars="200" w:firstLine="480"/>
      </w:pPr>
      <w:r>
        <w:rPr>
          <w:rFonts w:ascii="Times New Roman" w:hAnsi="Times New Roman" w:eastAsia="仿宋_GB2312"/>
          <w:b w:val="0"/>
          <w:sz w:val="24"/>
        </w:rPr>
        <w:t>综上，国内成本研究已提供"全生命周期投入产出 + 刚性/弹性排序"（张全）、"收入成本比 + 负荷率安全约束"（何凯，含 110 kV 算例）、"造价参数化预测"（武小琳）与"改造 vs 限电权衡 + U 型降损曲线"（黄碧斌）四类可直接迁移的方法。其中黄碧斌的 U 型损耗曲线为"容载比—损耗非线性"提供了直接证据。需补足的是显式"期末残值（抵扣项）"建模——可借鉴国外 Inventions 模型的 discard cost 思路。</w:t>
      </w:r>
    </w:p>
    <w:p>
      <w:pPr>
        <w:spacing w:before="240" w:after="120"/>
        <w:jc w:val="left"/>
      </w:pPr>
      <w:r>
        <w:rPr>
          <w:rFonts w:ascii="Times New Roman" w:hAnsi="Times New Roman" w:eastAsia="仿宋_GB2312"/>
          <w:b/>
          <w:sz w:val="28"/>
        </w:rPr>
        <w:t>3.6 规划方案多准则决策与差异化投资</w:t>
      </w:r>
    </w:p>
    <w:p>
      <w:pPr>
        <w:spacing w:line="360" w:lineRule="auto" w:before="0" w:after="0"/>
        <w:jc w:val="both"/>
        <w:ind w:firstLineChars="200" w:firstLine="480"/>
      </w:pPr>
      <w:r>
        <w:rPr>
          <w:rFonts w:ascii="Times New Roman" w:hAnsi="Times New Roman" w:eastAsia="仿宋_GB2312"/>
          <w:b w:val="0"/>
          <w:sz w:val="24"/>
        </w:rPr>
        <w:t>国内决策方法以"主客观组合赋权 + 排序/分级模型"为主流，并向"功能差异化、不可补偿准则"延伸。其中罗宁等的研究与本课题最为对口：其以改进 AHP-CRITIC 组合赋权配合物元可拓评估对配电网做综合评价（贵州 9 市、33 项指标），</w:t>
      </w:r>
      <w:r>
        <w:rPr>
          <w:rFonts w:ascii="Times New Roman" w:hAnsi="Times New Roman" w:eastAsia="仿宋_GB2312"/>
          <w:b/>
          <w:sz w:val="24"/>
        </w:rPr>
        <w:t>直接将 110 kV 容载比纳入评价指标并给出四级分级阈值</w:t>
      </w:r>
      <w:r>
        <w:rPr>
          <w:rFonts w:ascii="Times New Roman" w:hAnsi="Times New Roman" w:eastAsia="仿宋_GB2312"/>
          <w:b w:val="0"/>
          <w:sz w:val="24"/>
        </w:rPr>
        <w:t>，可作为本课题指标分级标定与赋权排序方法的首要参照[69]。程智余等以改进 ELECTRE 法做电网规划投资多准则融合决策，将项目分为"安全提升型"与"需求驱动型"，其"不可补偿、否决阈值"机制与本课题"先安全校核否决、后排序"的逻辑天然吻合，可作为 AHP/TOPSIS 之外的稳健性对照[70]；汪志才等的"考虑功能差异的输变电项目效益评价及投资优化"则与本课题"一片一策"按片区功能差异定制评价的思路直接呼应[71]。郝蒙恩等的多阶段综合评估方法可作思路引子，但篇幅与量化支撑较弱[72]。</w:t>
      </w:r>
    </w:p>
    <w:p>
      <w:pPr>
        <w:spacing w:line="360" w:lineRule="auto" w:before="0" w:after="0"/>
        <w:jc w:val="both"/>
        <w:ind w:firstLineChars="200" w:firstLine="480"/>
      </w:pPr>
      <w:r>
        <w:rPr>
          <w:rFonts w:ascii="Times New Roman" w:hAnsi="Times New Roman" w:eastAsia="仿宋_GB2312"/>
          <w:b w:val="0"/>
          <w:sz w:val="24"/>
        </w:rPr>
        <w:t>综上，国内决策研究为"对通过安全校核的可行方案排序"提供了成熟工具箱（AHP-CRITIC 组合赋权、可拓分级、改进 ELECTRE），罗宁的"110 kV 容载比四级分级阈值"尤为关键。本课题宜以 AHP-CRITIC 组合赋权 + 可拓/TOPSIS 排序为主线、以改进 ELECTRE 的否决机制做稳健性对照，并通过权重敏感性分析控制主观性。</w:t>
      </w:r>
    </w:p>
    <w:p>
      <w:pPr>
        <w:spacing w:before="240" w:after="120"/>
        <w:jc w:val="left"/>
      </w:pPr>
      <w:r>
        <w:rPr>
          <w:rFonts w:ascii="Times New Roman" w:hAnsi="Times New Roman" w:eastAsia="仿宋_GB2312"/>
          <w:b/>
          <w:sz w:val="28"/>
        </w:rPr>
        <w:t>3.7 典型案例与区域规划实证</w:t>
      </w:r>
    </w:p>
    <w:p>
      <w:pPr>
        <w:spacing w:line="360" w:lineRule="auto" w:before="0" w:after="0"/>
        <w:jc w:val="both"/>
        <w:ind w:firstLineChars="200" w:firstLine="480"/>
      </w:pPr>
      <w:r>
        <w:rPr>
          <w:rFonts w:ascii="Times New Roman" w:hAnsi="Times New Roman" w:eastAsia="仿宋_GB2312"/>
          <w:b w:val="0"/>
          <w:sz w:val="24"/>
        </w:rPr>
        <w:t>案例实证为本课题第六章提供结构模板与对照算例。严小玉以江西兴国县为对象，构建"分电压层级消纳能力测算 + 多法负荷预测 + 分电压等级投资估算"的完整县域 110 kV 规划范式，给出丰小方式下光伏最大接入 149 MW、10 kV 及以下中压消纳能力约为总负荷的 20%～30%、"十三五"110 kV 及以下投资估算合计约 6.83 亿元（含基本/C 类/D 类三套方案对比），可直接作为本课题"真实区域算例"的结构与投资口径模板[73]。谢天祥等的研究是本批最直接的"容载比弹性下调"实证先例：其以浙江绍兴某含 6 座变电站的网格为对象，构建变电站层—中压线路层—配变层"三级弹性"规划模型，使</w:t>
      </w:r>
      <w:r>
        <w:rPr>
          <w:rFonts w:ascii="Times New Roman" w:hAnsi="Times New Roman" w:eastAsia="仿宋_GB2312"/>
          <w:b/>
          <w:sz w:val="24"/>
        </w:rPr>
        <w:t>容载比由 1.86 降为 1.72</w:t>
      </w:r>
      <w:r>
        <w:rPr>
          <w:rFonts w:ascii="Times New Roman" w:hAnsi="Times New Roman" w:eastAsia="仿宋_GB2312"/>
          <w:b w:val="0"/>
          <w:sz w:val="24"/>
        </w:rPr>
        <w:t>（变电站层弹性度 0.926），对应节约主变 1 台/50 MVA、公用中压线路 13 条、配变 64 台/156 MVA，且不降低供电可靠性[74]。在渗透率/消纳测算上，陈璨等以二分法快速定位边界渗透率并以四指标"满意度距离"做承德实际系统的消纳方案择优[75]；孙东磊等以 ADMM + 二阶锥松弛做多层级配电网消纳空间分解测算，论证层间协调可提升总消纳空间（但其算例为 IEEE 6/7/9/10/12/15 合成测试系统，属方法演示而非区域实证）[76]。金勇等以"功能单元"概念建立某城市 110 kV 高压配电网负荷转供分层优化模型，为"以转供能力换取较低容载比裕度"提供方法支撑[77]。此外，Zhao 等以浙江嘉兴/平湖示范区构建"源—网—荷—储四侧"投资测算模型，显示电网侧投资在四侧中占比最大（约 2312 万美元），从经济性侧面支撑"差异化容载比下调可节约电网侧投资"的论证[78]。</w:t>
      </w:r>
    </w:p>
    <w:p>
      <w:pPr>
        <w:spacing w:line="360" w:lineRule="auto" w:before="0" w:after="0"/>
        <w:jc w:val="both"/>
        <w:ind w:firstLineChars="200" w:firstLine="480"/>
      </w:pPr>
      <w:r>
        <w:rPr>
          <w:rFonts w:ascii="Times New Roman" w:hAnsi="Times New Roman" w:eastAsia="仿宋_GB2312"/>
          <w:b w:val="0"/>
          <w:sz w:val="24"/>
        </w:rPr>
        <w:t>综上，案例研究中，兴国县（县域 110 kV 高渗透完整规划）与三级弹性（容载比 1.86→1.72 真实下调）是与本课题最贴近的两个真实区域算例，分别提供"结构/投资模板"与"弹性可行性实证"；陈璨、金勇提供真实系统的方法支撑，而孙东磊为 IEEE 合成系统的方法演示、证据力定位为方法借鉴。整体看，现有案例尚无直接以"容载比弹性指标"贯通正向容载比、反向承载力与全寿命周期成本的徐州 110 kV 实证，留有本课题的填空空间。</w:t>
      </w:r>
    </w:p>
    <w:p>
      <w:pPr>
        <w:spacing w:before="240" w:after="120"/>
        <w:jc w:val="left"/>
      </w:pPr>
      <w:r>
        <w:rPr>
          <w:rFonts w:ascii="Times New Roman" w:hAnsi="Times New Roman" w:eastAsia="仿宋_GB2312"/>
          <w:b/>
          <w:sz w:val="28"/>
        </w:rPr>
        <w:t>3.8 政策与标准导向</w:t>
      </w:r>
    </w:p>
    <w:p>
      <w:pPr>
        <w:spacing w:line="360" w:lineRule="auto" w:before="0" w:after="0"/>
        <w:jc w:val="both"/>
        <w:ind w:firstLineChars="200" w:firstLine="480"/>
      </w:pPr>
      <w:r>
        <w:rPr>
          <w:rFonts w:ascii="Times New Roman" w:hAnsi="Times New Roman" w:eastAsia="仿宋_GB2312"/>
          <w:b w:val="0"/>
          <w:sz w:val="24"/>
        </w:rPr>
        <w:t>现行标准政策共同界定本课题的指标口径与约束边界。《配电网规划设计技术导则（修订稿）》（同 DL/T 5729—2023 口径）是"规范基准 + 差异化"取值的第一来源：其 6.2.2.1 明确容载比总体 1.5～2.0 并按负荷增长分档（饱和期 1.5～1.7、较快增长 1.8～2.0），强调应加强中压联络、增加转供能力以合理确定容载比；7.4.2.2/7.5.2 给出高渗透触发校验——当装机渗透率（源荷比）大于 2、或电量渗透率大于 40%～50% 时，须以反向净负荷极值校验公用变压器反向重过载[5]。DL/T 2041—2025 是承载力评估的第一来源：明确适用 110(66) kV、总装机不超过 50 MW，给出功率因数 0.95、设备反向潮流不超过 80%、可开放容量"红黄绿"分级，以及系统级以新能源利用率目标值为设定、区间计算时利用率下调 1 个百分点、新增储能按装机 1%～5% 取值等口径[6]。政策层面，发改能源〔2024〕187 号确立"评估承载力 + 建立可承载规模发布预警 + 就近就地消纳"导向[79]；发改能源〔2025〕1360 号提出"分档设置不同地区新能源利用率目标""由单一利用率指标转向综合评价指标体系"，与本课题"容载比弹性/差异化指标"理念高度契合，为指标创新提供政策正当性[80]；发改能源规〔2025〕624 号从办电时限与接入容量门槛侧面约束配套电网建设节奏[81]。《加快构建新型电力系统行动方案（2024—2027 年）》[82]、《配电网高质量发展行动实施方案（2024—2027 年）》[83]要求规范"配电网可承载分布式光伏规模计算方法"、按季度向社会公布县级可开放容量；《评估试点实施方案》给出低压台区承载预警等级（黄/红台区占比＜30% 良好、30%～80% 一般、＞80% 受限）并强调"应接尽接、不得以变电容量不足拒接"[84]；《省级分析报告大纲》提供承载力测算的报告框架与平衡表口径[85]。需说明，GB/T 45418—2025 仅作配电网通用技术补充依据[9]，其电子文本为扫描件、具体条款须另获原件核引。</w:t>
      </w:r>
    </w:p>
    <w:p>
      <w:pPr>
        <w:spacing w:line="360" w:lineRule="auto" w:before="0" w:after="0"/>
        <w:jc w:val="both"/>
        <w:ind w:firstLineChars="200" w:firstLine="480"/>
      </w:pPr>
      <w:r>
        <w:rPr>
          <w:rFonts w:ascii="Times New Roman" w:hAnsi="Times New Roman" w:eastAsia="仿宋_GB2312"/>
          <w:b w:val="0"/>
          <w:sz w:val="24"/>
        </w:rPr>
        <w:t>综上，标准政策一致指向"承载力评估—可开放容量发布预警—就近就地消纳—源网荷储提升"与"利用率目标分档/综合指标体系化"，既为本课题确立了容载比 1.5～2.0 基准、源荷比＞2 高渗透校验、反向潮流不超过 80% 等硬约束，也为"容载比弹性指标"的差异化、综合化方向提供了明确的政策正当性。</w:t>
      </w:r>
    </w:p>
    <w:p>
      <w:pPr>
        <w:spacing w:before="240" w:after="120"/>
        <w:jc w:val="left"/>
      </w:pPr>
      <w:r>
        <w:rPr>
          <w:rFonts w:ascii="Times New Roman" w:hAnsi="Times New Roman" w:eastAsia="仿宋_GB2312"/>
          <w:b/>
          <w:sz w:val="28"/>
        </w:rPr>
        <w:t>3.9 国内研究小结</w:t>
      </w:r>
    </w:p>
    <w:p>
      <w:pPr>
        <w:spacing w:line="360" w:lineRule="auto" w:before="0" w:after="0"/>
        <w:jc w:val="both"/>
        <w:ind w:firstLineChars="200" w:firstLine="480"/>
      </w:pPr>
      <w:r>
        <w:rPr>
          <w:rFonts w:ascii="Times New Roman" w:hAnsi="Times New Roman" w:eastAsia="仿宋_GB2312"/>
          <w:b w:val="0"/>
          <w:sz w:val="24"/>
        </w:rPr>
        <w:t>国内研究在容载比理论（多电压协同、色带可视化、TSC 真实供电上限）、承载力评估（多层级耦合、概率分级、区间表达）、运行特征（净负荷重塑、风险评估）、源网荷储协同（SOP/储能提升）、成本建模（全生命周期投入产出、改造 vs 限电权衡）、多准则决策（AHP-CRITIC、可拓、ELECTRE）与案例实证（兴国县、三级弹性）各方向均已积累丰富成果，并提供了若干与"弹性容载比"高度同构的范式（肖峻"网越强容载比越低"、王凯亮差异化取值表、徐峰亮灵活性指标、罗宁容载比四级阈值、谢天祥 1.86→1.72 实证）。但容载比研究与承载力研究两条主线尚未在同一指标体系内联立，且评估/规划算例多止步于中低压或集中于改进 IEEE 测试系统，针对地方 110 kV 高压分区、贯通正向容载比选择—反向承载力校核—实际工程成本—差异化推荐的工程决策研究仍相对有限。</w:t>
      </w:r>
    </w:p>
    <w:p>
      <w:pPr>
        <w:spacing w:before="360" w:after="240"/>
        <w:jc w:val="center"/>
      </w:pPr>
      <w:r>
        <w:rPr>
          <w:rFonts w:ascii="Times New Roman" w:hAnsi="Times New Roman" w:eastAsia="仿宋_GB2312"/>
          <w:b/>
          <w:sz w:val="32"/>
        </w:rPr>
        <w:t>第四章 国内外研究对比与述评</w:t>
      </w:r>
    </w:p>
    <w:p>
      <w:pPr>
        <w:spacing w:line="360" w:lineRule="auto" w:before="0" w:after="0"/>
        <w:jc w:val="both"/>
        <w:ind w:firstLineChars="200" w:firstLine="480"/>
      </w:pPr>
      <w:r>
        <w:rPr>
          <w:rFonts w:ascii="Times New Roman" w:hAnsi="Times New Roman" w:eastAsia="仿宋_GB2312"/>
          <w:b/>
          <w:sz w:val="24"/>
        </w:rPr>
        <w:t>（一）共识与趋势。</w:t>
      </w:r>
      <w:r>
        <w:rPr>
          <w:rFonts w:ascii="Times New Roman" w:hAnsi="Times New Roman" w:eastAsia="仿宋_GB2312"/>
          <w:b w:val="0"/>
          <w:sz w:val="24"/>
        </w:rPr>
        <w:t xml:space="preserve"> 国内外研究的演进方向呈现高度一致性，可概括为如下指标演进路径：容载比（规划充裕度，容量/最大负荷）→ 最大供电能力 TSC（N-1 下真实供电上限）→ 分布式电源承载力（光伏接纳上限，DL/T 2041）→ 动态/弹性承载力（不确定性与主动支撑下的可调区间）。本课题"弹性容载比"处于"容载比"与"动态承载力"的交汇环节，可借助两侧的成熟方法相互衔接。三方面共识尤为突出：其一，评估方法普遍由确定性最劣断面转向不确定性、概率与时序建模，并形成"基准值 + 风险/稳定阈值下弹性上限"的双指标范式；其二，提升承载/容载弹性不应仅靠扩建单一设备，而应综合比较网架、储能与运行灵活性，且经济性比较须以等年值/全寿命周期口径进行；其三，规划决策趋向"安全校核先行、组合赋权排序随后"。</w:t>
      </w:r>
    </w:p>
    <w:p>
      <w:pPr>
        <w:spacing w:line="360" w:lineRule="auto" w:before="0" w:after="0"/>
        <w:jc w:val="both"/>
        <w:ind w:firstLineChars="200" w:firstLine="480"/>
      </w:pPr>
      <w:r>
        <w:rPr>
          <w:rFonts w:ascii="Times New Roman" w:hAnsi="Times New Roman" w:eastAsia="仿宋_GB2312"/>
          <w:b/>
          <w:sz w:val="24"/>
        </w:rPr>
        <w:t>（二）差异与互补。</w:t>
      </w:r>
      <w:r>
        <w:rPr>
          <w:rFonts w:ascii="Times New Roman" w:hAnsi="Times New Roman" w:eastAsia="仿宋_GB2312"/>
          <w:b w:val="0"/>
          <w:sz w:val="24"/>
        </w:rPr>
        <w:t xml:space="preserve"> 国外以 Hosting Capacity 与灵活资源经济性为重心，方法精细（鲁棒/分布鲁棒、MISOCP、WGAN-GP、动态闭环承载力）、并给出可操作的经济阈值（专用储能仅在负荷增长率不超过 0.16% 时优于增容、分布式柔性优于网架增强直至 PV 占用电 110%～145%），但缺少"容载比"这一我国规划指标视角；国内则在容载比理论、TSC、安全经济承载力与工程造价数据上积累深厚，并有政策标准的明确口径牵引，但前沿算例多为中低压或 IEEE 测试系统。两者恰可互补：以国内容载比/TSC 指标与标准口径为骨架，吸收国外不确定性建模与"储能—网架"经济性判据为方法血肉。</w:t>
      </w:r>
    </w:p>
    <w:p>
      <w:pPr>
        <w:spacing w:line="360" w:lineRule="auto" w:before="0" w:after="0"/>
        <w:jc w:val="both"/>
        <w:ind w:firstLineChars="200" w:firstLine="480"/>
      </w:pPr>
      <w:r>
        <w:rPr>
          <w:rFonts w:ascii="Times New Roman" w:hAnsi="Times New Roman" w:eastAsia="仿宋_GB2312"/>
          <w:b/>
          <w:sz w:val="24"/>
        </w:rPr>
        <w:t>（三）研究空白。</w:t>
      </w:r>
      <w:r>
        <w:rPr>
          <w:rFonts w:ascii="Times New Roman" w:hAnsi="Times New Roman" w:eastAsia="仿宋_GB2312"/>
          <w:b w:val="0"/>
          <w:sz w:val="24"/>
        </w:rPr>
        <w:t xml:space="preserve"> 综合来看存在三处空白：一是评估/规划算例多为 IEEE 33/123 中压网，缺 110 kV 主配协同的工程化研究；二是容载比研究与承载力研究两条线尚未在同一指标体系内联立，反向承载力校核与正向容载比选取的协同机制尚不成熟；三是真实区域、含完整时序运行数据与工程造价、并以全寿命周期成本量化"弹性边界"的实证仍属稀缺。</w:t>
      </w:r>
    </w:p>
    <w:p>
      <w:pPr>
        <w:spacing w:before="360" w:after="240"/>
        <w:jc w:val="center"/>
      </w:pPr>
      <w:r>
        <w:rPr>
          <w:rFonts w:ascii="Times New Roman" w:hAnsi="Times New Roman" w:eastAsia="仿宋_GB2312"/>
          <w:b/>
          <w:sz w:val="32"/>
        </w:rPr>
        <w:t>第五章 本课题切入点与创新定位</w:t>
      </w:r>
    </w:p>
    <w:p>
      <w:pPr>
        <w:spacing w:line="360" w:lineRule="auto" w:before="0" w:after="0"/>
        <w:jc w:val="both"/>
        <w:ind w:firstLineChars="200" w:firstLine="480"/>
      </w:pPr>
      <w:r>
        <w:rPr>
          <w:rFonts w:ascii="Times New Roman" w:hAnsi="Times New Roman" w:eastAsia="仿宋_GB2312"/>
          <w:b w:val="0"/>
          <w:sz w:val="24"/>
        </w:rPr>
        <w:t>在容载比"弹性"取值方向，已有研究从多个侧面取得进展：谢天祥等给出了容载比由 1.86 下调至 1.72 的弹性规划实证[74]；徐峰亮等提出净负荷适应率、波动率、线路负载裕度均衡性等可作为"弹性指标"候选的量化量[63]；罗宁等将 110 kV 容载比纳入 AHP-CRITIC 可拓评价并给出四级分级阈值[69]。在上述工作基础上，本课题针对徐州实际 110 kV 高压分区场景，对分散的研究要素进行系统、可追溯的工程化集成，重点体现在以下方面：</w:t>
      </w:r>
    </w:p>
    <w:p>
      <w:pPr>
        <w:spacing w:line="360" w:lineRule="auto" w:before="0" w:after="0"/>
        <w:jc w:val="both"/>
        <w:ind w:firstLineChars="200" w:firstLine="480"/>
      </w:pPr>
      <w:r>
        <w:rPr>
          <w:rFonts w:ascii="Times New Roman" w:hAnsi="Times New Roman" w:eastAsia="仿宋_GB2312"/>
          <w:b w:val="0"/>
          <w:sz w:val="24"/>
        </w:rPr>
        <w:t xml:space="preserve">1. </w:t>
      </w:r>
      <w:r>
        <w:rPr>
          <w:rFonts w:ascii="Times New Roman" w:hAnsi="Times New Roman" w:eastAsia="仿宋_GB2312"/>
          <w:b/>
          <w:sz w:val="24"/>
        </w:rPr>
        <w:t>指标层面</w:t>
      </w:r>
      <w:r>
        <w:rPr>
          <w:rFonts w:ascii="Times New Roman" w:hAnsi="Times New Roman" w:eastAsia="仿宋_GB2312"/>
          <w:b w:val="0"/>
          <w:sz w:val="24"/>
        </w:rPr>
        <w:t>——在 DL/T 5729—2023 的 1.5～2.0 口径内，把"正向容载比选取"与"按 DL/T 2041—2025 的反向承载力校核（设备反向潮流不超过 80%、源荷比＞2 触发校验）"联立为同一决策指标体系，填补容载比与承载力两条研究线"未在同一指标体系内联立"的空白；</w:t>
      </w:r>
    </w:p>
    <w:p>
      <w:pPr>
        <w:spacing w:line="360" w:lineRule="auto" w:before="0" w:after="0"/>
        <w:jc w:val="both"/>
        <w:ind w:firstLineChars="200" w:firstLine="480"/>
      </w:pPr>
      <w:r>
        <w:rPr>
          <w:rFonts w:ascii="Times New Roman" w:hAnsi="Times New Roman" w:eastAsia="仿宋_GB2312"/>
          <w:b w:val="0"/>
          <w:sz w:val="24"/>
        </w:rPr>
        <w:t xml:space="preserve">2. </w:t>
      </w:r>
      <w:r>
        <w:rPr>
          <w:rFonts w:ascii="Times New Roman" w:hAnsi="Times New Roman" w:eastAsia="仿宋_GB2312"/>
          <w:b/>
          <w:sz w:val="24"/>
        </w:rPr>
        <w:t>经济层面</w:t>
      </w:r>
      <w:r>
        <w:rPr>
          <w:rFonts w:ascii="Times New Roman" w:hAnsi="Times New Roman" w:eastAsia="仿宋_GB2312"/>
          <w:b w:val="0"/>
          <w:sz w:val="24"/>
        </w:rPr>
        <w:t>——以全寿命周期成本（建设/运维/损耗/期末残值，残值为抵扣项；按正、反向潮流时段分类统计损耗）量化"刚性基准方案（严格执行 + 加强联络/配储）"与"弹性方案（差异化放宽 + 网架/储能/可调节资源组合）"的经济技术边界，落实国外"储能 vs 网架"阈值判据（按片区负荷增速差异化）于徐州实际造价；</w:t>
      </w:r>
    </w:p>
    <w:p>
      <w:pPr>
        <w:spacing w:line="360" w:lineRule="auto" w:before="0" w:after="0"/>
        <w:jc w:val="both"/>
        <w:ind w:firstLineChars="200" w:firstLine="480"/>
      </w:pPr>
      <w:r>
        <w:rPr>
          <w:rFonts w:ascii="Times New Roman" w:hAnsi="Times New Roman" w:eastAsia="仿宋_GB2312"/>
          <w:b w:val="0"/>
          <w:sz w:val="24"/>
        </w:rPr>
        <w:t xml:space="preserve">3. </w:t>
      </w:r>
      <w:r>
        <w:rPr>
          <w:rFonts w:ascii="Times New Roman" w:hAnsi="Times New Roman" w:eastAsia="仿宋_GB2312"/>
          <w:b/>
          <w:sz w:val="24"/>
        </w:rPr>
        <w:t>数据与尺度层面</w:t>
      </w:r>
      <w:r>
        <w:rPr>
          <w:rFonts w:ascii="Times New Roman" w:hAnsi="Times New Roman" w:eastAsia="仿宋_GB2312"/>
          <w:b w:val="0"/>
          <w:sz w:val="24"/>
        </w:rPr>
        <w:t>——以徐州 2021—2025 年完整时序运行数据与实际工程造价为基础，将研究尺度由现有文献多见的中低压/IEEE 测试系统，落到地方 110 kV 高压分区的多工况时序与主配协同；</w:t>
      </w:r>
    </w:p>
    <w:p>
      <w:pPr>
        <w:spacing w:line="360" w:lineRule="auto" w:before="0" w:after="0"/>
        <w:jc w:val="both"/>
        <w:ind w:firstLineChars="200" w:firstLine="480"/>
      </w:pPr>
      <w:r>
        <w:rPr>
          <w:rFonts w:ascii="Times New Roman" w:hAnsi="Times New Roman" w:eastAsia="仿宋_GB2312"/>
          <w:b w:val="0"/>
          <w:sz w:val="24"/>
        </w:rPr>
        <w:t xml:space="preserve">4. </w:t>
      </w:r>
      <w:r>
        <w:rPr>
          <w:rFonts w:ascii="Times New Roman" w:hAnsi="Times New Roman" w:eastAsia="仿宋_GB2312"/>
          <w:b/>
          <w:sz w:val="24"/>
        </w:rPr>
        <w:t>决策层面</w:t>
      </w:r>
      <w:r>
        <w:rPr>
          <w:rFonts w:ascii="Times New Roman" w:hAnsi="Times New Roman" w:eastAsia="仿宋_GB2312"/>
          <w:b w:val="0"/>
          <w:sz w:val="24"/>
        </w:rPr>
        <w:t>——以"安全与承载力校核先行、AHP（组合赋权）排序随后"的流程，形成面向不同县域或高压分区的"一片一策"差异化容载比推荐区间及配套技术方案，对实际案例未覆盖的组合明确标识为待验证结果。</w:t>
      </w:r>
    </w:p>
    <w:p>
      <w:pPr>
        <w:spacing w:line="360" w:lineRule="auto" w:before="0" w:after="0"/>
        <w:jc w:val="both"/>
        <w:ind w:firstLineChars="200" w:firstLine="480"/>
      </w:pPr>
      <w:r>
        <w:rPr>
          <w:rFonts w:ascii="Times New Roman" w:hAnsi="Times New Roman" w:eastAsia="仿宋_GB2312"/>
          <w:b w:val="0"/>
          <w:sz w:val="24"/>
        </w:rPr>
        <w:t>需强调，本课题所称"弹性"严格限定在标准推荐范围与安全校核之内，不以突破容载比上限、或以提高容载比替代反向过载与电压越限校核为目标；所有推断性结论均以现行标准、N-1 供电安全与设备承载力校核为前提。</w:t>
      </w:r>
    </w:p>
    <w:p>
      <w:pPr>
        <w:spacing w:before="360" w:after="240"/>
        <w:jc w:val="center"/>
      </w:pPr>
      <w:r>
        <w:rPr>
          <w:rFonts w:ascii="Times New Roman" w:hAnsi="Times New Roman" w:eastAsia="仿宋_GB2312"/>
          <w:b/>
          <w:sz w:val="32"/>
        </w:rPr>
        <w:t>第六章 后续研究框架与工作计划</w:t>
      </w:r>
    </w:p>
    <w:p>
      <w:pPr>
        <w:spacing w:line="360" w:lineRule="auto" w:before="0" w:after="0"/>
        <w:jc w:val="both"/>
        <w:ind w:firstLineChars="200" w:firstLine="480"/>
      </w:pPr>
      <w:r>
        <w:rPr>
          <w:rFonts w:ascii="Times New Roman" w:hAnsi="Times New Roman" w:eastAsia="仿宋_GB2312"/>
          <w:b w:val="0"/>
          <w:sz w:val="24"/>
        </w:rPr>
        <w:t>本研究后续将按"规范边界—数据识别—安全校核—成本比较—综合决策—案例验证"的主线开展，主要研究内容与工作安排如下；相关数据测算、方案比选与案例结论将在后续阶段形成。</w:t>
      </w:r>
    </w:p>
    <w:p>
      <w:pPr>
        <w:spacing w:line="360" w:lineRule="auto" w:before="0" w:after="0"/>
        <w:jc w:val="both"/>
      </w:pPr>
      <w:r>
        <w:rPr>
          <w:rFonts w:ascii="Times New Roman" w:hAnsi="Times New Roman" w:eastAsia="仿宋_GB2312"/>
          <w:b w:val="0"/>
          <w:sz w:val="24"/>
        </w:rPr>
        <w:t xml:space="preserve">　• 徐州典型地区"新能源—电网"运行特征分析：统计 110(35) kV 主变负载率多工况及源荷比、电量渗透率，识别正向重载、反向潮流等典型运行场景，构建"新能源渗透水平—电网运行状态"基础数据库。</w:t>
      </w:r>
    </w:p>
    <w:p>
      <w:pPr>
        <w:spacing w:line="360" w:lineRule="auto" w:before="0" w:after="0"/>
        <w:jc w:val="both"/>
      </w:pPr>
      <w:r>
        <w:rPr>
          <w:rFonts w:ascii="Times New Roman" w:hAnsi="Times New Roman" w:eastAsia="仿宋_GB2312"/>
          <w:b w:val="0"/>
          <w:sz w:val="24"/>
        </w:rPr>
        <w:t xml:space="preserve">　• 基于实际工程的电网建设成本模型：识别成本驱动因子，建立含建设、运维、电能损耗与期末残值的参数化全寿命周期成本模型，分别测算规范基准方案与差异化方案组合，形成决策案例库。</w:t>
      </w:r>
    </w:p>
    <w:p>
      <w:pPr>
        <w:spacing w:line="360" w:lineRule="auto" w:before="0" w:after="0"/>
        <w:jc w:val="both"/>
      </w:pPr>
      <w:r>
        <w:rPr>
          <w:rFonts w:ascii="Times New Roman" w:hAnsi="Times New Roman" w:eastAsia="仿宋_GB2312"/>
          <w:b w:val="0"/>
          <w:sz w:val="24"/>
        </w:rPr>
        <w:t xml:space="preserve">　• "一片一策"弹性容载比规划建议：在负荷及分布式光伏预测与承载力校核基础上构建评价指标体系，运用组合赋权方法对通过安全校核的可行方案进行排序，提出不同片区类型的容载比推荐区间及配套技术方案组合。</w:t>
      </w:r>
    </w:p>
    <w:p>
      <w:pPr>
        <w:spacing w:line="360" w:lineRule="auto" w:before="0" w:after="0"/>
        <w:jc w:val="both"/>
      </w:pPr>
      <w:r>
        <w:rPr>
          <w:rFonts w:ascii="Times New Roman" w:hAnsi="Times New Roman" w:eastAsia="仿宋_GB2312"/>
          <w:b w:val="0"/>
          <w:sz w:val="24"/>
        </w:rPr>
        <w:t xml:space="preserve">　• 典型案例验证：选取数据完整的典型县域或高压分区，对规范基准方案与差异化方案进行对比，评价方法的适用性与经济技术效果。</w:t>
      </w:r>
    </w:p>
    <w:p>
      <w:pPr>
        <w:spacing w:line="360" w:lineRule="auto" w:before="0" w:after="0"/>
        <w:jc w:val="both"/>
      </w:pPr>
      <w:r>
        <w:rPr>
          <w:rFonts w:ascii="Times New Roman" w:hAnsi="Times New Roman" w:eastAsia="仿宋_GB2312"/>
          <w:b w:val="0"/>
          <w:sz w:val="24"/>
        </w:rPr>
        <w:t xml:space="preserve">　• 结论与展望。</w:t>
      </w:r>
    </w:p>
    <w:p>
      <w:pPr>
        <w:spacing w:before="360" w:after="240"/>
        <w:jc w:val="center"/>
      </w:pPr>
      <w:r>
        <w:rPr>
          <w:rFonts w:ascii="Times New Roman" w:hAnsi="Times New Roman" w:eastAsia="仿宋_GB2312"/>
          <w:b/>
          <w:sz w:val="32"/>
        </w:rPr>
        <w:t>参考文献</w:t>
      </w:r>
    </w:p>
    <w:p>
      <w:pPr>
        <w:spacing w:line="300" w:lineRule="auto" w:before="0" w:after="40"/>
        <w:ind w:left="420" w:hangingChars="200" w:hanging="480"/>
      </w:pPr>
      <w:r>
        <w:rPr>
          <w:rFonts w:ascii="Times New Roman" w:hAnsi="Times New Roman" w:eastAsia="仿宋_GB2312"/>
          <w:b w:val="0"/>
          <w:sz w:val="24"/>
        </w:rPr>
        <w:t>[1] 国家能源局. 2026年一季度可再生能源并网运行情况新闻发布会[EB/OL]. (2026-04-27). https://www.nea.gov.cn/20260427/4b751e59b0d7463a95f74096fed83e14/c.html.</w:t>
      </w:r>
    </w:p>
    <w:p>
      <w:pPr>
        <w:spacing w:line="300" w:lineRule="auto" w:before="0" w:after="40"/>
        <w:ind w:left="420" w:hangingChars="200" w:hanging="480"/>
      </w:pPr>
      <w:r>
        <w:rPr>
          <w:rFonts w:ascii="Times New Roman" w:hAnsi="Times New Roman" w:eastAsia="仿宋_GB2312"/>
          <w:b w:val="0"/>
          <w:sz w:val="24"/>
        </w:rPr>
        <w:t>[2] 曹炜, 董浩洋, 李芸, 等. 分布式光伏高比例接入的国外经验及实践启示[J]. 电气传动, 2022, 52(4).</w:t>
      </w:r>
    </w:p>
    <w:p>
      <w:pPr>
        <w:spacing w:line="300" w:lineRule="auto" w:before="0" w:after="40"/>
        <w:ind w:left="420" w:hangingChars="200" w:hanging="480"/>
      </w:pPr>
      <w:r>
        <w:rPr>
          <w:rFonts w:ascii="Times New Roman" w:hAnsi="Times New Roman" w:eastAsia="仿宋_GB2312"/>
          <w:b w:val="0"/>
          <w:sz w:val="24"/>
        </w:rPr>
        <w:t>[3] 山东省分布式光伏行业发展研究报告[R]. 2025.</w:t>
      </w:r>
    </w:p>
    <w:p>
      <w:pPr>
        <w:spacing w:line="300" w:lineRule="auto" w:before="0" w:after="40"/>
        <w:ind w:left="420" w:hangingChars="200" w:hanging="480"/>
      </w:pPr>
      <w:r>
        <w:rPr>
          <w:rFonts w:ascii="Times New Roman" w:hAnsi="Times New Roman" w:eastAsia="仿宋_GB2312"/>
          <w:b w:val="0"/>
          <w:sz w:val="24"/>
        </w:rPr>
        <w:t>[4] 刘克权, 汤文, 陈钊, 等. 新能源高占比下主配协同调度的挑战与提升策略[J]. 智能电网, 2026, 16(1): 7-15.</w:t>
      </w:r>
    </w:p>
    <w:p>
      <w:pPr>
        <w:spacing w:line="300" w:lineRule="auto" w:before="0" w:after="40"/>
        <w:ind w:left="420" w:hangingChars="200" w:hanging="480"/>
      </w:pPr>
      <w:r>
        <w:rPr>
          <w:rFonts w:ascii="Times New Roman" w:hAnsi="Times New Roman" w:eastAsia="仿宋_GB2312"/>
          <w:b w:val="0"/>
          <w:sz w:val="24"/>
        </w:rPr>
        <w:t>[5] 配电网规划设计技术导则（修订稿）[S]. 2025.（与DL/T 5729—2023容载比口径一致）</w:t>
      </w:r>
    </w:p>
    <w:p>
      <w:pPr>
        <w:spacing w:line="300" w:lineRule="auto" w:before="0" w:after="40"/>
        <w:ind w:left="420" w:hangingChars="200" w:hanging="480"/>
      </w:pPr>
      <w:r>
        <w:rPr>
          <w:rFonts w:ascii="Times New Roman" w:hAnsi="Times New Roman" w:eastAsia="仿宋_GB2312"/>
          <w:b w:val="0"/>
          <w:sz w:val="24"/>
        </w:rPr>
        <w:t>[6] DL/T 2041—2025 分布式电源接入电力系统承载力评估导则[S]. 2025.</w:t>
      </w:r>
    </w:p>
    <w:p>
      <w:pPr>
        <w:spacing w:line="300" w:lineRule="auto" w:before="0" w:after="40"/>
        <w:ind w:left="420" w:hangingChars="200" w:hanging="480"/>
      </w:pPr>
      <w:r>
        <w:rPr>
          <w:rFonts w:ascii="Times New Roman" w:hAnsi="Times New Roman" w:eastAsia="仿宋_GB2312"/>
          <w:b w:val="0"/>
          <w:sz w:val="24"/>
        </w:rPr>
        <w:t>[7] 肖峻, 刘柔嘉, 龙梦皓. 变电容载比与下一级中压配电网络关系的量化分析[J]. 电力建设, 2015, 36(11): 45-50.</w:t>
      </w:r>
    </w:p>
    <w:p>
      <w:pPr>
        <w:spacing w:line="300" w:lineRule="auto" w:before="0" w:after="40"/>
        <w:ind w:left="420" w:hangingChars="200" w:hanging="480"/>
      </w:pPr>
      <w:r>
        <w:rPr>
          <w:rFonts w:ascii="Times New Roman" w:hAnsi="Times New Roman" w:eastAsia="仿宋_GB2312"/>
          <w:b w:val="0"/>
          <w:sz w:val="24"/>
        </w:rPr>
        <w:t>[8] SAATY T L. The Analytic Hierarchy Process[M]. New York: McGraw-Hill, 1980.</w:t>
      </w:r>
    </w:p>
    <w:p>
      <w:pPr>
        <w:spacing w:line="300" w:lineRule="auto" w:before="0" w:after="40"/>
        <w:ind w:left="420" w:hangingChars="200" w:hanging="480"/>
      </w:pPr>
      <w:r>
        <w:rPr>
          <w:rFonts w:ascii="Times New Roman" w:hAnsi="Times New Roman" w:eastAsia="仿宋_GB2312"/>
          <w:b w:val="0"/>
          <w:sz w:val="24"/>
        </w:rPr>
        <w:t>[9] GB/T 45418—2025 配电网通用技术导则[S]. 2025.</w:t>
      </w:r>
    </w:p>
    <w:p>
      <w:pPr>
        <w:spacing w:line="300" w:lineRule="auto" w:before="0" w:after="40"/>
        <w:ind w:left="420" w:hangingChars="200" w:hanging="480"/>
      </w:pPr>
      <w:r>
        <w:rPr>
          <w:rFonts w:ascii="Times New Roman" w:hAnsi="Times New Roman" w:eastAsia="仿宋_GB2312"/>
          <w:b w:val="0"/>
          <w:sz w:val="24"/>
        </w:rPr>
        <w:t>[10] LIN T, WU G, LAI S, et al. Calculation of distribution network PV hosting capacity considering source–load uncertainty and active management[J]. Electronics, 2024, 13(20): 4048.</w:t>
      </w:r>
    </w:p>
    <w:p>
      <w:pPr>
        <w:spacing w:line="300" w:lineRule="auto" w:before="0" w:after="40"/>
        <w:ind w:left="420" w:hangingChars="200" w:hanging="480"/>
      </w:pPr>
      <w:r>
        <w:rPr>
          <w:rFonts w:ascii="Times New Roman" w:hAnsi="Times New Roman" w:eastAsia="仿宋_GB2312"/>
          <w:b w:val="0"/>
          <w:sz w:val="24"/>
        </w:rPr>
        <w:t>[11] CHEN C, PENG W, XIE C, et al. Photovoltaic hosting capacity assessment of distribution networks considering source–load uncertainty[J]. Energies, 2025, 18(8): 2134.</w:t>
      </w:r>
    </w:p>
    <w:p>
      <w:pPr>
        <w:spacing w:line="300" w:lineRule="auto" w:before="0" w:after="40"/>
        <w:ind w:left="420" w:hangingChars="200" w:hanging="480"/>
      </w:pPr>
      <w:r>
        <w:rPr>
          <w:rFonts w:ascii="Times New Roman" w:hAnsi="Times New Roman" w:eastAsia="仿宋_GB2312"/>
          <w:b w:val="0"/>
          <w:sz w:val="24"/>
        </w:rPr>
        <w:t>[12] LIU H, HE J, DENG L, et al. Assessment of distribution network hosting capacity incorporating multiple uncertainty factors[J]. Electronics, 2025, 14(22): 4495.</w:t>
      </w:r>
    </w:p>
    <w:p>
      <w:pPr>
        <w:spacing w:line="300" w:lineRule="auto" w:before="0" w:after="40"/>
        <w:ind w:left="420" w:hangingChars="200" w:hanging="480"/>
      </w:pPr>
      <w:r>
        <w:rPr>
          <w:rFonts w:ascii="Times New Roman" w:hAnsi="Times New Roman" w:eastAsia="仿宋_GB2312"/>
          <w:b w:val="0"/>
          <w:sz w:val="24"/>
        </w:rPr>
        <w:t>[13] SHU J, ZHAO C, CHU B, et al. A closed-loop framework for PV dynamic hosting capacity: integrating physics-informed forecasting and stability constraints[J]. Frontiers in Energy Research, 2026. DOI: 10.3389/fenrg.2026.1823435.</w:t>
      </w:r>
    </w:p>
    <w:p>
      <w:pPr>
        <w:spacing w:line="300" w:lineRule="auto" w:before="0" w:after="40"/>
        <w:ind w:left="420" w:hangingChars="200" w:hanging="480"/>
      </w:pPr>
      <w:r>
        <w:rPr>
          <w:rFonts w:ascii="Times New Roman" w:hAnsi="Times New Roman" w:eastAsia="仿宋_GB2312"/>
          <w:b w:val="0"/>
          <w:sz w:val="24"/>
        </w:rPr>
        <w:t>[14] MAJEED I B, NWULU N I. Impact of reverse power flow on distributed transformers in a solar-photovoltaic-integrated low-voltage network[J]. Energies, 2022, 15(23): 9238.</w:t>
      </w:r>
    </w:p>
    <w:p>
      <w:pPr>
        <w:spacing w:line="300" w:lineRule="auto" w:before="0" w:after="40"/>
        <w:ind w:left="420" w:hangingChars="200" w:hanging="480"/>
      </w:pPr>
      <w:r>
        <w:rPr>
          <w:rFonts w:ascii="Times New Roman" w:hAnsi="Times New Roman" w:eastAsia="仿宋_GB2312"/>
          <w:b w:val="0"/>
          <w:sz w:val="24"/>
        </w:rPr>
        <w:t>[15] HOU Q, ZHANG N, DU E, et al. Probabilistic duck curve in high PV penetration power system: concept, modeling, and empirical analysis in China[J]. Applied Energy, 2019, 242: 205-215.</w:t>
      </w:r>
    </w:p>
    <w:p>
      <w:pPr>
        <w:spacing w:line="300" w:lineRule="auto" w:before="0" w:after="40"/>
        <w:ind w:left="420" w:hangingChars="200" w:hanging="480"/>
      </w:pPr>
      <w:r>
        <w:rPr>
          <w:rFonts w:ascii="Times New Roman" w:hAnsi="Times New Roman" w:eastAsia="仿宋_GB2312"/>
          <w:b w:val="0"/>
          <w:sz w:val="24"/>
        </w:rPr>
        <w:t>[16] HAIDER R, FERRO G, ROBBA M, et al. Flattening the duck curve: a case for distributed decision making[C/OL]. （会议/年份待核）.</w:t>
      </w:r>
    </w:p>
    <w:p>
      <w:pPr>
        <w:spacing w:line="300" w:lineRule="auto" w:before="0" w:after="40"/>
        <w:ind w:left="420" w:hangingChars="200" w:hanging="480"/>
      </w:pPr>
      <w:r>
        <w:rPr>
          <w:rFonts w:ascii="Times New Roman" w:hAnsi="Times New Roman" w:eastAsia="仿宋_GB2312"/>
          <w:b w:val="0"/>
          <w:sz w:val="24"/>
        </w:rPr>
        <w:t>[17] XIE Y, LI Q, YANG L, et al. The phenomenon and suppression strategy of overvoltage caused by PV power reverse flow[J]. Frontiers in Energy Research, 2024, 12: 1495742.</w:t>
      </w:r>
    </w:p>
    <w:p>
      <w:pPr>
        <w:spacing w:line="300" w:lineRule="auto" w:before="0" w:after="40"/>
        <w:ind w:left="420" w:hangingChars="200" w:hanging="480"/>
      </w:pPr>
      <w:r>
        <w:rPr>
          <w:rFonts w:ascii="Times New Roman" w:hAnsi="Times New Roman" w:eastAsia="仿宋_GB2312"/>
          <w:b w:val="0"/>
          <w:sz w:val="24"/>
        </w:rPr>
        <w:t>[18] GHORBANSARVI A, HAMILTON D, ALMASSALKHI M R, et al. Transformer temperature management and voltage control in electric distribution systems with high solar PV penetration[EB/OL]. arXiv: 2410.09011, 2024.</w:t>
      </w:r>
    </w:p>
    <w:p>
      <w:pPr>
        <w:spacing w:line="300" w:lineRule="auto" w:before="0" w:after="40"/>
        <w:ind w:left="420" w:hangingChars="200" w:hanging="480"/>
      </w:pPr>
      <w:r>
        <w:rPr>
          <w:rFonts w:ascii="Times New Roman" w:hAnsi="Times New Roman" w:eastAsia="仿宋_GB2312"/>
          <w:b w:val="0"/>
          <w:sz w:val="24"/>
        </w:rPr>
        <w:t>[19] A review of voltage control studies on LV distribution networks with high penetration distributed PV[J]. Energies, 2024, 17(13): 3058.（作者待核）</w:t>
      </w:r>
    </w:p>
    <w:p>
      <w:pPr>
        <w:spacing w:line="300" w:lineRule="auto" w:before="0" w:after="40"/>
        <w:ind w:left="420" w:hangingChars="200" w:hanging="480"/>
      </w:pPr>
      <w:r>
        <w:rPr>
          <w:rFonts w:ascii="Times New Roman" w:hAnsi="Times New Roman" w:eastAsia="仿宋_GB2312"/>
          <w:b w:val="0"/>
          <w:sz w:val="24"/>
        </w:rPr>
        <w:t>[20] NAIR A, VAHID-GHAVIDEL M, ANNASWAMY A M. Dynamic resource coordination can increase grid hosting capacity[EB/OL]. arXiv: 2604.02170, 2026.</w:t>
      </w:r>
    </w:p>
    <w:p>
      <w:pPr>
        <w:spacing w:line="300" w:lineRule="auto" w:before="0" w:after="40"/>
        <w:ind w:left="420" w:hangingChars="200" w:hanging="480"/>
      </w:pPr>
      <w:r>
        <w:rPr>
          <w:rFonts w:ascii="Times New Roman" w:hAnsi="Times New Roman" w:eastAsia="仿宋_GB2312"/>
          <w:b w:val="0"/>
          <w:sz w:val="24"/>
        </w:rPr>
        <w:t>[21] WANG R, JI H, LI P, et al. Multi-resource dynamic coordinated planning of flexible distribution network[J]. Nature Communications, 2024, 15: 4576.</w:t>
      </w:r>
    </w:p>
    <w:p>
      <w:pPr>
        <w:spacing w:line="300" w:lineRule="auto" w:before="0" w:after="40"/>
        <w:ind w:left="420" w:hangingChars="200" w:hanging="480"/>
      </w:pPr>
      <w:r>
        <w:rPr>
          <w:rFonts w:ascii="Times New Roman" w:hAnsi="Times New Roman" w:eastAsia="仿宋_GB2312"/>
          <w:b w:val="0"/>
          <w:sz w:val="24"/>
        </w:rPr>
        <w:t>[22] MARTÍNEZ M, MATEO C, GÓMEZ T, et al. Distributed battery energy storage systems for deferring distribution network reinforcements under sustained load growth scenarios[J]. Journal of Energy Storage, 2024, 100: 113404.</w:t>
      </w:r>
    </w:p>
    <w:p>
      <w:pPr>
        <w:spacing w:line="300" w:lineRule="auto" w:before="0" w:after="40"/>
        <w:ind w:left="420" w:hangingChars="200" w:hanging="480"/>
      </w:pPr>
      <w:r>
        <w:rPr>
          <w:rFonts w:ascii="Times New Roman" w:hAnsi="Times New Roman" w:eastAsia="仿宋_GB2312"/>
          <w:b w:val="0"/>
          <w:sz w:val="24"/>
        </w:rPr>
        <w:t>[23] HOLWEGER J, BALLIF C, WYRSCH N. Distributed flexibility as a cost-effective alternative to grid reinforcement[C]. 22nd Power Systems Computation Conference (PSCC), 2022. arXiv: 2109.07305.</w:t>
      </w:r>
    </w:p>
    <w:p>
      <w:pPr>
        <w:spacing w:line="300" w:lineRule="auto" w:before="0" w:after="40"/>
        <w:ind w:left="420" w:hangingChars="200" w:hanging="480"/>
      </w:pPr>
      <w:r>
        <w:rPr>
          <w:rFonts w:ascii="Times New Roman" w:hAnsi="Times New Roman" w:eastAsia="仿宋_GB2312"/>
          <w:b w:val="0"/>
          <w:sz w:val="24"/>
        </w:rPr>
        <w:t>[24] MATTHISS B, MOMENIFARAHANI A, BINDER J. Storage placement and sizing in a distribution grid with high PV-generation[EB/OL]. arXiv: 2001.05814, 2020.</w:t>
      </w:r>
    </w:p>
    <w:p>
      <w:pPr>
        <w:spacing w:line="300" w:lineRule="auto" w:before="0" w:after="40"/>
        <w:ind w:left="420" w:hangingChars="200" w:hanging="480"/>
      </w:pPr>
      <w:r>
        <w:rPr>
          <w:rFonts w:ascii="Times New Roman" w:hAnsi="Times New Roman" w:eastAsia="仿宋_GB2312"/>
          <w:b w:val="0"/>
          <w:sz w:val="24"/>
        </w:rPr>
        <w:t>[25] XU T, MENG H, ZHU J, et al. Considering the life-cycle cost of distributed energy-storage planning in distribution grids[J]. Applied Sciences, 2018, 8(12): 2615.</w:t>
      </w:r>
    </w:p>
    <w:p>
      <w:pPr>
        <w:spacing w:line="300" w:lineRule="auto" w:before="0" w:after="40"/>
        <w:ind w:left="420" w:hangingChars="200" w:hanging="480"/>
      </w:pPr>
      <w:r>
        <w:rPr>
          <w:rFonts w:ascii="Times New Roman" w:hAnsi="Times New Roman" w:eastAsia="仿宋_GB2312"/>
          <w:b w:val="0"/>
          <w:sz w:val="24"/>
        </w:rPr>
        <w:t>[26] WU Y, CHEN Y, LI Z, et al. Robust co-planning of distributed photovoltaics and energy storage for enhancing the hosting capacity of active distribution networks[J]. Renewable Energy, 2025, 253: 123645.</w:t>
      </w:r>
    </w:p>
    <w:p>
      <w:pPr>
        <w:spacing w:line="300" w:lineRule="auto" w:before="0" w:after="40"/>
        <w:ind w:left="420" w:hangingChars="200" w:hanging="480"/>
      </w:pPr>
      <w:r>
        <w:rPr>
          <w:rFonts w:ascii="Times New Roman" w:hAnsi="Times New Roman" w:eastAsia="仿宋_GB2312"/>
          <w:b w:val="0"/>
          <w:sz w:val="24"/>
        </w:rPr>
        <w:t>[27] ZHANG Q, WANG Z, MA S, et al. Stochastic pre-event preparation for enhancing resilience of distribution systems with high DER penetration[EB/OL]. arXiv: 2012.13043, 2020.</w:t>
      </w:r>
    </w:p>
    <w:p>
      <w:pPr>
        <w:spacing w:line="300" w:lineRule="auto" w:before="0" w:after="40"/>
        <w:ind w:left="420" w:hangingChars="200" w:hanging="480"/>
      </w:pPr>
      <w:r>
        <w:rPr>
          <w:rFonts w:ascii="Times New Roman" w:hAnsi="Times New Roman" w:eastAsia="仿宋_GB2312"/>
          <w:b w:val="0"/>
          <w:sz w:val="24"/>
        </w:rPr>
        <w:t>[28] HUANG J, SUN Z, XIE H, et al. Optimal substation capacity planning method in high-density load areas considering renewable energy[J]. Energy Reports, 2023, 9: 1520-1530.</w:t>
      </w:r>
    </w:p>
    <w:p>
      <w:pPr>
        <w:spacing w:line="300" w:lineRule="auto" w:before="0" w:after="40"/>
        <w:ind w:left="420" w:hangingChars="200" w:hanging="480"/>
      </w:pPr>
      <w:r>
        <w:rPr>
          <w:rFonts w:ascii="Times New Roman" w:hAnsi="Times New Roman" w:eastAsia="仿宋_GB2312"/>
          <w:b w:val="0"/>
          <w:sz w:val="24"/>
        </w:rPr>
        <w:t>[29] XU D, FU Q, YE L, et al. The optimal sizing of substation capacity in a distribution network, considering a dynamic time-of-use pricing mechanism[J]. Sensors, 2022, 22(19): 7173.</w:t>
      </w:r>
    </w:p>
    <w:p>
      <w:pPr>
        <w:spacing w:line="300" w:lineRule="auto" w:before="0" w:after="40"/>
        <w:ind w:left="420" w:hangingChars="200" w:hanging="480"/>
      </w:pPr>
      <w:r>
        <w:rPr>
          <w:rFonts w:ascii="Times New Roman" w:hAnsi="Times New Roman" w:eastAsia="仿宋_GB2312"/>
          <w:b w:val="0"/>
          <w:sz w:val="24"/>
        </w:rPr>
        <w:t>[30] NESPOLI L, MEDICI V. Global forecasting models for residential load flexibility and grid optimization[J]. Frontiers in Energy Research, 2025, 13: 1547617.</w:t>
      </w:r>
    </w:p>
    <w:p>
      <w:pPr>
        <w:spacing w:line="300" w:lineRule="auto" w:before="0" w:after="40"/>
        <w:ind w:left="420" w:hangingChars="200" w:hanging="480"/>
      </w:pPr>
      <w:r>
        <w:rPr>
          <w:rFonts w:ascii="Times New Roman" w:hAnsi="Times New Roman" w:eastAsia="仿宋_GB2312"/>
          <w:b w:val="0"/>
          <w:sz w:val="24"/>
        </w:rPr>
        <w:t>[31] ZHU H, LIU K, DAI Z, et al. Coordinated planning of multi-region E-SOP (soft open point integrated with battery storage) in distribution networks[J]. Energies, 2026, 19(7): 1769.</w:t>
      </w:r>
    </w:p>
    <w:p>
      <w:pPr>
        <w:spacing w:line="300" w:lineRule="auto" w:before="0" w:after="40"/>
        <w:ind w:left="420" w:hangingChars="200" w:hanging="480"/>
      </w:pPr>
      <w:r>
        <w:rPr>
          <w:rFonts w:ascii="Times New Roman" w:hAnsi="Times New Roman" w:eastAsia="仿宋_GB2312"/>
          <w:b w:val="0"/>
          <w:sz w:val="24"/>
        </w:rPr>
        <w:t>[32] LUO W, ZHANG C, HAN X, et al. Joint planning method for soft open points and energy storage in hybrid distribution networks based on improved DC power flow[J]. Processes, 2026, 14(6): 1013.</w:t>
      </w:r>
    </w:p>
    <w:p>
      <w:pPr>
        <w:spacing w:line="300" w:lineRule="auto" w:before="0" w:after="40"/>
        <w:ind w:left="420" w:hangingChars="200" w:hanging="480"/>
      </w:pPr>
      <w:r>
        <w:rPr>
          <w:rFonts w:ascii="Times New Roman" w:hAnsi="Times New Roman" w:eastAsia="仿宋_GB2312"/>
          <w:b w:val="0"/>
          <w:sz w:val="24"/>
        </w:rPr>
        <w:t>[33] WANG J, CHANG C, LE J, et al. Sustainable distribution network planning for enhancing PV accommodation: a source–network–storage coordinated stochastic approach[J]. Sustainability, 2025, 17(12): 5324.</w:t>
      </w:r>
    </w:p>
    <w:p>
      <w:pPr>
        <w:spacing w:line="300" w:lineRule="auto" w:before="0" w:after="40"/>
        <w:ind w:left="420" w:hangingChars="200" w:hanging="480"/>
      </w:pPr>
      <w:r>
        <w:rPr>
          <w:rFonts w:ascii="Times New Roman" w:hAnsi="Times New Roman" w:eastAsia="仿宋_GB2312"/>
          <w:b w:val="0"/>
          <w:sz w:val="24"/>
        </w:rPr>
        <w:t>[34] SHI Y, YAO Y, et al. Source–grid–load–storage coordinated optimization and evolutionarily stable strategies for high renewable energy[J]. Energies, 2026, 19(2): 415.</w:t>
      </w:r>
    </w:p>
    <w:p>
      <w:pPr>
        <w:spacing w:line="300" w:lineRule="auto" w:before="0" w:after="40"/>
        <w:ind w:left="420" w:hangingChars="200" w:hanging="480"/>
      </w:pPr>
      <w:r>
        <w:rPr>
          <w:rFonts w:ascii="Times New Roman" w:hAnsi="Times New Roman" w:eastAsia="仿宋_GB2312"/>
          <w:b w:val="0"/>
          <w:sz w:val="24"/>
        </w:rPr>
        <w:t>[35] ZENG W, FAN J, ZHANG W, et al. Whole life cycle cost analysis of transmission lines using the economic life interval method[J]. Energies, 2023, 16(23): 7804.</w:t>
      </w:r>
    </w:p>
    <w:p>
      <w:pPr>
        <w:spacing w:line="300" w:lineRule="auto" w:before="0" w:after="40"/>
        <w:ind w:left="420" w:hangingChars="200" w:hanging="480"/>
      </w:pPr>
      <w:r>
        <w:rPr>
          <w:rFonts w:ascii="Times New Roman" w:hAnsi="Times New Roman" w:eastAsia="仿宋_GB2312"/>
          <w:b w:val="0"/>
          <w:sz w:val="24"/>
        </w:rPr>
        <w:t>[36] ZHU Z, LU S, GAO B, et al. Life cycle cost analysis of three types of power lines in 10 kV distribution network[J]. Inventions, 2016, 1(4): 20.</w:t>
      </w:r>
    </w:p>
    <w:p>
      <w:pPr>
        <w:spacing w:line="300" w:lineRule="auto" w:before="0" w:after="40"/>
        <w:ind w:left="420" w:hangingChars="200" w:hanging="480"/>
      </w:pPr>
      <w:r>
        <w:rPr>
          <w:rFonts w:ascii="Times New Roman" w:hAnsi="Times New Roman" w:eastAsia="仿宋_GB2312"/>
          <w:b w:val="0"/>
          <w:sz w:val="24"/>
        </w:rPr>
        <w:t>[37] Adaptability evaluation of power grid planning scheme for novel power system considering multiple decision psychology[J]. Energies, 2024, 17(15): 3672.</w:t>
      </w:r>
    </w:p>
    <w:p>
      <w:pPr>
        <w:spacing w:line="300" w:lineRule="auto" w:before="0" w:after="40"/>
        <w:ind w:left="420" w:hangingChars="200" w:hanging="480"/>
      </w:pPr>
      <w:r>
        <w:rPr>
          <w:rFonts w:ascii="Times New Roman" w:hAnsi="Times New Roman" w:eastAsia="仿宋_GB2312"/>
          <w:b w:val="0"/>
          <w:sz w:val="24"/>
        </w:rPr>
        <w:t>[38] An improved TOPSIS method using Fermatean fuzzy sets for techno-economic evaluation of multi-type power sources[J]. Electronics, 2025, 14(23): 4770.</w:t>
      </w:r>
    </w:p>
    <w:p>
      <w:pPr>
        <w:spacing w:line="300" w:lineRule="auto" w:before="0" w:after="40"/>
        <w:ind w:left="420" w:hangingChars="200" w:hanging="480"/>
      </w:pPr>
      <w:r>
        <w:rPr>
          <w:rFonts w:ascii="Times New Roman" w:hAnsi="Times New Roman" w:eastAsia="仿宋_GB2312"/>
          <w:b w:val="0"/>
          <w:sz w:val="24"/>
        </w:rPr>
        <w:t>[39] Economic evaluation method of modern power transmission system based on improved TOPSIS and BWM-anti-entropy weight[J]. Energies, 2023, 16(21): 7242.</w:t>
      </w:r>
    </w:p>
    <w:p>
      <w:pPr>
        <w:spacing w:line="300" w:lineRule="auto" w:before="0" w:after="40"/>
        <w:ind w:left="420" w:hangingChars="200" w:hanging="480"/>
      </w:pPr>
      <w:r>
        <w:rPr>
          <w:rFonts w:ascii="Times New Roman" w:hAnsi="Times New Roman" w:eastAsia="仿宋_GB2312"/>
          <w:b w:val="0"/>
          <w:sz w:val="24"/>
        </w:rPr>
        <w:t>[40] Comprehensive benefit evaluation of the power distribution network planning project based on improved IAHP and multi-level extension assessment[J]. Sustainability, 2016, 8(8): 796.</w:t>
      </w:r>
    </w:p>
    <w:p>
      <w:pPr>
        <w:spacing w:line="300" w:lineRule="auto" w:before="0" w:after="40"/>
        <w:ind w:left="420" w:hangingChars="200" w:hanging="480"/>
      </w:pPr>
      <w:r>
        <w:rPr>
          <w:rFonts w:ascii="Times New Roman" w:hAnsi="Times New Roman" w:eastAsia="仿宋_GB2312"/>
          <w:b w:val="0"/>
          <w:sz w:val="24"/>
        </w:rPr>
        <w:t>[41] 陈浩, 张焰, 俞国勤, 等. 多电压等级配电网最优容载比的计算方法[J]. 电气应用, 2011, 30(1): 25-29.</w:t>
      </w:r>
    </w:p>
    <w:p>
      <w:pPr>
        <w:spacing w:line="300" w:lineRule="auto" w:before="0" w:after="40"/>
        <w:ind w:left="420" w:hangingChars="200" w:hanging="480"/>
      </w:pPr>
      <w:r>
        <w:rPr>
          <w:rFonts w:ascii="Times New Roman" w:hAnsi="Times New Roman" w:eastAsia="仿宋_GB2312"/>
          <w:b w:val="0"/>
          <w:sz w:val="24"/>
        </w:rPr>
        <w:t>[42] 王凯亮, 何卓怡, 叶健鹏, 等. 多电压等级电网协同规划的容载比优化配置方法[J]. 南方电网技术, 2025, 19(7): 131-139.</w:t>
      </w:r>
    </w:p>
    <w:p>
      <w:pPr>
        <w:spacing w:line="300" w:lineRule="auto" w:before="0" w:after="40"/>
        <w:ind w:left="420" w:hangingChars="200" w:hanging="480"/>
      </w:pPr>
      <w:r>
        <w:rPr>
          <w:rFonts w:ascii="Times New Roman" w:hAnsi="Times New Roman" w:eastAsia="仿宋_GB2312"/>
          <w:b w:val="0"/>
          <w:sz w:val="24"/>
        </w:rPr>
        <w:t>[43] 刘文霞, 刘其达, 邓诗语, 等. 基于容载比色带的区域配电网充裕性分析[J]. 华北电力大学学报(自然科学版), 2022, 49(2): 1-12, 22.</w:t>
      </w:r>
    </w:p>
    <w:p>
      <w:pPr>
        <w:spacing w:line="300" w:lineRule="auto" w:before="0" w:after="40"/>
        <w:ind w:left="420" w:hangingChars="200" w:hanging="480"/>
      </w:pPr>
      <w:r>
        <w:rPr>
          <w:rFonts w:ascii="Times New Roman" w:hAnsi="Times New Roman" w:eastAsia="仿宋_GB2312"/>
          <w:b w:val="0"/>
          <w:sz w:val="24"/>
        </w:rPr>
        <w:t>[44] 刘炜彬, 梁咏秋, 李锡刚, 等. 面向精细化规划的容载比参数优化方法研究[J]. 电气工程学报, 2025, 20(1): 208-216.</w:t>
      </w:r>
    </w:p>
    <w:p>
      <w:pPr>
        <w:spacing w:line="300" w:lineRule="auto" w:before="0" w:after="40"/>
        <w:ind w:left="420" w:hangingChars="200" w:hanging="480"/>
      </w:pPr>
      <w:r>
        <w:rPr>
          <w:rFonts w:ascii="Times New Roman" w:hAnsi="Times New Roman" w:eastAsia="仿宋_GB2312"/>
          <w:b w:val="0"/>
          <w:sz w:val="24"/>
        </w:rPr>
        <w:t>[45] 张锐, 刘恒超, 张国驹, 等. 基于改进供电能力指标的低压台区柔性互联装置规划[J]. 电力建设, 2025, 46(8): 1-11.</w:t>
      </w:r>
    </w:p>
    <w:p>
      <w:pPr>
        <w:spacing w:line="300" w:lineRule="auto" w:before="0" w:after="40"/>
        <w:ind w:left="420" w:hangingChars="200" w:hanging="480"/>
      </w:pPr>
      <w:r>
        <w:rPr>
          <w:rFonts w:ascii="Times New Roman" w:hAnsi="Times New Roman" w:eastAsia="仿宋_GB2312"/>
          <w:b w:val="0"/>
          <w:sz w:val="24"/>
        </w:rPr>
        <w:t>[46] 马雨欣, 林凌雪. 面向配电网精准规划的最大供电能力评估方法[J]. 现代电力, 2025, 42(6): 1120-1130.</w:t>
      </w:r>
    </w:p>
    <w:p>
      <w:pPr>
        <w:spacing w:line="300" w:lineRule="auto" w:before="0" w:after="40"/>
        <w:ind w:left="420" w:hangingChars="200" w:hanging="480"/>
      </w:pPr>
      <w:r>
        <w:rPr>
          <w:rFonts w:ascii="Times New Roman" w:hAnsi="Times New Roman" w:eastAsia="仿宋_GB2312"/>
          <w:b w:val="0"/>
          <w:sz w:val="24"/>
        </w:rPr>
        <w:t>[47] 王守相, 尹孜阳, 赵倩宇. 考虑多供电层级耦合的中低压配电网分布式光伏承载力一体化精细评估方法[J]. 电工技术学报, 2025, 40(6): 1930-1942.</w:t>
      </w:r>
    </w:p>
    <w:p>
      <w:pPr>
        <w:spacing w:line="300" w:lineRule="auto" w:before="0" w:after="40"/>
        <w:ind w:left="420" w:hangingChars="200" w:hanging="480"/>
      </w:pPr>
      <w:r>
        <w:rPr>
          <w:rFonts w:ascii="Times New Roman" w:hAnsi="Times New Roman" w:eastAsia="仿宋_GB2312"/>
          <w:b w:val="0"/>
          <w:sz w:val="24"/>
        </w:rPr>
        <w:t>[48] 王方敏, 顼佳宇, 苏宁, 等. 新型电力系统风险抑制下分布式光伏承载力概率评估方法[J]. 中国电力, 2025, 58(6): 33-44.</w:t>
      </w:r>
    </w:p>
    <w:p>
      <w:pPr>
        <w:spacing w:line="300" w:lineRule="auto" w:before="0" w:after="40"/>
        <w:ind w:left="420" w:hangingChars="200" w:hanging="480"/>
      </w:pPr>
      <w:r>
        <w:rPr>
          <w:rFonts w:ascii="Times New Roman" w:hAnsi="Times New Roman" w:eastAsia="仿宋_GB2312"/>
          <w:b w:val="0"/>
          <w:sz w:val="24"/>
        </w:rPr>
        <w:t>[49] 黄凯东. 提升配电网承载水平，探究分布式光伏消纳难题[J]. 工程与技术创新, 2025(6).</w:t>
      </w:r>
    </w:p>
    <w:p>
      <w:pPr>
        <w:spacing w:line="300" w:lineRule="auto" w:before="0" w:after="40"/>
        <w:ind w:left="420" w:hangingChars="200" w:hanging="480"/>
      </w:pPr>
      <w:r>
        <w:rPr>
          <w:rFonts w:ascii="Times New Roman" w:hAnsi="Times New Roman" w:eastAsia="仿宋_GB2312"/>
          <w:b w:val="0"/>
          <w:sz w:val="24"/>
        </w:rPr>
        <w:t>[50] 宋钰, 郭玥, 王旭阳, 等. 分布式光伏接入配电网安全经济承载力评估[J]. 浙江电力, 2025, 44(11): 93-102.</w:t>
      </w:r>
    </w:p>
    <w:p>
      <w:pPr>
        <w:spacing w:line="300" w:lineRule="auto" w:before="0" w:after="40"/>
        <w:ind w:left="420" w:hangingChars="200" w:hanging="480"/>
      </w:pPr>
      <w:r>
        <w:rPr>
          <w:rFonts w:ascii="Times New Roman" w:hAnsi="Times New Roman" w:eastAsia="仿宋_GB2312"/>
          <w:b w:val="0"/>
          <w:sz w:val="24"/>
        </w:rPr>
        <w:t>[51] 李敬如, 白宇, 王旭阳, 等. 考虑主配协同的分布式光伏接入电网安全经济承载力计算方法[J]. 电力建设, 2025, 46(10): 113-121.</w:t>
      </w:r>
    </w:p>
    <w:p>
      <w:pPr>
        <w:spacing w:line="300" w:lineRule="auto" w:before="0" w:after="40"/>
        <w:ind w:left="420" w:hangingChars="200" w:hanging="480"/>
      </w:pPr>
      <w:r>
        <w:rPr>
          <w:rFonts w:ascii="Times New Roman" w:hAnsi="Times New Roman" w:eastAsia="仿宋_GB2312"/>
          <w:b w:val="0"/>
          <w:sz w:val="24"/>
        </w:rPr>
        <w:t>[52] 徐非非, 等. 计及不确定性的配电网分布式光伏承载能力区间分析方法[J]. 浙江电力, 2023, 42(11): 86-95.</w:t>
      </w:r>
    </w:p>
    <w:p>
      <w:pPr>
        <w:spacing w:line="300" w:lineRule="auto" w:before="0" w:after="40"/>
        <w:ind w:left="420" w:hangingChars="200" w:hanging="480"/>
      </w:pPr>
      <w:r>
        <w:rPr>
          <w:rFonts w:ascii="Times New Roman" w:hAnsi="Times New Roman" w:eastAsia="仿宋_GB2312"/>
          <w:b w:val="0"/>
          <w:sz w:val="24"/>
        </w:rPr>
        <w:t>[53] 张伟, 等. 面向柔性互联配电网的分布式光伏消纳能力区间评估方法[J]. 现代电力, 2026（网络首发）. DOI: 10.19725/j.cnki.1007-2322.2024.0254.</w:t>
      </w:r>
    </w:p>
    <w:p>
      <w:pPr>
        <w:spacing w:line="300" w:lineRule="auto" w:before="0" w:after="40"/>
        <w:ind w:left="420" w:hangingChars="200" w:hanging="480"/>
      </w:pPr>
      <w:r>
        <w:rPr>
          <w:rFonts w:ascii="Times New Roman" w:hAnsi="Times New Roman" w:eastAsia="仿宋_GB2312"/>
          <w:b w:val="0"/>
          <w:sz w:val="24"/>
        </w:rPr>
        <w:t>[54] 龚锐, 李华强, 许立雄. 面向配电网综合承载力提升的储能优化配置方法[J]. 电网技术, 2025, 49(9): 3860-3868.</w:t>
      </w:r>
    </w:p>
    <w:p>
      <w:pPr>
        <w:spacing w:line="300" w:lineRule="auto" w:before="0" w:after="40"/>
        <w:ind w:left="420" w:hangingChars="200" w:hanging="480"/>
      </w:pPr>
      <w:r>
        <w:rPr>
          <w:rFonts w:ascii="Times New Roman" w:hAnsi="Times New Roman" w:eastAsia="仿宋_GB2312"/>
          <w:b w:val="0"/>
          <w:sz w:val="24"/>
        </w:rPr>
        <w:t>[55] 龚玺, 徐金阁, 卢炜. 江苏电网负荷变化特征研究[J]. 电气工程, 2023, 11(3): 137-143.</w:t>
      </w:r>
    </w:p>
    <w:p>
      <w:pPr>
        <w:spacing w:line="300" w:lineRule="auto" w:before="0" w:after="40"/>
        <w:ind w:left="420" w:hangingChars="200" w:hanging="480"/>
      </w:pPr>
      <w:r>
        <w:rPr>
          <w:rFonts w:ascii="Times New Roman" w:hAnsi="Times New Roman" w:eastAsia="仿宋_GB2312"/>
          <w:b w:val="0"/>
          <w:sz w:val="24"/>
        </w:rPr>
        <w:t>[56] 梁志峰, 康重庆, 隋凌峰, 等. 含高比例分布式光伏的主配网运行风险评估与防控策略研究[J]. 清华大学学报(自然科学版), 2024, 64(11): 1964-1978.</w:t>
      </w:r>
    </w:p>
    <w:p>
      <w:pPr>
        <w:spacing w:line="300" w:lineRule="auto" w:before="0" w:after="40"/>
        <w:ind w:left="420" w:hangingChars="200" w:hanging="480"/>
      </w:pPr>
      <w:r>
        <w:rPr>
          <w:rFonts w:ascii="Times New Roman" w:hAnsi="Times New Roman" w:eastAsia="仿宋_GB2312"/>
          <w:b w:val="0"/>
          <w:sz w:val="24"/>
        </w:rPr>
        <w:t>[57] 吕达夫. 考虑源荷不确定性的分布式光伏承载能力评估[J]. 上海电力大学学报, 2024, 40(6): 579-586.</w:t>
      </w:r>
    </w:p>
    <w:p>
      <w:pPr>
        <w:spacing w:line="300" w:lineRule="auto" w:before="0" w:after="40"/>
        <w:ind w:left="420" w:hangingChars="200" w:hanging="480"/>
      </w:pPr>
      <w:r>
        <w:rPr>
          <w:rFonts w:ascii="Times New Roman" w:hAnsi="Times New Roman" w:eastAsia="仿宋_GB2312"/>
          <w:b w:val="0"/>
          <w:sz w:val="24"/>
        </w:rPr>
        <w:t>[58] 高渗透率分布式光伏配电网鲁棒电压控制策略[J]. （期刊全称待核）, 2026(1): 67-77.</w:t>
      </w:r>
    </w:p>
    <w:p>
      <w:pPr>
        <w:spacing w:line="300" w:lineRule="auto" w:before="0" w:after="40"/>
        <w:ind w:left="420" w:hangingChars="200" w:hanging="480"/>
      </w:pPr>
      <w:r>
        <w:rPr>
          <w:rFonts w:ascii="Times New Roman" w:hAnsi="Times New Roman" w:eastAsia="仿宋_GB2312"/>
          <w:b w:val="0"/>
          <w:sz w:val="24"/>
        </w:rPr>
        <w:t>[59] 栗峰, 等. 新型电力系统下分布式光伏规模化并网运行关键技术探讨[J]. 电网技术, 2024, 48(1): 184-196.</w:t>
      </w:r>
    </w:p>
    <w:p>
      <w:pPr>
        <w:spacing w:line="300" w:lineRule="auto" w:before="0" w:after="40"/>
        <w:ind w:left="420" w:hangingChars="200" w:hanging="480"/>
      </w:pPr>
      <w:r>
        <w:rPr>
          <w:rFonts w:ascii="Times New Roman" w:hAnsi="Times New Roman" w:eastAsia="仿宋_GB2312"/>
          <w:b w:val="0"/>
          <w:sz w:val="24"/>
        </w:rPr>
        <w:t>[60] 刘洪波, 等. 主动配电网规划研究综述[J]. 发电技术, 2024, 45(1): 151-161.</w:t>
      </w:r>
    </w:p>
    <w:p>
      <w:pPr>
        <w:spacing w:line="300" w:lineRule="auto" w:before="0" w:after="40"/>
        <w:ind w:left="420" w:hangingChars="200" w:hanging="480"/>
      </w:pPr>
      <w:r>
        <w:rPr>
          <w:rFonts w:ascii="Times New Roman" w:hAnsi="Times New Roman" w:eastAsia="仿宋_GB2312"/>
          <w:b w:val="0"/>
          <w:sz w:val="24"/>
        </w:rPr>
        <w:t>[61] 黄海泉, 等. 新型配电网分布式储能系统方案及配置研究综述[J]. 南方能源建设, 2024, 11(4): 42-53.</w:t>
      </w:r>
    </w:p>
    <w:p>
      <w:pPr>
        <w:spacing w:line="300" w:lineRule="auto" w:before="0" w:after="40"/>
        <w:ind w:left="420" w:hangingChars="200" w:hanging="480"/>
      </w:pPr>
      <w:r>
        <w:rPr>
          <w:rFonts w:ascii="Times New Roman" w:hAnsi="Times New Roman" w:eastAsia="仿宋_GB2312"/>
          <w:b w:val="0"/>
          <w:sz w:val="24"/>
        </w:rPr>
        <w:t>[62] 贺春光, 王林峰, 曹媛, 等. 考虑综合收益的多电压等级配电网柔性互联装置协同规划方法[J]. 中国电力, 2025, 58(1): 78-84.</w:t>
      </w:r>
    </w:p>
    <w:p>
      <w:pPr>
        <w:spacing w:line="300" w:lineRule="auto" w:before="0" w:after="40"/>
        <w:ind w:left="420" w:hangingChars="200" w:hanging="480"/>
      </w:pPr>
      <w:r>
        <w:rPr>
          <w:rFonts w:ascii="Times New Roman" w:hAnsi="Times New Roman" w:eastAsia="仿宋_GB2312"/>
          <w:b w:val="0"/>
          <w:sz w:val="24"/>
        </w:rPr>
        <w:t>[63] 徐峰亮, 王克谦, 等. 计及运行灵活性的中压配电系统源-网-储协同扩展规划[J]. 中国电力, 2024, 57(7): 98-108.</w:t>
      </w:r>
    </w:p>
    <w:p>
      <w:pPr>
        <w:spacing w:line="300" w:lineRule="auto" w:before="0" w:after="40"/>
        <w:ind w:left="420" w:hangingChars="200" w:hanging="480"/>
      </w:pPr>
      <w:r>
        <w:rPr>
          <w:rFonts w:ascii="Times New Roman" w:hAnsi="Times New Roman" w:eastAsia="仿宋_GB2312"/>
          <w:b w:val="0"/>
          <w:sz w:val="24"/>
        </w:rPr>
        <w:t>[64] 乐健, 王靖, 廖小兵, 等. 基于随机场景的配电网源网储协同规划方法[J]. 电力系统保护与控制, 2025, 53(4): 132-147.</w:t>
      </w:r>
    </w:p>
    <w:p>
      <w:pPr>
        <w:spacing w:line="300" w:lineRule="auto" w:before="0" w:after="40"/>
        <w:ind w:left="420" w:hangingChars="200" w:hanging="480"/>
      </w:pPr>
      <w:r>
        <w:rPr>
          <w:rFonts w:ascii="Times New Roman" w:hAnsi="Times New Roman" w:eastAsia="仿宋_GB2312"/>
          <w:b w:val="0"/>
          <w:sz w:val="24"/>
        </w:rPr>
        <w:t>[65] 张全, 等. 基于全生命周期投入产出效益的电网规划精准投资方法[J]. 中国电力, 2018, 51(10): 171-177.</w:t>
      </w:r>
    </w:p>
    <w:p>
      <w:pPr>
        <w:spacing w:line="300" w:lineRule="auto" w:before="0" w:after="40"/>
        <w:ind w:left="420" w:hangingChars="200" w:hanging="480"/>
      </w:pPr>
      <w:r>
        <w:rPr>
          <w:rFonts w:ascii="Times New Roman" w:hAnsi="Times New Roman" w:eastAsia="仿宋_GB2312"/>
          <w:b w:val="0"/>
          <w:sz w:val="24"/>
        </w:rPr>
        <w:t>[66] 何凯, 等. 基于全成本电价的电网规划方案评估与优选[J]. 中国电力, 2020, 53(3): 66-75.</w:t>
      </w:r>
    </w:p>
    <w:p>
      <w:pPr>
        <w:spacing w:line="300" w:lineRule="auto" w:before="0" w:after="40"/>
        <w:ind w:left="420" w:hangingChars="200" w:hanging="480"/>
      </w:pPr>
      <w:r>
        <w:rPr>
          <w:rFonts w:ascii="Times New Roman" w:hAnsi="Times New Roman" w:eastAsia="仿宋_GB2312"/>
          <w:b w:val="0"/>
          <w:sz w:val="24"/>
        </w:rPr>
        <w:t>[67] 武小琳, 等. 基于LM-CNN的输变电工程造价自动计算模型[J]. 中国电力, 2023, 56(2): 157-163.</w:t>
      </w:r>
    </w:p>
    <w:p>
      <w:pPr>
        <w:spacing w:line="300" w:lineRule="auto" w:before="0" w:after="40"/>
        <w:ind w:left="420" w:hangingChars="200" w:hanging="480"/>
      </w:pPr>
      <w:r>
        <w:rPr>
          <w:rFonts w:ascii="Times New Roman" w:hAnsi="Times New Roman" w:eastAsia="仿宋_GB2312"/>
          <w:b w:val="0"/>
          <w:sz w:val="24"/>
        </w:rPr>
        <w:t>[68] 黄碧斌, 等. 计及电网改造的高渗透率分布式光伏优化规划[J]. 电力建设, 2015, 36(10): 82-86.</w:t>
      </w:r>
    </w:p>
    <w:p>
      <w:pPr>
        <w:spacing w:line="300" w:lineRule="auto" w:before="0" w:after="40"/>
        <w:ind w:left="420" w:hangingChars="200" w:hanging="480"/>
      </w:pPr>
      <w:r>
        <w:rPr>
          <w:rFonts w:ascii="Times New Roman" w:hAnsi="Times New Roman" w:eastAsia="仿宋_GB2312"/>
          <w:b w:val="0"/>
          <w:sz w:val="24"/>
        </w:rPr>
        <w:t>[69] 罗宁, 贺墨琳, 高华, 等. 基于改进的AHP-CRITIC组合赋权与可拓评估模型的配电网综合评价方法[J]. 电力系统保护与控制, 2021, 49(16): 86-96.</w:t>
      </w:r>
    </w:p>
    <w:p>
      <w:pPr>
        <w:spacing w:line="300" w:lineRule="auto" w:before="0" w:after="40"/>
        <w:ind w:left="420" w:hangingChars="200" w:hanging="480"/>
      </w:pPr>
      <w:r>
        <w:rPr>
          <w:rFonts w:ascii="Times New Roman" w:hAnsi="Times New Roman" w:eastAsia="仿宋_GB2312"/>
          <w:b w:val="0"/>
          <w:sz w:val="24"/>
        </w:rPr>
        <w:t>[70] 程智余, 等. 基于改进ELECTRE法的电网规划投资多准则融合决策方法[J]. 中国电力, 2022.</w:t>
      </w:r>
    </w:p>
    <w:p>
      <w:pPr>
        <w:spacing w:line="300" w:lineRule="auto" w:before="0" w:after="40"/>
        <w:ind w:left="420" w:hangingChars="200" w:hanging="480"/>
      </w:pPr>
      <w:r>
        <w:rPr>
          <w:rFonts w:ascii="Times New Roman" w:hAnsi="Times New Roman" w:eastAsia="仿宋_GB2312"/>
          <w:b w:val="0"/>
          <w:sz w:val="24"/>
        </w:rPr>
        <w:t>[71] 汪志才, 等. 考虑功能差异的输变电项目效益评价及投资优化方法[J]. 中国电力, 2019.</w:t>
      </w:r>
    </w:p>
    <w:p>
      <w:pPr>
        <w:spacing w:line="300" w:lineRule="auto" w:before="0" w:after="40"/>
        <w:ind w:left="420" w:hangingChars="200" w:hanging="480"/>
      </w:pPr>
      <w:r>
        <w:rPr>
          <w:rFonts w:ascii="Times New Roman" w:hAnsi="Times New Roman" w:eastAsia="仿宋_GB2312"/>
          <w:b w:val="0"/>
          <w:sz w:val="24"/>
        </w:rPr>
        <w:t>[72] 郝蒙恩, 等. 城市配电网规划方案的多阶段综合评估方法[J]. （卷期待核）.</w:t>
      </w:r>
    </w:p>
    <w:p>
      <w:pPr>
        <w:spacing w:line="300" w:lineRule="auto" w:before="0" w:after="40"/>
        <w:ind w:left="420" w:hangingChars="200" w:hanging="480"/>
      </w:pPr>
      <w:r>
        <w:rPr>
          <w:rFonts w:ascii="Times New Roman" w:hAnsi="Times New Roman" w:eastAsia="仿宋_GB2312"/>
          <w:b w:val="0"/>
          <w:sz w:val="24"/>
        </w:rPr>
        <w:t>[73] 严小玉. 考虑光伏电源接入影响的兴国县配电网规划[D]. 南昌: 南昌大学, 2016.</w:t>
      </w:r>
    </w:p>
    <w:p>
      <w:pPr>
        <w:spacing w:line="300" w:lineRule="auto" w:before="0" w:after="40"/>
        <w:ind w:left="420" w:hangingChars="200" w:hanging="480"/>
      </w:pPr>
      <w:r>
        <w:rPr>
          <w:rFonts w:ascii="Times New Roman" w:hAnsi="Times New Roman" w:eastAsia="仿宋_GB2312"/>
          <w:b w:val="0"/>
          <w:sz w:val="24"/>
        </w:rPr>
        <w:t>[74] 谢天祥, 赏炜, 高捷. 基于数据驱动的配电网"三级弹性"精准规划方法研究[J]. 电气工程, 2022, 10(3): 139-153.</w:t>
      </w:r>
    </w:p>
    <w:p>
      <w:pPr>
        <w:spacing w:line="300" w:lineRule="auto" w:before="0" w:after="40"/>
        <w:ind w:left="420" w:hangingChars="200" w:hanging="480"/>
      </w:pPr>
      <w:r>
        <w:rPr>
          <w:rFonts w:ascii="Times New Roman" w:hAnsi="Times New Roman" w:eastAsia="仿宋_GB2312"/>
          <w:b w:val="0"/>
          <w:sz w:val="24"/>
        </w:rPr>
        <w:t>[75] 陈璨, 白明辉, 张婉明, 等. 分布式光伏边界渗透率快速定位及消纳方案择优[J]. 中国电力, 2022, 55(8): 40-49.</w:t>
      </w:r>
    </w:p>
    <w:p>
      <w:pPr>
        <w:spacing w:line="300" w:lineRule="auto" w:before="0" w:after="40"/>
        <w:ind w:left="420" w:hangingChars="200" w:hanging="480"/>
      </w:pPr>
      <w:r>
        <w:rPr>
          <w:rFonts w:ascii="Times New Roman" w:hAnsi="Times New Roman" w:eastAsia="仿宋_GB2312"/>
          <w:b w:val="0"/>
          <w:sz w:val="24"/>
        </w:rPr>
        <w:t>[76] 孙东磊, 孙毅, 刘蕊, 等. 计及多层级配电网的分布式新能源最大消纳空间分解测算[J]. 中国电力, 2024, 57(8): 108-114.</w:t>
      </w:r>
    </w:p>
    <w:p>
      <w:pPr>
        <w:spacing w:line="300" w:lineRule="auto" w:before="0" w:after="40"/>
        <w:ind w:left="420" w:hangingChars="200" w:hanging="480"/>
      </w:pPr>
      <w:r>
        <w:rPr>
          <w:rFonts w:ascii="Times New Roman" w:hAnsi="Times New Roman" w:eastAsia="仿宋_GB2312"/>
          <w:b w:val="0"/>
          <w:sz w:val="24"/>
        </w:rPr>
        <w:t>[77] 金勇, 刘俊勇, 张曦, 等. 基于功能单元的高压配电网负荷转供分层优化模型[J]. 工程科学与技术, 2017, 49(3): 179-190.</w:t>
      </w:r>
    </w:p>
    <w:p>
      <w:pPr>
        <w:spacing w:line="300" w:lineRule="auto" w:before="0" w:after="40"/>
        <w:ind w:left="420" w:hangingChars="200" w:hanging="480"/>
      </w:pPr>
      <w:r>
        <w:rPr>
          <w:rFonts w:ascii="Times New Roman" w:hAnsi="Times New Roman" w:eastAsia="仿宋_GB2312"/>
          <w:b w:val="0"/>
          <w:sz w:val="24"/>
        </w:rPr>
        <w:t>[78] ZHAO F, XUE L, ZHU J, et al. A novel investment strategy for renewable-dominated power distribution networks[J]. Frontiers in Energy Research, 2023.</w:t>
      </w:r>
    </w:p>
    <w:p>
      <w:pPr>
        <w:spacing w:line="300" w:lineRule="auto" w:before="0" w:after="40"/>
        <w:ind w:left="420" w:hangingChars="200" w:hanging="480"/>
      </w:pPr>
      <w:r>
        <w:rPr>
          <w:rFonts w:ascii="Times New Roman" w:hAnsi="Times New Roman" w:eastAsia="仿宋_GB2312"/>
          <w:b w:val="0"/>
          <w:sz w:val="24"/>
        </w:rPr>
        <w:t>[79] 国家发展改革委, 国家能源局. 关于新形势下配电网高质量发展的指导意见: 发改能源〔2024〕187号[Z]. 2024.</w:t>
      </w:r>
    </w:p>
    <w:p>
      <w:pPr>
        <w:spacing w:line="300" w:lineRule="auto" w:before="0" w:after="40"/>
        <w:ind w:left="420" w:hangingChars="200" w:hanging="480"/>
      </w:pPr>
      <w:r>
        <w:rPr>
          <w:rFonts w:ascii="Times New Roman" w:hAnsi="Times New Roman" w:eastAsia="仿宋_GB2312"/>
          <w:b w:val="0"/>
          <w:sz w:val="24"/>
        </w:rPr>
        <w:t>[80] 国家发展改革委, 国家能源局. 关于促进新能源消纳和调控的指导意见: 发改能源〔2025〕1360号[Z]. 2025.</w:t>
      </w:r>
    </w:p>
    <w:p>
      <w:pPr>
        <w:spacing w:line="300" w:lineRule="auto" w:before="0" w:after="40"/>
        <w:ind w:left="420" w:hangingChars="200" w:hanging="480"/>
      </w:pPr>
      <w:r>
        <w:rPr>
          <w:rFonts w:ascii="Times New Roman" w:hAnsi="Times New Roman" w:eastAsia="仿宋_GB2312"/>
          <w:b w:val="0"/>
          <w:sz w:val="24"/>
        </w:rPr>
        <w:t>[81] 国家发展改革委, 等. 关于深化提升"获得电力"服务水平 全面打造现代化用电营商环境的意见: 发改能源规〔2025〕624号[Z]. 2025.</w:t>
      </w:r>
    </w:p>
    <w:p>
      <w:pPr>
        <w:spacing w:line="300" w:lineRule="auto" w:before="0" w:after="40"/>
        <w:ind w:left="420" w:hangingChars="200" w:hanging="480"/>
      </w:pPr>
      <w:r>
        <w:rPr>
          <w:rFonts w:ascii="Times New Roman" w:hAnsi="Times New Roman" w:eastAsia="仿宋_GB2312"/>
          <w:b w:val="0"/>
          <w:sz w:val="24"/>
        </w:rPr>
        <w:t>[82] 国家发展改革委, 国家能源局. 加快构建新型电力系统行动方案（2024—2027年）[Z]. 2024.</w:t>
      </w:r>
    </w:p>
    <w:p>
      <w:pPr>
        <w:spacing w:line="300" w:lineRule="auto" w:before="0" w:after="40"/>
        <w:ind w:left="420" w:hangingChars="200" w:hanging="480"/>
      </w:pPr>
      <w:r>
        <w:rPr>
          <w:rFonts w:ascii="Times New Roman" w:hAnsi="Times New Roman" w:eastAsia="仿宋_GB2312"/>
          <w:b w:val="0"/>
          <w:sz w:val="24"/>
        </w:rPr>
        <w:t>[83] 国家能源局. 配电网高质量发展行动实施方案（2024—2027年）[Z]. 2024.</w:t>
      </w:r>
    </w:p>
    <w:p>
      <w:pPr>
        <w:spacing w:line="300" w:lineRule="auto" w:before="0" w:after="40"/>
        <w:ind w:left="420" w:hangingChars="200" w:hanging="480"/>
      </w:pPr>
      <w:r>
        <w:rPr>
          <w:rFonts w:ascii="Times New Roman" w:hAnsi="Times New Roman" w:eastAsia="仿宋_GB2312"/>
          <w:b w:val="0"/>
          <w:sz w:val="24"/>
        </w:rPr>
        <w:t>[84] 分布式光伏接入电网承载力及提升措施评估试点实施方案[Z]. 2023.</w:t>
      </w:r>
    </w:p>
    <w:p>
      <w:pPr>
        <w:spacing w:line="300" w:lineRule="auto" w:before="0" w:after="40"/>
        <w:ind w:left="420" w:hangingChars="200" w:hanging="480"/>
      </w:pPr>
      <w:r>
        <w:rPr>
          <w:rFonts w:ascii="Times New Roman" w:hAnsi="Times New Roman" w:eastAsia="仿宋_GB2312"/>
          <w:b w:val="0"/>
          <w:sz w:val="24"/>
        </w:rPr>
        <w:t>[85] 省级分布式光伏接入电网承载力及提升措施研究分析报告大纲[Z]. 2023.</w:t>
      </w:r>
    </w:p>
    <w:p>
      <w:pPr>
        <w:spacing w:line="300" w:lineRule="auto" w:before="0" w:after="40"/>
        <w:ind w:left="420" w:hangingChars="200" w:hanging="480"/>
      </w:pPr>
      <w:r>
        <w:rPr>
          <w:rFonts w:ascii="Times New Roman" w:hAnsi="Times New Roman" w:eastAsia="仿宋_GB2312"/>
          <w:b w:val="0"/>
          <w:sz w:val="24"/>
        </w:rPr>
        <w:t>[86] 新华社. 江苏分布式光伏新增装机量已超1650万千瓦[N/OL]. (2025-12-04). http://www.news.cn/fortune/20251204/690c5b478219409fa87f37860fc77c02/c.html.</w:t>
      </w:r>
    </w:p>
    <w:p>
      <w:pPr>
        <w:spacing w:line="300" w:lineRule="auto" w:before="0" w:after="40"/>
        <w:ind w:left="420" w:hangingChars="200" w:hanging="480"/>
      </w:pPr>
      <w:r>
        <w:rPr>
          <w:rFonts w:ascii="Times New Roman" w:hAnsi="Times New Roman" w:eastAsia="仿宋_GB2312"/>
          <w:b w:val="0"/>
          <w:sz w:val="24"/>
        </w:rPr>
        <w:t>[87] 江苏新闻广播. 江苏分布式光伏装机规模居全国第一，装机增长量领跑全国[N/OL]. 新浪财经, (2025-12-07). https://finance.sina.com.cn/jjxw/2025-12-07/doc-infzyhhm2815065.shtml.</w:t>
      </w:r>
    </w:p>
    <w:p>
      <w:pPr>
        <w:spacing w:line="300" w:lineRule="auto" w:before="0" w:after="40"/>
        <w:ind w:left="420" w:hangingChars="200" w:hanging="480"/>
      </w:pPr>
      <w:r>
        <w:rPr>
          <w:rFonts w:ascii="Times New Roman" w:hAnsi="Times New Roman" w:eastAsia="仿宋_GB2312"/>
          <w:b w:val="0"/>
          <w:sz w:val="24"/>
        </w:rPr>
        <w:t>[88] 国家电网报. 国网江苏以源网荷储协同推动新型电力系统建设[N/OL]. CPEM全国电力设备管理网, (2026-04-15). https://www.cpem.org.cn/list123/117663.html.</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_GB231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