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hint="eastAsia" w:ascii="黑体" w:hAnsi="黑体" w:eastAsia="黑体" w:cs="黑体"/>
          <w:sz w:val="32"/>
          <w:szCs w:val="32"/>
          <w:lang w:val="en-US" w:eastAsia="zh-CN"/>
        </w:rPr>
      </w:pPr>
      <w:r>
        <w:rPr>
          <w:rFonts w:hint="eastAsia" w:ascii="黑体" w:hAnsi="黑体" w:eastAsia="黑体" w:cs="黑体"/>
          <w:sz w:val="32"/>
          <w:szCs w:val="32"/>
        </w:rPr>
        <w:t>项目建议书</w:t>
      </w:r>
      <w:r>
        <w:rPr>
          <w:rFonts w:hint="eastAsia" w:ascii="黑体" w:hAnsi="黑体" w:eastAsia="黑体" w:cs="黑体"/>
          <w:sz w:val="32"/>
          <w:szCs w:val="32"/>
          <w:lang w:eastAsia="zh-CN"/>
        </w:rPr>
        <w:t>（</w:t>
      </w:r>
      <w:r>
        <w:rPr>
          <w:rFonts w:hint="eastAsia" w:ascii="Times New Roman" w:hAnsi="Times New Roman" w:eastAsia="方正仿宋_GBK"/>
          <w:bCs/>
          <w:sz w:val="24"/>
          <w:szCs w:val="22"/>
        </w:rPr>
        <w:t>辅助课题研究</w:t>
      </w:r>
      <w:r>
        <w:rPr>
          <w:rFonts w:hint="eastAsia" w:ascii="Times New Roman" w:hAnsi="Times New Roman" w:eastAsia="方正仿宋_GBK"/>
          <w:bCs/>
          <w:sz w:val="24"/>
          <w:szCs w:val="22"/>
          <w:lang w:val="en-US" w:eastAsia="zh-CN"/>
        </w:rPr>
        <w:t>类</w:t>
      </w:r>
      <w:r>
        <w:rPr>
          <w:rFonts w:hint="eastAsia" w:ascii="黑体" w:hAnsi="黑体" w:eastAsia="黑体" w:cs="黑体"/>
          <w:sz w:val="32"/>
          <w:szCs w:val="32"/>
          <w:lang w:eastAsia="zh-CN"/>
        </w:rPr>
        <w:t>）</w:t>
      </w:r>
    </w:p>
    <w:tbl>
      <w:tblPr>
        <w:tblStyle w:val="7"/>
        <w:tblW w:w="9463"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05"/>
        <w:gridCol w:w="963"/>
        <w:gridCol w:w="312"/>
        <w:gridCol w:w="874"/>
        <w:gridCol w:w="1948"/>
        <w:gridCol w:w="1206"/>
        <w:gridCol w:w="599"/>
        <w:gridCol w:w="2556"/>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33" w:hRule="atLeast"/>
          <w:jc w:val="center"/>
        </w:trPr>
        <w:tc>
          <w:tcPr>
            <w:tcW w:w="1968" w:type="dxa"/>
            <w:gridSpan w:val="2"/>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b/>
                <w:sz w:val="24"/>
              </w:rPr>
            </w:pPr>
            <w:r>
              <w:rPr>
                <w:rFonts w:hint="eastAsia" w:ascii="Times New Roman" w:hAnsi="Times New Roman" w:eastAsia="方正仿宋_GBK"/>
                <w:b/>
                <w:bCs/>
                <w:sz w:val="24"/>
              </w:rPr>
              <w:t>项目</w:t>
            </w:r>
            <w:r>
              <w:rPr>
                <w:rFonts w:ascii="Times New Roman" w:hAnsi="Times New Roman" w:eastAsia="方正仿宋_GBK"/>
                <w:b/>
                <w:bCs/>
                <w:sz w:val="24"/>
              </w:rPr>
              <w:t>名称</w:t>
            </w:r>
          </w:p>
        </w:tc>
        <w:tc>
          <w:tcPr>
            <w:tcW w:w="7495"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eastAsia="方正仿宋_GBK"/>
                <w:bCs/>
                <w:sz w:val="24"/>
                <w:szCs w:val="22"/>
              </w:rPr>
            </w:pPr>
            <w:r>
              <w:rPr>
                <w:rFonts w:hint="eastAsia" w:ascii="Times New Roman" w:hAnsi="Times New Roman" w:eastAsia="方正仿宋_GBK"/>
                <w:bCs/>
                <w:i w:val="0"/>
                <w:iCs w:val="0"/>
                <w:sz w:val="24"/>
                <w:szCs w:val="22"/>
                <w:lang w:val="en-US" w:eastAsia="zh-CN"/>
              </w:rPr>
              <w:t>国网徐州供电公司2026年分布式新能源高渗透率地区110千伏电网容载比弹性指标优化咨询服务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1968"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eastAsia" w:ascii="Times New Roman" w:hAnsi="Times New Roman" w:eastAsia="方正仿宋_GBK"/>
                <w:b/>
                <w:bCs/>
                <w:sz w:val="24"/>
              </w:rPr>
            </w:pPr>
            <w:r>
              <w:rPr>
                <w:rFonts w:hint="eastAsia" w:ascii="Times New Roman" w:hAnsi="Times New Roman" w:eastAsia="方正仿宋_GBK"/>
                <w:b/>
                <w:bCs/>
                <w:sz w:val="24"/>
              </w:rPr>
              <w:t>实施时间</w:t>
            </w:r>
          </w:p>
        </w:tc>
        <w:tc>
          <w:tcPr>
            <w:tcW w:w="3134" w:type="dxa"/>
            <w:gridSpan w:val="3"/>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b/>
                <w:sz w:val="24"/>
              </w:rPr>
            </w:pPr>
            <w:r>
              <w:rPr>
                <w:rFonts w:hint="eastAsia" w:ascii="Times New Roman" w:hAnsi="Times New Roman" w:eastAsia="方正仿宋_GBK"/>
                <w:bCs/>
                <w:sz w:val="24"/>
                <w:szCs w:val="22"/>
              </w:rPr>
              <w:t>2026年</w:t>
            </w:r>
            <w:r>
              <w:rPr>
                <w:rFonts w:hint="eastAsia" w:ascii="Times New Roman" w:hAnsi="Times New Roman" w:eastAsia="方正仿宋_GBK"/>
                <w:bCs/>
                <w:sz w:val="24"/>
                <w:szCs w:val="22"/>
                <w:lang w:val="en-US" w:eastAsia="zh-CN"/>
              </w:rPr>
              <w:t>3</w:t>
            </w:r>
            <w:r>
              <w:rPr>
                <w:rFonts w:hint="eastAsia" w:ascii="Times New Roman" w:hAnsi="Times New Roman" w:eastAsia="方正仿宋_GBK"/>
                <w:bCs/>
                <w:sz w:val="24"/>
                <w:szCs w:val="22"/>
              </w:rPr>
              <w:t>月-2026年12月</w:t>
            </w:r>
          </w:p>
        </w:tc>
        <w:tc>
          <w:tcPr>
            <w:tcW w:w="180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eastAsia="方正仿宋_GBK"/>
                <w:b/>
                <w:bCs/>
                <w:sz w:val="24"/>
              </w:rPr>
            </w:pPr>
            <w:r>
              <w:rPr>
                <w:rFonts w:hint="eastAsia" w:ascii="Times New Roman" w:hAnsi="Times New Roman" w:eastAsia="方正仿宋_GBK"/>
                <w:b/>
                <w:bCs/>
                <w:sz w:val="24"/>
              </w:rPr>
              <w:t>含税估算金额</w:t>
            </w:r>
          </w:p>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b/>
                <w:sz w:val="24"/>
              </w:rPr>
            </w:pPr>
            <w:r>
              <w:rPr>
                <w:rFonts w:hint="eastAsia" w:ascii="Times New Roman" w:hAnsi="Times New Roman" w:eastAsia="方正仿宋_GBK"/>
                <w:b/>
                <w:bCs/>
                <w:sz w:val="24"/>
              </w:rPr>
              <w:t>（万元）</w:t>
            </w:r>
          </w:p>
        </w:tc>
        <w:tc>
          <w:tcPr>
            <w:tcW w:w="255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default"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71.02</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1968"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eastAsia" w:ascii="Times New Roman" w:hAnsi="Times New Roman" w:eastAsia="方正仿宋_GBK"/>
                <w:b/>
                <w:bCs/>
                <w:sz w:val="24"/>
              </w:rPr>
            </w:pPr>
            <w:r>
              <w:rPr>
                <w:rFonts w:hint="eastAsia" w:ascii="Times New Roman" w:hAnsi="Times New Roman" w:eastAsia="方正仿宋_GBK"/>
                <w:b/>
                <w:bCs/>
                <w:sz w:val="24"/>
              </w:rPr>
              <w:t>项目类型/费用类别</w:t>
            </w:r>
          </w:p>
        </w:tc>
        <w:tc>
          <w:tcPr>
            <w:tcW w:w="3134" w:type="dxa"/>
            <w:gridSpan w:val="3"/>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eastAsia="方正仿宋_GBK"/>
                <w:bCs/>
                <w:sz w:val="24"/>
                <w:szCs w:val="22"/>
              </w:rPr>
            </w:pPr>
            <w:r>
              <w:rPr>
                <w:rFonts w:hint="eastAsia" w:ascii="Times New Roman" w:hAnsi="Times New Roman" w:eastAsia="方正仿宋_GBK"/>
                <w:bCs/>
                <w:sz w:val="24"/>
                <w:szCs w:val="22"/>
              </w:rPr>
              <w:t>辅助课题研究</w:t>
            </w:r>
          </w:p>
        </w:tc>
        <w:tc>
          <w:tcPr>
            <w:tcW w:w="180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eastAsia="方正仿宋_GBK"/>
                <w:b/>
                <w:bCs/>
                <w:sz w:val="24"/>
              </w:rPr>
            </w:pPr>
            <w:r>
              <w:rPr>
                <w:rFonts w:hint="eastAsia" w:ascii="Times New Roman" w:hAnsi="Times New Roman" w:eastAsia="方正仿宋_GBK"/>
                <w:b/>
                <w:bCs/>
                <w:sz w:val="24"/>
              </w:rPr>
              <w:t>不含税估算金额</w:t>
            </w:r>
          </w:p>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b/>
                <w:sz w:val="24"/>
              </w:rPr>
            </w:pPr>
            <w:r>
              <w:rPr>
                <w:rFonts w:hint="eastAsia" w:ascii="Times New Roman" w:hAnsi="Times New Roman" w:eastAsia="方正仿宋_GBK"/>
                <w:b/>
                <w:bCs/>
                <w:sz w:val="24"/>
              </w:rPr>
              <w:t>（万元）</w:t>
            </w:r>
          </w:p>
        </w:tc>
        <w:tc>
          <w:tcPr>
            <w:tcW w:w="255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default"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67</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1968"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eastAsia" w:ascii="Times New Roman" w:hAnsi="Times New Roman" w:eastAsia="方正仿宋_GBK"/>
                <w:b/>
                <w:bCs/>
                <w:sz w:val="24"/>
              </w:rPr>
            </w:pPr>
            <w:r>
              <w:rPr>
                <w:rFonts w:hint="eastAsia" w:ascii="Times New Roman" w:hAnsi="Times New Roman" w:eastAsia="方正仿宋_GBK"/>
                <w:b/>
                <w:bCs/>
                <w:sz w:val="24"/>
              </w:rPr>
              <w:t>申报</w:t>
            </w:r>
            <w:r>
              <w:rPr>
                <w:rFonts w:hint="eastAsia" w:ascii="Times New Roman" w:hAnsi="Times New Roman" w:eastAsia="方正仿宋_GBK"/>
                <w:b/>
                <w:bCs/>
                <w:sz w:val="24"/>
                <w:lang w:val="en-US" w:eastAsia="zh-CN"/>
              </w:rPr>
              <w:t>单位/</w:t>
            </w:r>
            <w:r>
              <w:rPr>
                <w:rFonts w:hint="eastAsia" w:ascii="Times New Roman" w:hAnsi="Times New Roman" w:eastAsia="方正仿宋_GBK"/>
                <w:b/>
                <w:bCs/>
                <w:sz w:val="24"/>
              </w:rPr>
              <w:t>部门</w:t>
            </w:r>
          </w:p>
        </w:tc>
        <w:tc>
          <w:tcPr>
            <w:tcW w:w="3134" w:type="dxa"/>
            <w:gridSpan w:val="3"/>
            <w:tcBorders>
              <w:top w:val="single" w:color="auto" w:sz="6" w:space="0"/>
              <w:left w:val="single" w:color="auto" w:sz="6" w:space="0"/>
              <w:bottom w:val="single" w:color="auto" w:sz="6" w:space="0"/>
              <w:right w:val="single" w:color="auto" w:sz="6" w:space="0"/>
            </w:tcBorders>
            <w:vAlign w:val="center"/>
          </w:tcPr>
          <w:p>
            <w:pPr>
              <w:spacing w:line="240" w:lineRule="auto"/>
              <w:ind w:firstLine="480" w:firstLineChars="200"/>
              <w:jc w:val="center"/>
              <w:rPr>
                <w:rFonts w:ascii="Times New Roman" w:hAnsi="Times New Roman" w:eastAsia="方正仿宋_GBK"/>
                <w:bCs/>
                <w:sz w:val="24"/>
                <w:szCs w:val="22"/>
              </w:rPr>
            </w:pPr>
            <w:r>
              <w:rPr>
                <w:rFonts w:hint="eastAsia" w:ascii="Times New Roman" w:hAnsi="Times New Roman" w:eastAsia="方正仿宋_GBK"/>
                <w:bCs/>
                <w:i w:val="0"/>
                <w:iCs w:val="0"/>
                <w:sz w:val="24"/>
                <w:szCs w:val="22"/>
                <w:lang w:eastAsia="zh-CN"/>
              </w:rPr>
              <w:t>发展策划部</w:t>
            </w:r>
          </w:p>
        </w:tc>
        <w:tc>
          <w:tcPr>
            <w:tcW w:w="180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ascii="Times New Roman" w:hAnsi="Times New Roman"/>
                <w:b/>
                <w:sz w:val="24"/>
              </w:rPr>
            </w:pPr>
            <w:r>
              <w:rPr>
                <w:rFonts w:hint="eastAsia" w:ascii="Times New Roman" w:hAnsi="Times New Roman" w:eastAsia="方正仿宋_GBK"/>
                <w:b/>
                <w:bCs/>
                <w:i w:val="0"/>
                <w:iCs w:val="0"/>
                <w:sz w:val="24"/>
                <w:szCs w:val="24"/>
              </w:rPr>
              <w:t>项目负责</w:t>
            </w:r>
            <w:r>
              <w:rPr>
                <w:rFonts w:ascii="Times New Roman" w:hAnsi="Times New Roman" w:eastAsia="方正仿宋_GBK"/>
                <w:b/>
                <w:bCs/>
                <w:i w:val="0"/>
                <w:iCs w:val="0"/>
                <w:sz w:val="24"/>
                <w:szCs w:val="24"/>
              </w:rPr>
              <w:t>人</w:t>
            </w:r>
          </w:p>
        </w:tc>
        <w:tc>
          <w:tcPr>
            <w:tcW w:w="2556"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center"/>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孙振作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87" w:hRule="atLeast"/>
          <w:jc w:val="center"/>
        </w:trPr>
        <w:tc>
          <w:tcPr>
            <w:tcW w:w="1005" w:type="dxa"/>
            <w:vMerge w:val="restart"/>
            <w:tcBorders>
              <w:top w:val="single" w:color="auto" w:sz="6" w:space="0"/>
              <w:left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项目必要性</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基本情况</w:t>
            </w:r>
          </w:p>
        </w:tc>
        <w:tc>
          <w:tcPr>
            <w:tcW w:w="7183" w:type="dxa"/>
            <w:gridSpan w:val="5"/>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ascii="Times New Roman" w:hAnsi="Times New Roman" w:eastAsia="方正仿宋_GBK"/>
                <w:bCs/>
                <w:sz w:val="24"/>
                <w:szCs w:val="22"/>
              </w:rPr>
            </w:pPr>
            <w:r>
              <w:rPr>
                <w:rFonts w:hint="eastAsia" w:ascii="Times New Roman" w:hAnsi="Times New Roman" w:eastAsia="方正仿宋_GBK"/>
                <w:bCs/>
                <w:i w:val="0"/>
                <w:iCs w:val="0"/>
                <w:sz w:val="24"/>
                <w:szCs w:val="22"/>
                <w:lang w:val="en-US" w:eastAsia="zh-CN"/>
              </w:rPr>
              <w:t>在徐州分布式新能源高渗透率地区，开展容载比相关的多项统计分析，量化不同容载比条件下电网建设成本，给出不同指标下经济性最优的电网规划方案建议，并提出适用于不同源荷比条件下经济性最优的容载比弹性指标优化方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261"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p>
        </w:tc>
        <w:tc>
          <w:tcPr>
            <w:tcW w:w="1275" w:type="dxa"/>
            <w:gridSpan w:val="2"/>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存在问题</w:t>
            </w:r>
          </w:p>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及实施必要性</w:t>
            </w:r>
          </w:p>
        </w:tc>
        <w:tc>
          <w:tcPr>
            <w:tcW w:w="7183" w:type="dxa"/>
            <w:gridSpan w:val="5"/>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最新的《配电网规划设计技术导则》中增加了“源荷比”的概念，即分布式电源装机容量与该电压等级公用变压器容量或者最大负荷的比值，并提出“源荷比超过2.0或电量渗透率超过40%～50%时…通过技术经济比选，合理采用增加变电容量、独立储能或新能源配储等方式解决新能源消纳问题。”但由于现行导则中依然要求高压配电网容载比需控制在2.0以内，因此在实际配网规划中，规划人员可能难以把握是否应当突破容载比2.0的刚性约束。基于此，本课题为更好融合新指标与传统指标（容载比）之间的关系，有必要针对徐州分布式新能源高渗透率地区开展相关研究，提出容载比弹性指标优化建议，为配电网发展规划提供技术支撑和决策依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p>
        </w:tc>
        <w:tc>
          <w:tcPr>
            <w:tcW w:w="1275" w:type="dxa"/>
            <w:gridSpan w:val="2"/>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立项依据</w:t>
            </w:r>
          </w:p>
        </w:tc>
        <w:tc>
          <w:tcPr>
            <w:tcW w:w="7183" w:type="dxa"/>
            <w:gridSpan w:val="5"/>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依据但不限于以下政策文件及技术规范开展。</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《电力系统安全稳定导则》（GB38755-2019）</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《电力系统技术导则》（GB/T 38969-2020）</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《城市电力规划规范》（GB/T50293-2014）</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《城市电网供电安全标准》（DL/T 256-2012）</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《输电网规划设计规程》（DL/T 5610-2021）</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《配电网规划设计规程》（DL/T 5542-2018）</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《配电网规划设计技术导则》（DL/T 5729-2016）</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《光伏发电站接入电力系统技术规定》（GB 19964-2012）</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《风电场接入电力系统技术规定》（GB19963.1-2021）</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《电化学储能系统接入电网技术规定》（GB/T 36547-2018）</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《分布式电源并网技术要求》（GBT33593-2017）</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《国家电网公司电网规划设计内容深度规定》（Q/GDW268-2009）</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以及其他国家现行有关法律、法规、规范和标准等。</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取费依据：参照业务研究课题取费标准《国网江苏省电力有限公司关于加强管理类专项研究项目管理工作的意见》（苏电企管[2018]431号）标准执行</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065" w:hRule="atLeast"/>
          <w:jc w:val="center"/>
        </w:trPr>
        <w:tc>
          <w:tcPr>
            <w:tcW w:w="1005" w:type="dxa"/>
            <w:vMerge w:val="restart"/>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项目方案</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技术实施方案</w:t>
            </w:r>
          </w:p>
        </w:tc>
        <w:tc>
          <w:tcPr>
            <w:tcW w:w="7183" w:type="dxa"/>
            <w:gridSpan w:val="5"/>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default"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1.徐州典型地区新能源渗透水平-电网运行状态的数据库构建</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default"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结合导则中对容载比的最新解读，统计徐州典型新能源高渗透率地区的110（35）kV主变负载率、源荷比、电量渗透率等指标，其中容载比需分别统计其降压运行工况（夏、冬季大负荷方式）、升压运行工况（按春、秋季小负荷方式）下的110（35）kV主变负载率数据。建立“新能源渗透水平-电网运行状态”的关联数据库。</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default"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2.多场景电网规划方案与成本模型构建</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统计内容1中典型地区的10kV及以下的分布式新能源送出、电网配套扩容等成本，建立电网建设成本模型。模拟量化严格执行容载比≤2.0时，采用加强中压配电网联络等方式所需的电网建设成本。将满足容载比≤2.0的电网建设成本与不严格控制容载比指标条件下的电网建设成本进行对比分析，采用年费用法对比其全寿命周期成本，折算为可比的经济指标。</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default"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3.基于成本最优的弹性容载比决策分析</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default"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结合内容2的研究成果，对内容1中选取的地区进行规划年份的负荷预测及分布式光伏预测。基于预测结果，</w:t>
            </w:r>
            <w:r>
              <w:rPr>
                <w:rFonts w:hint="default" w:ascii="Times New Roman" w:hAnsi="Times New Roman" w:eastAsia="方正仿宋_GBK"/>
                <w:bCs/>
                <w:i w:val="0"/>
                <w:iCs w:val="0"/>
                <w:sz w:val="24"/>
                <w:szCs w:val="22"/>
                <w:lang w:val="en-US" w:eastAsia="zh-CN"/>
              </w:rPr>
              <w:t>结合该片区的新能源发展预期、负荷增长阶段、现有网络结构等因素，提出“一片一策”的容载比弹性规划建议。</w:t>
            </w:r>
          </w:p>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lang w:val="en-US" w:eastAsia="zh-CN"/>
              </w:rPr>
            </w:pPr>
            <w:r>
              <w:rPr>
                <w:rFonts w:hint="eastAsia" w:ascii="Times New Roman" w:hAnsi="Times New Roman" w:eastAsia="方正仿宋_GBK"/>
                <w:bCs/>
                <w:i w:val="0"/>
                <w:iCs w:val="0"/>
                <w:sz w:val="24"/>
                <w:szCs w:val="22"/>
                <w:lang w:val="en-US" w:eastAsia="zh-CN"/>
              </w:rPr>
              <w:t>“整天实施计划周期7个月，计划投入人员8人”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489"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p>
        </w:tc>
        <w:tc>
          <w:tcPr>
            <w:tcW w:w="1275" w:type="dxa"/>
            <w:gridSpan w:val="2"/>
            <w:tcBorders>
              <w:top w:val="single" w:color="auto" w:sz="6" w:space="0"/>
              <w:left w:val="single" w:color="auto" w:sz="6" w:space="0"/>
              <w:bottom w:val="single" w:color="auto" w:sz="6" w:space="0"/>
              <w:right w:val="single" w:color="auto" w:sz="6" w:space="0"/>
            </w:tcBorders>
            <w:vAlign w:val="center"/>
          </w:tcPr>
          <w:p>
            <w:pPr>
              <w:spacing w:after="0" w:line="240" w:lineRule="auto"/>
              <w:jc w:val="center"/>
              <w:rPr>
                <w:rFonts w:ascii="Times New Roman" w:hAnsi="Times New Roman" w:eastAsia="方正仿宋_GBK"/>
                <w:b/>
                <w:sz w:val="24"/>
                <w:szCs w:val="22"/>
              </w:rPr>
            </w:pPr>
            <w:r>
              <w:rPr>
                <w:rFonts w:hint="eastAsia" w:ascii="Times New Roman" w:hAnsi="Times New Roman" w:eastAsia="方正仿宋_GBK"/>
                <w:b/>
                <w:sz w:val="24"/>
                <w:szCs w:val="22"/>
              </w:rPr>
              <w:t>效益分析（预期成效）</w:t>
            </w:r>
          </w:p>
        </w:tc>
        <w:tc>
          <w:tcPr>
            <w:tcW w:w="7183" w:type="dxa"/>
            <w:gridSpan w:val="5"/>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jc w:val="left"/>
              <w:textAlignment w:val="auto"/>
              <w:rPr>
                <w:rFonts w:hint="eastAsia" w:ascii="Times New Roman" w:hAnsi="Times New Roman" w:eastAsia="方正仿宋_GBK"/>
                <w:bCs/>
                <w:i w:val="0"/>
                <w:iCs w:val="0"/>
                <w:sz w:val="24"/>
                <w:szCs w:val="22"/>
                <w:lang w:val="en-US" w:eastAsia="zh-CN"/>
              </w:rPr>
            </w:pPr>
            <w:r>
              <w:rPr>
                <w:rFonts w:hint="eastAsia" w:ascii="Times New Roman" w:hAnsi="Times New Roman" w:eastAsia="方正仿宋_GBK"/>
                <w:bCs/>
                <w:i w:val="0"/>
                <w:iCs w:val="0"/>
                <w:sz w:val="24"/>
                <w:szCs w:val="22"/>
                <w:lang w:val="en-US" w:eastAsia="zh-CN"/>
              </w:rPr>
              <w:t>在徐州分布式新能源高渗透率地区，开展容载比相关的多项统计分析，量化不同容载比条件下电网建设成本，给出不同指标下经济性最优的电网规划方案建议，基于负荷、分布式光伏预测形成经济性最优的容载比弹性指标优化方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 w:hRule="atLeast"/>
          <w:jc w:val="center"/>
        </w:trPr>
        <w:tc>
          <w:tcPr>
            <w:tcW w:w="1005" w:type="dxa"/>
            <w:vMerge w:val="restart"/>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bCs/>
                <w:sz w:val="24"/>
                <w:szCs w:val="22"/>
              </w:rPr>
            </w:pPr>
            <w:r>
              <w:rPr>
                <w:rFonts w:hint="eastAsia" w:ascii="Times New Roman" w:hAnsi="Times New Roman" w:eastAsia="方正仿宋_GBK"/>
                <w:b/>
                <w:bCs/>
                <w:sz w:val="24"/>
                <w:szCs w:val="22"/>
              </w:rPr>
              <w:t>分项实施内容</w:t>
            </w:r>
          </w:p>
        </w:tc>
        <w:tc>
          <w:tcPr>
            <w:tcW w:w="8458" w:type="dxa"/>
            <w:gridSpan w:val="7"/>
            <w:tcBorders>
              <w:left w:val="single" w:color="auto" w:sz="6" w:space="0"/>
              <w:right w:val="single" w:color="auto" w:sz="6" w:space="0"/>
            </w:tcBorders>
            <w:vAlign w:val="center"/>
          </w:tcPr>
          <w:p>
            <w:pPr>
              <w:spacing w:after="0" w:line="240" w:lineRule="auto"/>
              <w:jc w:val="center"/>
              <w:rPr>
                <w:rFonts w:hint="eastAsia" w:ascii="Times New Roman" w:hAnsi="Times New Roman" w:eastAsia="方正仿宋_GBK"/>
                <w:b/>
                <w:bCs/>
                <w:sz w:val="24"/>
                <w:szCs w:val="22"/>
                <w:lang w:val="en-US" w:eastAsia="zh-CN"/>
              </w:rPr>
            </w:pPr>
            <w:r>
              <w:rPr>
                <w:rFonts w:hint="eastAsia" w:ascii="Times New Roman" w:hAnsi="Times New Roman" w:eastAsia="方正仿宋_GBK"/>
                <w:b/>
                <w:bCs/>
                <w:sz w:val="24"/>
                <w:szCs w:val="22"/>
                <w:lang w:val="en-US" w:eastAsia="zh-CN"/>
              </w:rPr>
              <w:t>研究</w:t>
            </w:r>
            <w:r>
              <w:rPr>
                <w:rFonts w:hint="eastAsia" w:ascii="Times New Roman" w:hAnsi="Times New Roman" w:eastAsia="方正仿宋_GBK"/>
                <w:b/>
                <w:bCs/>
                <w:sz w:val="24"/>
                <w:szCs w:val="22"/>
              </w:rPr>
              <w:t>内容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90"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bCs/>
                <w:sz w:val="24"/>
                <w:szCs w:val="22"/>
              </w:rPr>
            </w:pPr>
          </w:p>
        </w:tc>
        <w:tc>
          <w:tcPr>
            <w:tcW w:w="1275" w:type="dxa"/>
            <w:gridSpan w:val="2"/>
            <w:tcBorders>
              <w:left w:val="single" w:color="auto" w:sz="6" w:space="0"/>
              <w:right w:val="single" w:color="auto" w:sz="6" w:space="0"/>
            </w:tcBorders>
            <w:vAlign w:val="center"/>
          </w:tcPr>
          <w:p>
            <w:pPr>
              <w:spacing w:after="0" w:line="240" w:lineRule="auto"/>
              <w:jc w:val="center"/>
              <w:rPr>
                <w:rFonts w:hint="eastAsia" w:ascii="Times New Roman" w:hAnsi="Times New Roman" w:eastAsia="方正仿宋_GBK"/>
                <w:sz w:val="24"/>
                <w:szCs w:val="22"/>
                <w:lang w:eastAsia="zh-CN"/>
              </w:rPr>
            </w:pPr>
            <w:r>
              <w:rPr>
                <w:rFonts w:hint="eastAsia" w:ascii="Times New Roman" w:hAnsi="Times New Roman" w:eastAsia="方正仿宋_GBK"/>
                <w:sz w:val="24"/>
                <w:szCs w:val="22"/>
                <w:lang w:val="en-US" w:eastAsia="zh-CN"/>
              </w:rPr>
              <w:t>1</w:t>
            </w:r>
          </w:p>
        </w:tc>
        <w:tc>
          <w:tcPr>
            <w:tcW w:w="7183" w:type="dxa"/>
            <w:gridSpan w:val="5"/>
            <w:tcBorders>
              <w:left w:val="single" w:color="auto" w:sz="6" w:space="0"/>
              <w:right w:val="single" w:color="auto" w:sz="6" w:space="0"/>
            </w:tcBorders>
            <w:vAlign w:val="center"/>
          </w:tcPr>
          <w:p>
            <w:pPr>
              <w:pStyle w:val="6"/>
              <w:keepNext w:val="0"/>
              <w:keepLines w:val="0"/>
              <w:widowControl/>
              <w:suppressLineNumbers w:val="0"/>
              <w:kinsoku/>
              <w:wordWrap/>
              <w:overflowPunct/>
              <w:jc w:val="both"/>
              <w:rPr>
                <w:rFonts w:hint="eastAsia" w:ascii="Times New Roman" w:hAnsi="Times New Roman" w:eastAsia="方正仿宋_GBK"/>
                <w:bCs/>
                <w:i w:val="0"/>
                <w:iCs w:val="0"/>
                <w:sz w:val="24"/>
                <w:szCs w:val="22"/>
                <w:lang w:val="en-US" w:eastAsia="zh-CN"/>
              </w:rPr>
            </w:pPr>
            <w:r>
              <w:rPr>
                <w:rFonts w:hint="eastAsia" w:ascii="仿宋" w:hAnsi="仿宋" w:eastAsia="仿宋" w:cs="仿宋"/>
                <w:color w:val="000000"/>
                <w:sz w:val="24"/>
                <w:szCs w:val="24"/>
                <w:highlight w:val="none"/>
              </w:rPr>
              <w:t>（1）</w:t>
            </w:r>
            <w:r>
              <w:rPr>
                <w:rFonts w:hint="eastAsia" w:ascii="仿宋" w:hAnsi="仿宋" w:eastAsia="仿宋" w:cs="仿宋"/>
                <w:color w:val="000000"/>
                <w:sz w:val="24"/>
                <w:szCs w:val="24"/>
                <w:highlight w:val="none"/>
                <w:lang w:val="en-US" w:eastAsia="zh-CN"/>
              </w:rPr>
              <w:t>对</w:t>
            </w:r>
            <w:r>
              <w:rPr>
                <w:rFonts w:hint="eastAsia" w:ascii="仿宋" w:hAnsi="仿宋" w:eastAsia="仿宋" w:cs="仿宋"/>
                <w:sz w:val="24"/>
                <w:highlight w:val="none"/>
                <w:lang w:val="en-US" w:eastAsia="zh-CN"/>
              </w:rPr>
              <w:t>徐州地区110（35）kV在主变在夏季、冬季晚峰、午峰、春秋季午间小负荷等多种典型场景下的负载率进行统计</w:t>
            </w:r>
            <w:r>
              <w:rPr>
                <w:rFonts w:hint="eastAsia" w:ascii="仿宋" w:hAnsi="仿宋" w:eastAsia="仿宋" w:cs="仿宋"/>
                <w:color w:val="000000"/>
                <w:sz w:val="24"/>
                <w:szCs w:val="24"/>
                <w:highlight w:val="none"/>
              </w:rPr>
              <w:t>，</w:t>
            </w:r>
            <w:r>
              <w:rPr>
                <w:rFonts w:hint="eastAsia" w:ascii="仿宋" w:hAnsi="仿宋" w:eastAsia="仿宋" w:cs="仿宋"/>
                <w:color w:val="000000"/>
                <w:sz w:val="24"/>
                <w:szCs w:val="24"/>
                <w:highlight w:val="none"/>
                <w:lang w:val="en-US" w:eastAsia="zh-CN"/>
              </w:rPr>
              <w:t>数据量约万级；挑选反向重载的主变全年反向重载时间、接入的分布式电源装机、电量渗透率等数据进行统计，数据量约十万级，</w:t>
            </w:r>
            <w:r>
              <w:rPr>
                <w:rFonts w:hint="eastAsia" w:ascii="仿宋" w:hAnsi="仿宋" w:eastAsia="仿宋" w:cs="仿宋"/>
                <w:color w:val="000000"/>
                <w:sz w:val="24"/>
                <w:szCs w:val="24"/>
                <w:highlight w:val="none"/>
              </w:rPr>
              <w:t>投入</w:t>
            </w:r>
            <w:r>
              <w:rPr>
                <w:rFonts w:hint="eastAsia" w:ascii="仿宋" w:hAnsi="仿宋" w:eastAsia="仿宋" w:cs="仿宋"/>
                <w:color w:val="000000"/>
                <w:sz w:val="24"/>
                <w:szCs w:val="24"/>
                <w:highlight w:val="none"/>
                <w:lang w:val="en-US" w:eastAsia="zh-CN"/>
              </w:rPr>
              <w:t>1名高级研究人员、4</w:t>
            </w:r>
            <w:r>
              <w:rPr>
                <w:rFonts w:hint="eastAsia" w:ascii="仿宋" w:hAnsi="仿宋" w:eastAsia="仿宋" w:cs="仿宋"/>
                <w:color w:val="000000"/>
                <w:sz w:val="24"/>
                <w:szCs w:val="24"/>
                <w:highlight w:val="none"/>
              </w:rPr>
              <w:t>名</w:t>
            </w:r>
            <w:r>
              <w:rPr>
                <w:rFonts w:hint="eastAsia" w:ascii="仿宋" w:hAnsi="仿宋" w:eastAsia="仿宋" w:cs="仿宋"/>
                <w:color w:val="000000"/>
                <w:sz w:val="24"/>
                <w:szCs w:val="24"/>
                <w:highlight w:val="none"/>
                <w:lang w:val="en-US" w:eastAsia="zh-CN"/>
              </w:rPr>
              <w:t>中、初级</w:t>
            </w:r>
            <w:r>
              <w:rPr>
                <w:rFonts w:hint="eastAsia" w:ascii="仿宋" w:hAnsi="仿宋" w:eastAsia="仿宋" w:cs="仿宋"/>
                <w:color w:val="000000"/>
                <w:sz w:val="24"/>
                <w:szCs w:val="24"/>
                <w:highlight w:val="none"/>
              </w:rPr>
              <w:t>研究人员，</w:t>
            </w:r>
            <w:r>
              <w:rPr>
                <w:rFonts w:hint="eastAsia" w:ascii="仿宋" w:hAnsi="仿宋" w:eastAsia="仿宋" w:cs="仿宋"/>
                <w:color w:val="000000"/>
                <w:sz w:val="24"/>
                <w:szCs w:val="24"/>
                <w:highlight w:val="none"/>
                <w:lang w:val="en-US" w:eastAsia="zh-CN"/>
              </w:rPr>
              <w:t>高级研究人员</w:t>
            </w:r>
            <w:r>
              <w:rPr>
                <w:rFonts w:hint="eastAsia" w:ascii="仿宋" w:hAnsi="仿宋" w:eastAsia="仿宋" w:cs="仿宋"/>
                <w:color w:val="000000"/>
                <w:sz w:val="24"/>
                <w:szCs w:val="24"/>
                <w:highlight w:val="none"/>
              </w:rPr>
              <w:t>按照2万元/人·月计算</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lang w:val="en-US" w:eastAsia="zh-CN"/>
              </w:rPr>
              <w:t>中、初级研究人员按照1.5万元/</w:t>
            </w:r>
            <w:r>
              <w:rPr>
                <w:rFonts w:hint="eastAsia" w:ascii="仿宋" w:hAnsi="仿宋" w:eastAsia="仿宋" w:cs="仿宋"/>
                <w:color w:val="000000"/>
                <w:sz w:val="24"/>
                <w:szCs w:val="24"/>
                <w:highlight w:val="none"/>
              </w:rPr>
              <w:t>人·月</w:t>
            </w:r>
            <w:r>
              <w:rPr>
                <w:rFonts w:hint="eastAsia" w:ascii="仿宋" w:hAnsi="仿宋" w:eastAsia="仿宋" w:cs="仿宋"/>
                <w:color w:val="000000"/>
                <w:sz w:val="24"/>
                <w:szCs w:val="24"/>
                <w:highlight w:val="none"/>
                <w:lang w:val="en-US" w:eastAsia="zh-CN"/>
              </w:rPr>
              <w:t>计算，</w:t>
            </w:r>
            <w:r>
              <w:rPr>
                <w:rFonts w:hint="eastAsia" w:ascii="仿宋" w:hAnsi="仿宋" w:eastAsia="仿宋" w:cs="仿宋"/>
                <w:color w:val="000000"/>
                <w:sz w:val="24"/>
                <w:szCs w:val="24"/>
                <w:highlight w:val="none"/>
              </w:rPr>
              <w:t>共计工作</w:t>
            </w:r>
            <w:r>
              <w:rPr>
                <w:rFonts w:hint="eastAsia" w:ascii="仿宋" w:hAnsi="仿宋" w:eastAsia="仿宋" w:cs="仿宋"/>
                <w:color w:val="000000"/>
                <w:sz w:val="24"/>
                <w:szCs w:val="24"/>
                <w:highlight w:val="none"/>
                <w:lang w:val="en-US" w:eastAsia="zh-CN"/>
              </w:rPr>
              <w:t>2</w:t>
            </w:r>
            <w:r>
              <w:rPr>
                <w:rFonts w:hint="eastAsia" w:ascii="仿宋" w:hAnsi="仿宋" w:eastAsia="仿宋" w:cs="仿宋"/>
                <w:color w:val="000000"/>
                <w:sz w:val="24"/>
                <w:szCs w:val="24"/>
                <w:highlight w:val="none"/>
              </w:rPr>
              <w:t>个月，费用</w:t>
            </w:r>
            <w:r>
              <w:rPr>
                <w:rFonts w:hint="eastAsia" w:ascii="仿宋" w:hAnsi="仿宋" w:eastAsia="仿宋" w:cs="仿宋"/>
                <w:color w:val="000000"/>
                <w:sz w:val="24"/>
                <w:szCs w:val="24"/>
                <w:highlight w:val="none"/>
                <w:lang w:val="en-US" w:eastAsia="zh-CN"/>
              </w:rPr>
              <w:t>16</w:t>
            </w:r>
            <w:r>
              <w:rPr>
                <w:rFonts w:hint="eastAsia" w:ascii="仿宋" w:hAnsi="仿宋" w:eastAsia="仿宋" w:cs="仿宋"/>
                <w:color w:val="000000"/>
                <w:sz w:val="24"/>
                <w:szCs w:val="24"/>
                <w:highlight w:val="none"/>
              </w:rPr>
              <w:t>万元。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16"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bCs/>
                <w:sz w:val="24"/>
                <w:szCs w:val="22"/>
              </w:rPr>
            </w:pPr>
          </w:p>
        </w:tc>
        <w:tc>
          <w:tcPr>
            <w:tcW w:w="1275" w:type="dxa"/>
            <w:gridSpan w:val="2"/>
            <w:tcBorders>
              <w:left w:val="single" w:color="auto" w:sz="6" w:space="0"/>
              <w:right w:val="single" w:color="auto" w:sz="6" w:space="0"/>
            </w:tcBorders>
            <w:vAlign w:val="center"/>
          </w:tcPr>
          <w:p>
            <w:pPr>
              <w:spacing w:after="0" w:line="240" w:lineRule="auto"/>
              <w:jc w:val="center"/>
              <w:rPr>
                <w:rFonts w:hint="eastAsia" w:ascii="Times New Roman" w:hAnsi="Times New Roman" w:eastAsia="方正仿宋_GBK"/>
                <w:sz w:val="24"/>
                <w:szCs w:val="22"/>
                <w:lang w:eastAsia="zh-CN"/>
              </w:rPr>
            </w:pPr>
            <w:r>
              <w:rPr>
                <w:rFonts w:hint="eastAsia" w:ascii="Times New Roman" w:hAnsi="Times New Roman" w:eastAsia="方正仿宋_GBK"/>
                <w:sz w:val="24"/>
                <w:szCs w:val="22"/>
                <w:lang w:val="en-US" w:eastAsia="zh-CN"/>
              </w:rPr>
              <w:t>2</w:t>
            </w:r>
          </w:p>
        </w:tc>
        <w:tc>
          <w:tcPr>
            <w:tcW w:w="7183" w:type="dxa"/>
            <w:gridSpan w:val="5"/>
            <w:tcBorders>
              <w:left w:val="single" w:color="auto" w:sz="6" w:space="0"/>
              <w:right w:val="single" w:color="auto" w:sz="6" w:space="0"/>
            </w:tcBorders>
            <w:vAlign w:val="center"/>
          </w:tcPr>
          <w:p>
            <w:pPr>
              <w:pStyle w:val="6"/>
              <w:keepNext w:val="0"/>
              <w:keepLines w:val="0"/>
              <w:widowControl/>
              <w:suppressLineNumbers w:val="0"/>
              <w:kinsoku/>
              <w:wordWrap/>
              <w:overflowPunct/>
              <w:jc w:val="both"/>
              <w:rPr>
                <w:rFonts w:hint="eastAsia" w:ascii="Times New Roman" w:hAnsi="Times New Roman" w:eastAsia="方正仿宋_GBK"/>
                <w:bCs/>
                <w:i w:val="0"/>
                <w:iCs w:val="0"/>
                <w:sz w:val="24"/>
                <w:szCs w:val="22"/>
                <w:lang w:val="en-US" w:eastAsia="zh-CN"/>
              </w:rPr>
            </w:pPr>
            <w:r>
              <w:rPr>
                <w:rFonts w:hint="eastAsia" w:ascii="仿宋" w:hAnsi="仿宋" w:eastAsia="仿宋" w:cs="仿宋"/>
                <w:color w:val="000000"/>
                <w:sz w:val="24"/>
                <w:szCs w:val="24"/>
                <w:highlight w:val="none"/>
              </w:rPr>
              <w:t>（2）</w:t>
            </w:r>
            <w:r>
              <w:rPr>
                <w:rFonts w:hint="eastAsia" w:ascii="仿宋" w:hAnsi="仿宋" w:eastAsia="仿宋" w:cs="仿宋"/>
                <w:color w:val="000000"/>
                <w:sz w:val="24"/>
                <w:szCs w:val="24"/>
                <w:highlight w:val="none"/>
                <w:lang w:val="en-US" w:eastAsia="zh-CN"/>
              </w:rPr>
              <w:t>调研中、低压配网接入新能源的接入方案及投资以及由于反向重载引起的电网配套增容等成本</w:t>
            </w:r>
            <w:r>
              <w:rPr>
                <w:rFonts w:hint="eastAsia" w:ascii="仿宋" w:hAnsi="仿宋" w:eastAsia="仿宋" w:cs="仿宋"/>
                <w:color w:val="000000"/>
                <w:sz w:val="24"/>
                <w:szCs w:val="24"/>
                <w:highlight w:val="none"/>
              </w:rPr>
              <w:t>，</w:t>
            </w:r>
            <w:r>
              <w:rPr>
                <w:rFonts w:hint="eastAsia" w:ascii="仿宋" w:hAnsi="仿宋" w:eastAsia="仿宋" w:cs="仿宋"/>
                <w:color w:val="000000"/>
                <w:sz w:val="24"/>
                <w:szCs w:val="24"/>
                <w:highlight w:val="none"/>
                <w:lang w:val="en-US" w:eastAsia="zh-CN"/>
              </w:rPr>
              <w:t>数据量约万级</w:t>
            </w:r>
            <w:r>
              <w:rPr>
                <w:rFonts w:hint="eastAsia" w:ascii="仿宋" w:hAnsi="仿宋" w:eastAsia="仿宋" w:cs="仿宋"/>
                <w:color w:val="000000"/>
                <w:sz w:val="24"/>
                <w:szCs w:val="24"/>
                <w:highlight w:val="none"/>
              </w:rPr>
              <w:t>，投入</w:t>
            </w:r>
            <w:r>
              <w:rPr>
                <w:rFonts w:hint="eastAsia" w:ascii="仿宋" w:hAnsi="仿宋" w:eastAsia="仿宋" w:cs="仿宋"/>
                <w:color w:val="000000"/>
                <w:sz w:val="24"/>
                <w:szCs w:val="24"/>
                <w:highlight w:val="none"/>
                <w:lang w:val="en-US" w:eastAsia="zh-CN"/>
              </w:rPr>
              <w:t>2</w:t>
            </w:r>
            <w:r>
              <w:rPr>
                <w:rFonts w:hint="eastAsia" w:ascii="仿宋" w:hAnsi="仿宋" w:eastAsia="仿宋" w:cs="仿宋"/>
                <w:color w:val="000000"/>
                <w:sz w:val="24"/>
                <w:szCs w:val="24"/>
                <w:highlight w:val="none"/>
              </w:rPr>
              <w:t>名高级</w:t>
            </w:r>
            <w:r>
              <w:rPr>
                <w:rFonts w:hint="eastAsia" w:ascii="仿宋" w:hAnsi="仿宋" w:eastAsia="仿宋" w:cs="仿宋"/>
                <w:color w:val="000000"/>
                <w:sz w:val="24"/>
                <w:szCs w:val="24"/>
                <w:highlight w:val="none"/>
                <w:lang w:val="en-US" w:eastAsia="zh-CN"/>
              </w:rPr>
              <w:t>和4名中级</w:t>
            </w:r>
            <w:r>
              <w:rPr>
                <w:rFonts w:hint="eastAsia" w:ascii="仿宋" w:hAnsi="仿宋" w:eastAsia="仿宋" w:cs="仿宋"/>
                <w:color w:val="000000"/>
                <w:sz w:val="24"/>
                <w:szCs w:val="24"/>
                <w:highlight w:val="none"/>
              </w:rPr>
              <w:t>研究人员，</w:t>
            </w:r>
            <w:r>
              <w:rPr>
                <w:rFonts w:hint="eastAsia" w:ascii="仿宋" w:hAnsi="仿宋" w:eastAsia="仿宋" w:cs="仿宋"/>
                <w:color w:val="000000"/>
                <w:sz w:val="24"/>
                <w:szCs w:val="24"/>
                <w:highlight w:val="none"/>
                <w:lang w:val="en-US" w:eastAsia="zh-CN"/>
              </w:rPr>
              <w:t>高级研究人员</w:t>
            </w:r>
            <w:r>
              <w:rPr>
                <w:rFonts w:hint="eastAsia" w:ascii="仿宋" w:hAnsi="仿宋" w:eastAsia="仿宋" w:cs="仿宋"/>
                <w:color w:val="000000"/>
                <w:sz w:val="24"/>
                <w:szCs w:val="24"/>
                <w:highlight w:val="none"/>
              </w:rPr>
              <w:t>按照2万元/人·月计算</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lang w:val="en-US" w:eastAsia="zh-CN"/>
              </w:rPr>
              <w:t>中级研究人员按照1.5万元/</w:t>
            </w:r>
            <w:r>
              <w:rPr>
                <w:rFonts w:hint="eastAsia" w:ascii="仿宋" w:hAnsi="仿宋" w:eastAsia="仿宋" w:cs="仿宋"/>
                <w:color w:val="000000"/>
                <w:sz w:val="24"/>
                <w:szCs w:val="24"/>
                <w:highlight w:val="none"/>
              </w:rPr>
              <w:t>人·月</w:t>
            </w:r>
            <w:r>
              <w:rPr>
                <w:rFonts w:hint="eastAsia" w:ascii="仿宋" w:hAnsi="仿宋" w:eastAsia="仿宋" w:cs="仿宋"/>
                <w:color w:val="000000"/>
                <w:sz w:val="24"/>
                <w:szCs w:val="24"/>
                <w:highlight w:val="none"/>
                <w:lang w:val="en-US" w:eastAsia="zh-CN"/>
              </w:rPr>
              <w:t>计算，</w:t>
            </w:r>
            <w:r>
              <w:rPr>
                <w:rFonts w:hint="eastAsia" w:ascii="仿宋" w:hAnsi="仿宋" w:eastAsia="仿宋" w:cs="仿宋"/>
                <w:color w:val="000000"/>
                <w:sz w:val="24"/>
                <w:szCs w:val="24"/>
                <w:highlight w:val="none"/>
              </w:rPr>
              <w:t>共计工作</w:t>
            </w:r>
            <w:r>
              <w:rPr>
                <w:rFonts w:hint="eastAsia" w:ascii="仿宋" w:hAnsi="仿宋" w:eastAsia="仿宋" w:cs="仿宋"/>
                <w:color w:val="000000"/>
                <w:sz w:val="24"/>
                <w:szCs w:val="24"/>
                <w:highlight w:val="none"/>
                <w:lang w:val="en-US" w:eastAsia="zh-CN"/>
              </w:rPr>
              <w:t>2</w:t>
            </w:r>
            <w:r>
              <w:rPr>
                <w:rFonts w:hint="eastAsia" w:ascii="仿宋" w:hAnsi="仿宋" w:eastAsia="仿宋" w:cs="仿宋"/>
                <w:color w:val="000000"/>
                <w:sz w:val="24"/>
                <w:szCs w:val="24"/>
                <w:highlight w:val="none"/>
              </w:rPr>
              <w:t>个月，费用</w:t>
            </w:r>
            <w:r>
              <w:rPr>
                <w:rFonts w:hint="eastAsia" w:ascii="仿宋" w:hAnsi="仿宋" w:eastAsia="仿宋" w:cs="仿宋"/>
                <w:color w:val="000000"/>
                <w:sz w:val="24"/>
                <w:szCs w:val="24"/>
                <w:highlight w:val="none"/>
                <w:lang w:val="en-US" w:eastAsia="zh-CN"/>
              </w:rPr>
              <w:t>24</w:t>
            </w:r>
            <w:r>
              <w:rPr>
                <w:rFonts w:hint="eastAsia" w:ascii="仿宋" w:hAnsi="仿宋" w:eastAsia="仿宋" w:cs="仿宋"/>
                <w:color w:val="000000"/>
                <w:sz w:val="24"/>
                <w:szCs w:val="24"/>
                <w:highlight w:val="none"/>
              </w:rPr>
              <w:t>万元。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01"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bCs/>
                <w:sz w:val="24"/>
                <w:szCs w:val="22"/>
              </w:rPr>
            </w:pPr>
          </w:p>
        </w:tc>
        <w:tc>
          <w:tcPr>
            <w:tcW w:w="1275" w:type="dxa"/>
            <w:gridSpan w:val="2"/>
            <w:tcBorders>
              <w:left w:val="single" w:color="auto" w:sz="6" w:space="0"/>
              <w:right w:val="single" w:color="auto" w:sz="6" w:space="0"/>
            </w:tcBorders>
            <w:vAlign w:val="center"/>
          </w:tcPr>
          <w:p>
            <w:pPr>
              <w:spacing w:after="0" w:line="240" w:lineRule="auto"/>
              <w:jc w:val="center"/>
              <w:rPr>
                <w:rFonts w:hint="default" w:ascii="Times New Roman" w:hAnsi="Times New Roman" w:eastAsia="方正仿宋_GBK"/>
                <w:sz w:val="24"/>
                <w:szCs w:val="22"/>
                <w:lang w:val="en-US" w:eastAsia="zh-CN"/>
              </w:rPr>
            </w:pPr>
            <w:r>
              <w:rPr>
                <w:rFonts w:hint="eastAsia" w:ascii="Times New Roman" w:hAnsi="Times New Roman" w:eastAsia="方正仿宋_GBK"/>
                <w:sz w:val="24"/>
                <w:szCs w:val="22"/>
                <w:lang w:val="en-US" w:eastAsia="zh-CN"/>
              </w:rPr>
              <w:t>3</w:t>
            </w:r>
          </w:p>
        </w:tc>
        <w:tc>
          <w:tcPr>
            <w:tcW w:w="7183" w:type="dxa"/>
            <w:gridSpan w:val="5"/>
            <w:tcBorders>
              <w:left w:val="single" w:color="auto" w:sz="6" w:space="0"/>
              <w:right w:val="single" w:color="auto" w:sz="6" w:space="0"/>
            </w:tcBorders>
            <w:vAlign w:val="center"/>
          </w:tcPr>
          <w:p>
            <w:pPr>
              <w:pStyle w:val="6"/>
              <w:keepNext w:val="0"/>
              <w:keepLines w:val="0"/>
              <w:widowControl/>
              <w:suppressLineNumbers w:val="0"/>
              <w:kinsoku/>
              <w:wordWrap/>
              <w:overflowPunct/>
              <w:jc w:val="both"/>
              <w:rPr>
                <w:rFonts w:hint="eastAsia" w:ascii="Times New Roman" w:hAnsi="Times New Roman" w:eastAsia="方正仿宋_GBK"/>
                <w:bCs/>
                <w:i w:val="0"/>
                <w:iCs w:val="0"/>
                <w:sz w:val="24"/>
                <w:szCs w:val="22"/>
                <w:lang w:val="en-US" w:eastAsia="zh-CN"/>
              </w:rPr>
            </w:pPr>
            <w:r>
              <w:rPr>
                <w:rFonts w:hint="eastAsia" w:ascii="仿宋" w:hAnsi="仿宋" w:eastAsia="仿宋" w:cs="仿宋"/>
                <w:color w:val="000000"/>
                <w:sz w:val="24"/>
                <w:szCs w:val="24"/>
                <w:highlight w:val="none"/>
              </w:rPr>
              <w:t>（3）根据经济性分析结果，结合未来负荷与光伏预测，制定容载比弹性应用策略，投入</w:t>
            </w:r>
            <w:r>
              <w:rPr>
                <w:rFonts w:hint="eastAsia" w:ascii="仿宋" w:hAnsi="仿宋" w:eastAsia="仿宋" w:cs="仿宋"/>
                <w:color w:val="000000"/>
                <w:sz w:val="24"/>
                <w:szCs w:val="24"/>
                <w:highlight w:val="none"/>
                <w:lang w:val="en-US" w:eastAsia="zh-CN"/>
              </w:rPr>
              <w:t>3</w:t>
            </w:r>
            <w:r>
              <w:rPr>
                <w:rFonts w:hint="eastAsia" w:ascii="仿宋" w:hAnsi="仿宋" w:eastAsia="仿宋" w:cs="仿宋"/>
                <w:color w:val="000000"/>
                <w:sz w:val="24"/>
                <w:szCs w:val="24"/>
                <w:highlight w:val="none"/>
              </w:rPr>
              <w:t>名高级研究人员</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lang w:val="en-US" w:eastAsia="zh-CN"/>
              </w:rPr>
              <w:t>1名中级研究人员</w:t>
            </w:r>
            <w:r>
              <w:rPr>
                <w:rFonts w:hint="eastAsia" w:ascii="仿宋" w:hAnsi="仿宋" w:eastAsia="仿宋" w:cs="仿宋"/>
                <w:color w:val="000000"/>
                <w:sz w:val="24"/>
                <w:szCs w:val="24"/>
                <w:highlight w:val="none"/>
              </w:rPr>
              <w:t>，</w:t>
            </w:r>
            <w:r>
              <w:rPr>
                <w:rFonts w:hint="eastAsia" w:ascii="仿宋" w:hAnsi="仿宋" w:eastAsia="仿宋" w:cs="仿宋"/>
                <w:color w:val="000000"/>
                <w:sz w:val="24"/>
                <w:szCs w:val="24"/>
                <w:highlight w:val="none"/>
                <w:lang w:val="en-US" w:eastAsia="zh-CN"/>
              </w:rPr>
              <w:t>高级研究人员</w:t>
            </w:r>
            <w:r>
              <w:rPr>
                <w:rFonts w:hint="eastAsia" w:ascii="仿宋" w:hAnsi="仿宋" w:eastAsia="仿宋" w:cs="仿宋"/>
                <w:color w:val="000000"/>
                <w:sz w:val="24"/>
                <w:szCs w:val="24"/>
                <w:highlight w:val="none"/>
              </w:rPr>
              <w:t>按照2万元/人·月计算</w:t>
            </w:r>
            <w:r>
              <w:rPr>
                <w:rFonts w:hint="eastAsia" w:ascii="仿宋" w:hAnsi="仿宋" w:eastAsia="仿宋" w:cs="仿宋"/>
                <w:color w:val="000000"/>
                <w:sz w:val="24"/>
                <w:szCs w:val="24"/>
                <w:highlight w:val="none"/>
                <w:lang w:eastAsia="zh-CN"/>
              </w:rPr>
              <w:t>、</w:t>
            </w:r>
            <w:r>
              <w:rPr>
                <w:rFonts w:hint="eastAsia" w:ascii="仿宋" w:hAnsi="仿宋" w:eastAsia="仿宋" w:cs="仿宋"/>
                <w:color w:val="000000"/>
                <w:sz w:val="24"/>
                <w:szCs w:val="24"/>
                <w:highlight w:val="none"/>
                <w:lang w:val="en-US" w:eastAsia="zh-CN"/>
              </w:rPr>
              <w:t>中级研究人员按照1.5万元/</w:t>
            </w:r>
            <w:r>
              <w:rPr>
                <w:rFonts w:hint="eastAsia" w:ascii="仿宋" w:hAnsi="仿宋" w:eastAsia="仿宋" w:cs="仿宋"/>
                <w:color w:val="000000"/>
                <w:sz w:val="24"/>
                <w:szCs w:val="24"/>
                <w:highlight w:val="none"/>
              </w:rPr>
              <w:t>人·月</w:t>
            </w:r>
            <w:r>
              <w:rPr>
                <w:rFonts w:hint="eastAsia" w:ascii="仿宋" w:hAnsi="仿宋" w:eastAsia="仿宋" w:cs="仿宋"/>
                <w:color w:val="000000"/>
                <w:sz w:val="24"/>
                <w:szCs w:val="24"/>
                <w:highlight w:val="none"/>
                <w:lang w:val="en-US" w:eastAsia="zh-CN"/>
              </w:rPr>
              <w:t>计算</w:t>
            </w:r>
            <w:r>
              <w:rPr>
                <w:rFonts w:hint="eastAsia" w:ascii="仿宋" w:hAnsi="仿宋" w:eastAsia="仿宋" w:cs="仿宋"/>
                <w:color w:val="000000"/>
                <w:sz w:val="24"/>
                <w:szCs w:val="24"/>
                <w:highlight w:val="none"/>
              </w:rPr>
              <w:t>，共计工作</w:t>
            </w:r>
            <w:r>
              <w:rPr>
                <w:rFonts w:hint="eastAsia" w:ascii="仿宋" w:hAnsi="仿宋" w:eastAsia="仿宋" w:cs="仿宋"/>
                <w:color w:val="000000"/>
                <w:sz w:val="24"/>
                <w:szCs w:val="24"/>
                <w:highlight w:val="none"/>
                <w:lang w:val="en-US" w:eastAsia="zh-CN"/>
              </w:rPr>
              <w:t>2</w:t>
            </w:r>
            <w:r>
              <w:rPr>
                <w:rFonts w:hint="eastAsia" w:ascii="仿宋" w:hAnsi="仿宋" w:eastAsia="仿宋" w:cs="仿宋"/>
                <w:color w:val="000000"/>
                <w:sz w:val="24"/>
                <w:szCs w:val="24"/>
                <w:highlight w:val="none"/>
              </w:rPr>
              <w:t>个月，费用</w:t>
            </w:r>
            <w:r>
              <w:rPr>
                <w:rFonts w:hint="eastAsia" w:ascii="仿宋" w:hAnsi="仿宋" w:eastAsia="仿宋" w:cs="仿宋"/>
                <w:color w:val="000000"/>
                <w:sz w:val="24"/>
                <w:szCs w:val="24"/>
                <w:highlight w:val="none"/>
                <w:lang w:val="en-US" w:eastAsia="zh-CN"/>
              </w:rPr>
              <w:t>15</w:t>
            </w:r>
            <w:r>
              <w:rPr>
                <w:rFonts w:hint="eastAsia" w:ascii="仿宋" w:hAnsi="仿宋" w:eastAsia="仿宋" w:cs="仿宋"/>
                <w:color w:val="000000"/>
                <w:sz w:val="24"/>
                <w:szCs w:val="24"/>
                <w:highlight w:val="none"/>
              </w:rPr>
              <w:t>万元。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701"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bCs/>
                <w:sz w:val="24"/>
                <w:szCs w:val="22"/>
              </w:rPr>
            </w:pPr>
          </w:p>
        </w:tc>
        <w:tc>
          <w:tcPr>
            <w:tcW w:w="1275" w:type="dxa"/>
            <w:gridSpan w:val="2"/>
            <w:tcBorders>
              <w:left w:val="single" w:color="auto" w:sz="6" w:space="0"/>
              <w:right w:val="single" w:color="auto" w:sz="6" w:space="0"/>
            </w:tcBorders>
            <w:vAlign w:val="center"/>
          </w:tcPr>
          <w:p>
            <w:pPr>
              <w:spacing w:after="0" w:line="240" w:lineRule="auto"/>
              <w:jc w:val="center"/>
              <w:rPr>
                <w:rFonts w:hint="default" w:ascii="Times New Roman" w:hAnsi="Times New Roman" w:eastAsia="方正仿宋_GBK"/>
                <w:sz w:val="24"/>
                <w:szCs w:val="22"/>
                <w:lang w:val="en-US" w:eastAsia="zh-CN"/>
              </w:rPr>
            </w:pPr>
            <w:r>
              <w:rPr>
                <w:rFonts w:hint="eastAsia" w:ascii="Times New Roman" w:hAnsi="Times New Roman" w:eastAsia="方正仿宋_GBK"/>
                <w:sz w:val="24"/>
                <w:szCs w:val="22"/>
                <w:lang w:val="en-US" w:eastAsia="zh-CN"/>
              </w:rPr>
              <w:t>4</w:t>
            </w:r>
          </w:p>
        </w:tc>
        <w:tc>
          <w:tcPr>
            <w:tcW w:w="7183" w:type="dxa"/>
            <w:gridSpan w:val="5"/>
            <w:tcBorders>
              <w:left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after="0" w:line="400" w:lineRule="exact"/>
              <w:textAlignment w:val="auto"/>
              <w:rPr>
                <w:rFonts w:hint="default" w:ascii="Times New Roman" w:hAnsi="Times New Roman" w:eastAsia="方正仿宋_GBK"/>
                <w:bCs/>
                <w:i w:val="0"/>
                <w:iCs w:val="0"/>
                <w:sz w:val="24"/>
                <w:szCs w:val="22"/>
                <w:lang w:val="en-US" w:eastAsia="zh-CN"/>
              </w:rPr>
            </w:pPr>
            <w:r>
              <w:rPr>
                <w:rFonts w:hint="eastAsia" w:ascii="仿宋" w:hAnsi="仿宋" w:eastAsia="仿宋" w:cs="仿宋"/>
                <w:color w:val="000000"/>
                <w:sz w:val="24"/>
                <w:szCs w:val="24"/>
                <w:highlight w:val="none"/>
              </w:rPr>
              <w:t>（4）提出建议措施，形成报告，投入</w:t>
            </w:r>
            <w:r>
              <w:rPr>
                <w:rFonts w:hint="eastAsia" w:ascii="仿宋" w:hAnsi="仿宋" w:eastAsia="仿宋" w:cs="仿宋"/>
                <w:color w:val="000000"/>
                <w:sz w:val="24"/>
                <w:szCs w:val="24"/>
                <w:highlight w:val="none"/>
                <w:lang w:val="en-US" w:eastAsia="zh-CN"/>
              </w:rPr>
              <w:t>3</w:t>
            </w:r>
            <w:r>
              <w:rPr>
                <w:rFonts w:hint="eastAsia" w:ascii="仿宋" w:hAnsi="仿宋" w:eastAsia="仿宋" w:cs="仿宋"/>
                <w:color w:val="000000"/>
                <w:sz w:val="24"/>
                <w:szCs w:val="24"/>
                <w:highlight w:val="none"/>
              </w:rPr>
              <w:t>名高级研究人员，按照2万元/人·月计算，共计工作</w:t>
            </w:r>
            <w:r>
              <w:rPr>
                <w:rFonts w:hint="eastAsia" w:ascii="仿宋" w:hAnsi="仿宋" w:eastAsia="仿宋" w:cs="仿宋"/>
                <w:color w:val="000000"/>
                <w:sz w:val="24"/>
                <w:szCs w:val="24"/>
                <w:highlight w:val="none"/>
                <w:lang w:val="en-US" w:eastAsia="zh-CN"/>
              </w:rPr>
              <w:t>1</w:t>
            </w:r>
            <w:r>
              <w:rPr>
                <w:rFonts w:hint="eastAsia" w:ascii="仿宋" w:hAnsi="仿宋" w:eastAsia="仿宋" w:cs="仿宋"/>
                <w:color w:val="000000"/>
                <w:sz w:val="24"/>
                <w:szCs w:val="24"/>
                <w:highlight w:val="none"/>
              </w:rPr>
              <w:t>个月，费用</w:t>
            </w:r>
            <w:r>
              <w:rPr>
                <w:rFonts w:hint="eastAsia" w:ascii="仿宋" w:hAnsi="仿宋" w:eastAsia="仿宋" w:cs="仿宋"/>
                <w:color w:val="000000"/>
                <w:sz w:val="24"/>
                <w:szCs w:val="24"/>
                <w:highlight w:val="none"/>
                <w:lang w:val="en-US" w:eastAsia="zh-CN"/>
              </w:rPr>
              <w:t>6</w:t>
            </w:r>
            <w:r>
              <w:rPr>
                <w:rFonts w:hint="eastAsia" w:ascii="仿宋" w:hAnsi="仿宋" w:eastAsia="仿宋" w:cs="仿宋"/>
                <w:color w:val="000000"/>
                <w:sz w:val="24"/>
                <w:szCs w:val="24"/>
                <w:highlight w:val="none"/>
              </w:rPr>
              <w:t>万元。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50"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bCs/>
                <w:sz w:val="24"/>
                <w:szCs w:val="22"/>
              </w:rPr>
            </w:pPr>
          </w:p>
        </w:tc>
        <w:tc>
          <w:tcPr>
            <w:tcW w:w="8458" w:type="dxa"/>
            <w:gridSpan w:val="7"/>
            <w:tcBorders>
              <w:left w:val="single" w:color="auto" w:sz="6" w:space="0"/>
              <w:right w:val="single" w:color="auto" w:sz="6" w:space="0"/>
            </w:tcBorders>
            <w:vAlign w:val="center"/>
          </w:tcPr>
          <w:p>
            <w:pPr>
              <w:spacing w:after="0" w:line="240" w:lineRule="auto"/>
              <w:jc w:val="center"/>
              <w:rPr>
                <w:rFonts w:ascii="Times New Roman" w:hAnsi="Times New Roman" w:eastAsia="方正仿宋_GBK"/>
                <w:sz w:val="24"/>
                <w:szCs w:val="22"/>
              </w:rPr>
            </w:pPr>
            <w:r>
              <w:rPr>
                <w:rFonts w:hint="eastAsia" w:ascii="Times New Roman" w:hAnsi="Times New Roman" w:eastAsia="方正仿宋_GBK"/>
                <w:b/>
                <w:bCs/>
                <w:sz w:val="24"/>
                <w:szCs w:val="22"/>
                <w:lang w:val="en-US" w:eastAsia="zh-CN"/>
              </w:rPr>
              <w:t>预期成果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2" w:hRule="atLeast"/>
          <w:jc w:val="center"/>
        </w:trPr>
        <w:tc>
          <w:tcPr>
            <w:tcW w:w="1005" w:type="dxa"/>
            <w:vMerge w:val="continue"/>
            <w:tcBorders>
              <w:left w:val="single" w:color="auto" w:sz="6" w:space="0"/>
              <w:right w:val="single" w:color="auto" w:sz="6" w:space="0"/>
            </w:tcBorders>
            <w:vAlign w:val="center"/>
          </w:tcPr>
          <w:p>
            <w:pPr>
              <w:spacing w:after="0" w:line="240" w:lineRule="auto"/>
              <w:jc w:val="center"/>
              <w:rPr>
                <w:rFonts w:ascii="Times New Roman" w:hAnsi="Times New Roman" w:eastAsia="方正仿宋_GBK"/>
                <w:b/>
                <w:bCs/>
                <w:sz w:val="24"/>
                <w:szCs w:val="22"/>
              </w:rPr>
            </w:pPr>
          </w:p>
        </w:tc>
        <w:tc>
          <w:tcPr>
            <w:tcW w:w="1275" w:type="dxa"/>
            <w:gridSpan w:val="2"/>
            <w:tcBorders>
              <w:left w:val="single" w:color="auto" w:sz="6" w:space="0"/>
              <w:right w:val="single" w:color="auto" w:sz="6" w:space="0"/>
            </w:tcBorders>
            <w:vAlign w:val="center"/>
          </w:tcPr>
          <w:p>
            <w:pPr>
              <w:spacing w:after="0" w:line="240" w:lineRule="auto"/>
              <w:jc w:val="center"/>
              <w:rPr>
                <w:rFonts w:hint="default" w:ascii="Times New Roman" w:hAnsi="Times New Roman" w:eastAsia="方正仿宋_GBK"/>
                <w:sz w:val="24"/>
                <w:szCs w:val="22"/>
                <w:lang w:val="en-US" w:eastAsia="zh-CN"/>
              </w:rPr>
            </w:pPr>
            <w:r>
              <w:rPr>
                <w:rFonts w:hint="eastAsia" w:ascii="Times New Roman" w:hAnsi="Times New Roman" w:eastAsia="方正仿宋_GBK"/>
                <w:sz w:val="24"/>
                <w:szCs w:val="22"/>
                <w:lang w:val="en-US" w:eastAsia="zh-CN"/>
              </w:rPr>
              <w:t>1</w:t>
            </w:r>
          </w:p>
        </w:tc>
        <w:tc>
          <w:tcPr>
            <w:tcW w:w="7183" w:type="dxa"/>
            <w:gridSpan w:val="5"/>
            <w:tcBorders>
              <w:left w:val="single" w:color="auto" w:sz="6" w:space="0"/>
              <w:right w:val="single" w:color="auto" w:sz="6" w:space="0"/>
            </w:tcBorders>
            <w:vAlign w:val="center"/>
          </w:tcPr>
          <w:p>
            <w:pPr>
              <w:spacing w:after="0" w:line="240" w:lineRule="auto"/>
              <w:jc w:val="center"/>
              <w:rPr>
                <w:rFonts w:hint="default" w:ascii="Times New Roman" w:hAnsi="Times New Roman" w:eastAsia="方正仿宋_GBK"/>
                <w:sz w:val="24"/>
                <w:szCs w:val="22"/>
                <w:lang w:val="en-US" w:eastAsia="zh-CN"/>
              </w:rPr>
            </w:pPr>
            <w:r>
              <w:rPr>
                <w:rFonts w:hint="eastAsia" w:ascii="Times New Roman" w:hAnsi="Times New Roman" w:eastAsia="方正仿宋_GBK"/>
                <w:sz w:val="24"/>
                <w:szCs w:val="22"/>
                <w:lang w:val="en-US" w:eastAsia="zh-CN"/>
              </w:rPr>
              <w:t>完成专题研究报告1份、发表论文1篇。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06" w:hRule="atLeast"/>
          <w:jc w:val="center"/>
        </w:trPr>
        <w:tc>
          <w:tcPr>
            <w:tcW w:w="9463" w:type="dxa"/>
            <w:gridSpan w:val="8"/>
            <w:tcBorders>
              <w:left w:val="single" w:color="auto" w:sz="6" w:space="0"/>
              <w:right w:val="single" w:color="auto" w:sz="6" w:space="0"/>
            </w:tcBorders>
            <w:vAlign w:val="center"/>
          </w:tcPr>
          <w:p>
            <w:pPr>
              <w:spacing w:after="0" w:line="240" w:lineRule="auto"/>
              <w:jc w:val="center"/>
              <w:rPr>
                <w:rFonts w:hint="default" w:ascii="Times New Roman" w:hAnsi="Times New Roman" w:eastAsia="方正仿宋_GBK"/>
                <w:b/>
                <w:bCs/>
                <w:sz w:val="24"/>
                <w:szCs w:val="22"/>
                <w:lang w:val="en-US" w:eastAsia="zh-CN"/>
              </w:rPr>
            </w:pPr>
            <w:r>
              <w:rPr>
                <w:rFonts w:hint="eastAsia" w:ascii="Times New Roman" w:hAnsi="Times New Roman" w:eastAsia="方正仿宋_GBK"/>
                <w:b/>
                <w:bCs/>
                <w:sz w:val="24"/>
                <w:szCs w:val="22"/>
                <w:lang w:val="en-US" w:eastAsia="zh-CN"/>
              </w:rPr>
              <w:t>项目经费估算明细表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spacing w:after="0" w:line="240" w:lineRule="auto"/>
              <w:jc w:val="center"/>
              <w:rPr>
                <w:rFonts w:hint="eastAsia" w:ascii="Times New Roman" w:hAnsi="Times New Roman" w:eastAsia="方正仿宋_GBK"/>
                <w:b/>
                <w:bCs/>
                <w:sz w:val="24"/>
                <w:szCs w:val="22"/>
                <w:lang w:val="en-US" w:eastAsia="zh-CN"/>
              </w:rPr>
            </w:pPr>
            <w:r>
              <w:rPr>
                <w:rFonts w:hint="eastAsia" w:ascii="Times New Roman" w:hAnsi="Times New Roman" w:eastAsia="方正仿宋_GBK"/>
                <w:b/>
                <w:bCs/>
                <w:sz w:val="24"/>
                <w:szCs w:val="22"/>
                <w:lang w:val="en-US" w:eastAsia="zh-CN"/>
              </w:rPr>
              <w:t>科目</w:t>
            </w:r>
          </w:p>
        </w:tc>
        <w:tc>
          <w:tcPr>
            <w:tcW w:w="3154" w:type="dxa"/>
            <w:gridSpan w:val="2"/>
            <w:tcBorders>
              <w:left w:val="single" w:color="auto" w:sz="6" w:space="0"/>
              <w:right w:val="single" w:color="auto" w:sz="6" w:space="0"/>
            </w:tcBorders>
            <w:vAlign w:val="center"/>
          </w:tcPr>
          <w:p>
            <w:pPr>
              <w:spacing w:after="0" w:line="240" w:lineRule="auto"/>
              <w:jc w:val="center"/>
              <w:rPr>
                <w:rFonts w:hint="eastAsia" w:ascii="Times New Roman" w:hAnsi="Times New Roman" w:eastAsia="方正仿宋_GBK"/>
                <w:b/>
                <w:bCs/>
                <w:sz w:val="24"/>
                <w:szCs w:val="22"/>
                <w:lang w:val="en-US" w:eastAsia="zh-CN"/>
              </w:rPr>
            </w:pPr>
            <w:r>
              <w:rPr>
                <w:rFonts w:hint="eastAsia" w:ascii="Times New Roman" w:hAnsi="Times New Roman" w:eastAsia="方正仿宋_GBK"/>
                <w:b/>
                <w:bCs/>
                <w:sz w:val="24"/>
                <w:szCs w:val="22"/>
                <w:lang w:val="en-US" w:eastAsia="zh-CN"/>
              </w:rPr>
              <w:t>金额</w:t>
            </w:r>
          </w:p>
        </w:tc>
        <w:tc>
          <w:tcPr>
            <w:tcW w:w="3155" w:type="dxa"/>
            <w:gridSpan w:val="2"/>
            <w:tcBorders>
              <w:left w:val="single" w:color="auto" w:sz="6" w:space="0"/>
              <w:right w:val="single" w:color="auto" w:sz="6" w:space="0"/>
            </w:tcBorders>
            <w:vAlign w:val="center"/>
          </w:tcPr>
          <w:p>
            <w:pPr>
              <w:spacing w:after="0" w:line="240" w:lineRule="auto"/>
              <w:jc w:val="center"/>
              <w:rPr>
                <w:rFonts w:hint="eastAsia" w:ascii="Times New Roman" w:hAnsi="Times New Roman" w:eastAsia="方正仿宋_GBK"/>
                <w:b/>
                <w:bCs/>
                <w:sz w:val="24"/>
                <w:szCs w:val="22"/>
                <w:lang w:val="en-US" w:eastAsia="zh-CN"/>
              </w:rPr>
            </w:pPr>
            <w:r>
              <w:rPr>
                <w:rFonts w:hint="eastAsia" w:ascii="Times New Roman" w:hAnsi="Times New Roman" w:eastAsia="方正仿宋_GBK"/>
                <w:b/>
                <w:bCs/>
                <w:sz w:val="24"/>
                <w:szCs w:val="22"/>
                <w:lang w:val="en-US" w:eastAsia="zh-CN"/>
              </w:rPr>
              <w:t>备注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bookmarkStart w:id="0" w:name="_GoBack" w:colFirst="1" w:colLast="2"/>
            <w:r>
              <w:rPr>
                <w:rFonts w:hint="eastAsia" w:ascii="方正仿宋_GBK" w:hAnsi="方正仿宋_GBK" w:eastAsia="方正仿宋_GBK" w:cs="方正仿宋_GBK"/>
                <w:b/>
                <w:bCs/>
                <w:color w:val="000000"/>
                <w:kern w:val="0"/>
                <w:sz w:val="24"/>
                <w:szCs w:val="24"/>
              </w:rPr>
              <w:t>（一）直接费用</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67万元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color w:val="000000"/>
                <w:kern w:val="0"/>
                <w:sz w:val="24"/>
                <w:szCs w:val="24"/>
              </w:rPr>
              <w:t>直接费=人工费+设备使用费+业务费+场地使用费+专家咨询费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1.人工费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61万元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人工费=专职研究人员人工费+临时性研究人员人工费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05"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（1）专职研究人员人工费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61万元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高级研究人员（含项目负责人、子项目负责人、项目骨干研究人员和其他高级研究人员），标准为1.5～2万元/人月；其他研究人员（含中初级研究人员、技术工人等其他研究人员），标准为1～1.5万元/人月。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2.设备使用费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无</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按照实际需求列支。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3.业务费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4万元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业务费=资料费+印刷出版费+知识产权费+会议费+差旅费+培训费等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（1）资料费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0</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原则上不超过15万元。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（2）印刷出版费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0</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原则上不超过10万元。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（3）知识产权费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3万元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包括专利申请费、论文版面费、软件著作权登记费等。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（4）会议费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0</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按照公司相关标准执行，原则上会议次数不超过4次/年。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（5）差旅费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1万元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按照公司相关标准执行。</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（6）培训费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0</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培训费比例不得超过项目总费用的2%。</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4.场地使用费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0</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不需要另行集中安排场所办公的不发生此项费用，确需安排的，按实际需求列支。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5.专家咨询费</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2万元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color w:val="000000"/>
                <w:kern w:val="0"/>
                <w:sz w:val="24"/>
                <w:szCs w:val="24"/>
              </w:rPr>
              <w:t>原则上标准为1000-1500元/人天，根据实际工作量具体确定。项目执行期在一年内的，总额原则上不超过15万元；每增加一年总额增加10万元。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color w:val="000000"/>
                <w:kern w:val="0"/>
                <w:sz w:val="24"/>
                <w:szCs w:val="24"/>
              </w:rPr>
              <w:t>（二）间接费用</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0</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color w:val="000000"/>
                <w:kern w:val="0"/>
                <w:sz w:val="24"/>
                <w:szCs w:val="24"/>
              </w:rPr>
              <w:t>间接费实行总额控制，不超过总费用的8%。</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color w:val="000000"/>
                <w:kern w:val="0"/>
                <w:sz w:val="24"/>
                <w:szCs w:val="24"/>
              </w:rPr>
              <w:t>（三）税金</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4.02万元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color w:val="000000"/>
                <w:kern w:val="0"/>
                <w:sz w:val="24"/>
                <w:szCs w:val="24"/>
              </w:rPr>
              <w:t>按照国税和地税相关规定执行。</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66" w:hRule="atLeast"/>
          <w:jc w:val="center"/>
        </w:trPr>
        <w:tc>
          <w:tcPr>
            <w:tcW w:w="3154" w:type="dxa"/>
            <w:gridSpan w:val="4"/>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color w:val="000000"/>
                <w:kern w:val="0"/>
                <w:sz w:val="24"/>
                <w:szCs w:val="24"/>
                <w:lang w:val="en-US" w:eastAsia="zh-CN"/>
              </w:rPr>
            </w:pPr>
            <w:r>
              <w:rPr>
                <w:rFonts w:hint="eastAsia" w:ascii="方正仿宋_GBK" w:hAnsi="方正仿宋_GBK" w:eastAsia="方正仿宋_GBK" w:cs="方正仿宋_GBK"/>
                <w:b/>
                <w:bCs/>
                <w:color w:val="000000"/>
                <w:kern w:val="0"/>
                <w:sz w:val="24"/>
                <w:szCs w:val="24"/>
              </w:rPr>
              <w:t>经费估算总额</w:t>
            </w:r>
            <w:r>
              <w:rPr>
                <w:rFonts w:hint="eastAsia" w:ascii="方正仿宋_GBK" w:hAnsi="方正仿宋_GBK" w:eastAsia="方正仿宋_GBK" w:cs="方正仿宋_GBK"/>
                <w:b/>
                <w:bCs/>
                <w:color w:val="000000"/>
                <w:kern w:val="0"/>
                <w:sz w:val="24"/>
                <w:szCs w:val="24"/>
                <w:lang w:eastAsia="zh-CN"/>
              </w:rPr>
              <w:t>（</w:t>
            </w:r>
            <w:r>
              <w:rPr>
                <w:rFonts w:hint="eastAsia" w:ascii="方正仿宋_GBK" w:hAnsi="方正仿宋_GBK" w:eastAsia="方正仿宋_GBK" w:cs="方正仿宋_GBK"/>
                <w:b/>
                <w:bCs/>
                <w:color w:val="000000"/>
                <w:kern w:val="0"/>
                <w:sz w:val="24"/>
                <w:szCs w:val="24"/>
                <w:lang w:val="en-US" w:eastAsia="zh-CN"/>
              </w:rPr>
              <w:t>含税</w:t>
            </w:r>
            <w:r>
              <w:rPr>
                <w:rFonts w:hint="eastAsia" w:ascii="方正仿宋_GBK" w:hAnsi="方正仿宋_GBK" w:eastAsia="方正仿宋_GBK" w:cs="方正仿宋_GBK"/>
                <w:b/>
                <w:bCs/>
                <w:color w:val="000000"/>
                <w:kern w:val="0"/>
                <w:sz w:val="24"/>
                <w:szCs w:val="24"/>
                <w:lang w:eastAsia="zh-CN"/>
              </w:rPr>
              <w:t>）</w:t>
            </w:r>
          </w:p>
        </w:tc>
        <w:tc>
          <w:tcPr>
            <w:tcW w:w="3154"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jc w:val="center"/>
              <w:textAlignment w:val="auto"/>
              <w:rPr>
                <w:rFonts w:hint="default" w:ascii="方正仿宋_GBK" w:hAnsi="方正仿宋_GBK" w:eastAsia="方正仿宋_GBK" w:cs="方正仿宋_GBK"/>
                <w:b/>
                <w:bCs/>
                <w:sz w:val="24"/>
                <w:szCs w:val="24"/>
                <w:lang w:val="en-US" w:eastAsia="zh-CN"/>
              </w:rPr>
            </w:pPr>
            <w:r>
              <w:rPr>
                <w:rFonts w:hint="eastAsia" w:ascii="方正仿宋_GBK" w:hAnsi="方正仿宋_GBK" w:eastAsia="方正仿宋_GBK" w:cs="方正仿宋_GBK"/>
                <w:b/>
                <w:bCs/>
                <w:sz w:val="24"/>
                <w:szCs w:val="24"/>
                <w:lang w:val="en-US" w:eastAsia="zh-CN"/>
              </w:rPr>
              <w:t>67万元</w:t>
            </w:r>
          </w:p>
        </w:tc>
        <w:tc>
          <w:tcPr>
            <w:tcW w:w="3155" w:type="dxa"/>
            <w:gridSpan w:val="2"/>
            <w:tcBorders>
              <w:left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after="0" w:line="400" w:lineRule="exact"/>
              <w:textAlignment w:val="auto"/>
              <w:rPr>
                <w:rFonts w:hint="eastAsia" w:ascii="方正仿宋_GBK" w:hAnsi="方正仿宋_GBK" w:eastAsia="方正仿宋_GBK" w:cs="方正仿宋_GBK"/>
                <w:color w:val="000000"/>
                <w:kern w:val="0"/>
                <w:sz w:val="24"/>
                <w:szCs w:val="24"/>
                <w:lang w:val="en-US" w:eastAsia="zh-CN"/>
              </w:rPr>
            </w:pPr>
            <w:r>
              <w:rPr>
                <w:rFonts w:hint="eastAsia" w:ascii="方正仿宋_GBK" w:hAnsi="方正仿宋_GBK" w:eastAsia="方正仿宋_GBK" w:cs="方正仿宋_GBK"/>
                <w:color w:val="000000"/>
                <w:kern w:val="0"/>
                <w:sz w:val="24"/>
                <w:szCs w:val="24"/>
              </w:rPr>
              <w:t>　</w:t>
            </w:r>
          </w:p>
        </w:tc>
      </w:tr>
      <w:bookmarkEnd w:id="0"/>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315" w:hRule="atLeast"/>
          <w:jc w:val="center"/>
        </w:trPr>
        <w:tc>
          <w:tcPr>
            <w:tcW w:w="3154" w:type="dxa"/>
            <w:gridSpan w:val="4"/>
            <w:tcBorders>
              <w:left w:val="single" w:color="auto" w:sz="6" w:space="0"/>
              <w:right w:val="single" w:color="auto" w:sz="6" w:space="0"/>
            </w:tcBorders>
            <w:vAlign w:val="center"/>
          </w:tcPr>
          <w:p>
            <w:pPr>
              <w:spacing w:after="0" w:line="240" w:lineRule="auto"/>
              <w:jc w:val="left"/>
              <w:rPr>
                <w:rFonts w:ascii="Times New Roman" w:hAnsi="Times New Roman" w:eastAsia="方正仿宋_GBK"/>
                <w:b/>
                <w:bCs/>
                <w:sz w:val="24"/>
                <w:szCs w:val="22"/>
              </w:rPr>
            </w:pPr>
            <w:r>
              <w:rPr>
                <w:rFonts w:hint="eastAsia" w:ascii="Times New Roman" w:hAnsi="Times New Roman" w:eastAsia="方正仿宋_GBK"/>
                <w:b/>
                <w:bCs/>
                <w:sz w:val="24"/>
                <w:szCs w:val="22"/>
              </w:rPr>
              <w:t>编制：</w:t>
            </w:r>
          </w:p>
          <w:p>
            <w:pPr>
              <w:spacing w:after="0" w:line="240" w:lineRule="auto"/>
              <w:jc w:val="left"/>
              <w:rPr>
                <w:rFonts w:ascii="Times New Roman" w:hAnsi="Times New Roman" w:eastAsia="方正仿宋_GBK"/>
                <w:b/>
                <w:bCs/>
                <w:sz w:val="24"/>
                <w:szCs w:val="22"/>
              </w:rPr>
            </w:pPr>
          </w:p>
          <w:p>
            <w:pPr>
              <w:spacing w:after="0" w:line="240" w:lineRule="auto"/>
              <w:jc w:val="left"/>
              <w:rPr>
                <w:rFonts w:ascii="Times New Roman" w:hAnsi="Times New Roman" w:eastAsia="方正仿宋_GBK"/>
                <w:b/>
                <w:bCs/>
                <w:sz w:val="24"/>
                <w:szCs w:val="22"/>
              </w:rPr>
            </w:pPr>
            <w:r>
              <w:rPr>
                <w:rFonts w:hint="eastAsia" w:ascii="Times New Roman" w:hAnsi="Times New Roman" w:eastAsia="方正仿宋_GBK"/>
                <w:b/>
                <w:bCs/>
                <w:sz w:val="24"/>
                <w:szCs w:val="22"/>
              </w:rPr>
              <w:t>日期：</w:t>
            </w:r>
          </w:p>
        </w:tc>
        <w:tc>
          <w:tcPr>
            <w:tcW w:w="3154" w:type="dxa"/>
            <w:gridSpan w:val="2"/>
            <w:tcBorders>
              <w:left w:val="single" w:color="auto" w:sz="6" w:space="0"/>
              <w:right w:val="single" w:color="auto" w:sz="6" w:space="0"/>
            </w:tcBorders>
            <w:vAlign w:val="center"/>
          </w:tcPr>
          <w:p>
            <w:pPr>
              <w:spacing w:after="0" w:line="240" w:lineRule="auto"/>
              <w:jc w:val="left"/>
              <w:rPr>
                <w:rFonts w:ascii="Times New Roman" w:hAnsi="Times New Roman" w:eastAsia="方正仿宋_GBK"/>
                <w:b/>
                <w:bCs/>
                <w:sz w:val="24"/>
                <w:szCs w:val="22"/>
              </w:rPr>
            </w:pPr>
            <w:r>
              <w:rPr>
                <w:rFonts w:hint="eastAsia" w:ascii="Times New Roman" w:hAnsi="Times New Roman" w:eastAsia="方正仿宋_GBK"/>
                <w:b/>
                <w:bCs/>
                <w:sz w:val="24"/>
                <w:szCs w:val="22"/>
              </w:rPr>
              <w:t>审核：</w:t>
            </w:r>
          </w:p>
          <w:p>
            <w:pPr>
              <w:spacing w:after="0" w:line="240" w:lineRule="auto"/>
              <w:jc w:val="left"/>
              <w:rPr>
                <w:rFonts w:ascii="Times New Roman" w:hAnsi="Times New Roman" w:eastAsia="方正仿宋_GBK"/>
                <w:b/>
                <w:bCs/>
                <w:sz w:val="24"/>
                <w:szCs w:val="22"/>
              </w:rPr>
            </w:pPr>
          </w:p>
          <w:p>
            <w:pPr>
              <w:spacing w:after="0" w:line="240" w:lineRule="auto"/>
              <w:jc w:val="left"/>
              <w:rPr>
                <w:rFonts w:ascii="Times New Roman" w:hAnsi="Times New Roman" w:eastAsia="方正仿宋_GBK"/>
                <w:b/>
                <w:bCs/>
                <w:sz w:val="24"/>
                <w:szCs w:val="22"/>
              </w:rPr>
            </w:pPr>
            <w:r>
              <w:rPr>
                <w:rFonts w:hint="eastAsia" w:ascii="Times New Roman" w:hAnsi="Times New Roman" w:eastAsia="方正仿宋_GBK"/>
                <w:b/>
                <w:bCs/>
                <w:sz w:val="24"/>
                <w:szCs w:val="22"/>
              </w:rPr>
              <w:t>日期：</w:t>
            </w:r>
          </w:p>
        </w:tc>
        <w:tc>
          <w:tcPr>
            <w:tcW w:w="3155" w:type="dxa"/>
            <w:gridSpan w:val="2"/>
            <w:tcBorders>
              <w:left w:val="single" w:color="auto" w:sz="6" w:space="0"/>
              <w:right w:val="single" w:color="auto" w:sz="6" w:space="0"/>
            </w:tcBorders>
            <w:vAlign w:val="center"/>
          </w:tcPr>
          <w:p>
            <w:pPr>
              <w:spacing w:after="0" w:line="240" w:lineRule="auto"/>
              <w:jc w:val="left"/>
              <w:rPr>
                <w:rFonts w:ascii="Times New Roman" w:hAnsi="Times New Roman" w:eastAsia="方正仿宋_GBK"/>
                <w:b/>
                <w:bCs/>
                <w:sz w:val="24"/>
                <w:szCs w:val="22"/>
              </w:rPr>
            </w:pPr>
            <w:r>
              <w:rPr>
                <w:rFonts w:hint="eastAsia" w:ascii="Times New Roman" w:hAnsi="Times New Roman" w:eastAsia="方正仿宋_GBK"/>
                <w:b/>
                <w:bCs/>
                <w:sz w:val="24"/>
                <w:szCs w:val="22"/>
              </w:rPr>
              <w:t>批准：</w:t>
            </w:r>
          </w:p>
          <w:p>
            <w:pPr>
              <w:spacing w:after="0" w:line="240" w:lineRule="auto"/>
              <w:jc w:val="left"/>
              <w:rPr>
                <w:rFonts w:ascii="Times New Roman" w:hAnsi="Times New Roman" w:eastAsia="方正仿宋_GBK"/>
                <w:b/>
                <w:bCs/>
                <w:sz w:val="24"/>
                <w:szCs w:val="22"/>
              </w:rPr>
            </w:pPr>
          </w:p>
          <w:p>
            <w:pPr>
              <w:spacing w:after="0" w:line="240" w:lineRule="auto"/>
              <w:jc w:val="left"/>
              <w:rPr>
                <w:rFonts w:ascii="Times New Roman" w:hAnsi="Times New Roman" w:eastAsia="方正仿宋_GBK"/>
                <w:b/>
                <w:bCs/>
                <w:sz w:val="24"/>
                <w:szCs w:val="22"/>
              </w:rPr>
            </w:pPr>
            <w:r>
              <w:rPr>
                <w:rFonts w:hint="eastAsia" w:ascii="Times New Roman" w:hAnsi="Times New Roman" w:eastAsia="方正仿宋_GBK"/>
                <w:b/>
                <w:bCs/>
                <w:sz w:val="24"/>
                <w:szCs w:val="22"/>
              </w:rPr>
              <w:t>日期：</w:t>
            </w:r>
          </w:p>
        </w:tc>
      </w:tr>
    </w:tbl>
    <w:p>
      <w:pPr>
        <w:spacing w:after="0" w:line="240" w:lineRule="auto"/>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720"/>
        </w:tabs>
        <w:ind w:left="432" w:hanging="432"/>
      </w:pPr>
      <w:rPr>
        <w:rFonts w:hint="eastAsia"/>
      </w:rPr>
    </w:lvl>
    <w:lvl w:ilvl="1" w:tentative="0">
      <w:start w:val="1"/>
      <w:numFmt w:val="decimal"/>
      <w:pStyle w:val="3"/>
      <w:lvlText w:val="%1．%2"/>
      <w:lvlJc w:val="left"/>
      <w:pPr>
        <w:tabs>
          <w:tab w:val="left" w:pos="1080"/>
        </w:tabs>
        <w:ind w:left="576" w:hanging="576"/>
      </w:pPr>
      <w:rPr>
        <w:rFonts w:hint="eastAsia"/>
      </w:rPr>
    </w:lvl>
    <w:lvl w:ilvl="2" w:tentative="0">
      <w:start w:val="1"/>
      <w:numFmt w:val="decimal"/>
      <w:lvlText w:val="%1．%2．%3"/>
      <w:lvlJc w:val="left"/>
      <w:pPr>
        <w:tabs>
          <w:tab w:val="left" w:pos="1800"/>
        </w:tabs>
        <w:ind w:left="720" w:hanging="720"/>
      </w:pPr>
      <w:rPr>
        <w:rFonts w:hint="eastAsia"/>
        <w:lang w:eastAsia="zh-CN"/>
      </w:rPr>
    </w:lvl>
    <w:lvl w:ilvl="3" w:tentative="0">
      <w:start w:val="1"/>
      <w:numFmt w:val="decimal"/>
      <w:lvlText w:val="%1．%2．%3．%4"/>
      <w:lvlJc w:val="left"/>
      <w:pPr>
        <w:tabs>
          <w:tab w:val="left" w:pos="2520"/>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9F539D"/>
    <w:rsid w:val="00085823"/>
    <w:rsid w:val="001B6B5C"/>
    <w:rsid w:val="00211608"/>
    <w:rsid w:val="003754B3"/>
    <w:rsid w:val="00431A7B"/>
    <w:rsid w:val="004C2292"/>
    <w:rsid w:val="0056514A"/>
    <w:rsid w:val="00573696"/>
    <w:rsid w:val="005A6826"/>
    <w:rsid w:val="006242EA"/>
    <w:rsid w:val="0065487C"/>
    <w:rsid w:val="006A76FA"/>
    <w:rsid w:val="00703E04"/>
    <w:rsid w:val="007F3E0C"/>
    <w:rsid w:val="00882465"/>
    <w:rsid w:val="008F2426"/>
    <w:rsid w:val="009A412D"/>
    <w:rsid w:val="00A5131E"/>
    <w:rsid w:val="00A56141"/>
    <w:rsid w:val="00A85F48"/>
    <w:rsid w:val="00AB19F6"/>
    <w:rsid w:val="00AF3B85"/>
    <w:rsid w:val="00B41567"/>
    <w:rsid w:val="00BE5ADE"/>
    <w:rsid w:val="00BF2C89"/>
    <w:rsid w:val="00C02846"/>
    <w:rsid w:val="00C42771"/>
    <w:rsid w:val="00C46547"/>
    <w:rsid w:val="00CD3009"/>
    <w:rsid w:val="00D67663"/>
    <w:rsid w:val="00DE48C2"/>
    <w:rsid w:val="00E15B03"/>
    <w:rsid w:val="00E53FE2"/>
    <w:rsid w:val="00F0315C"/>
    <w:rsid w:val="00F91359"/>
    <w:rsid w:val="010D4F6F"/>
    <w:rsid w:val="058E4875"/>
    <w:rsid w:val="06E92FE2"/>
    <w:rsid w:val="073D0845"/>
    <w:rsid w:val="0A4B6CD8"/>
    <w:rsid w:val="0FB820EA"/>
    <w:rsid w:val="10ED6779"/>
    <w:rsid w:val="11AB3E0C"/>
    <w:rsid w:val="124C076E"/>
    <w:rsid w:val="15F50A60"/>
    <w:rsid w:val="165D1D23"/>
    <w:rsid w:val="18113E26"/>
    <w:rsid w:val="1B546AE1"/>
    <w:rsid w:val="1D2B00FA"/>
    <w:rsid w:val="1E181AED"/>
    <w:rsid w:val="1EAC41E9"/>
    <w:rsid w:val="21647C2F"/>
    <w:rsid w:val="21A458C1"/>
    <w:rsid w:val="22F454A2"/>
    <w:rsid w:val="244C31F9"/>
    <w:rsid w:val="25A14E4D"/>
    <w:rsid w:val="285301D9"/>
    <w:rsid w:val="2CC817CD"/>
    <w:rsid w:val="2E150147"/>
    <w:rsid w:val="2EAE3900"/>
    <w:rsid w:val="35852BE2"/>
    <w:rsid w:val="359F539D"/>
    <w:rsid w:val="3789032B"/>
    <w:rsid w:val="38E172FF"/>
    <w:rsid w:val="3AEF2C2B"/>
    <w:rsid w:val="3C942B7F"/>
    <w:rsid w:val="3D3145B7"/>
    <w:rsid w:val="3DD65D84"/>
    <w:rsid w:val="3F116B8C"/>
    <w:rsid w:val="409A7D34"/>
    <w:rsid w:val="43E4779C"/>
    <w:rsid w:val="45F01FD2"/>
    <w:rsid w:val="484C4716"/>
    <w:rsid w:val="49ED6A4B"/>
    <w:rsid w:val="4A541779"/>
    <w:rsid w:val="4E863C0F"/>
    <w:rsid w:val="4F1B0EDE"/>
    <w:rsid w:val="50110225"/>
    <w:rsid w:val="506E2C1B"/>
    <w:rsid w:val="50897ED9"/>
    <w:rsid w:val="542009A1"/>
    <w:rsid w:val="55F84933"/>
    <w:rsid w:val="566F03C8"/>
    <w:rsid w:val="57772196"/>
    <w:rsid w:val="58E66B3E"/>
    <w:rsid w:val="59197F61"/>
    <w:rsid w:val="5C2B1133"/>
    <w:rsid w:val="5C4670E8"/>
    <w:rsid w:val="5E3842FE"/>
    <w:rsid w:val="5E457422"/>
    <w:rsid w:val="5F363B40"/>
    <w:rsid w:val="5F812AA5"/>
    <w:rsid w:val="5F821B8F"/>
    <w:rsid w:val="603025A2"/>
    <w:rsid w:val="64EC0EFA"/>
    <w:rsid w:val="66724740"/>
    <w:rsid w:val="66950B8C"/>
    <w:rsid w:val="69425EC0"/>
    <w:rsid w:val="6AA5081B"/>
    <w:rsid w:val="6B3C648B"/>
    <w:rsid w:val="6C352A99"/>
    <w:rsid w:val="6C5A09EF"/>
    <w:rsid w:val="6E1439B4"/>
    <w:rsid w:val="72846541"/>
    <w:rsid w:val="72C02F94"/>
    <w:rsid w:val="73A442B6"/>
    <w:rsid w:val="768F4CEB"/>
    <w:rsid w:val="7C054CE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qFormat/>
    <w:uiPriority w:val="0"/>
    <w:pPr>
      <w:keepNext/>
      <w:numPr>
        <w:ilvl w:val="1"/>
        <w:numId w:val="1"/>
      </w:numPr>
      <w:spacing w:before="260" w:after="260" w:line="413" w:lineRule="auto"/>
      <w:outlineLvl w:val="1"/>
    </w:pPr>
    <w:rPr>
      <w:rFonts w:ascii="Arial" w:hAnsi="Arial" w:eastAsia="黑体"/>
      <w:b/>
      <w:sz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pPr>
    <w:rPr>
      <w:kern w:val="0"/>
      <w:sz w:val="20"/>
    </w:rPr>
  </w:style>
  <w:style w:type="paragraph" w:styleId="4">
    <w:name w:val="footer"/>
    <w:basedOn w:val="1"/>
    <w:link w:val="10"/>
    <w:qFormat/>
    <w:uiPriority w:val="0"/>
    <w:pPr>
      <w:tabs>
        <w:tab w:val="center" w:pos="4153"/>
        <w:tab w:val="right" w:pos="8306"/>
      </w:tabs>
      <w:snapToGrid w:val="0"/>
      <w:spacing w:line="240" w:lineRule="auto"/>
      <w:jc w:val="left"/>
    </w:pPr>
    <w:rPr>
      <w:sz w:val="18"/>
      <w:szCs w:val="18"/>
    </w:rPr>
  </w:style>
  <w:style w:type="paragraph" w:styleId="5">
    <w:name w:val="header"/>
    <w:basedOn w:val="1"/>
    <w:link w:val="9"/>
    <w:qFormat/>
    <w:uiPriority w:val="0"/>
    <w:pPr>
      <w:tabs>
        <w:tab w:val="center" w:pos="4153"/>
        <w:tab w:val="right" w:pos="8306"/>
      </w:tabs>
      <w:snapToGrid w:val="0"/>
      <w:spacing w:line="240" w:lineRule="auto"/>
      <w:jc w:val="center"/>
    </w:pPr>
    <w:rPr>
      <w:sz w:val="18"/>
      <w:szCs w:val="18"/>
    </w:rPr>
  </w:style>
  <w:style w:type="paragraph" w:styleId="6">
    <w:name w:val="Normal (Web)"/>
    <w:basedOn w:val="1"/>
    <w:qFormat/>
    <w:uiPriority w:val="99"/>
    <w:pPr>
      <w:widowControl/>
      <w:spacing w:before="100" w:beforeAutospacing="1" w:after="100" w:afterAutospacing="1"/>
      <w:jc w:val="left"/>
    </w:pPr>
    <w:rPr>
      <w:rFonts w:ascii="宋体" w:hAnsi="宋体" w:cs="宋体"/>
      <w:kern w:val="0"/>
      <w:sz w:val="24"/>
    </w:rPr>
  </w:style>
  <w:style w:type="character" w:customStyle="1" w:styleId="9">
    <w:name w:val="页眉 字符"/>
    <w:basedOn w:val="8"/>
    <w:link w:val="5"/>
    <w:qFormat/>
    <w:uiPriority w:val="0"/>
    <w:rPr>
      <w:rFonts w:asciiTheme="minorHAnsi" w:hAnsiTheme="minorHAnsi" w:eastAsiaTheme="minorEastAsia" w:cstheme="minorBidi"/>
      <w:kern w:val="2"/>
      <w:sz w:val="18"/>
      <w:szCs w:val="18"/>
    </w:rPr>
  </w:style>
  <w:style w:type="character" w:customStyle="1" w:styleId="10">
    <w:name w:val="页脚 字符"/>
    <w:basedOn w:val="8"/>
    <w:link w:val="4"/>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36c5b409-e05e-45e9-9f0a-97666f54ad2d}">
    <Data data="gk8CCA0GAwcCAgYLGEcIBB1WDhkEBQwAAhhHAQsMQVk="/>
  </DataSet>
</Properties>
</file>

<file path=customXml/itemProps1.xml><?xml version="1.0" encoding="utf-8"?>
<ds:datastoreItem xmlns:ds="http://schemas.openxmlformats.org/officeDocument/2006/customXml" ds:itemID="{36c5b409-e05e-45e9-9f0a-97666f54ad2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2392</Words>
  <Characters>2630</Characters>
  <Lines>12</Lines>
  <Paragraphs>3</Paragraphs>
  <TotalTime>1</TotalTime>
  <ScaleCrop>false</ScaleCrop>
  <LinksUpToDate>false</LinksUpToDate>
  <CharactersWithSpaces>2640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2023-07-18T01:06:00Z</dcterms:created>
  <dc:creator>Administrator</dc:creator>
  <cp:lastModifiedBy>Administrator</cp:lastModifiedBy>
  <dcterms:modified xsi:type="dcterms:W3CDTF">2025-12-30T03:06:43Z</dcterms:modified>
  <dc:title>项目建议书</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C27B94C98EA243C2B369E192301811EA</vt:lpwstr>
  </property>
  <property fmtid="{D5CDD505-2E9C-101B-9397-08002B2CF9AE}" pid="4" name="KSOTemplateDocerSaveRecord">
    <vt:lpwstr>eyJoZGlkIjoiN2Q5MGQyOWNiM2QyOTdmOTY1MDg1YmU2YjM2M2Q3MjIiLCJ1c2VySWQiOiIzMDQ3OTg4ODAifQ==</vt:lpwstr>
  </property>
</Properties>
</file>