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attachedToolbars.bin" ContentType="application/vnd.ms-word.attachedToolbars"/>
  <Override PartName="/word/comments.xml" ContentType="application/vnd.openxmlformats-officedocument.wordprocessingml.comments+xml"/>
  <Override PartName="/word/commentsExtended.xml" ContentType="application/vnd.openxmlformats-officedocument.wordprocessingml.commentsExtended+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07C101">
      <w:pPr>
        <w:spacing w:after="240"/>
        <w:jc w:val="center"/>
        <w:rPr>
          <w:rFonts w:hint="eastAsia" w:eastAsia="仿宋_GB2312"/>
          <w:b/>
          <w:sz w:val="52"/>
          <w:szCs w:val="52"/>
        </w:rPr>
      </w:pPr>
    </w:p>
    <w:p w14:paraId="5A446AFD">
      <w:pPr>
        <w:spacing w:after="240"/>
        <w:jc w:val="center"/>
        <w:rPr>
          <w:rFonts w:hint="eastAsia" w:eastAsia="仿宋_GB2312"/>
          <w:b/>
          <w:sz w:val="52"/>
          <w:szCs w:val="52"/>
        </w:rPr>
      </w:pPr>
    </w:p>
    <w:p w14:paraId="5900430F">
      <w:pPr>
        <w:spacing w:after="240"/>
        <w:jc w:val="center"/>
        <w:rPr>
          <w:rFonts w:hint="eastAsia" w:ascii="仿宋_GB2312" w:eastAsia="仿宋_GB2312"/>
          <w:b/>
          <w:sz w:val="48"/>
          <w:szCs w:val="48"/>
        </w:rPr>
      </w:pPr>
      <w:r>
        <w:rPr>
          <w:rFonts w:hint="eastAsia" w:eastAsia="仿宋_GB2312"/>
          <w:b/>
          <w:sz w:val="48"/>
          <w:szCs w:val="48"/>
        </w:rPr>
        <w:t>国网江苏</w:t>
      </w:r>
      <w:r>
        <w:rPr>
          <w:rFonts w:hint="eastAsia" w:eastAsia="仿宋_GB2312"/>
          <w:b/>
          <w:sz w:val="48"/>
          <w:szCs w:val="48"/>
          <w:lang w:val="en-US" w:eastAsia="zh-CN"/>
        </w:rPr>
        <w:t>省</w:t>
      </w:r>
      <w:r>
        <w:rPr>
          <w:rFonts w:hint="eastAsia" w:eastAsia="仿宋_GB2312"/>
          <w:b/>
          <w:sz w:val="48"/>
          <w:szCs w:val="48"/>
        </w:rPr>
        <w:t>电力</w:t>
      </w:r>
      <w:r>
        <w:rPr>
          <w:rFonts w:hint="eastAsia" w:eastAsia="仿宋_GB2312"/>
          <w:b/>
          <w:sz w:val="48"/>
          <w:szCs w:val="48"/>
          <w:lang w:val="en-US" w:eastAsia="zh-CN"/>
        </w:rPr>
        <w:t>有限公司2026年成本类项目</w:t>
      </w:r>
    </w:p>
    <w:p w14:paraId="237E8A7F">
      <w:pPr>
        <w:spacing w:after="240"/>
        <w:jc w:val="center"/>
        <w:rPr>
          <w:rFonts w:ascii="仿宋_GB2312" w:eastAsia="仿宋_GB2312"/>
          <w:b/>
          <w:sz w:val="72"/>
          <w:szCs w:val="72"/>
        </w:rPr>
      </w:pPr>
      <w:r>
        <w:rPr>
          <w:rFonts w:ascii="仿宋_GB2312" w:eastAsia="仿宋_GB2312"/>
          <w:b/>
          <w:sz w:val="72"/>
          <w:szCs w:val="72"/>
        </w:rPr>
        <w:t>可行性研究报告</w:t>
      </w:r>
    </w:p>
    <w:p w14:paraId="00638CF2">
      <w:pPr>
        <w:adjustRightInd w:val="0"/>
        <w:snapToGrid w:val="0"/>
        <w:spacing w:line="360" w:lineRule="auto"/>
        <w:rPr>
          <w:rFonts w:eastAsia="仿宋_GB2312"/>
          <w:spacing w:val="20"/>
          <w:sz w:val="32"/>
        </w:rPr>
      </w:pPr>
    </w:p>
    <w:p w14:paraId="77C68F02">
      <w:pPr>
        <w:adjustRightInd w:val="0"/>
        <w:snapToGrid w:val="0"/>
        <w:spacing w:line="360" w:lineRule="auto"/>
        <w:rPr>
          <w:rFonts w:eastAsia="仿宋_GB2312"/>
          <w:spacing w:val="20"/>
          <w:sz w:val="32"/>
        </w:rPr>
      </w:pPr>
    </w:p>
    <w:tbl>
      <w:tblPr>
        <w:tblStyle w:val="20"/>
        <w:tblW w:w="0" w:type="auto"/>
        <w:tblInd w:w="528" w:type="dxa"/>
        <w:tblLayout w:type="fixed"/>
        <w:tblCellMar>
          <w:top w:w="0" w:type="dxa"/>
          <w:left w:w="108" w:type="dxa"/>
          <w:bottom w:w="0" w:type="dxa"/>
          <w:right w:w="108" w:type="dxa"/>
        </w:tblCellMar>
      </w:tblPr>
      <w:tblGrid>
        <w:gridCol w:w="6"/>
        <w:gridCol w:w="1814"/>
        <w:gridCol w:w="29"/>
        <w:gridCol w:w="6236"/>
      </w:tblGrid>
      <w:tr w14:paraId="6D65F0C6">
        <w:tblPrEx>
          <w:tblCellMar>
            <w:top w:w="0" w:type="dxa"/>
            <w:left w:w="108" w:type="dxa"/>
            <w:bottom w:w="0" w:type="dxa"/>
            <w:right w:w="108" w:type="dxa"/>
          </w:tblCellMar>
        </w:tblPrEx>
        <w:trPr>
          <w:gridBefore w:val="1"/>
          <w:wBefore w:w="6" w:type="dxa"/>
          <w:trHeight w:val="660" w:hRule="atLeast"/>
        </w:trPr>
        <w:tc>
          <w:tcPr>
            <w:tcW w:w="1843" w:type="dxa"/>
            <w:gridSpan w:val="2"/>
            <w:noWrap w:val="0"/>
            <w:vAlign w:val="center"/>
          </w:tcPr>
          <w:p w14:paraId="302F5633">
            <w:pPr>
              <w:adjustRightInd w:val="0"/>
              <w:snapToGrid w:val="0"/>
              <w:spacing w:line="360" w:lineRule="auto"/>
              <w:rPr>
                <w:rFonts w:eastAsia="仿宋_GB2312"/>
                <w:sz w:val="32"/>
              </w:rPr>
            </w:pPr>
            <w:r>
              <w:rPr>
                <w:rFonts w:eastAsia="仿宋_GB2312"/>
                <w:sz w:val="32"/>
              </w:rPr>
              <w:t>项目名称：</w:t>
            </w:r>
          </w:p>
        </w:tc>
        <w:tc>
          <w:tcPr>
            <w:tcW w:w="6236" w:type="dxa"/>
            <w:noWrap w:val="0"/>
            <w:vAlign w:val="center"/>
          </w:tcPr>
          <w:p w14:paraId="36993BB1">
            <w:pPr>
              <w:adjustRightInd w:val="0"/>
              <w:snapToGrid w:val="0"/>
              <w:spacing w:line="360" w:lineRule="auto"/>
              <w:rPr>
                <w:rFonts w:eastAsia="仿宋_GB2312"/>
                <w:sz w:val="32"/>
              </w:rPr>
            </w:pPr>
            <w:r>
              <w:rPr>
                <w:rFonts w:hint="eastAsia" w:ascii="Times New Roman" w:hAnsi="Times New Roman" w:eastAsia="仿宋_GB2312" w:cs="Times New Roman"/>
                <w:sz w:val="32"/>
                <w:lang w:val="en-US" w:eastAsia="zh-CN"/>
              </w:rPr>
              <w:t>徐州地区分布式</w:t>
            </w:r>
            <w:bookmarkStart w:id="1" w:name="_GoBack"/>
            <w:r>
              <w:rPr>
                <w:rFonts w:hint="eastAsia" w:ascii="Times New Roman" w:hAnsi="Times New Roman" w:eastAsia="仿宋_GB2312" w:cs="Times New Roman"/>
                <w:sz w:val="32"/>
                <w:lang w:val="en-US" w:eastAsia="zh-CN"/>
              </w:rPr>
              <w:t>新能源高渗透率地区110kV电网容载比弹性指标优化研究</w:t>
            </w:r>
            <w:bookmarkEnd w:id="1"/>
          </w:p>
        </w:tc>
      </w:tr>
      <w:tr w14:paraId="0EF3AD36">
        <w:tblPrEx>
          <w:tblCellMar>
            <w:top w:w="0" w:type="dxa"/>
            <w:left w:w="108" w:type="dxa"/>
            <w:bottom w:w="0" w:type="dxa"/>
            <w:right w:w="108" w:type="dxa"/>
          </w:tblCellMar>
        </w:tblPrEx>
        <w:trPr>
          <w:gridBefore w:val="1"/>
          <w:wBefore w:w="6" w:type="dxa"/>
          <w:trHeight w:val="660" w:hRule="atLeast"/>
        </w:trPr>
        <w:tc>
          <w:tcPr>
            <w:tcW w:w="1843" w:type="dxa"/>
            <w:gridSpan w:val="2"/>
            <w:noWrap w:val="0"/>
            <w:vAlign w:val="center"/>
          </w:tcPr>
          <w:p w14:paraId="5EA3550A">
            <w:pPr>
              <w:adjustRightInd w:val="0"/>
              <w:snapToGrid w:val="0"/>
              <w:spacing w:line="360" w:lineRule="auto"/>
              <w:rPr>
                <w:rFonts w:eastAsia="仿宋_GB2312"/>
                <w:sz w:val="32"/>
              </w:rPr>
            </w:pPr>
            <w:r>
              <w:rPr>
                <w:rFonts w:hint="eastAsia" w:eastAsia="仿宋_GB2312"/>
                <w:sz w:val="32"/>
                <w:lang w:val="en-US" w:eastAsia="zh-CN"/>
              </w:rPr>
              <w:t>承担单位</w:t>
            </w:r>
            <w:r>
              <w:rPr>
                <w:rFonts w:eastAsia="仿宋_GB2312"/>
                <w:sz w:val="32"/>
              </w:rPr>
              <w:t>：</w:t>
            </w:r>
          </w:p>
        </w:tc>
        <w:tc>
          <w:tcPr>
            <w:tcW w:w="6236" w:type="dxa"/>
            <w:noWrap w:val="0"/>
            <w:vAlign w:val="center"/>
          </w:tcPr>
          <w:p w14:paraId="72624C89">
            <w:pPr>
              <w:adjustRightInd w:val="0"/>
              <w:snapToGrid w:val="0"/>
              <w:spacing w:line="360" w:lineRule="auto"/>
              <w:rPr>
                <w:rFonts w:hint="default" w:eastAsia="仿宋_GB2312"/>
                <w:sz w:val="32"/>
                <w:lang w:val="en-US" w:eastAsia="zh-CN"/>
              </w:rPr>
            </w:pPr>
            <w:r>
              <w:rPr>
                <w:rFonts w:hint="eastAsia" w:eastAsia="仿宋_GB2312"/>
                <w:sz w:val="32"/>
                <w:lang w:val="en-US" w:eastAsia="zh-CN"/>
              </w:rPr>
              <w:t>国网徐州供电公司</w:t>
            </w:r>
          </w:p>
        </w:tc>
      </w:tr>
      <w:tr w14:paraId="20BF7A24">
        <w:tblPrEx>
          <w:tblCellMar>
            <w:top w:w="0" w:type="dxa"/>
            <w:left w:w="108" w:type="dxa"/>
            <w:bottom w:w="0" w:type="dxa"/>
            <w:right w:w="108" w:type="dxa"/>
          </w:tblCellMar>
        </w:tblPrEx>
        <w:trPr>
          <w:trHeight w:val="660" w:hRule="atLeast"/>
        </w:trPr>
        <w:tc>
          <w:tcPr>
            <w:tcW w:w="1820" w:type="dxa"/>
            <w:gridSpan w:val="2"/>
            <w:noWrap w:val="0"/>
            <w:vAlign w:val="center"/>
          </w:tcPr>
          <w:p w14:paraId="54F96550">
            <w:pPr>
              <w:adjustRightInd w:val="0"/>
              <w:snapToGrid w:val="0"/>
              <w:spacing w:line="360" w:lineRule="auto"/>
              <w:rPr>
                <w:rFonts w:eastAsia="仿宋_GB2312"/>
                <w:spacing w:val="-60"/>
                <w:sz w:val="32"/>
              </w:rPr>
            </w:pPr>
            <w:r>
              <w:rPr>
                <w:rFonts w:eastAsia="仿宋_GB2312"/>
                <w:spacing w:val="-30"/>
                <w:sz w:val="32"/>
              </w:rPr>
              <w:t>项目负责人</w:t>
            </w:r>
            <w:r>
              <w:rPr>
                <w:rFonts w:eastAsia="仿宋_GB2312"/>
                <w:spacing w:val="-60"/>
                <w:sz w:val="32"/>
              </w:rPr>
              <w:t>：</w:t>
            </w:r>
          </w:p>
        </w:tc>
        <w:tc>
          <w:tcPr>
            <w:tcW w:w="6265" w:type="dxa"/>
            <w:gridSpan w:val="2"/>
            <w:noWrap w:val="0"/>
            <w:vAlign w:val="center"/>
          </w:tcPr>
          <w:p w14:paraId="452C51A2">
            <w:pPr>
              <w:adjustRightInd w:val="0"/>
              <w:snapToGrid w:val="0"/>
              <w:spacing w:line="360" w:lineRule="auto"/>
              <w:rPr>
                <w:rFonts w:eastAsia="仿宋_GB2312"/>
                <w:sz w:val="32"/>
              </w:rPr>
            </w:pPr>
            <w:r>
              <w:rPr>
                <w:rFonts w:hint="eastAsia" w:eastAsia="仿宋_GB2312"/>
                <w:sz w:val="32"/>
              </w:rPr>
              <w:t xml:space="preserve"> </w:t>
            </w:r>
          </w:p>
        </w:tc>
      </w:tr>
      <w:tr w14:paraId="6C75AB1C">
        <w:tblPrEx>
          <w:tblCellMar>
            <w:top w:w="0" w:type="dxa"/>
            <w:left w:w="108" w:type="dxa"/>
            <w:bottom w:w="0" w:type="dxa"/>
            <w:right w:w="108" w:type="dxa"/>
          </w:tblCellMar>
        </w:tblPrEx>
        <w:trPr>
          <w:trHeight w:val="660" w:hRule="atLeast"/>
        </w:trPr>
        <w:tc>
          <w:tcPr>
            <w:tcW w:w="1820" w:type="dxa"/>
            <w:gridSpan w:val="2"/>
            <w:noWrap w:val="0"/>
            <w:vAlign w:val="center"/>
          </w:tcPr>
          <w:p w14:paraId="432D584F">
            <w:pPr>
              <w:adjustRightInd w:val="0"/>
              <w:snapToGrid w:val="0"/>
              <w:spacing w:line="360" w:lineRule="auto"/>
              <w:rPr>
                <w:rFonts w:eastAsia="仿宋_GB2312"/>
                <w:sz w:val="32"/>
              </w:rPr>
            </w:pPr>
            <w:r>
              <w:rPr>
                <w:rFonts w:eastAsia="仿宋_GB2312"/>
                <w:sz w:val="32"/>
              </w:rPr>
              <w:t>通信地址：</w:t>
            </w:r>
          </w:p>
        </w:tc>
        <w:tc>
          <w:tcPr>
            <w:tcW w:w="6265" w:type="dxa"/>
            <w:gridSpan w:val="2"/>
            <w:noWrap w:val="0"/>
            <w:vAlign w:val="center"/>
          </w:tcPr>
          <w:p w14:paraId="0549EA4E">
            <w:pPr>
              <w:adjustRightInd w:val="0"/>
              <w:snapToGrid w:val="0"/>
              <w:spacing w:line="360" w:lineRule="auto"/>
              <w:rPr>
                <w:rFonts w:eastAsia="仿宋_GB2312"/>
                <w:sz w:val="32"/>
              </w:rPr>
            </w:pPr>
          </w:p>
        </w:tc>
      </w:tr>
      <w:tr w14:paraId="09A4605F">
        <w:tblPrEx>
          <w:tblCellMar>
            <w:top w:w="0" w:type="dxa"/>
            <w:left w:w="108" w:type="dxa"/>
            <w:bottom w:w="0" w:type="dxa"/>
            <w:right w:w="108" w:type="dxa"/>
          </w:tblCellMar>
        </w:tblPrEx>
        <w:trPr>
          <w:trHeight w:val="660" w:hRule="atLeast"/>
        </w:trPr>
        <w:tc>
          <w:tcPr>
            <w:tcW w:w="1820" w:type="dxa"/>
            <w:gridSpan w:val="2"/>
            <w:noWrap w:val="0"/>
            <w:vAlign w:val="center"/>
          </w:tcPr>
          <w:p w14:paraId="316ECC42">
            <w:pPr>
              <w:adjustRightInd w:val="0"/>
              <w:snapToGrid w:val="0"/>
              <w:spacing w:line="360" w:lineRule="auto"/>
              <w:rPr>
                <w:rFonts w:eastAsia="仿宋_GB2312"/>
                <w:sz w:val="32"/>
              </w:rPr>
            </w:pPr>
            <w:r>
              <w:rPr>
                <w:rFonts w:eastAsia="仿宋_GB2312"/>
                <w:sz w:val="32"/>
              </w:rPr>
              <w:t>邮政编码：</w:t>
            </w:r>
          </w:p>
        </w:tc>
        <w:tc>
          <w:tcPr>
            <w:tcW w:w="6265" w:type="dxa"/>
            <w:gridSpan w:val="2"/>
            <w:noWrap w:val="0"/>
            <w:vAlign w:val="center"/>
          </w:tcPr>
          <w:p w14:paraId="118A6A3B">
            <w:pPr>
              <w:tabs>
                <w:tab w:val="left" w:pos="1418"/>
              </w:tabs>
              <w:adjustRightInd w:val="0"/>
              <w:snapToGrid w:val="0"/>
              <w:spacing w:line="360" w:lineRule="auto"/>
              <w:rPr>
                <w:rFonts w:eastAsia="仿宋_GB2312"/>
                <w:sz w:val="32"/>
              </w:rPr>
            </w:pPr>
          </w:p>
        </w:tc>
      </w:tr>
      <w:tr w14:paraId="68AF128A">
        <w:tblPrEx>
          <w:tblCellMar>
            <w:top w:w="0" w:type="dxa"/>
            <w:left w:w="108" w:type="dxa"/>
            <w:bottom w:w="0" w:type="dxa"/>
            <w:right w:w="108" w:type="dxa"/>
          </w:tblCellMar>
        </w:tblPrEx>
        <w:trPr>
          <w:trHeight w:val="660" w:hRule="atLeast"/>
        </w:trPr>
        <w:tc>
          <w:tcPr>
            <w:tcW w:w="1820" w:type="dxa"/>
            <w:gridSpan w:val="2"/>
            <w:noWrap w:val="0"/>
            <w:vAlign w:val="center"/>
          </w:tcPr>
          <w:p w14:paraId="6819A0F5">
            <w:pPr>
              <w:adjustRightInd w:val="0"/>
              <w:snapToGrid w:val="0"/>
              <w:spacing w:line="360" w:lineRule="auto"/>
              <w:rPr>
                <w:rFonts w:eastAsia="仿宋_GB2312"/>
                <w:sz w:val="32"/>
              </w:rPr>
            </w:pPr>
            <w:r>
              <w:rPr>
                <w:rFonts w:eastAsia="仿宋_GB2312"/>
                <w:sz w:val="32"/>
              </w:rPr>
              <w:t>联系电话：</w:t>
            </w:r>
          </w:p>
        </w:tc>
        <w:tc>
          <w:tcPr>
            <w:tcW w:w="6265" w:type="dxa"/>
            <w:gridSpan w:val="2"/>
            <w:noWrap w:val="0"/>
            <w:vAlign w:val="center"/>
          </w:tcPr>
          <w:p w14:paraId="5353EAFA">
            <w:pPr>
              <w:adjustRightInd w:val="0"/>
              <w:snapToGrid w:val="0"/>
              <w:spacing w:line="360" w:lineRule="auto"/>
              <w:rPr>
                <w:rFonts w:eastAsia="仿宋_GB2312"/>
                <w:sz w:val="32"/>
              </w:rPr>
            </w:pPr>
            <w:r>
              <w:rPr>
                <w:rFonts w:hint="eastAsia" w:eastAsia="仿宋_GB2312"/>
                <w:sz w:val="32"/>
              </w:rPr>
              <w:t xml:space="preserve"> </w:t>
            </w:r>
          </w:p>
        </w:tc>
      </w:tr>
      <w:tr w14:paraId="6295CBA0">
        <w:tblPrEx>
          <w:tblCellMar>
            <w:top w:w="0" w:type="dxa"/>
            <w:left w:w="108" w:type="dxa"/>
            <w:bottom w:w="0" w:type="dxa"/>
            <w:right w:w="108" w:type="dxa"/>
          </w:tblCellMar>
        </w:tblPrEx>
        <w:trPr>
          <w:trHeight w:val="660" w:hRule="atLeast"/>
        </w:trPr>
        <w:tc>
          <w:tcPr>
            <w:tcW w:w="1820" w:type="dxa"/>
            <w:gridSpan w:val="2"/>
            <w:noWrap w:val="0"/>
            <w:vAlign w:val="center"/>
          </w:tcPr>
          <w:p w14:paraId="23F4A45B">
            <w:pPr>
              <w:adjustRightInd w:val="0"/>
              <w:snapToGrid w:val="0"/>
              <w:spacing w:line="360" w:lineRule="auto"/>
              <w:rPr>
                <w:rFonts w:eastAsia="仿宋_GB2312"/>
                <w:sz w:val="32"/>
              </w:rPr>
            </w:pPr>
            <w:r>
              <w:rPr>
                <w:rFonts w:eastAsia="仿宋_GB2312"/>
                <w:sz w:val="32"/>
              </w:rPr>
              <w:t>传    真：</w:t>
            </w:r>
          </w:p>
        </w:tc>
        <w:tc>
          <w:tcPr>
            <w:tcW w:w="6265" w:type="dxa"/>
            <w:gridSpan w:val="2"/>
            <w:noWrap w:val="0"/>
            <w:vAlign w:val="center"/>
          </w:tcPr>
          <w:p w14:paraId="75C3B05F">
            <w:pPr>
              <w:adjustRightInd w:val="0"/>
              <w:snapToGrid w:val="0"/>
              <w:spacing w:line="360" w:lineRule="auto"/>
              <w:rPr>
                <w:rFonts w:eastAsia="仿宋_GB2312"/>
                <w:sz w:val="32"/>
              </w:rPr>
            </w:pPr>
          </w:p>
        </w:tc>
      </w:tr>
      <w:tr w14:paraId="20CCC6A9">
        <w:tblPrEx>
          <w:tblCellMar>
            <w:top w:w="0" w:type="dxa"/>
            <w:left w:w="108" w:type="dxa"/>
            <w:bottom w:w="0" w:type="dxa"/>
            <w:right w:w="108" w:type="dxa"/>
          </w:tblCellMar>
        </w:tblPrEx>
        <w:trPr>
          <w:trHeight w:val="660" w:hRule="atLeast"/>
        </w:trPr>
        <w:tc>
          <w:tcPr>
            <w:tcW w:w="1820" w:type="dxa"/>
            <w:gridSpan w:val="2"/>
            <w:noWrap w:val="0"/>
            <w:vAlign w:val="center"/>
          </w:tcPr>
          <w:p w14:paraId="59672B38">
            <w:pPr>
              <w:adjustRightInd w:val="0"/>
              <w:snapToGrid w:val="0"/>
              <w:spacing w:line="360" w:lineRule="auto"/>
              <w:rPr>
                <w:rFonts w:eastAsia="仿宋_GB2312"/>
                <w:sz w:val="32"/>
              </w:rPr>
            </w:pPr>
            <w:r>
              <w:rPr>
                <w:rFonts w:hint="eastAsia" w:eastAsia="仿宋_GB2312"/>
                <w:sz w:val="32"/>
                <w:lang w:val="en-US" w:eastAsia="zh-CN"/>
              </w:rPr>
              <w:t>完成</w:t>
            </w:r>
            <w:r>
              <w:rPr>
                <w:rFonts w:eastAsia="仿宋_GB2312"/>
                <w:sz w:val="32"/>
              </w:rPr>
              <w:t>日期：</w:t>
            </w:r>
          </w:p>
        </w:tc>
        <w:tc>
          <w:tcPr>
            <w:tcW w:w="6265" w:type="dxa"/>
            <w:gridSpan w:val="2"/>
            <w:noWrap w:val="0"/>
            <w:vAlign w:val="center"/>
          </w:tcPr>
          <w:p w14:paraId="4444E6F3">
            <w:pPr>
              <w:adjustRightInd w:val="0"/>
              <w:snapToGrid w:val="0"/>
              <w:spacing w:line="360" w:lineRule="auto"/>
              <w:rPr>
                <w:rFonts w:eastAsia="仿宋_GB2312"/>
                <w:sz w:val="32"/>
              </w:rPr>
            </w:pPr>
            <w:r>
              <w:rPr>
                <w:rFonts w:hint="eastAsia" w:eastAsia="仿宋_GB2312"/>
                <w:sz w:val="32"/>
              </w:rPr>
              <w:t xml:space="preserve"> </w:t>
            </w:r>
          </w:p>
        </w:tc>
      </w:tr>
    </w:tbl>
    <w:p w14:paraId="11932267">
      <w:pPr>
        <w:adjustRightInd w:val="0"/>
        <w:snapToGrid w:val="0"/>
        <w:spacing w:line="360" w:lineRule="auto"/>
        <w:rPr>
          <w:rFonts w:eastAsia="仿宋_GB2312"/>
          <w:spacing w:val="20"/>
        </w:rPr>
      </w:pPr>
      <w:r>
        <w:rPr>
          <w:rFonts w:eastAsia="仿宋_GB2312"/>
          <w:position w:val="16"/>
          <w:sz w:val="32"/>
        </w:rPr>
        <w:t xml:space="preserve">            </w:t>
      </w:r>
      <w:r>
        <w:rPr>
          <w:rFonts w:eastAsia="仿宋_GB2312"/>
          <w:position w:val="16"/>
        </w:rPr>
        <w:t xml:space="preserve">       </w:t>
      </w:r>
    </w:p>
    <w:p w14:paraId="05A890D0">
      <w:pPr>
        <w:numPr>
          <w:ilvl w:val="0"/>
          <w:numId w:val="5"/>
        </w:numPr>
        <w:adjustRightInd w:val="0"/>
        <w:snapToGrid w:val="0"/>
        <w:spacing w:line="360" w:lineRule="auto"/>
        <w:rPr>
          <w:rFonts w:eastAsia="仿宋_GB2312"/>
          <w:b/>
          <w:sz w:val="30"/>
        </w:rPr>
      </w:pPr>
      <w:r>
        <w:rPr>
          <w:rFonts w:eastAsia="仿宋_GB2312"/>
        </w:rPr>
        <w:br w:type="page"/>
      </w:r>
      <w:r>
        <w:rPr>
          <w:rFonts w:eastAsia="仿宋_GB2312"/>
          <w:b/>
          <w:sz w:val="30"/>
        </w:rPr>
        <w:t>目的和意义</w:t>
      </w:r>
    </w:p>
    <w:p w14:paraId="2958BBE8">
      <w:pPr>
        <w:adjustRightInd w:val="0"/>
        <w:snapToGrid w:val="0"/>
        <w:spacing w:line="360" w:lineRule="auto"/>
        <w:ind w:firstLine="480" w:firstLineChars="200"/>
        <w:rPr>
          <w:rFonts w:hint="eastAsia" w:ascii="Times New Roman" w:hAnsi="Times New Roman" w:eastAsia="仿宋_GB2312" w:cs="Times New Roman"/>
          <w:sz w:val="24"/>
          <w:lang w:val="en-US" w:eastAsia="zh-CN"/>
        </w:rPr>
      </w:pPr>
      <w:r>
        <w:rPr>
          <w:rFonts w:hint="eastAsia" w:ascii="Times New Roman" w:hAnsi="Times New Roman" w:eastAsia="仿宋_GB2312" w:cs="Times New Roman"/>
          <w:sz w:val="24"/>
          <w:lang w:val="en-US" w:eastAsia="zh-CN"/>
        </w:rPr>
        <w:t>最新的《配电网规划设计技术导则》中增加了“</w:t>
      </w:r>
      <w:r>
        <w:rPr>
          <w:rFonts w:hint="eastAsia" w:ascii="Times New Roman" w:hAnsi="Times New Roman" w:eastAsia="仿宋_GB2312" w:cs="Times New Roman"/>
          <w:sz w:val="24"/>
          <w:highlight w:val="none"/>
          <w:lang w:val="en-US" w:eastAsia="zh-CN"/>
        </w:rPr>
        <w:t>分布式电源装机渗透率（</w:t>
      </w:r>
      <w:r>
        <w:rPr>
          <w:rFonts w:hint="eastAsia" w:ascii="Times New Roman" w:hAnsi="Times New Roman" w:eastAsia="仿宋_GB2312" w:cs="Times New Roman"/>
          <w:sz w:val="24"/>
          <w:lang w:val="en-US" w:eastAsia="zh-CN"/>
        </w:rPr>
        <w:t>源荷比</w:t>
      </w:r>
      <w:r>
        <w:rPr>
          <w:rFonts w:hint="eastAsia" w:ascii="Times New Roman" w:hAnsi="Times New Roman" w:eastAsia="仿宋_GB2312" w:cs="Times New Roman"/>
          <w:sz w:val="24"/>
          <w:highlight w:val="none"/>
          <w:lang w:val="en-US" w:eastAsia="zh-CN"/>
        </w:rPr>
        <w:t>）</w:t>
      </w:r>
      <w:r>
        <w:rPr>
          <w:rFonts w:hint="eastAsia" w:ascii="Times New Roman" w:hAnsi="Times New Roman" w:eastAsia="仿宋_GB2312" w:cs="Times New Roman"/>
          <w:sz w:val="24"/>
          <w:lang w:val="en-US" w:eastAsia="zh-CN"/>
        </w:rPr>
        <w:t>”、“</w:t>
      </w:r>
      <w:r>
        <w:rPr>
          <w:rFonts w:hint="eastAsia" w:ascii="Times New Roman" w:hAnsi="Times New Roman" w:eastAsia="仿宋_GB2312" w:cs="Times New Roman"/>
          <w:sz w:val="24"/>
          <w:highlight w:val="none"/>
          <w:lang w:val="en-US" w:eastAsia="zh-CN"/>
        </w:rPr>
        <w:t>分布式电源电量渗透率</w:t>
      </w:r>
      <w:r>
        <w:rPr>
          <w:rFonts w:hint="eastAsia" w:ascii="Times New Roman" w:hAnsi="Times New Roman" w:eastAsia="仿宋_GB2312" w:cs="Times New Roman"/>
          <w:sz w:val="24"/>
          <w:lang w:val="en-US" w:eastAsia="zh-CN"/>
        </w:rPr>
        <w:t xml:space="preserve">”的概念，并提出“分布式电源装机渗透率（源荷比）超过 </w:t>
      </w:r>
      <w:r>
        <w:rPr>
          <w:rFonts w:hint="default" w:ascii="Times New Roman" w:hAnsi="Times New Roman" w:eastAsia="仿宋_GB2312" w:cs="Times New Roman"/>
          <w:sz w:val="24"/>
          <w:lang w:val="en-US" w:eastAsia="zh-CN"/>
        </w:rPr>
        <w:t>2</w:t>
      </w:r>
      <w:r>
        <w:rPr>
          <w:rFonts w:hint="eastAsia" w:ascii="Times New Roman" w:hAnsi="Times New Roman" w:eastAsia="仿宋_GB2312" w:cs="Times New Roman"/>
          <w:sz w:val="24"/>
          <w:lang w:val="en-US" w:eastAsia="zh-CN"/>
        </w:rPr>
        <w:t xml:space="preserve">，或电量渗透率超过 </w:t>
      </w:r>
      <w:r>
        <w:rPr>
          <w:rFonts w:hint="default" w:ascii="Times New Roman" w:hAnsi="Times New Roman" w:eastAsia="仿宋_GB2312" w:cs="Times New Roman"/>
          <w:sz w:val="24"/>
          <w:lang w:val="en-US" w:eastAsia="zh-CN"/>
        </w:rPr>
        <w:t>40%-50%</w:t>
      </w:r>
      <w:r>
        <w:rPr>
          <w:rFonts w:hint="eastAsia" w:ascii="Times New Roman" w:hAnsi="Times New Roman" w:eastAsia="仿宋_GB2312" w:cs="Times New Roman"/>
          <w:sz w:val="24"/>
          <w:lang w:val="en-US" w:eastAsia="zh-CN"/>
        </w:rPr>
        <w:t xml:space="preserve">时，以 </w:t>
      </w:r>
      <w:r>
        <w:rPr>
          <w:rFonts w:hint="default" w:ascii="Times New Roman" w:hAnsi="Times New Roman" w:eastAsia="仿宋_GB2312" w:cs="Times New Roman"/>
          <w:sz w:val="24"/>
          <w:lang w:val="en-US" w:eastAsia="zh-CN"/>
        </w:rPr>
        <w:t>110</w:t>
      </w:r>
      <w:r>
        <w:rPr>
          <w:rFonts w:hint="eastAsia" w:ascii="Times New Roman" w:hAnsi="Times New Roman" w:eastAsia="仿宋_GB2312" w:cs="Times New Roman"/>
          <w:sz w:val="24"/>
          <w:lang w:val="en-US" w:eastAsia="zh-CN"/>
        </w:rPr>
        <w:t>～</w:t>
      </w:r>
      <w:r>
        <w:rPr>
          <w:rFonts w:hint="default" w:ascii="Times New Roman" w:hAnsi="Times New Roman" w:eastAsia="仿宋_GB2312" w:cs="Times New Roman"/>
          <w:sz w:val="24"/>
          <w:lang w:val="en-US" w:eastAsia="zh-CN"/>
        </w:rPr>
        <w:t xml:space="preserve">35kV </w:t>
      </w:r>
      <w:r>
        <w:rPr>
          <w:rFonts w:hint="eastAsia" w:ascii="Times New Roman" w:hAnsi="Times New Roman" w:eastAsia="仿宋_GB2312" w:cs="Times New Roman"/>
          <w:sz w:val="24"/>
          <w:lang w:val="en-US" w:eastAsia="zh-CN"/>
        </w:rPr>
        <w:t>反向净负荷极值校验公用变压器反向重过载情况。主变反向重过载时，通过技术经济比选，合理采用增加变电容量、独立储能或新能源配储等方式，满足新能源并网接入需求。”但导则中依然要求高压配电网容载比需控制在2.0以内，因此在实际配网规划中，规划人员难以把握是否应当突破容载比2.0的刚性约束。基于此，本课题为更好融合新指标与传统指标（容载比）之间的关系，有必要</w:t>
      </w:r>
      <w:r>
        <w:rPr>
          <w:rFonts w:hint="eastAsia" w:eastAsia="仿宋_GB2312" w:cs="Times New Roman"/>
          <w:sz w:val="24"/>
          <w:lang w:val="en-US" w:eastAsia="zh-CN"/>
        </w:rPr>
        <w:t>以</w:t>
      </w:r>
      <w:r>
        <w:rPr>
          <w:rFonts w:hint="eastAsia" w:ascii="Times New Roman" w:hAnsi="Times New Roman" w:eastAsia="仿宋_GB2312" w:cs="Times New Roman"/>
          <w:sz w:val="24"/>
          <w:lang w:val="en-US" w:eastAsia="zh-CN"/>
        </w:rPr>
        <w:t>徐州</w:t>
      </w:r>
      <w:r>
        <w:rPr>
          <w:rFonts w:hint="eastAsia" w:eastAsia="仿宋_GB2312" w:cs="Times New Roman"/>
          <w:sz w:val="24"/>
          <w:lang w:val="en-US" w:eastAsia="zh-CN"/>
        </w:rPr>
        <w:t>电网</w:t>
      </w:r>
      <w:r>
        <w:rPr>
          <w:rFonts w:hint="eastAsia" w:ascii="Times New Roman" w:hAnsi="Times New Roman" w:eastAsia="仿宋_GB2312" w:cs="Times New Roman"/>
          <w:sz w:val="24"/>
          <w:lang w:val="en-US" w:eastAsia="zh-CN"/>
        </w:rPr>
        <w:t>新能源高渗透率地区开展相关研究，提出容载比弹性指标优化建议，为配电网发展规划提供技术支撑和决策依据。</w:t>
      </w:r>
    </w:p>
    <w:p w14:paraId="34302C6E">
      <w:pPr>
        <w:numPr>
          <w:ilvl w:val="0"/>
          <w:numId w:val="5"/>
        </w:numPr>
        <w:adjustRightInd w:val="0"/>
        <w:snapToGrid w:val="0"/>
        <w:spacing w:line="360" w:lineRule="auto"/>
        <w:rPr>
          <w:rFonts w:eastAsia="仿宋_GB2312"/>
          <w:b/>
          <w:sz w:val="30"/>
        </w:rPr>
      </w:pPr>
      <w:r>
        <w:rPr>
          <w:rFonts w:eastAsia="仿宋_GB2312"/>
          <w:b/>
          <w:sz w:val="30"/>
        </w:rPr>
        <w:t>国内外研究水平综述</w:t>
      </w:r>
    </w:p>
    <w:p w14:paraId="267C1D3D">
      <w:pPr>
        <w:adjustRightInd w:val="0"/>
        <w:snapToGrid w:val="0"/>
        <w:spacing w:line="360" w:lineRule="auto"/>
        <w:ind w:firstLine="480" w:firstLineChars="200"/>
        <w:rPr>
          <w:rFonts w:hint="eastAsia" w:eastAsia="仿宋_GB2312"/>
          <w:sz w:val="24"/>
          <w:highlight w:val="none"/>
        </w:rPr>
      </w:pPr>
      <w:r>
        <w:rPr>
          <w:rFonts w:hint="eastAsia" w:eastAsia="仿宋_GB2312"/>
          <w:sz w:val="24"/>
          <w:highlight w:val="none"/>
        </w:rPr>
        <w:t>目前，已有相关学者对容载比的优化取值进行了探讨，</w:t>
      </w:r>
      <w:r>
        <w:rPr>
          <w:rFonts w:hint="eastAsia" w:eastAsia="仿宋_GB2312"/>
          <w:sz w:val="24"/>
          <w:highlight w:val="none"/>
          <w:lang w:val="en-US" w:eastAsia="zh-CN"/>
        </w:rPr>
        <w:t>国家电网科【2006】1202号文</w:t>
      </w:r>
      <w:r>
        <w:rPr>
          <w:rFonts w:hint="eastAsia" w:eastAsia="仿宋_GB2312"/>
          <w:sz w:val="24"/>
          <w:highlight w:val="none"/>
          <w:lang w:eastAsia="zh-CN"/>
        </w:rPr>
        <w:t>《</w:t>
      </w:r>
      <w:r>
        <w:rPr>
          <w:rFonts w:hint="eastAsia" w:eastAsia="仿宋_GB2312"/>
          <w:sz w:val="24"/>
          <w:highlight w:val="none"/>
        </w:rPr>
        <w:t>城市电力网规划设计导则</w:t>
      </w:r>
      <w:r>
        <w:rPr>
          <w:rFonts w:hint="eastAsia" w:eastAsia="仿宋_GB2312"/>
          <w:sz w:val="24"/>
          <w:highlight w:val="none"/>
          <w:lang w:eastAsia="zh-CN"/>
        </w:rPr>
        <w:t>》</w:t>
      </w:r>
      <w:r>
        <w:rPr>
          <w:rFonts w:hint="eastAsia" w:eastAsia="仿宋_GB2312"/>
          <w:sz w:val="24"/>
          <w:highlight w:val="none"/>
        </w:rPr>
        <w:t>中详细介绍了容载比的概念及计算公式，</w:t>
      </w:r>
      <w:r>
        <w:rPr>
          <w:rFonts w:hint="eastAsia" w:eastAsia="仿宋_GB2312"/>
          <w:sz w:val="24"/>
          <w:highlight w:val="none"/>
          <w:lang w:val="en-US" w:eastAsia="zh-CN"/>
        </w:rPr>
        <w:t>其中对35~110kV的容载比根据经济发展的快慢，分为年负荷平均增长小于7%的容载比为1.8~2.0，增长7%~12%的容载比为1.9~2.1，增长大于12%的为2.0~2.2。但推荐值较为粗犷，但并未给出负荷分散系数、变压器平均功率因数、变压器安全运行率等参数的具体设定方法。因此，</w:t>
      </w:r>
      <w:r>
        <w:rPr>
          <w:rFonts w:hint="eastAsia" w:eastAsia="仿宋_GB2312"/>
          <w:sz w:val="24"/>
          <w:highlight w:val="none"/>
        </w:rPr>
        <w:t>李欣然</w:t>
      </w:r>
      <w:r>
        <w:rPr>
          <w:rFonts w:hint="eastAsia" w:eastAsia="仿宋_GB2312"/>
          <w:sz w:val="24"/>
          <w:highlight w:val="none"/>
          <w:lang w:val="en-US" w:eastAsia="zh-CN"/>
        </w:rPr>
        <w:t>等在</w:t>
      </w:r>
      <w:r>
        <w:rPr>
          <w:rFonts w:hint="eastAsia" w:eastAsia="仿宋_GB2312"/>
          <w:sz w:val="24"/>
          <w:highlight w:val="none"/>
        </w:rPr>
        <w:t>文献</w:t>
      </w:r>
      <w:r>
        <w:rPr>
          <w:rFonts w:hint="eastAsia" w:eastAsia="仿宋_GB2312"/>
          <w:sz w:val="24"/>
          <w:highlight w:val="none"/>
          <w:lang w:eastAsia="zh-CN"/>
        </w:rPr>
        <w:t>《地区中压配电网容载比的研究》</w:t>
      </w:r>
      <w:r>
        <w:rPr>
          <w:rFonts w:hint="eastAsia" w:eastAsia="仿宋_GB2312"/>
          <w:sz w:val="24"/>
          <w:highlight w:val="none"/>
        </w:rPr>
        <w:t>对容载比计算公式中各参数的取值进行了探讨，给出了相应的推荐取值建议，但依赖专家经验，缺乏客观性。为了使容载比的取值更为合理，张建波</w:t>
      </w:r>
      <w:r>
        <w:rPr>
          <w:rFonts w:hint="eastAsia" w:eastAsia="仿宋_GB2312"/>
          <w:sz w:val="24"/>
          <w:highlight w:val="none"/>
          <w:lang w:val="en-US" w:eastAsia="zh-CN"/>
        </w:rPr>
        <w:t>在</w:t>
      </w:r>
      <w:r>
        <w:rPr>
          <w:rFonts w:hint="eastAsia" w:eastAsia="仿宋_GB2312"/>
          <w:sz w:val="24"/>
          <w:highlight w:val="none"/>
        </w:rPr>
        <w:t>文献</w:t>
      </w:r>
      <w:r>
        <w:rPr>
          <w:rFonts w:hint="eastAsia" w:eastAsia="仿宋_GB2312"/>
          <w:sz w:val="24"/>
          <w:highlight w:val="none"/>
          <w:lang w:eastAsia="zh-CN"/>
        </w:rPr>
        <w:t>《基于经济性分析的城网变电容载比取值方法研究》</w:t>
      </w:r>
      <w:r>
        <w:rPr>
          <w:rFonts w:hint="eastAsia" w:eastAsia="仿宋_GB2312"/>
          <w:sz w:val="24"/>
          <w:highlight w:val="none"/>
        </w:rPr>
        <w:t>认为容载比中负荷发展储备系数不仅与负荷增长速度有关，而且与负荷特性、国民经济和社会环境等因素相关，需要通过对影响因素进行筛选并确定各影响因素的权重来确定负荷发展储备系数。然而，由于影响因素众多、因素之间存在相互关联，使得这一方法的准确度难以保证。上述研究均从容载比的计算公式入手分析，不能量化容载比与网络结构的关联，同时，无法计及上、下级电网容载比之间的配合关系。因此，为了确定多电压等级电网容载比的合理取值问题，陈浩</w:t>
      </w:r>
      <w:r>
        <w:rPr>
          <w:rFonts w:hint="eastAsia" w:eastAsia="仿宋_GB2312"/>
          <w:sz w:val="24"/>
          <w:highlight w:val="none"/>
          <w:lang w:val="en-US" w:eastAsia="zh-CN"/>
        </w:rPr>
        <w:t>等在</w:t>
      </w:r>
      <w:r>
        <w:rPr>
          <w:rFonts w:hint="eastAsia" w:eastAsia="仿宋_GB2312"/>
          <w:sz w:val="24"/>
          <w:highlight w:val="none"/>
        </w:rPr>
        <w:t>文献</w:t>
      </w:r>
      <w:r>
        <w:rPr>
          <w:rFonts w:hint="eastAsia" w:eastAsia="仿宋_GB2312"/>
          <w:sz w:val="24"/>
          <w:highlight w:val="none"/>
          <w:lang w:eastAsia="zh-CN"/>
        </w:rPr>
        <w:t>《</w:t>
      </w:r>
      <w:r>
        <w:rPr>
          <w:rFonts w:hint="eastAsia" w:eastAsia="仿宋_GB2312"/>
          <w:sz w:val="24"/>
          <w:highlight w:val="none"/>
        </w:rPr>
        <w:t>多电压等级配电网最优容载比的计算方法</w:t>
      </w:r>
      <w:r>
        <w:rPr>
          <w:rFonts w:hint="eastAsia" w:eastAsia="仿宋_GB2312"/>
          <w:sz w:val="24"/>
          <w:highlight w:val="none"/>
          <w:lang w:eastAsia="zh-CN"/>
        </w:rPr>
        <w:t>》</w:t>
      </w:r>
      <w:r>
        <w:rPr>
          <w:rFonts w:hint="eastAsia" w:eastAsia="仿宋_GB2312"/>
          <w:sz w:val="24"/>
          <w:highlight w:val="none"/>
        </w:rPr>
        <w:t>中以２个电压等级为例，考虑技术性与经济性准则建立优化模型。然而，模型相对复杂，采用粒子群算法求解模型在求解效率与多次求解结果的一致性上尚有不足。肖峻</w:t>
      </w:r>
      <w:r>
        <w:rPr>
          <w:rFonts w:hint="eastAsia" w:eastAsia="仿宋_GB2312"/>
          <w:sz w:val="24"/>
          <w:highlight w:val="none"/>
          <w:lang w:val="en-US" w:eastAsia="zh-CN"/>
        </w:rPr>
        <w:t>在文献</w:t>
      </w:r>
      <w:r>
        <w:rPr>
          <w:rFonts w:hint="eastAsia" w:eastAsia="仿宋_GB2312"/>
          <w:sz w:val="24"/>
          <w:highlight w:val="none"/>
          <w:lang w:eastAsia="zh-CN"/>
        </w:rPr>
        <w:t>《变电容载比与下一级中压配电网络关系的量化分析》</w:t>
      </w:r>
      <w:r>
        <w:rPr>
          <w:rFonts w:hint="eastAsia" w:eastAsia="仿宋_GB2312"/>
          <w:sz w:val="24"/>
          <w:highlight w:val="none"/>
        </w:rPr>
        <w:t>则提出了１种基于最大供电能力的容载比与下级中压配电网络关系的量化分析方法，指出提高网络的联络度可以有效降低容载比取值。陈舒</w:t>
      </w:r>
      <w:r>
        <w:rPr>
          <w:rFonts w:hint="eastAsia" w:eastAsia="仿宋_GB2312"/>
          <w:sz w:val="24"/>
          <w:highlight w:val="none"/>
          <w:lang w:val="en-US" w:eastAsia="zh-CN"/>
        </w:rPr>
        <w:t>在文献《</w:t>
      </w:r>
      <w:r>
        <w:rPr>
          <w:rFonts w:hint="eastAsia" w:eastAsia="仿宋_GB2312"/>
          <w:sz w:val="24"/>
          <w:highlight w:val="none"/>
        </w:rPr>
        <w:t>城市电网容载比的合理配置</w:t>
      </w:r>
      <w:r>
        <w:rPr>
          <w:rFonts w:hint="eastAsia" w:eastAsia="仿宋_GB2312"/>
          <w:sz w:val="24"/>
          <w:highlight w:val="none"/>
          <w:lang w:val="en-US" w:eastAsia="zh-CN"/>
        </w:rPr>
        <w:t>》</w:t>
      </w:r>
      <w:r>
        <w:rPr>
          <w:rFonts w:hint="eastAsia" w:eastAsia="仿宋_GB2312"/>
          <w:sz w:val="24"/>
          <w:highlight w:val="none"/>
        </w:rPr>
        <w:t>通过对现有的研究分析，对于区域内负荷发展极度不平衡的地区，电网的容载比取值需要结合地区的特点进行分析，确定容载比的合理取值，以满足地区供电可靠性的要求。针对特殊地区李世新</w:t>
      </w:r>
      <w:r>
        <w:rPr>
          <w:rFonts w:hint="eastAsia" w:eastAsia="仿宋_GB2312"/>
          <w:sz w:val="24"/>
          <w:highlight w:val="none"/>
          <w:lang w:val="en-US" w:eastAsia="zh-CN"/>
        </w:rPr>
        <w:t>在《偏远地区配电网容载比的算法改进模型》中提出</w:t>
      </w:r>
      <w:r>
        <w:rPr>
          <w:rFonts w:hint="eastAsia" w:eastAsia="仿宋_GB2312"/>
          <w:sz w:val="24"/>
          <w:highlight w:val="none"/>
        </w:rPr>
        <w:t>不能单纯地按</w:t>
      </w:r>
      <w:r>
        <w:rPr>
          <w:rFonts w:hint="eastAsia" w:eastAsia="仿宋_GB2312"/>
          <w:sz w:val="24"/>
          <w:highlight w:val="none"/>
          <w:lang w:val="en-US" w:eastAsia="zh-CN"/>
        </w:rPr>
        <w:t>导则</w:t>
      </w:r>
      <w:r>
        <w:rPr>
          <w:rFonts w:hint="eastAsia" w:eastAsia="仿宋_GB2312"/>
          <w:sz w:val="24"/>
          <w:highlight w:val="none"/>
        </w:rPr>
        <w:t>推荐值来评价电网建设成效，需要结合地区特点进行分区计算，确定容载比的合理取值。</w:t>
      </w:r>
    </w:p>
    <w:p w14:paraId="17F31399">
      <w:pPr>
        <w:adjustRightInd w:val="0"/>
        <w:snapToGrid w:val="0"/>
        <w:spacing w:line="360" w:lineRule="auto"/>
        <w:ind w:firstLine="480" w:firstLineChars="200"/>
        <w:rPr>
          <w:rFonts w:hint="eastAsia" w:eastAsia="仿宋_GB2312"/>
          <w:sz w:val="24"/>
          <w:highlight w:val="none"/>
          <w:lang w:val="en-US" w:eastAsia="zh-CN"/>
        </w:rPr>
      </w:pPr>
      <w:r>
        <w:rPr>
          <w:rFonts w:hint="eastAsia" w:eastAsia="仿宋_GB2312"/>
          <w:sz w:val="24"/>
          <w:highlight w:val="none"/>
          <w:lang w:val="en-US" w:eastAsia="zh-CN"/>
        </w:rPr>
        <w:t>国家电网企标在</w:t>
      </w:r>
      <w:r>
        <w:rPr>
          <w:rFonts w:hint="eastAsia" w:eastAsia="仿宋_GB2312"/>
          <w:sz w:val="24"/>
          <w:highlight w:val="none"/>
        </w:rPr>
        <w:t>2020</w:t>
      </w:r>
      <w:r>
        <w:rPr>
          <w:rFonts w:hint="eastAsia" w:eastAsia="仿宋_GB2312"/>
          <w:sz w:val="24"/>
          <w:highlight w:val="none"/>
          <w:lang w:val="en-US" w:eastAsia="zh-CN"/>
        </w:rPr>
        <w:t>版的</w:t>
      </w:r>
      <w:r>
        <w:rPr>
          <w:rFonts w:hint="eastAsia" w:eastAsia="仿宋_GB2312"/>
          <w:sz w:val="24"/>
          <w:highlight w:val="none"/>
        </w:rPr>
        <w:t>Q/GDW 10738</w:t>
      </w:r>
      <w:r>
        <w:rPr>
          <w:rFonts w:hint="eastAsia" w:eastAsia="仿宋_GB2312"/>
          <w:sz w:val="24"/>
          <w:highlight w:val="none"/>
          <w:lang w:eastAsia="zh-CN"/>
        </w:rPr>
        <w:t>《配电网规划设计技术导则》</w:t>
      </w:r>
      <w:r>
        <w:rPr>
          <w:rFonts w:hint="eastAsia" w:eastAsia="仿宋_GB2312"/>
          <w:sz w:val="24"/>
          <w:highlight w:val="none"/>
          <w:lang w:val="en-US" w:eastAsia="zh-CN"/>
        </w:rPr>
        <w:t>中：“根据行政区县或供电分区经济增长和社会发展的不同阶段，对应的配电网负荷增长速度细化为饱和、较慢、中等、较快四种情况，总体宜控制在1.5~2.0。相比之前的</w:t>
      </w:r>
      <w:r>
        <w:rPr>
          <w:rFonts w:hint="eastAsia" w:eastAsia="仿宋_GB2312"/>
          <w:sz w:val="24"/>
          <w:highlight w:val="none"/>
          <w:lang w:eastAsia="zh-CN"/>
        </w:rPr>
        <w:t>《</w:t>
      </w:r>
      <w:r>
        <w:rPr>
          <w:rFonts w:hint="eastAsia" w:eastAsia="仿宋_GB2312"/>
          <w:sz w:val="24"/>
          <w:highlight w:val="none"/>
        </w:rPr>
        <w:t>城市电力网规划设计导则</w:t>
      </w:r>
      <w:r>
        <w:rPr>
          <w:rFonts w:hint="eastAsia" w:eastAsia="仿宋_GB2312"/>
          <w:sz w:val="24"/>
          <w:highlight w:val="none"/>
          <w:lang w:eastAsia="zh-CN"/>
        </w:rPr>
        <w:t>》</w:t>
      </w:r>
      <w:r>
        <w:rPr>
          <w:rFonts w:hint="eastAsia" w:eastAsia="仿宋_GB2312"/>
          <w:sz w:val="24"/>
          <w:highlight w:val="none"/>
          <w:lang w:val="en-US" w:eastAsia="zh-CN"/>
        </w:rPr>
        <w:t>的划分更加细致。不同发展阶段的 110~35kV 电网容载比选择范围如表所示。并符合下列规定：</w:t>
      </w:r>
    </w:p>
    <w:p w14:paraId="1472787D">
      <w:pPr>
        <w:adjustRightInd w:val="0"/>
        <w:snapToGrid w:val="0"/>
        <w:spacing w:line="360" w:lineRule="auto"/>
        <w:jc w:val="center"/>
        <w:rPr>
          <w:rFonts w:hint="eastAsia" w:eastAsia="仿宋_GB2312"/>
          <w:sz w:val="24"/>
          <w:highlight w:val="none"/>
          <w:lang w:val="en-US" w:eastAsia="zh-CN"/>
        </w:rPr>
      </w:pPr>
      <w:r>
        <w:rPr>
          <w:rFonts w:hint="eastAsia" w:eastAsia="仿宋_GB2312"/>
          <w:sz w:val="24"/>
          <w:highlight w:val="none"/>
          <w:lang w:val="en-US" w:eastAsia="zh-CN"/>
        </w:rPr>
        <w:t>行政区县或供电分区110~35kv 电网容载比选择范围</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4"/>
        <w:gridCol w:w="1914"/>
        <w:gridCol w:w="1914"/>
        <w:gridCol w:w="1915"/>
        <w:gridCol w:w="1915"/>
      </w:tblGrid>
      <w:tr w14:paraId="2F8C7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2" w:hRule="atLeast"/>
        </w:trPr>
        <w:tc>
          <w:tcPr>
            <w:tcW w:w="1914" w:type="dxa"/>
            <w:vAlign w:val="center"/>
          </w:tcPr>
          <w:p w14:paraId="13324913">
            <w:pPr>
              <w:adjustRightInd w:val="0"/>
              <w:snapToGrid w:val="0"/>
              <w:spacing w:line="360" w:lineRule="auto"/>
              <w:jc w:val="center"/>
              <w:rPr>
                <w:rFonts w:hint="default" w:eastAsia="仿宋_GB2312"/>
                <w:sz w:val="21"/>
                <w:szCs w:val="21"/>
                <w:highlight w:val="none"/>
                <w:vertAlign w:val="baseline"/>
                <w:lang w:val="en-US" w:eastAsia="zh-CN"/>
              </w:rPr>
            </w:pPr>
            <w:r>
              <w:rPr>
                <w:rFonts w:hint="eastAsia" w:eastAsia="仿宋_GB2312"/>
                <w:sz w:val="21"/>
                <w:szCs w:val="21"/>
                <w:highlight w:val="none"/>
                <w:vertAlign w:val="baseline"/>
                <w:lang w:val="en-US" w:eastAsia="zh-CN"/>
              </w:rPr>
              <w:t>负荷增长情况</w:t>
            </w:r>
          </w:p>
        </w:tc>
        <w:tc>
          <w:tcPr>
            <w:tcW w:w="1914" w:type="dxa"/>
            <w:vAlign w:val="center"/>
          </w:tcPr>
          <w:p w14:paraId="4BE4E070">
            <w:pPr>
              <w:adjustRightInd w:val="0"/>
              <w:snapToGrid w:val="0"/>
              <w:spacing w:line="360" w:lineRule="auto"/>
              <w:jc w:val="center"/>
              <w:rPr>
                <w:rFonts w:hint="default" w:eastAsia="仿宋_GB2312"/>
                <w:sz w:val="21"/>
                <w:szCs w:val="21"/>
                <w:highlight w:val="none"/>
                <w:vertAlign w:val="baseline"/>
                <w:lang w:val="en-US" w:eastAsia="zh-CN"/>
              </w:rPr>
            </w:pPr>
            <w:r>
              <w:rPr>
                <w:rFonts w:hint="eastAsia" w:eastAsia="仿宋_GB2312"/>
                <w:sz w:val="21"/>
                <w:szCs w:val="21"/>
                <w:highlight w:val="none"/>
                <w:vertAlign w:val="baseline"/>
                <w:lang w:val="en-US" w:eastAsia="zh-CN"/>
              </w:rPr>
              <w:t>饱和期</w:t>
            </w:r>
          </w:p>
        </w:tc>
        <w:tc>
          <w:tcPr>
            <w:tcW w:w="1914" w:type="dxa"/>
            <w:vAlign w:val="center"/>
          </w:tcPr>
          <w:p w14:paraId="3034F986">
            <w:pPr>
              <w:adjustRightInd w:val="0"/>
              <w:snapToGrid w:val="0"/>
              <w:spacing w:line="360" w:lineRule="auto"/>
              <w:jc w:val="center"/>
              <w:rPr>
                <w:rFonts w:hint="default" w:eastAsia="仿宋_GB2312"/>
                <w:sz w:val="21"/>
                <w:szCs w:val="21"/>
                <w:highlight w:val="none"/>
                <w:vertAlign w:val="baseline"/>
                <w:lang w:val="en-US" w:eastAsia="zh-CN"/>
              </w:rPr>
            </w:pPr>
            <w:r>
              <w:rPr>
                <w:rFonts w:hint="eastAsia" w:eastAsia="仿宋_GB2312"/>
                <w:sz w:val="21"/>
                <w:szCs w:val="21"/>
                <w:highlight w:val="none"/>
                <w:vertAlign w:val="baseline"/>
                <w:lang w:val="en-US" w:eastAsia="zh-CN"/>
              </w:rPr>
              <w:t>较慢增长</w:t>
            </w:r>
          </w:p>
        </w:tc>
        <w:tc>
          <w:tcPr>
            <w:tcW w:w="1915" w:type="dxa"/>
            <w:vAlign w:val="center"/>
          </w:tcPr>
          <w:p w14:paraId="20F2F093">
            <w:pPr>
              <w:adjustRightInd w:val="0"/>
              <w:snapToGrid w:val="0"/>
              <w:spacing w:line="360" w:lineRule="auto"/>
              <w:jc w:val="center"/>
              <w:rPr>
                <w:rFonts w:hint="default" w:eastAsia="仿宋_GB2312"/>
                <w:sz w:val="21"/>
                <w:szCs w:val="21"/>
                <w:highlight w:val="none"/>
                <w:vertAlign w:val="baseline"/>
                <w:lang w:val="en-US" w:eastAsia="zh-CN"/>
              </w:rPr>
            </w:pPr>
            <w:r>
              <w:rPr>
                <w:rFonts w:hint="eastAsia" w:eastAsia="仿宋_GB2312"/>
                <w:sz w:val="21"/>
                <w:szCs w:val="21"/>
                <w:highlight w:val="none"/>
                <w:vertAlign w:val="baseline"/>
                <w:lang w:val="en-US" w:eastAsia="zh-CN"/>
              </w:rPr>
              <w:t>中等增长</w:t>
            </w:r>
          </w:p>
        </w:tc>
        <w:tc>
          <w:tcPr>
            <w:tcW w:w="1915" w:type="dxa"/>
            <w:vAlign w:val="center"/>
          </w:tcPr>
          <w:p w14:paraId="39FEB6C3">
            <w:pPr>
              <w:adjustRightInd w:val="0"/>
              <w:snapToGrid w:val="0"/>
              <w:spacing w:line="360" w:lineRule="auto"/>
              <w:jc w:val="center"/>
              <w:rPr>
                <w:rFonts w:hint="default" w:eastAsia="仿宋_GB2312"/>
                <w:sz w:val="21"/>
                <w:szCs w:val="21"/>
                <w:highlight w:val="none"/>
                <w:vertAlign w:val="baseline"/>
                <w:lang w:val="en-US" w:eastAsia="zh-CN"/>
              </w:rPr>
            </w:pPr>
            <w:r>
              <w:rPr>
                <w:rFonts w:hint="eastAsia" w:eastAsia="仿宋_GB2312"/>
                <w:sz w:val="21"/>
                <w:szCs w:val="21"/>
                <w:highlight w:val="none"/>
                <w:vertAlign w:val="baseline"/>
                <w:lang w:val="en-US" w:eastAsia="zh-CN"/>
              </w:rPr>
              <w:t>较快增长</w:t>
            </w:r>
          </w:p>
        </w:tc>
      </w:tr>
      <w:tr w14:paraId="0C7EA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4" w:type="dxa"/>
            <w:vAlign w:val="center"/>
          </w:tcPr>
          <w:p w14:paraId="33F8B867">
            <w:pPr>
              <w:adjustRightInd w:val="0"/>
              <w:snapToGrid w:val="0"/>
              <w:spacing w:line="360" w:lineRule="auto"/>
              <w:jc w:val="center"/>
              <w:rPr>
                <w:rFonts w:hint="default" w:eastAsia="仿宋_GB2312"/>
                <w:sz w:val="21"/>
                <w:szCs w:val="21"/>
                <w:highlight w:val="none"/>
                <w:vertAlign w:val="baseline"/>
                <w:lang w:val="en-US" w:eastAsia="zh-CN"/>
              </w:rPr>
            </w:pPr>
            <w:r>
              <w:rPr>
                <w:rFonts w:hint="eastAsia" w:eastAsia="仿宋_GB2312"/>
                <w:sz w:val="21"/>
                <w:szCs w:val="21"/>
                <w:highlight w:val="none"/>
                <w:vertAlign w:val="baseline"/>
                <w:lang w:val="en-US" w:eastAsia="zh-CN"/>
              </w:rPr>
              <w:t>年负荷平均增长</w:t>
            </w:r>
            <w:r>
              <w:rPr>
                <w:rFonts w:hint="eastAsia" w:eastAsia="仿宋_GB2312"/>
                <w:i/>
                <w:iCs/>
                <w:sz w:val="21"/>
                <w:szCs w:val="21"/>
                <w:highlight w:val="none"/>
                <w:vertAlign w:val="baseline"/>
                <w:lang w:val="en-US" w:eastAsia="zh-CN"/>
              </w:rPr>
              <w:t>Kp</w:t>
            </w:r>
          </w:p>
        </w:tc>
        <w:tc>
          <w:tcPr>
            <w:tcW w:w="1914" w:type="dxa"/>
            <w:vAlign w:val="center"/>
          </w:tcPr>
          <w:p w14:paraId="79E0F34D">
            <w:pPr>
              <w:adjustRightInd w:val="0"/>
              <w:snapToGrid w:val="0"/>
              <w:spacing w:line="360" w:lineRule="auto"/>
              <w:jc w:val="center"/>
              <w:rPr>
                <w:rFonts w:hint="default" w:eastAsia="仿宋_GB2312"/>
                <w:sz w:val="21"/>
                <w:szCs w:val="21"/>
                <w:highlight w:val="none"/>
                <w:vertAlign w:val="baseline"/>
                <w:lang w:val="en-US" w:eastAsia="zh-CN"/>
              </w:rPr>
            </w:pPr>
            <w:r>
              <w:rPr>
                <w:rFonts w:hint="eastAsia" w:eastAsia="仿宋_GB2312"/>
                <w:i/>
                <w:iCs/>
                <w:sz w:val="21"/>
                <w:szCs w:val="21"/>
                <w:highlight w:val="none"/>
                <w:vertAlign w:val="baseline"/>
                <w:lang w:val="en-US" w:eastAsia="zh-CN"/>
              </w:rPr>
              <w:t>Kp&lt;2%</w:t>
            </w:r>
          </w:p>
        </w:tc>
        <w:tc>
          <w:tcPr>
            <w:tcW w:w="1914" w:type="dxa"/>
            <w:vAlign w:val="center"/>
          </w:tcPr>
          <w:p w14:paraId="2FD30B07">
            <w:pPr>
              <w:adjustRightInd w:val="0"/>
              <w:snapToGrid w:val="0"/>
              <w:spacing w:line="360" w:lineRule="auto"/>
              <w:jc w:val="center"/>
              <w:rPr>
                <w:rFonts w:hint="eastAsia" w:eastAsia="仿宋_GB2312"/>
                <w:sz w:val="21"/>
                <w:szCs w:val="21"/>
                <w:highlight w:val="none"/>
                <w:vertAlign w:val="baseline"/>
                <w:lang w:val="en-US" w:eastAsia="zh-CN"/>
              </w:rPr>
            </w:pPr>
            <w:r>
              <w:rPr>
                <w:rFonts w:hint="eastAsia" w:eastAsia="仿宋_GB2312"/>
                <w:i/>
                <w:iCs/>
                <w:sz w:val="21"/>
                <w:szCs w:val="21"/>
                <w:highlight w:val="none"/>
                <w:vertAlign w:val="baseline"/>
                <w:lang w:val="en-US" w:eastAsia="zh-CN"/>
              </w:rPr>
              <w:t>2%&lt;Kp&lt;4%</w:t>
            </w:r>
          </w:p>
        </w:tc>
        <w:tc>
          <w:tcPr>
            <w:tcW w:w="1915" w:type="dxa"/>
            <w:vAlign w:val="center"/>
          </w:tcPr>
          <w:p w14:paraId="703C0751">
            <w:pPr>
              <w:adjustRightInd w:val="0"/>
              <w:snapToGrid w:val="0"/>
              <w:spacing w:line="360" w:lineRule="auto"/>
              <w:jc w:val="center"/>
              <w:rPr>
                <w:rFonts w:hint="eastAsia" w:eastAsia="仿宋_GB2312"/>
                <w:sz w:val="21"/>
                <w:szCs w:val="21"/>
                <w:highlight w:val="none"/>
                <w:vertAlign w:val="baseline"/>
                <w:lang w:val="en-US" w:eastAsia="zh-CN"/>
              </w:rPr>
            </w:pPr>
            <w:r>
              <w:rPr>
                <w:rFonts w:hint="eastAsia" w:eastAsia="仿宋_GB2312"/>
                <w:i/>
                <w:iCs/>
                <w:sz w:val="21"/>
                <w:szCs w:val="21"/>
                <w:highlight w:val="none"/>
                <w:vertAlign w:val="baseline"/>
                <w:lang w:val="en-US" w:eastAsia="zh-CN"/>
              </w:rPr>
              <w:t>4%&lt;Kp&lt;7%</w:t>
            </w:r>
          </w:p>
        </w:tc>
        <w:tc>
          <w:tcPr>
            <w:tcW w:w="1915" w:type="dxa"/>
            <w:vAlign w:val="center"/>
          </w:tcPr>
          <w:p w14:paraId="213C2944">
            <w:pPr>
              <w:adjustRightInd w:val="0"/>
              <w:snapToGrid w:val="0"/>
              <w:spacing w:line="360" w:lineRule="auto"/>
              <w:jc w:val="center"/>
              <w:rPr>
                <w:rFonts w:hint="eastAsia" w:eastAsia="仿宋_GB2312"/>
                <w:sz w:val="21"/>
                <w:szCs w:val="21"/>
                <w:highlight w:val="none"/>
                <w:vertAlign w:val="baseline"/>
                <w:lang w:val="en-US" w:eastAsia="zh-CN"/>
              </w:rPr>
            </w:pPr>
            <w:r>
              <w:rPr>
                <w:rFonts w:hint="eastAsia" w:eastAsia="仿宋_GB2312"/>
                <w:i/>
                <w:iCs/>
                <w:sz w:val="21"/>
                <w:szCs w:val="21"/>
                <w:highlight w:val="none"/>
                <w:vertAlign w:val="baseline"/>
                <w:lang w:val="en-US" w:eastAsia="zh-CN"/>
              </w:rPr>
              <w:t>Kp&gt;7%</w:t>
            </w:r>
          </w:p>
        </w:tc>
      </w:tr>
      <w:tr w14:paraId="320B3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4" w:type="dxa"/>
            <w:vAlign w:val="center"/>
          </w:tcPr>
          <w:p w14:paraId="7C10F401">
            <w:pPr>
              <w:adjustRightInd w:val="0"/>
              <w:snapToGrid w:val="0"/>
              <w:spacing w:line="360" w:lineRule="auto"/>
              <w:jc w:val="center"/>
              <w:rPr>
                <w:rFonts w:hint="default" w:eastAsia="仿宋_GB2312"/>
                <w:sz w:val="21"/>
                <w:szCs w:val="21"/>
                <w:highlight w:val="none"/>
                <w:vertAlign w:val="baseline"/>
                <w:lang w:val="en-US" w:eastAsia="zh-CN"/>
              </w:rPr>
            </w:pPr>
            <w:r>
              <w:rPr>
                <w:rFonts w:hint="eastAsia" w:eastAsia="仿宋_GB2312"/>
                <w:sz w:val="21"/>
                <w:szCs w:val="21"/>
                <w:highlight w:val="none"/>
                <w:vertAlign w:val="baseline"/>
                <w:lang w:val="en-US" w:eastAsia="zh-CN"/>
              </w:rPr>
              <w:t>110~35kV电网容载比（建议值）</w:t>
            </w:r>
          </w:p>
        </w:tc>
        <w:tc>
          <w:tcPr>
            <w:tcW w:w="1914" w:type="dxa"/>
            <w:vAlign w:val="center"/>
          </w:tcPr>
          <w:p w14:paraId="477B76E2">
            <w:pPr>
              <w:adjustRightInd w:val="0"/>
              <w:snapToGrid w:val="0"/>
              <w:spacing w:line="360" w:lineRule="auto"/>
              <w:jc w:val="center"/>
              <w:rPr>
                <w:rFonts w:hint="default" w:eastAsia="仿宋_GB2312"/>
                <w:sz w:val="21"/>
                <w:szCs w:val="21"/>
                <w:highlight w:val="none"/>
                <w:vertAlign w:val="baseline"/>
                <w:lang w:val="en-US" w:eastAsia="zh-CN"/>
              </w:rPr>
            </w:pPr>
            <w:r>
              <w:rPr>
                <w:rFonts w:hint="eastAsia" w:eastAsia="仿宋_GB2312"/>
                <w:sz w:val="21"/>
                <w:szCs w:val="21"/>
                <w:highlight w:val="none"/>
                <w:vertAlign w:val="baseline"/>
                <w:lang w:val="en-US" w:eastAsia="zh-CN"/>
              </w:rPr>
              <w:t>1.5~1.7</w:t>
            </w:r>
          </w:p>
        </w:tc>
        <w:tc>
          <w:tcPr>
            <w:tcW w:w="1914" w:type="dxa"/>
            <w:vAlign w:val="center"/>
          </w:tcPr>
          <w:p w14:paraId="22DF3C7B">
            <w:pPr>
              <w:adjustRightInd w:val="0"/>
              <w:snapToGrid w:val="0"/>
              <w:spacing w:line="360" w:lineRule="auto"/>
              <w:jc w:val="center"/>
              <w:rPr>
                <w:rFonts w:hint="eastAsia" w:eastAsia="仿宋_GB2312"/>
                <w:sz w:val="21"/>
                <w:szCs w:val="21"/>
                <w:highlight w:val="none"/>
                <w:vertAlign w:val="baseline"/>
                <w:lang w:val="en-US" w:eastAsia="zh-CN"/>
              </w:rPr>
            </w:pPr>
            <w:r>
              <w:rPr>
                <w:rFonts w:hint="eastAsia" w:eastAsia="仿宋_GB2312"/>
                <w:sz w:val="21"/>
                <w:szCs w:val="21"/>
                <w:highlight w:val="none"/>
                <w:vertAlign w:val="baseline"/>
                <w:lang w:val="en-US" w:eastAsia="zh-CN"/>
              </w:rPr>
              <w:t>1.6~1.8</w:t>
            </w:r>
          </w:p>
        </w:tc>
        <w:tc>
          <w:tcPr>
            <w:tcW w:w="1915" w:type="dxa"/>
            <w:vAlign w:val="center"/>
          </w:tcPr>
          <w:p w14:paraId="390983D4">
            <w:pPr>
              <w:adjustRightInd w:val="0"/>
              <w:snapToGrid w:val="0"/>
              <w:spacing w:line="360" w:lineRule="auto"/>
              <w:jc w:val="center"/>
              <w:rPr>
                <w:rFonts w:hint="eastAsia" w:eastAsia="仿宋_GB2312"/>
                <w:sz w:val="21"/>
                <w:szCs w:val="21"/>
                <w:highlight w:val="none"/>
                <w:vertAlign w:val="baseline"/>
                <w:lang w:val="en-US" w:eastAsia="zh-CN"/>
              </w:rPr>
            </w:pPr>
            <w:r>
              <w:rPr>
                <w:rFonts w:hint="eastAsia" w:eastAsia="仿宋_GB2312"/>
                <w:sz w:val="21"/>
                <w:szCs w:val="21"/>
                <w:highlight w:val="none"/>
                <w:vertAlign w:val="baseline"/>
                <w:lang w:val="en-US" w:eastAsia="zh-CN"/>
              </w:rPr>
              <w:t>1.7~1.9</w:t>
            </w:r>
          </w:p>
        </w:tc>
        <w:tc>
          <w:tcPr>
            <w:tcW w:w="1915" w:type="dxa"/>
            <w:vAlign w:val="center"/>
          </w:tcPr>
          <w:p w14:paraId="12E50FA7">
            <w:pPr>
              <w:adjustRightInd w:val="0"/>
              <w:snapToGrid w:val="0"/>
              <w:spacing w:line="360" w:lineRule="auto"/>
              <w:jc w:val="center"/>
              <w:rPr>
                <w:rFonts w:hint="default" w:eastAsia="仿宋_GB2312"/>
                <w:sz w:val="21"/>
                <w:szCs w:val="21"/>
                <w:highlight w:val="none"/>
                <w:vertAlign w:val="baseline"/>
                <w:lang w:val="en-US" w:eastAsia="zh-CN"/>
              </w:rPr>
            </w:pPr>
            <w:r>
              <w:rPr>
                <w:rFonts w:hint="eastAsia" w:eastAsia="仿宋_GB2312"/>
                <w:sz w:val="21"/>
                <w:szCs w:val="21"/>
                <w:highlight w:val="none"/>
                <w:vertAlign w:val="baseline"/>
                <w:lang w:val="en-US" w:eastAsia="zh-CN"/>
              </w:rPr>
              <w:t>1.8~2.0</w:t>
            </w:r>
          </w:p>
        </w:tc>
      </w:tr>
    </w:tbl>
    <w:p w14:paraId="6B8883F4">
      <w:pPr>
        <w:numPr>
          <w:ilvl w:val="0"/>
          <w:numId w:val="6"/>
        </w:numPr>
        <w:adjustRightInd w:val="0"/>
        <w:snapToGrid w:val="0"/>
        <w:spacing w:line="360" w:lineRule="auto"/>
        <w:ind w:firstLine="480" w:firstLineChars="200"/>
        <w:rPr>
          <w:rFonts w:hint="eastAsia" w:eastAsia="仿宋_GB2312"/>
          <w:sz w:val="24"/>
          <w:highlight w:val="none"/>
          <w:lang w:val="en-US" w:eastAsia="zh-CN"/>
        </w:rPr>
      </w:pPr>
      <w:r>
        <w:rPr>
          <w:rFonts w:hint="eastAsia" w:eastAsia="仿宋_GB2312"/>
          <w:sz w:val="24"/>
          <w:highlight w:val="none"/>
          <w:lang w:val="en-US" w:eastAsia="zh-CN"/>
        </w:rPr>
        <w:t>对处于负荷发展初期或负荷快速发展阶段的规划区域、需满足“N-1-1”安全准则的规划区域。以及负荷分散程度较高的规划区域，可取容载比建议值上限。</w:t>
      </w:r>
    </w:p>
    <w:p w14:paraId="168B2990">
      <w:pPr>
        <w:numPr>
          <w:ilvl w:val="0"/>
          <w:numId w:val="6"/>
        </w:numPr>
        <w:adjustRightInd w:val="0"/>
        <w:snapToGrid w:val="0"/>
        <w:spacing w:line="360" w:lineRule="auto"/>
        <w:ind w:firstLine="480" w:firstLineChars="200"/>
        <w:rPr>
          <w:rFonts w:hint="eastAsia" w:eastAsia="仿宋_GB2312"/>
          <w:sz w:val="24"/>
          <w:highlight w:val="none"/>
          <w:lang w:val="en-US" w:eastAsia="zh-CN"/>
        </w:rPr>
      </w:pPr>
      <w:r>
        <w:rPr>
          <w:rFonts w:hint="eastAsia" w:eastAsia="仿宋_GB2312"/>
          <w:sz w:val="24"/>
          <w:highlight w:val="none"/>
          <w:lang w:val="en-US" w:eastAsia="zh-CN"/>
        </w:rPr>
        <w:t>对于变电站内主变台数配置较多、中压配电网转移能力较强的区域，可取容载比建议值下限：反之可取容载比建议值上限。</w:t>
      </w:r>
    </w:p>
    <w:p w14:paraId="56E16BA6">
      <w:pPr>
        <w:adjustRightInd w:val="0"/>
        <w:snapToGrid w:val="0"/>
        <w:spacing w:line="360" w:lineRule="auto"/>
        <w:ind w:firstLine="480" w:firstLineChars="200"/>
        <w:rPr>
          <w:rFonts w:hint="default" w:eastAsia="仿宋_GB2312"/>
          <w:sz w:val="24"/>
          <w:highlight w:val="none"/>
          <w:lang w:val="en-US" w:eastAsia="zh-CN"/>
        </w:rPr>
      </w:pPr>
      <w:r>
        <w:rPr>
          <w:rFonts w:hint="eastAsia" w:eastAsia="仿宋_GB2312"/>
          <w:sz w:val="24"/>
          <w:highlight w:val="none"/>
          <w:lang w:val="en-US" w:eastAsia="zh-CN"/>
        </w:rPr>
        <w:t>2020版的</w:t>
      </w:r>
      <w:r>
        <w:rPr>
          <w:rFonts w:hint="eastAsia" w:eastAsia="仿宋_GB2312"/>
          <w:sz w:val="24"/>
          <w:highlight w:val="none"/>
          <w:lang w:eastAsia="zh-CN"/>
        </w:rPr>
        <w:t>《配电网规划设计技术导则》</w:t>
      </w:r>
      <w:r>
        <w:rPr>
          <w:rFonts w:hint="default" w:eastAsia="仿宋_GB2312"/>
          <w:sz w:val="24"/>
          <w:highlight w:val="none"/>
          <w:lang w:val="en-US" w:eastAsia="zh-CN"/>
        </w:rPr>
        <w:t>对于省级、地市级110~35kV电网容载比，还</w:t>
      </w:r>
      <w:r>
        <w:rPr>
          <w:rFonts w:hint="eastAsia" w:eastAsia="仿宋_GB2312"/>
          <w:sz w:val="24"/>
          <w:highlight w:val="none"/>
          <w:lang w:val="en-US" w:eastAsia="zh-CN"/>
        </w:rPr>
        <w:t>规定：“</w:t>
      </w:r>
      <w:r>
        <w:rPr>
          <w:rFonts w:hint="default" w:eastAsia="仿宋_GB2312"/>
          <w:sz w:val="24"/>
          <w:highlight w:val="none"/>
          <w:lang w:val="en-US" w:eastAsia="zh-CN"/>
        </w:rPr>
        <w:t>应充分考虑各行政区县(供电分区)之间的负荷特性差异，确定负荷分散系数，合理选取控制范围</w:t>
      </w:r>
      <w:r>
        <w:rPr>
          <w:rFonts w:hint="eastAsia" w:eastAsia="仿宋_GB2312"/>
          <w:sz w:val="24"/>
          <w:highlight w:val="none"/>
          <w:lang w:val="en-US" w:eastAsia="zh-CN"/>
        </w:rPr>
        <w:t>”</w:t>
      </w:r>
      <w:r>
        <w:rPr>
          <w:rFonts w:hint="default" w:eastAsia="仿宋_GB2312"/>
          <w:sz w:val="24"/>
          <w:highlight w:val="none"/>
          <w:lang w:val="en-US" w:eastAsia="zh-CN"/>
        </w:rPr>
        <w:t>。</w:t>
      </w:r>
    </w:p>
    <w:p w14:paraId="254CDD69">
      <w:pPr>
        <w:adjustRightInd w:val="0"/>
        <w:snapToGrid w:val="0"/>
        <w:spacing w:line="360" w:lineRule="auto"/>
        <w:ind w:firstLine="480" w:firstLineChars="200"/>
        <w:rPr>
          <w:rFonts w:hint="default" w:eastAsia="仿宋_GB2312"/>
          <w:sz w:val="24"/>
          <w:highlight w:val="none"/>
          <w:lang w:val="en-US" w:eastAsia="zh-CN"/>
        </w:rPr>
      </w:pPr>
      <w:r>
        <w:rPr>
          <w:rFonts w:hint="eastAsia" w:eastAsia="仿宋_GB2312"/>
          <w:sz w:val="24"/>
          <w:highlight w:val="none"/>
          <w:lang w:val="en-US" w:eastAsia="zh-CN"/>
        </w:rPr>
        <w:t>2025年新修订的《配电网规划设计技术导则》虽然还是要求容载比的选取应根据负荷增长速度，总体控制在1.5～2.0，控制范围与2020版一致。但增加了“制定规划方案时，应加强中压配电网联络，增加转供能力”，目的是避免同一供电分区内的相邻变电站主变负载率不均匀。</w:t>
      </w:r>
    </w:p>
    <w:p w14:paraId="3B58FFA6">
      <w:pPr>
        <w:adjustRightInd w:val="0"/>
        <w:snapToGrid w:val="0"/>
        <w:spacing w:line="360" w:lineRule="auto"/>
        <w:ind w:firstLine="480" w:firstLineChars="200"/>
        <w:rPr>
          <w:rFonts w:hint="eastAsia" w:eastAsia="仿宋_GB2312"/>
          <w:sz w:val="24"/>
          <w:highlight w:val="yellow"/>
        </w:rPr>
      </w:pPr>
      <w:r>
        <w:rPr>
          <w:rFonts w:hint="eastAsia" w:eastAsia="仿宋_GB2312"/>
          <w:sz w:val="24"/>
          <w:highlight w:val="none"/>
          <w:lang w:val="en-US" w:eastAsia="zh-CN"/>
        </w:rPr>
        <w:t>但是</w:t>
      </w:r>
      <w:r>
        <w:rPr>
          <w:rFonts w:hint="eastAsia" w:eastAsia="仿宋_GB2312"/>
          <w:sz w:val="24"/>
          <w:highlight w:val="none"/>
        </w:rPr>
        <w:t>在当前</w:t>
      </w:r>
      <w:r>
        <w:rPr>
          <w:rFonts w:hint="eastAsia" w:eastAsia="仿宋_GB2312"/>
          <w:sz w:val="24"/>
          <w:highlight w:val="none"/>
          <w:lang w:val="en-US" w:eastAsia="zh-CN"/>
        </w:rPr>
        <w:t>分布式新能源快速增长的</w:t>
      </w:r>
      <w:r>
        <w:rPr>
          <w:rFonts w:hint="eastAsia" w:eastAsia="仿宋_GB2312"/>
          <w:sz w:val="24"/>
          <w:highlight w:val="none"/>
        </w:rPr>
        <w:t>阶段，需要对</w:t>
      </w:r>
      <w:r>
        <w:rPr>
          <w:rFonts w:hint="eastAsia" w:eastAsia="仿宋_GB2312"/>
          <w:sz w:val="24"/>
          <w:highlight w:val="none"/>
          <w:lang w:val="en-US" w:eastAsia="zh-CN"/>
        </w:rPr>
        <w:t>容载比建议取值仅与负荷增长率相关联的</w:t>
      </w:r>
      <w:r>
        <w:rPr>
          <w:rFonts w:hint="eastAsia" w:eastAsia="仿宋_GB2312"/>
          <w:sz w:val="24"/>
          <w:highlight w:val="none"/>
        </w:rPr>
        <w:t>及合理性进行进一步的研究。</w:t>
      </w:r>
    </w:p>
    <w:p w14:paraId="78330E8B">
      <w:pPr>
        <w:numPr>
          <w:ilvl w:val="0"/>
          <w:numId w:val="5"/>
        </w:numPr>
        <w:adjustRightInd w:val="0"/>
        <w:snapToGrid w:val="0"/>
        <w:spacing w:line="360" w:lineRule="auto"/>
        <w:rPr>
          <w:rFonts w:eastAsia="仿宋_GB2312"/>
          <w:b/>
          <w:sz w:val="30"/>
        </w:rPr>
      </w:pPr>
      <w:r>
        <w:rPr>
          <w:rFonts w:eastAsia="仿宋_GB2312"/>
          <w:b/>
          <w:sz w:val="30"/>
        </w:rPr>
        <w:t>项目的理论和实践依据</w:t>
      </w:r>
    </w:p>
    <w:p w14:paraId="757BB9A9">
      <w:pPr>
        <w:adjustRightInd w:val="0"/>
        <w:snapToGrid w:val="0"/>
        <w:spacing w:line="360" w:lineRule="auto"/>
        <w:ind w:firstLine="480" w:firstLineChars="200"/>
        <w:rPr>
          <w:rFonts w:hint="eastAsia" w:eastAsia="仿宋_GB2312"/>
          <w:sz w:val="24"/>
          <w:highlight w:val="none"/>
          <w:lang w:val="en-US" w:eastAsia="zh-CN"/>
        </w:rPr>
      </w:pPr>
      <w:r>
        <w:rPr>
          <w:rFonts w:hint="eastAsia" w:eastAsia="仿宋_GB2312"/>
          <w:sz w:val="24"/>
          <w:highlight w:val="none"/>
          <w:lang w:val="en-US" w:eastAsia="zh-CN"/>
        </w:rPr>
        <w:t>本项目旨在解决分布式新能源高渗透率下110kV电网容载比的规划难题。其核心研究思路是在满足供电安全（N-1、反向重载校验等）的前提下，比较“严格遵循容载比约束”与“适度弹性调整容载比”两种策略下的电网总成本，选择成本更优的方案。</w:t>
      </w:r>
    </w:p>
    <w:p w14:paraId="5825374F">
      <w:pPr>
        <w:adjustRightInd w:val="0"/>
        <w:snapToGrid w:val="0"/>
        <w:spacing w:line="360" w:lineRule="auto"/>
        <w:ind w:firstLine="480" w:firstLineChars="200"/>
        <w:rPr>
          <w:rFonts w:hint="eastAsia" w:eastAsia="仿宋_GB2312"/>
          <w:sz w:val="24"/>
          <w:highlight w:val="none"/>
          <w:lang w:val="en-US" w:eastAsia="zh-CN"/>
        </w:rPr>
      </w:pPr>
      <w:r>
        <w:rPr>
          <w:rFonts w:hint="eastAsia" w:eastAsia="仿宋_GB2312"/>
          <w:sz w:val="24"/>
          <w:highlight w:val="none"/>
          <w:lang w:val="en-US" w:eastAsia="zh-CN"/>
        </w:rPr>
        <w:t>其理论依据可分解为三个层面：</w:t>
      </w:r>
    </w:p>
    <w:p w14:paraId="1095F5D6">
      <w:pPr>
        <w:adjustRightInd w:val="0"/>
        <w:snapToGrid w:val="0"/>
        <w:spacing w:line="360" w:lineRule="auto"/>
        <w:ind w:firstLine="480" w:firstLineChars="200"/>
        <w:rPr>
          <w:rFonts w:hint="eastAsia" w:eastAsia="仿宋_GB2312"/>
          <w:sz w:val="24"/>
          <w:highlight w:val="none"/>
          <w:lang w:val="en-US" w:eastAsia="zh-CN"/>
        </w:rPr>
      </w:pPr>
      <w:r>
        <w:rPr>
          <w:rFonts w:hint="eastAsia" w:eastAsia="仿宋_GB2312"/>
          <w:sz w:val="24"/>
          <w:highlight w:val="none"/>
          <w:lang w:val="en-US" w:eastAsia="zh-CN"/>
        </w:rPr>
        <w:t>1、容载比与成本的关联关系：容载比与电网建设成本并非线性关系。容载比过低会因供电能力不足导致频繁增容或可靠性风险，推高长期成本；容载比过高则会导致变电站容量闲置，一次性投资过大，资金利用效率低。因此，存在一个使总成本最低的“经济容载比”区间。</w:t>
      </w:r>
    </w:p>
    <w:p w14:paraId="064C1B86">
      <w:pPr>
        <w:adjustRightInd w:val="0"/>
        <w:snapToGrid w:val="0"/>
        <w:spacing w:line="360" w:lineRule="auto"/>
        <w:ind w:firstLine="480" w:firstLineChars="200"/>
        <w:rPr>
          <w:rFonts w:hint="eastAsia" w:eastAsia="仿宋_GB2312"/>
          <w:sz w:val="24"/>
          <w:highlight w:val="none"/>
          <w:lang w:val="en-US" w:eastAsia="zh-CN"/>
        </w:rPr>
      </w:pPr>
      <w:r>
        <w:rPr>
          <w:rFonts w:hint="eastAsia" w:eastAsia="仿宋_GB2312"/>
          <w:sz w:val="24"/>
          <w:highlight w:val="none"/>
          <w:lang w:val="en-US" w:eastAsia="zh-CN"/>
        </w:rPr>
        <w:t>2、下级电网结构对上级容载比的影响：下级10kV配电网的联络强度（联络度）是影响上级110（35）kV容载比取值的关键。下级网络联络越强、转供能力越高，上级变电站的容载比可以越低。这为“通过加强中压网架来换取高压容载比弹性空间”提供了理论依据。</w:t>
      </w:r>
    </w:p>
    <w:p w14:paraId="222C5837">
      <w:pPr>
        <w:adjustRightInd w:val="0"/>
        <w:snapToGrid w:val="0"/>
        <w:spacing w:line="360" w:lineRule="auto"/>
        <w:ind w:firstLine="480" w:firstLineChars="200"/>
        <w:rPr>
          <w:rFonts w:hint="eastAsia" w:eastAsia="仿宋_GB2312"/>
          <w:sz w:val="24"/>
          <w:highlight w:val="none"/>
          <w:lang w:val="en-US" w:eastAsia="zh-CN"/>
        </w:rPr>
      </w:pPr>
      <w:r>
        <w:rPr>
          <w:rFonts w:hint="eastAsia" w:eastAsia="仿宋_GB2312"/>
          <w:sz w:val="24"/>
          <w:highlight w:val="none"/>
          <w:lang w:val="en-US" w:eastAsia="zh-CN"/>
        </w:rPr>
        <w:t>3、全寿命周期成本比较法： 这是本项目采用的核心简化方法。不追求精确求解“最优容载比”的复杂模型，而是通过场景对比来获得规划建议。具体方法是构建两个典型的规划方案场景：</w:t>
      </w:r>
    </w:p>
    <w:p w14:paraId="1C955D66">
      <w:pPr>
        <w:adjustRightInd w:val="0"/>
        <w:snapToGrid w:val="0"/>
        <w:spacing w:line="360" w:lineRule="auto"/>
        <w:ind w:firstLine="480" w:firstLineChars="200"/>
        <w:rPr>
          <w:rFonts w:hint="eastAsia" w:eastAsia="仿宋_GB2312"/>
          <w:sz w:val="24"/>
          <w:highlight w:val="none"/>
          <w:lang w:val="en-US" w:eastAsia="zh-CN"/>
        </w:rPr>
      </w:pPr>
      <w:r>
        <w:rPr>
          <w:rFonts w:hint="eastAsia" w:eastAsia="仿宋_GB2312"/>
          <w:sz w:val="24"/>
          <w:highlight w:val="none"/>
          <w:lang w:val="en-US" w:eastAsia="zh-CN"/>
        </w:rPr>
        <w:t>（1）场景A（基准场景）： 严格执行现行导则，容载比控制在≤2.0。为满足新能源接入和反向重过载校验，主要通过加强中压配电网联络、配置独立储能或新能源配储等技术手段来解决。</w:t>
      </w:r>
    </w:p>
    <w:p w14:paraId="66281EE2">
      <w:pPr>
        <w:adjustRightInd w:val="0"/>
        <w:snapToGrid w:val="0"/>
        <w:spacing w:line="360" w:lineRule="auto"/>
        <w:ind w:firstLine="480" w:firstLineChars="200"/>
        <w:rPr>
          <w:rFonts w:hint="eastAsia" w:eastAsia="仿宋_GB2312"/>
          <w:sz w:val="24"/>
          <w:highlight w:val="none"/>
          <w:lang w:val="en-US" w:eastAsia="zh-CN"/>
        </w:rPr>
      </w:pPr>
      <w:r>
        <w:rPr>
          <w:rFonts w:hint="eastAsia" w:eastAsia="仿宋_GB2312"/>
          <w:sz w:val="24"/>
          <w:highlight w:val="none"/>
          <w:lang w:val="en-US" w:eastAsia="zh-CN"/>
        </w:rPr>
        <w:t>（2）场景B（弹性场景）： 在技术经济比选后，允许在局部地区或特定阶段适度提高容载比，直接增加110（35）kV主变容量，以减少对复杂中压网架改造或大规模储能配置的依赖。然后，对两个场景进行全寿命周期成本核算，包括：</w:t>
      </w:r>
    </w:p>
    <w:p w14:paraId="6667C361">
      <w:pPr>
        <w:keepNext w:val="0"/>
        <w:keepLines w:val="0"/>
        <w:pageBreakBefore w:val="0"/>
        <w:widowControl w:val="0"/>
        <w:numPr>
          <w:ilvl w:val="0"/>
          <w:numId w:val="7"/>
        </w:numPr>
        <w:kinsoku/>
        <w:wordWrap/>
        <w:overflowPunct/>
        <w:topLinePunct w:val="0"/>
        <w:autoSpaceDE/>
        <w:autoSpaceDN/>
        <w:bidi w:val="0"/>
        <w:adjustRightInd w:val="0"/>
        <w:snapToGrid w:val="0"/>
        <w:spacing w:line="360" w:lineRule="auto"/>
        <w:ind w:left="0" w:leftChars="0" w:firstLine="480" w:firstLineChars="200"/>
        <w:textAlignment w:val="auto"/>
        <w:rPr>
          <w:rFonts w:hint="eastAsia" w:ascii="Times New Roman" w:hAnsi="Times New Roman" w:eastAsia="仿宋_GB2312" w:cs="Times New Roman"/>
          <w:sz w:val="24"/>
          <w:highlight w:val="none"/>
        </w:rPr>
      </w:pPr>
      <w:r>
        <w:rPr>
          <w:rFonts w:hint="eastAsia" w:ascii="Times New Roman" w:hAnsi="Times New Roman" w:eastAsia="仿宋_GB2312" w:cs="Times New Roman"/>
          <w:sz w:val="24"/>
          <w:highlight w:val="none"/>
          <w:lang w:val="en-US" w:eastAsia="zh-CN"/>
        </w:rPr>
        <w:t>高电压等级</w:t>
      </w:r>
      <w:r>
        <w:rPr>
          <w:rFonts w:hint="eastAsia" w:ascii="Times New Roman" w:hAnsi="Times New Roman" w:eastAsia="仿宋_GB2312" w:cs="Times New Roman"/>
          <w:sz w:val="24"/>
          <w:highlight w:val="none"/>
        </w:rPr>
        <w:t>建造成本</w:t>
      </w:r>
      <w:r>
        <w:rPr>
          <w:rFonts w:hint="eastAsia" w:ascii="Times New Roman" w:hAnsi="Times New Roman" w:eastAsia="仿宋_GB2312" w:cs="Times New Roman"/>
          <w:sz w:val="24"/>
          <w:highlight w:val="none"/>
          <w:lang w:val="en-US" w:eastAsia="zh-CN"/>
        </w:rPr>
        <w:t>Z1</w:t>
      </w:r>
    </w:p>
    <w:p w14:paraId="46188FAA">
      <w:pPr>
        <w:numPr>
          <w:ilvl w:val="0"/>
          <w:numId w:val="0"/>
        </w:numPr>
        <w:adjustRightInd w:val="0"/>
        <w:snapToGrid w:val="0"/>
        <w:spacing w:line="360" w:lineRule="auto"/>
        <w:ind w:firstLine="480" w:firstLineChars="200"/>
        <w:rPr>
          <w:rFonts w:hint="eastAsia" w:ascii="Times New Roman" w:hAnsi="Times New Roman" w:eastAsia="仿宋_GB2312" w:cs="Times New Roman"/>
          <w:sz w:val="24"/>
          <w:highlight w:val="none"/>
        </w:rPr>
      </w:pPr>
      <w:r>
        <w:rPr>
          <w:rFonts w:hint="eastAsia" w:ascii="Times New Roman" w:hAnsi="Times New Roman" w:eastAsia="仿宋_GB2312" w:cs="Times New Roman"/>
          <w:sz w:val="24"/>
          <w:highlight w:val="none"/>
        </w:rPr>
        <w:t>主要指的是变电站</w:t>
      </w:r>
      <w:r>
        <w:rPr>
          <w:rFonts w:hint="eastAsia" w:ascii="Times New Roman" w:hAnsi="Times New Roman" w:eastAsia="仿宋_GB2312" w:cs="Times New Roman"/>
          <w:sz w:val="24"/>
          <w:highlight w:val="none"/>
          <w:lang w:val="en-US" w:eastAsia="zh-CN"/>
        </w:rPr>
        <w:t>扩容</w:t>
      </w:r>
      <w:r>
        <w:rPr>
          <w:rFonts w:hint="eastAsia" w:ascii="Times New Roman" w:hAnsi="Times New Roman" w:eastAsia="仿宋_GB2312" w:cs="Times New Roman"/>
          <w:sz w:val="24"/>
          <w:highlight w:val="none"/>
        </w:rPr>
        <w:t>建造成本，为简化计算，可以根据历年各种费用统计资料，按照各变电站内变压器的容量和数量，直接得到相应的建造成本。</w:t>
      </w:r>
    </w:p>
    <w:p w14:paraId="5AB06FEA">
      <w:pPr>
        <w:keepNext w:val="0"/>
        <w:keepLines w:val="0"/>
        <w:pageBreakBefore w:val="0"/>
        <w:widowControl w:val="0"/>
        <w:numPr>
          <w:ilvl w:val="0"/>
          <w:numId w:val="7"/>
        </w:numPr>
        <w:kinsoku/>
        <w:wordWrap/>
        <w:overflowPunct/>
        <w:topLinePunct w:val="0"/>
        <w:autoSpaceDE/>
        <w:autoSpaceDN/>
        <w:bidi w:val="0"/>
        <w:adjustRightInd w:val="0"/>
        <w:snapToGrid w:val="0"/>
        <w:spacing w:line="360" w:lineRule="auto"/>
        <w:ind w:left="0" w:leftChars="0" w:firstLine="480" w:firstLineChars="200"/>
        <w:textAlignment w:val="auto"/>
        <w:rPr>
          <w:rFonts w:hint="eastAsia" w:ascii="Times New Roman" w:hAnsi="Times New Roman" w:eastAsia="仿宋_GB2312" w:cs="Times New Roman"/>
          <w:sz w:val="24"/>
          <w:highlight w:val="none"/>
        </w:rPr>
      </w:pPr>
      <w:r>
        <w:rPr>
          <w:rFonts w:hint="eastAsia" w:ascii="Times New Roman" w:hAnsi="Times New Roman" w:eastAsia="仿宋_GB2312" w:cs="Times New Roman"/>
          <w:sz w:val="24"/>
          <w:highlight w:val="none"/>
          <w:lang w:val="en-US" w:eastAsia="zh-CN"/>
        </w:rPr>
        <w:t>低电压等级建造成本Z2</w:t>
      </w:r>
    </w:p>
    <w:p w14:paraId="112D00FB">
      <w:pPr>
        <w:numPr>
          <w:ilvl w:val="0"/>
          <w:numId w:val="0"/>
        </w:numPr>
        <w:adjustRightInd w:val="0"/>
        <w:snapToGrid w:val="0"/>
        <w:spacing w:line="360" w:lineRule="auto"/>
        <w:ind w:firstLine="480" w:firstLineChars="200"/>
        <w:rPr>
          <w:rFonts w:hint="eastAsia" w:ascii="Times New Roman" w:hAnsi="Times New Roman" w:eastAsia="仿宋_GB2312" w:cs="Times New Roman"/>
          <w:sz w:val="24"/>
          <w:highlight w:val="none"/>
        </w:rPr>
      </w:pPr>
      <w:r>
        <w:rPr>
          <w:rFonts w:hint="eastAsia" w:ascii="Times New Roman" w:hAnsi="Times New Roman" w:eastAsia="仿宋_GB2312" w:cs="Times New Roman"/>
          <w:sz w:val="24"/>
          <w:highlight w:val="none"/>
          <w:lang w:val="en-US" w:eastAsia="zh-CN"/>
        </w:rPr>
        <w:t>主要指的是输电线路建造成本，</w:t>
      </w:r>
      <w:r>
        <w:rPr>
          <w:rFonts w:hint="eastAsia" w:ascii="Times New Roman" w:hAnsi="Times New Roman" w:eastAsia="仿宋_GB2312" w:cs="Times New Roman"/>
          <w:sz w:val="24"/>
          <w:highlight w:val="none"/>
        </w:rPr>
        <w:t>为简化计算，可以根据历年各种费用统计资料，按照</w:t>
      </w:r>
      <w:r>
        <w:rPr>
          <w:rFonts w:hint="eastAsia" w:ascii="Times New Roman" w:hAnsi="Times New Roman" w:eastAsia="仿宋_GB2312" w:cs="Times New Roman"/>
          <w:sz w:val="24"/>
          <w:highlight w:val="none"/>
          <w:lang w:val="en-US" w:eastAsia="zh-CN"/>
        </w:rPr>
        <w:t>输电线路</w:t>
      </w:r>
      <w:r>
        <w:rPr>
          <w:rFonts w:hint="eastAsia" w:ascii="Times New Roman" w:hAnsi="Times New Roman" w:eastAsia="仿宋_GB2312" w:cs="Times New Roman"/>
          <w:sz w:val="24"/>
          <w:highlight w:val="none"/>
        </w:rPr>
        <w:t>的</w:t>
      </w:r>
      <w:r>
        <w:rPr>
          <w:rFonts w:hint="eastAsia" w:ascii="Times New Roman" w:hAnsi="Times New Roman" w:eastAsia="仿宋_GB2312" w:cs="Times New Roman"/>
          <w:sz w:val="24"/>
          <w:highlight w:val="none"/>
          <w:lang w:val="en-US" w:eastAsia="zh-CN"/>
        </w:rPr>
        <w:t>长度</w:t>
      </w:r>
      <w:r>
        <w:rPr>
          <w:rFonts w:hint="eastAsia" w:ascii="Times New Roman" w:hAnsi="Times New Roman" w:eastAsia="仿宋_GB2312" w:cs="Times New Roman"/>
          <w:sz w:val="24"/>
          <w:highlight w:val="none"/>
        </w:rPr>
        <w:t>和</w:t>
      </w:r>
      <w:r>
        <w:rPr>
          <w:rFonts w:hint="eastAsia" w:ascii="Times New Roman" w:hAnsi="Times New Roman" w:eastAsia="仿宋_GB2312" w:cs="Times New Roman"/>
          <w:sz w:val="24"/>
          <w:highlight w:val="none"/>
          <w:lang w:val="en-US" w:eastAsia="zh-CN"/>
        </w:rPr>
        <w:t>总价</w:t>
      </w:r>
      <w:r>
        <w:rPr>
          <w:rFonts w:hint="eastAsia" w:ascii="Times New Roman" w:hAnsi="Times New Roman" w:eastAsia="仿宋_GB2312" w:cs="Times New Roman"/>
          <w:sz w:val="24"/>
          <w:highlight w:val="none"/>
        </w:rPr>
        <w:t>，直接得到相应的建造成本。</w:t>
      </w:r>
    </w:p>
    <w:p w14:paraId="494F4CE0">
      <w:pPr>
        <w:keepNext w:val="0"/>
        <w:keepLines w:val="0"/>
        <w:pageBreakBefore w:val="0"/>
        <w:widowControl w:val="0"/>
        <w:numPr>
          <w:ilvl w:val="0"/>
          <w:numId w:val="7"/>
        </w:numPr>
        <w:kinsoku/>
        <w:wordWrap/>
        <w:overflowPunct/>
        <w:topLinePunct w:val="0"/>
        <w:autoSpaceDE/>
        <w:autoSpaceDN/>
        <w:bidi w:val="0"/>
        <w:adjustRightInd w:val="0"/>
        <w:snapToGrid w:val="0"/>
        <w:spacing w:line="360" w:lineRule="auto"/>
        <w:ind w:left="0" w:leftChars="0" w:firstLine="480" w:firstLineChars="200"/>
        <w:textAlignment w:val="auto"/>
        <w:rPr>
          <w:rFonts w:hint="eastAsia" w:ascii="Times New Roman" w:hAnsi="Times New Roman" w:eastAsia="仿宋_GB2312" w:cs="Times New Roman"/>
          <w:sz w:val="24"/>
          <w:highlight w:val="none"/>
        </w:rPr>
      </w:pPr>
      <w:r>
        <w:rPr>
          <w:rFonts w:hint="eastAsia" w:ascii="Times New Roman" w:hAnsi="Times New Roman" w:eastAsia="仿宋_GB2312" w:cs="Times New Roman"/>
          <w:sz w:val="24"/>
          <w:highlight w:val="none"/>
        </w:rPr>
        <w:t>维护成本</w:t>
      </w:r>
      <w:r>
        <w:rPr>
          <w:rFonts w:hint="eastAsia" w:ascii="Times New Roman" w:hAnsi="Times New Roman" w:eastAsia="仿宋_GB2312" w:cs="Times New Roman"/>
          <w:sz w:val="24"/>
          <w:highlight w:val="none"/>
          <w:lang w:val="en-US" w:eastAsia="zh-CN"/>
        </w:rPr>
        <w:t>Z3</w:t>
      </w:r>
    </w:p>
    <w:p w14:paraId="479D53C8">
      <w:pPr>
        <w:numPr>
          <w:ilvl w:val="0"/>
          <w:numId w:val="0"/>
        </w:numPr>
        <w:adjustRightInd w:val="0"/>
        <w:snapToGrid w:val="0"/>
        <w:spacing w:line="360" w:lineRule="auto"/>
        <w:ind w:firstLine="480" w:firstLineChars="200"/>
        <w:rPr>
          <w:rFonts w:hint="eastAsia" w:ascii="Times New Roman" w:hAnsi="Times New Roman" w:eastAsia="仿宋_GB2312" w:cs="Times New Roman"/>
          <w:sz w:val="24"/>
          <w:highlight w:val="none"/>
        </w:rPr>
      </w:pPr>
      <w:r>
        <w:rPr>
          <w:rFonts w:hint="eastAsia" w:ascii="Times New Roman" w:hAnsi="Times New Roman" w:eastAsia="仿宋_GB2312" w:cs="Times New Roman"/>
          <w:sz w:val="24"/>
          <w:highlight w:val="none"/>
        </w:rPr>
        <w:t>主要涉及到变电站</w:t>
      </w:r>
      <w:r>
        <w:rPr>
          <w:rFonts w:hint="eastAsia" w:ascii="Times New Roman" w:hAnsi="Times New Roman" w:eastAsia="仿宋_GB2312" w:cs="Times New Roman"/>
          <w:sz w:val="24"/>
          <w:highlight w:val="none"/>
          <w:lang w:eastAsia="zh-CN"/>
        </w:rPr>
        <w:t>、</w:t>
      </w:r>
      <w:r>
        <w:rPr>
          <w:rFonts w:hint="eastAsia" w:ascii="Times New Roman" w:hAnsi="Times New Roman" w:eastAsia="仿宋_GB2312" w:cs="Times New Roman"/>
          <w:sz w:val="24"/>
          <w:highlight w:val="none"/>
          <w:lang w:val="en-US" w:eastAsia="zh-CN"/>
        </w:rPr>
        <w:t>输电线路的</w:t>
      </w:r>
      <w:r>
        <w:rPr>
          <w:rFonts w:hint="eastAsia" w:ascii="Times New Roman" w:hAnsi="Times New Roman" w:eastAsia="仿宋_GB2312" w:cs="Times New Roman"/>
          <w:sz w:val="24"/>
          <w:highlight w:val="none"/>
        </w:rPr>
        <w:t>设备运行的维护</w:t>
      </w:r>
      <w:r>
        <w:rPr>
          <w:rFonts w:hint="eastAsia" w:ascii="Times New Roman" w:hAnsi="Times New Roman" w:eastAsia="仿宋_GB2312" w:cs="Times New Roman"/>
          <w:sz w:val="24"/>
          <w:highlight w:val="none"/>
          <w:lang w:eastAsia="zh-CN"/>
        </w:rPr>
        <w:t>、</w:t>
      </w:r>
      <w:r>
        <w:rPr>
          <w:rFonts w:hint="eastAsia" w:ascii="Times New Roman" w:hAnsi="Times New Roman" w:eastAsia="仿宋_GB2312" w:cs="Times New Roman"/>
          <w:sz w:val="24"/>
          <w:highlight w:val="none"/>
        </w:rPr>
        <w:t>维修</w:t>
      </w:r>
      <w:r>
        <w:rPr>
          <w:rFonts w:hint="eastAsia" w:ascii="Times New Roman" w:hAnsi="Times New Roman" w:eastAsia="仿宋_GB2312" w:cs="Times New Roman"/>
          <w:sz w:val="24"/>
          <w:highlight w:val="none"/>
          <w:lang w:val="en-US" w:eastAsia="zh-CN"/>
        </w:rPr>
        <w:t>费用</w:t>
      </w:r>
      <w:r>
        <w:rPr>
          <w:rFonts w:hint="eastAsia" w:ascii="Times New Roman" w:hAnsi="Times New Roman" w:eastAsia="仿宋_GB2312" w:cs="Times New Roman"/>
          <w:sz w:val="24"/>
          <w:highlight w:val="none"/>
        </w:rPr>
        <w:t>等。一般而言，维护成本与设备的购买费用近似成正比关系，而每年的运行维护率则可以认为基本相同。</w:t>
      </w:r>
    </w:p>
    <w:p w14:paraId="249600CF">
      <w:pPr>
        <w:keepNext w:val="0"/>
        <w:keepLines w:val="0"/>
        <w:pageBreakBefore w:val="0"/>
        <w:widowControl w:val="0"/>
        <w:numPr>
          <w:ilvl w:val="0"/>
          <w:numId w:val="7"/>
        </w:numPr>
        <w:kinsoku/>
        <w:wordWrap/>
        <w:overflowPunct/>
        <w:topLinePunct w:val="0"/>
        <w:autoSpaceDE/>
        <w:autoSpaceDN/>
        <w:bidi w:val="0"/>
        <w:adjustRightInd w:val="0"/>
        <w:snapToGrid w:val="0"/>
        <w:spacing w:line="360" w:lineRule="auto"/>
        <w:ind w:left="0" w:leftChars="0" w:firstLine="480" w:firstLineChars="200"/>
        <w:textAlignment w:val="auto"/>
        <w:rPr>
          <w:rFonts w:hint="eastAsia" w:ascii="Times New Roman" w:hAnsi="Times New Roman" w:eastAsia="仿宋_GB2312" w:cs="Times New Roman"/>
          <w:sz w:val="24"/>
          <w:highlight w:val="none"/>
        </w:rPr>
      </w:pPr>
      <w:r>
        <w:rPr>
          <w:rFonts w:hint="eastAsia" w:ascii="Times New Roman" w:hAnsi="Times New Roman" w:eastAsia="仿宋_GB2312" w:cs="Times New Roman"/>
          <w:sz w:val="24"/>
          <w:highlight w:val="none"/>
        </w:rPr>
        <w:t>电能损耗成本</w:t>
      </w:r>
      <w:r>
        <w:rPr>
          <w:rFonts w:hint="eastAsia" w:ascii="Times New Roman" w:hAnsi="Times New Roman" w:eastAsia="仿宋_GB2312" w:cs="Times New Roman"/>
          <w:sz w:val="24"/>
          <w:highlight w:val="none"/>
          <w:lang w:val="en-US" w:eastAsia="zh-CN"/>
        </w:rPr>
        <w:t>Z4</w:t>
      </w:r>
    </w:p>
    <w:p w14:paraId="53942B2B">
      <w:pPr>
        <w:numPr>
          <w:ilvl w:val="0"/>
          <w:numId w:val="0"/>
        </w:numPr>
        <w:adjustRightInd w:val="0"/>
        <w:snapToGrid w:val="0"/>
        <w:spacing w:line="360" w:lineRule="auto"/>
        <w:ind w:firstLine="480" w:firstLineChars="200"/>
        <w:rPr>
          <w:rFonts w:hint="eastAsia" w:ascii="Times New Roman" w:hAnsi="Times New Roman" w:eastAsia="仿宋_GB2312" w:cs="Times New Roman"/>
          <w:sz w:val="24"/>
          <w:highlight w:val="none"/>
        </w:rPr>
      </w:pPr>
      <w:r>
        <w:rPr>
          <w:rFonts w:hint="eastAsia" w:ascii="Times New Roman" w:hAnsi="Times New Roman" w:eastAsia="仿宋_GB2312" w:cs="Times New Roman"/>
          <w:sz w:val="24"/>
          <w:highlight w:val="none"/>
        </w:rPr>
        <w:t>电能通过变电站时会产生损耗，在配电网中，</w:t>
      </w:r>
      <w:r>
        <w:rPr>
          <w:rFonts w:hint="eastAsia" w:ascii="Times New Roman" w:hAnsi="Times New Roman" w:eastAsia="仿宋_GB2312" w:cs="Times New Roman"/>
          <w:sz w:val="24"/>
          <w:highlight w:val="none"/>
          <w:lang w:val="en-US" w:eastAsia="zh-CN"/>
        </w:rPr>
        <w:t>损耗包括变压器上产生的损耗和输电线路产生的损耗。</w:t>
      </w:r>
    </w:p>
    <w:p w14:paraId="3F0394A5">
      <w:pPr>
        <w:keepNext w:val="0"/>
        <w:keepLines w:val="0"/>
        <w:pageBreakBefore w:val="0"/>
        <w:widowControl w:val="0"/>
        <w:numPr>
          <w:ilvl w:val="0"/>
          <w:numId w:val="7"/>
        </w:numPr>
        <w:kinsoku/>
        <w:wordWrap/>
        <w:overflowPunct/>
        <w:topLinePunct w:val="0"/>
        <w:autoSpaceDE/>
        <w:autoSpaceDN/>
        <w:bidi w:val="0"/>
        <w:adjustRightInd w:val="0"/>
        <w:snapToGrid w:val="0"/>
        <w:spacing w:line="360" w:lineRule="auto"/>
        <w:ind w:left="0" w:leftChars="0" w:firstLine="480" w:firstLineChars="200"/>
        <w:textAlignment w:val="auto"/>
        <w:rPr>
          <w:rFonts w:hint="eastAsia" w:ascii="Times New Roman" w:hAnsi="Times New Roman" w:eastAsia="仿宋_GB2312" w:cs="Times New Roman"/>
          <w:sz w:val="24"/>
          <w:highlight w:val="none"/>
          <w:lang w:val="en-US" w:eastAsia="zh-CN"/>
        </w:rPr>
      </w:pPr>
      <w:r>
        <w:rPr>
          <w:rFonts w:hint="eastAsia" w:ascii="Times New Roman" w:hAnsi="Times New Roman" w:eastAsia="仿宋_GB2312" w:cs="Times New Roman"/>
          <w:sz w:val="24"/>
          <w:highlight w:val="none"/>
          <w:lang w:val="en-US" w:eastAsia="zh-CN"/>
        </w:rPr>
        <w:t>残值Z5</w:t>
      </w:r>
    </w:p>
    <w:p w14:paraId="412DB8CB">
      <w:pPr>
        <w:numPr>
          <w:ilvl w:val="0"/>
          <w:numId w:val="0"/>
        </w:numPr>
        <w:adjustRightInd w:val="0"/>
        <w:snapToGrid w:val="0"/>
        <w:spacing w:line="360" w:lineRule="auto"/>
        <w:ind w:firstLine="480" w:firstLineChars="200"/>
        <w:rPr>
          <w:rFonts w:hint="eastAsia" w:ascii="Times New Roman" w:hAnsi="Times New Roman" w:eastAsia="仿宋_GB2312" w:cs="Times New Roman"/>
          <w:sz w:val="24"/>
          <w:highlight w:val="none"/>
          <w:lang w:val="en-US" w:eastAsia="zh-CN"/>
        </w:rPr>
      </w:pPr>
      <w:r>
        <w:rPr>
          <w:rFonts w:hint="eastAsia" w:ascii="Times New Roman" w:hAnsi="Times New Roman" w:eastAsia="仿宋_GB2312" w:cs="Times New Roman"/>
          <w:sz w:val="24"/>
          <w:highlight w:val="none"/>
          <w:lang w:val="en-US" w:eastAsia="zh-CN"/>
        </w:rPr>
        <w:t>根据技术经济学原理，当设备的使用年限没超过其物理寿命时，就留有一部分残值，或者说设备使用了一段时间以后，还剩下来的价值就叫作残值。假设设备每年的磨损费用是一个平均值，则可以根据设备的寿命和设备已使用的时间来计算其残值。如果使用寿命为H年，那么设备在n年后的残值的计算公式为：（</w:t>
      </w:r>
      <m:oMath>
        <m:sSub>
          <m:sSubPr>
            <m:ctrlPr>
              <w:rPr>
                <w:rFonts w:hint="eastAsia" w:ascii="Cambria Math" w:hAnsi="Cambria Math" w:eastAsia="仿宋_GB2312" w:cs="Times New Roman"/>
                <w:i/>
                <w:kern w:val="2"/>
                <w:sz w:val="24"/>
                <w:szCs w:val="24"/>
                <w:highlight w:val="none"/>
                <w:lang w:val="en-US" w:eastAsia="zh-CN" w:bidi="ar-SA"/>
              </w:rPr>
            </m:ctrlPr>
          </m:sSubPr>
          <m:e>
            <m:r>
              <m:rPr/>
              <w:rPr>
                <w:rFonts w:hint="default" w:ascii="Cambria Math" w:hAnsi="Cambria Math" w:eastAsia="仿宋_GB2312" w:cs="Times New Roman"/>
                <w:kern w:val="2"/>
                <w:sz w:val="24"/>
                <w:szCs w:val="24"/>
                <w:highlight w:val="none"/>
                <w:lang w:val="en-US" w:eastAsia="zh-CN" w:bidi="ar-SA"/>
              </w:rPr>
              <m:t>Z</m:t>
            </m:r>
            <m:ctrlPr>
              <w:rPr>
                <w:rFonts w:hint="eastAsia" w:ascii="Cambria Math" w:hAnsi="Cambria Math" w:eastAsia="仿宋_GB2312" w:cs="Times New Roman"/>
                <w:i/>
                <w:kern w:val="2"/>
                <w:sz w:val="24"/>
                <w:szCs w:val="24"/>
                <w:highlight w:val="none"/>
                <w:lang w:val="en-US" w:eastAsia="zh-CN" w:bidi="ar-SA"/>
              </w:rPr>
            </m:ctrlPr>
          </m:e>
          <m:sub>
            <m:r>
              <m:rPr/>
              <w:rPr>
                <w:rFonts w:hint="default" w:ascii="Cambria Math" w:hAnsi="Cambria Math" w:eastAsia="仿宋_GB2312" w:cs="Times New Roman"/>
                <w:kern w:val="2"/>
                <w:sz w:val="24"/>
                <w:szCs w:val="24"/>
                <w:highlight w:val="none"/>
                <w:lang w:val="en-US" w:eastAsia="zh-CN" w:bidi="ar-SA"/>
              </w:rPr>
              <m:t>5</m:t>
            </m:r>
            <m:ctrlPr>
              <w:rPr>
                <w:rFonts w:hint="eastAsia" w:ascii="Cambria Math" w:hAnsi="Cambria Math" w:eastAsia="仿宋_GB2312" w:cs="Times New Roman"/>
                <w:i/>
                <w:kern w:val="2"/>
                <w:sz w:val="24"/>
                <w:szCs w:val="24"/>
                <w:highlight w:val="none"/>
                <w:lang w:val="en-US" w:eastAsia="zh-CN" w:bidi="ar-SA"/>
              </w:rPr>
            </m:ctrlPr>
          </m:sub>
        </m:sSub>
        <m:r>
          <m:rPr/>
          <w:rPr>
            <w:rFonts w:hint="default" w:ascii="Cambria Math" w:hAnsi="Cambria Math" w:eastAsia="仿宋_GB2312" w:cs="Times New Roman"/>
            <w:kern w:val="2"/>
            <w:sz w:val="24"/>
            <w:szCs w:val="24"/>
            <w:highlight w:val="none"/>
            <w:lang w:val="en-US" w:eastAsia="zh-CN" w:bidi="ar-SA"/>
          </w:rPr>
          <m:t>=</m:t>
        </m:r>
        <m:r>
          <m:rPr/>
          <w:rPr>
            <w:rFonts w:hint="eastAsia" w:ascii="Cambria Math" w:hAnsi="Cambria Math" w:eastAsia="仿宋_GB2312" w:cs="Times New Roman"/>
            <w:kern w:val="2"/>
            <w:sz w:val="24"/>
            <w:szCs w:val="24"/>
            <w:highlight w:val="none"/>
            <w:lang w:val="en-US" w:eastAsia="zh-CN" w:bidi="ar-SA"/>
          </w:rPr>
          <m:t>（</m:t>
        </m:r>
        <m:sSub>
          <m:sSubPr>
            <m:ctrlPr>
              <w:rPr>
                <w:rFonts w:hint="eastAsia" w:ascii="Cambria Math" w:hAnsi="Cambria Math" w:eastAsia="仿宋_GB2312" w:cs="Times New Roman"/>
                <w:i/>
                <w:kern w:val="2"/>
                <w:sz w:val="24"/>
                <w:szCs w:val="24"/>
                <w:highlight w:val="none"/>
                <w:lang w:val="en-US" w:eastAsia="zh-CN" w:bidi="ar-SA"/>
              </w:rPr>
            </m:ctrlPr>
          </m:sSubPr>
          <m:e>
            <m:r>
              <m:rPr/>
              <w:rPr>
                <w:rFonts w:hint="default" w:ascii="Cambria Math" w:hAnsi="Cambria Math" w:eastAsia="仿宋_GB2312" w:cs="Times New Roman"/>
                <w:kern w:val="2"/>
                <w:sz w:val="24"/>
                <w:szCs w:val="24"/>
                <w:highlight w:val="none"/>
                <w:lang w:val="en-US" w:eastAsia="zh-CN" w:bidi="ar-SA"/>
              </w:rPr>
              <m:t>Z</m:t>
            </m:r>
            <m:ctrlPr>
              <w:rPr>
                <w:rFonts w:hint="eastAsia" w:ascii="Cambria Math" w:hAnsi="Cambria Math" w:eastAsia="仿宋_GB2312" w:cs="Times New Roman"/>
                <w:i/>
                <w:kern w:val="2"/>
                <w:sz w:val="24"/>
                <w:szCs w:val="24"/>
                <w:highlight w:val="none"/>
                <w:lang w:val="en-US" w:eastAsia="zh-CN" w:bidi="ar-SA"/>
              </w:rPr>
            </m:ctrlPr>
          </m:e>
          <m:sub>
            <m:r>
              <m:rPr/>
              <w:rPr>
                <w:rFonts w:hint="default" w:ascii="Cambria Math" w:hAnsi="Cambria Math" w:eastAsia="仿宋_GB2312" w:cs="Times New Roman"/>
                <w:kern w:val="2"/>
                <w:sz w:val="24"/>
                <w:szCs w:val="24"/>
                <w:highlight w:val="none"/>
                <w:lang w:val="en-US" w:eastAsia="zh-CN" w:bidi="ar-SA"/>
              </w:rPr>
              <m:t>1</m:t>
            </m:r>
            <m:ctrlPr>
              <w:rPr>
                <w:rFonts w:hint="eastAsia" w:ascii="Cambria Math" w:hAnsi="Cambria Math" w:eastAsia="仿宋_GB2312" w:cs="Times New Roman"/>
                <w:i/>
                <w:kern w:val="2"/>
                <w:sz w:val="24"/>
                <w:szCs w:val="24"/>
                <w:highlight w:val="none"/>
                <w:lang w:val="en-US" w:eastAsia="zh-CN" w:bidi="ar-SA"/>
              </w:rPr>
            </m:ctrlPr>
          </m:sub>
        </m:sSub>
        <m:r>
          <m:rPr/>
          <w:rPr>
            <w:rFonts w:hint="default" w:ascii="Cambria Math" w:hAnsi="Cambria Math" w:eastAsia="仿宋_GB2312" w:cs="Times New Roman"/>
            <w:kern w:val="2"/>
            <w:sz w:val="24"/>
            <w:szCs w:val="24"/>
            <w:highlight w:val="none"/>
            <w:lang w:val="en-US" w:eastAsia="zh-CN" w:bidi="ar-SA"/>
          </w:rPr>
          <m:t>+</m:t>
        </m:r>
        <m:sSub>
          <m:sSubPr>
            <m:ctrlPr>
              <w:rPr>
                <w:rFonts w:hint="default" w:ascii="Cambria Math" w:hAnsi="Cambria Math" w:eastAsia="仿宋_GB2312" w:cs="Times New Roman"/>
                <w:i/>
                <w:kern w:val="2"/>
                <w:sz w:val="24"/>
                <w:szCs w:val="24"/>
                <w:highlight w:val="none"/>
                <w:lang w:val="en-US" w:eastAsia="zh-CN" w:bidi="ar-SA"/>
              </w:rPr>
            </m:ctrlPr>
          </m:sSubPr>
          <m:e>
            <m:r>
              <m:rPr/>
              <w:rPr>
                <w:rFonts w:hint="default" w:ascii="Cambria Math" w:hAnsi="Cambria Math" w:eastAsia="仿宋_GB2312" w:cs="Times New Roman"/>
                <w:kern w:val="2"/>
                <w:sz w:val="24"/>
                <w:szCs w:val="24"/>
                <w:highlight w:val="none"/>
                <w:lang w:val="en-US" w:eastAsia="zh-CN" w:bidi="ar-SA"/>
              </w:rPr>
              <m:t>Z</m:t>
            </m:r>
            <m:ctrlPr>
              <w:rPr>
                <w:rFonts w:hint="default" w:ascii="Cambria Math" w:hAnsi="Cambria Math" w:eastAsia="仿宋_GB2312" w:cs="Times New Roman"/>
                <w:i/>
                <w:kern w:val="2"/>
                <w:sz w:val="24"/>
                <w:szCs w:val="24"/>
                <w:highlight w:val="none"/>
                <w:lang w:val="en-US" w:eastAsia="zh-CN" w:bidi="ar-SA"/>
              </w:rPr>
            </m:ctrlPr>
          </m:e>
          <m:sub>
            <m:r>
              <m:rPr/>
              <w:rPr>
                <w:rFonts w:hint="default" w:ascii="Cambria Math" w:hAnsi="Cambria Math" w:eastAsia="仿宋_GB2312" w:cs="Times New Roman"/>
                <w:kern w:val="2"/>
                <w:sz w:val="24"/>
                <w:szCs w:val="24"/>
                <w:highlight w:val="none"/>
                <w:lang w:val="en-US" w:eastAsia="zh-CN" w:bidi="ar-SA"/>
              </w:rPr>
              <m:t>2</m:t>
            </m:r>
            <m:ctrlPr>
              <w:rPr>
                <w:rFonts w:hint="default" w:ascii="Cambria Math" w:hAnsi="Cambria Math" w:eastAsia="仿宋_GB2312" w:cs="Times New Roman"/>
                <w:i/>
                <w:kern w:val="2"/>
                <w:sz w:val="24"/>
                <w:szCs w:val="24"/>
                <w:highlight w:val="none"/>
                <w:lang w:val="en-US" w:eastAsia="zh-CN" w:bidi="ar-SA"/>
              </w:rPr>
            </m:ctrlPr>
          </m:sub>
        </m:sSub>
        <m:r>
          <m:rPr/>
          <w:rPr>
            <w:rFonts w:hint="eastAsia" w:ascii="Cambria Math" w:hAnsi="Cambria Math" w:eastAsia="仿宋_GB2312" w:cs="Times New Roman"/>
            <w:kern w:val="2"/>
            <w:sz w:val="24"/>
            <w:szCs w:val="24"/>
            <w:highlight w:val="none"/>
            <w:lang w:val="en-US" w:eastAsia="zh-CN" w:bidi="ar-SA"/>
          </w:rPr>
          <m:t>）（</m:t>
        </m:r>
        <m:r>
          <m:rPr/>
          <w:rPr>
            <w:rFonts w:hint="default" w:ascii="Cambria Math" w:hAnsi="Cambria Math" w:eastAsia="仿宋_GB2312" w:cs="Times New Roman"/>
            <w:kern w:val="2"/>
            <w:sz w:val="24"/>
            <w:szCs w:val="24"/>
            <w:highlight w:val="none"/>
            <w:lang w:val="en-US" w:eastAsia="zh-CN" w:bidi="ar-SA"/>
          </w:rPr>
          <m:t>1−</m:t>
        </m:r>
        <m:f>
          <m:fPr>
            <m:ctrlPr>
              <w:rPr>
                <w:rFonts w:hint="default" w:ascii="Cambria Math" w:hAnsi="Cambria Math" w:eastAsia="仿宋_GB2312" w:cs="Times New Roman"/>
                <w:i/>
                <w:kern w:val="2"/>
                <w:sz w:val="24"/>
                <w:szCs w:val="24"/>
                <w:highlight w:val="none"/>
                <w:lang w:val="en-US" w:eastAsia="zh-CN" w:bidi="ar-SA"/>
              </w:rPr>
            </m:ctrlPr>
          </m:fPr>
          <m:num>
            <m:r>
              <m:rPr/>
              <w:rPr>
                <w:rFonts w:hint="default" w:ascii="Cambria Math" w:hAnsi="Cambria Math" w:eastAsia="仿宋_GB2312" w:cs="Times New Roman"/>
                <w:kern w:val="2"/>
                <w:sz w:val="24"/>
                <w:szCs w:val="24"/>
                <w:highlight w:val="none"/>
                <w:lang w:val="en-US" w:eastAsia="zh-CN" w:bidi="ar-SA"/>
              </w:rPr>
              <m:t>n</m:t>
            </m:r>
            <m:ctrlPr>
              <w:rPr>
                <w:rFonts w:hint="default" w:ascii="Cambria Math" w:hAnsi="Cambria Math" w:eastAsia="仿宋_GB2312" w:cs="Times New Roman"/>
                <w:i/>
                <w:kern w:val="2"/>
                <w:sz w:val="24"/>
                <w:szCs w:val="24"/>
                <w:highlight w:val="none"/>
                <w:lang w:val="en-US" w:eastAsia="zh-CN" w:bidi="ar-SA"/>
              </w:rPr>
            </m:ctrlPr>
          </m:num>
          <m:den>
            <m:r>
              <m:rPr/>
              <w:rPr>
                <w:rFonts w:hint="default" w:ascii="Cambria Math" w:hAnsi="Cambria Math" w:eastAsia="仿宋_GB2312" w:cs="Times New Roman"/>
                <w:kern w:val="2"/>
                <w:sz w:val="24"/>
                <w:szCs w:val="24"/>
                <w:highlight w:val="none"/>
                <w:lang w:val="en-US" w:eastAsia="zh-CN" w:bidi="ar-SA"/>
              </w:rPr>
              <m:t>H</m:t>
            </m:r>
            <m:ctrlPr>
              <w:rPr>
                <w:rFonts w:hint="default" w:ascii="Cambria Math" w:hAnsi="Cambria Math" w:eastAsia="仿宋_GB2312" w:cs="Times New Roman"/>
                <w:i/>
                <w:kern w:val="2"/>
                <w:sz w:val="24"/>
                <w:szCs w:val="24"/>
                <w:highlight w:val="none"/>
                <w:lang w:val="en-US" w:eastAsia="zh-CN" w:bidi="ar-SA"/>
              </w:rPr>
            </m:ctrlPr>
          </m:den>
        </m:f>
        <m:r>
          <m:rPr/>
          <w:rPr>
            <w:rFonts w:hint="eastAsia" w:ascii="Cambria Math" w:hAnsi="Cambria Math" w:eastAsia="仿宋_GB2312" w:cs="Times New Roman"/>
            <w:kern w:val="2"/>
            <w:sz w:val="24"/>
            <w:szCs w:val="24"/>
            <w:highlight w:val="none"/>
            <w:lang w:val="en-US" w:eastAsia="zh-CN" w:bidi="ar-SA"/>
          </w:rPr>
          <m:t>）</m:t>
        </m:r>
      </m:oMath>
      <w:r>
        <w:rPr>
          <w:rFonts w:hint="eastAsia" w:ascii="Times New Roman" w:hAnsi="Times New Roman" w:eastAsia="仿宋_GB2312" w:cs="Times New Roman"/>
          <w:sz w:val="24"/>
          <w:highlight w:val="none"/>
          <w:lang w:val="en-US" w:eastAsia="zh-CN"/>
        </w:rPr>
        <w:t>）。</w:t>
      </w:r>
    </w:p>
    <w:p w14:paraId="19182965">
      <w:pPr>
        <w:keepNext w:val="0"/>
        <w:keepLines w:val="0"/>
        <w:pageBreakBefore w:val="0"/>
        <w:widowControl w:val="0"/>
        <w:numPr>
          <w:ilvl w:val="0"/>
          <w:numId w:val="7"/>
        </w:numPr>
        <w:kinsoku/>
        <w:wordWrap/>
        <w:overflowPunct/>
        <w:topLinePunct w:val="0"/>
        <w:autoSpaceDE/>
        <w:autoSpaceDN/>
        <w:bidi w:val="0"/>
        <w:adjustRightInd w:val="0"/>
        <w:snapToGrid w:val="0"/>
        <w:spacing w:line="360" w:lineRule="auto"/>
        <w:ind w:left="0" w:leftChars="0" w:firstLine="480" w:firstLineChars="200"/>
        <w:textAlignment w:val="auto"/>
        <w:rPr>
          <w:rFonts w:hint="eastAsia" w:ascii="Times New Roman" w:hAnsi="Times New Roman" w:eastAsia="仿宋_GB2312" w:cs="Times New Roman"/>
          <w:sz w:val="24"/>
          <w:highlight w:val="none"/>
          <w:lang w:val="en-US" w:eastAsia="zh-CN"/>
        </w:rPr>
      </w:pPr>
      <w:r>
        <w:rPr>
          <w:rFonts w:hint="eastAsia" w:ascii="Times New Roman" w:hAnsi="Times New Roman" w:eastAsia="仿宋_GB2312" w:cs="Times New Roman"/>
          <w:sz w:val="24"/>
          <w:highlight w:val="none"/>
          <w:lang w:val="en-US" w:eastAsia="zh-CN"/>
        </w:rPr>
        <w:t>总费用为F = (Z1+Z2+Z3+Z4+Z5)。</w:t>
      </w:r>
    </w:p>
    <w:p w14:paraId="16946254">
      <w:pPr>
        <w:numPr>
          <w:ilvl w:val="0"/>
          <w:numId w:val="0"/>
        </w:numPr>
        <w:adjustRightInd w:val="0"/>
        <w:snapToGrid w:val="0"/>
        <w:spacing w:line="360" w:lineRule="auto"/>
        <w:ind w:firstLine="480" w:firstLineChars="200"/>
        <w:rPr>
          <w:rFonts w:hint="default" w:hAnsi="Cambria Math" w:eastAsia="仿宋_GB2312" w:cs="Times New Roman"/>
          <w:i w:val="0"/>
          <w:kern w:val="2"/>
          <w:sz w:val="24"/>
          <w:szCs w:val="24"/>
          <w:highlight w:val="none"/>
          <w:lang w:val="en-US" w:eastAsia="zh-CN" w:bidi="ar-SA"/>
        </w:rPr>
      </w:pPr>
      <w:r>
        <w:rPr>
          <w:rFonts w:hint="eastAsia" w:ascii="Times New Roman" w:hAnsi="Times New Roman" w:eastAsia="仿宋_GB2312" w:cs="Times New Roman"/>
          <w:sz w:val="24"/>
          <w:highlight w:val="none"/>
          <w:lang w:val="en-US" w:eastAsia="zh-CN"/>
        </w:rPr>
        <w:t xml:space="preserve">在总费用中已考虑了资金的时间价值，将所有费用都归算到使用期末。由于各个规划方案的使用期不同，不能直接进行比较评价，因此需要采用动态评价法中的等年费用法将所有费用归算到计算期末，然后再折算成等额的年费用进行比较，年费用越低的方案经济性越好。年平均费用的计算公式为： </w:t>
      </w:r>
      <m:oMath>
        <m:r>
          <m:rPr/>
          <w:rPr>
            <w:rFonts w:hint="default" w:ascii="Cambria Math" w:hAnsi="Cambria Math" w:eastAsia="仿宋_GB2312" w:cs="Times New Roman"/>
            <w:kern w:val="2"/>
            <w:sz w:val="24"/>
            <w:szCs w:val="24"/>
            <w:highlight w:val="none"/>
            <w:lang w:val="en-US" w:eastAsia="zh-CN" w:bidi="ar-SA"/>
          </w:rPr>
          <m:t>Z=</m:t>
        </m:r>
        <m:f>
          <m:fPr>
            <m:ctrlPr>
              <w:rPr>
                <w:rFonts w:hint="default" w:ascii="Cambria Math" w:hAnsi="Cambria Math" w:eastAsia="仿宋_GB2312" w:cs="Times New Roman"/>
                <w:i/>
                <w:kern w:val="2"/>
                <w:sz w:val="24"/>
                <w:szCs w:val="24"/>
                <w:highlight w:val="none"/>
                <w:lang w:val="en-US" w:eastAsia="zh-CN" w:bidi="ar-SA"/>
              </w:rPr>
            </m:ctrlPr>
          </m:fPr>
          <m:num>
            <m:r>
              <m:rPr/>
              <w:rPr>
                <w:rFonts w:hint="default" w:ascii="Cambria Math" w:hAnsi="Cambria Math" w:eastAsia="仿宋_GB2312" w:cs="Times New Roman"/>
                <w:kern w:val="2"/>
                <w:sz w:val="24"/>
                <w:szCs w:val="24"/>
                <w:highlight w:val="none"/>
                <w:lang w:val="en-US" w:eastAsia="zh-CN" w:bidi="ar-SA"/>
              </w:rPr>
              <m:t>F[(1+j)−1]</m:t>
            </m:r>
            <m:ctrlPr>
              <w:rPr>
                <w:rFonts w:hint="default" w:ascii="Cambria Math" w:hAnsi="Cambria Math" w:eastAsia="仿宋_GB2312" w:cs="Times New Roman"/>
                <w:i/>
                <w:kern w:val="2"/>
                <w:sz w:val="24"/>
                <w:szCs w:val="24"/>
                <w:highlight w:val="none"/>
                <w:lang w:val="en-US" w:eastAsia="zh-CN" w:bidi="ar-SA"/>
              </w:rPr>
            </m:ctrlPr>
          </m:num>
          <m:den>
            <m:sSup>
              <m:sSupPr>
                <m:ctrlPr>
                  <w:rPr>
                    <w:rFonts w:hint="default" w:ascii="Cambria Math" w:hAnsi="Cambria Math" w:eastAsia="仿宋_GB2312" w:cs="Times New Roman"/>
                    <w:i/>
                    <w:kern w:val="2"/>
                    <w:sz w:val="24"/>
                    <w:szCs w:val="24"/>
                    <w:highlight w:val="none"/>
                    <w:lang w:val="en-US" w:eastAsia="zh-CN" w:bidi="ar-SA"/>
                  </w:rPr>
                </m:ctrlPr>
              </m:sSupPr>
              <m:e>
                <m:r>
                  <m:rPr/>
                  <w:rPr>
                    <w:rFonts w:hint="default" w:ascii="Cambria Math" w:hAnsi="Cambria Math" w:eastAsia="仿宋_GB2312" w:cs="Times New Roman"/>
                    <w:kern w:val="2"/>
                    <w:sz w:val="24"/>
                    <w:szCs w:val="24"/>
                    <w:highlight w:val="none"/>
                    <w:lang w:val="en-US" w:eastAsia="zh-CN" w:bidi="ar-SA"/>
                  </w:rPr>
                  <m:t>(1+j)</m:t>
                </m:r>
                <m:ctrlPr>
                  <w:rPr>
                    <w:rFonts w:hint="default" w:ascii="Cambria Math" w:hAnsi="Cambria Math" w:eastAsia="仿宋_GB2312" w:cs="Times New Roman"/>
                    <w:i/>
                    <w:kern w:val="2"/>
                    <w:sz w:val="24"/>
                    <w:szCs w:val="24"/>
                    <w:highlight w:val="none"/>
                    <w:lang w:val="en-US" w:eastAsia="zh-CN" w:bidi="ar-SA"/>
                  </w:rPr>
                </m:ctrlPr>
              </m:e>
              <m:sup>
                <m:r>
                  <m:rPr/>
                  <w:rPr>
                    <w:rFonts w:hint="default" w:ascii="Cambria Math" w:hAnsi="Cambria Math" w:eastAsia="仿宋_GB2312" w:cs="Times New Roman"/>
                    <w:kern w:val="2"/>
                    <w:sz w:val="24"/>
                    <w:szCs w:val="24"/>
                    <w:highlight w:val="none"/>
                    <w:lang w:val="en-US" w:eastAsia="zh-CN" w:bidi="ar-SA"/>
                  </w:rPr>
                  <m:t>n</m:t>
                </m:r>
                <m:ctrlPr>
                  <w:rPr>
                    <w:rFonts w:hint="default" w:ascii="Cambria Math" w:hAnsi="Cambria Math" w:eastAsia="仿宋_GB2312" w:cs="Times New Roman"/>
                    <w:i/>
                    <w:kern w:val="2"/>
                    <w:sz w:val="24"/>
                    <w:szCs w:val="24"/>
                    <w:highlight w:val="none"/>
                    <w:lang w:val="en-US" w:eastAsia="zh-CN" w:bidi="ar-SA"/>
                  </w:rPr>
                </m:ctrlPr>
              </m:sup>
            </m:sSup>
            <m:r>
              <m:rPr/>
              <w:rPr>
                <w:rFonts w:hint="default" w:ascii="Cambria Math" w:hAnsi="Cambria Math" w:eastAsia="仿宋_GB2312" w:cs="Times New Roman"/>
                <w:kern w:val="2"/>
                <w:sz w:val="24"/>
                <w:szCs w:val="24"/>
                <w:highlight w:val="none"/>
                <w:lang w:val="en-US" w:eastAsia="zh-CN" w:bidi="ar-SA"/>
              </w:rPr>
              <m:t>−1</m:t>
            </m:r>
            <m:ctrlPr>
              <w:rPr>
                <w:rFonts w:hint="default" w:ascii="Cambria Math" w:hAnsi="Cambria Math" w:eastAsia="仿宋_GB2312" w:cs="Times New Roman"/>
                <w:i/>
                <w:kern w:val="2"/>
                <w:sz w:val="24"/>
                <w:szCs w:val="24"/>
                <w:highlight w:val="none"/>
                <w:lang w:val="en-US" w:eastAsia="zh-CN" w:bidi="ar-SA"/>
              </w:rPr>
            </m:ctrlPr>
          </m:den>
        </m:f>
      </m:oMath>
      <w:bookmarkStart w:id="0" w:name="OLE_LINK1"/>
    </w:p>
    <w:p w14:paraId="060DEEC9">
      <w:pPr>
        <w:numPr>
          <w:ilvl w:val="0"/>
          <w:numId w:val="0"/>
        </w:numPr>
        <w:adjustRightInd w:val="0"/>
        <w:snapToGrid w:val="0"/>
        <w:spacing w:line="360" w:lineRule="auto"/>
        <w:ind w:firstLine="480" w:firstLineChars="200"/>
        <w:rPr>
          <w:rFonts w:hint="eastAsia" w:ascii="Times New Roman" w:hAnsi="Times New Roman" w:eastAsia="仿宋_GB2312" w:cs="Times New Roman"/>
          <w:kern w:val="2"/>
          <w:sz w:val="24"/>
          <w:szCs w:val="24"/>
          <w:lang w:val="en-US" w:eastAsia="zh-CN" w:bidi="ar-SA"/>
        </w:rPr>
      </w:pPr>
      <w:r>
        <w:rPr>
          <w:rFonts w:hint="eastAsia" w:ascii="Times New Roman" w:hAnsi="Times New Roman" w:eastAsia="仿宋_GB2312" w:cs="Times New Roman"/>
          <w:kern w:val="2"/>
          <w:sz w:val="24"/>
          <w:szCs w:val="24"/>
          <w:lang w:val="en-US" w:eastAsia="zh-CN" w:bidi="ar-SA"/>
        </w:rPr>
        <w:t>本项目研究将严格遵循国家及行业最新标准，主要包括：</w:t>
      </w:r>
    </w:p>
    <w:p w14:paraId="7A5656C1">
      <w:pPr>
        <w:adjustRightInd w:val="0"/>
        <w:snapToGrid w:val="0"/>
        <w:spacing w:line="360" w:lineRule="auto"/>
        <w:ind w:firstLine="480" w:firstLineChars="200"/>
        <w:rPr>
          <w:rFonts w:hint="eastAsia" w:ascii="Times New Roman" w:hAnsi="Times New Roman" w:eastAsia="仿宋_GB2312" w:cs="Times New Roman"/>
          <w:kern w:val="2"/>
          <w:sz w:val="24"/>
          <w:szCs w:val="24"/>
          <w:lang w:val="en-US" w:eastAsia="zh-CN" w:bidi="ar-SA"/>
        </w:rPr>
      </w:pPr>
      <w:r>
        <w:rPr>
          <w:rFonts w:hint="eastAsia" w:ascii="Times New Roman" w:hAnsi="Times New Roman" w:eastAsia="仿宋_GB2312" w:cs="Times New Roman"/>
          <w:kern w:val="2"/>
          <w:sz w:val="24"/>
          <w:szCs w:val="24"/>
          <w:lang w:val="en-US" w:eastAsia="zh-CN" w:bidi="ar-SA"/>
        </w:rPr>
        <w:t>《配电网规划设计技术导则》（Q/GDW 10738—2020及2025年修订版）</w:t>
      </w:r>
    </w:p>
    <w:p w14:paraId="6E421717">
      <w:pPr>
        <w:adjustRightInd w:val="0"/>
        <w:snapToGrid w:val="0"/>
        <w:spacing w:line="360" w:lineRule="auto"/>
        <w:ind w:firstLine="480" w:firstLineChars="200"/>
        <w:rPr>
          <w:rFonts w:hint="eastAsia" w:ascii="Times New Roman" w:hAnsi="Times New Roman" w:eastAsia="仿宋_GB2312" w:cs="Times New Roman"/>
          <w:kern w:val="2"/>
          <w:sz w:val="24"/>
          <w:szCs w:val="24"/>
          <w:lang w:val="en-US" w:eastAsia="zh-CN" w:bidi="ar-SA"/>
        </w:rPr>
      </w:pPr>
      <w:r>
        <w:rPr>
          <w:rFonts w:hint="eastAsia" w:ascii="Times New Roman" w:hAnsi="Times New Roman" w:eastAsia="仿宋_GB2312" w:cs="Times New Roman"/>
          <w:kern w:val="2"/>
          <w:sz w:val="24"/>
          <w:szCs w:val="24"/>
          <w:lang w:val="en-US" w:eastAsia="zh-CN" w:bidi="ar-SA"/>
        </w:rPr>
        <w:t>《电力系统安全稳定导则》（GB38755-2019）</w:t>
      </w:r>
    </w:p>
    <w:p w14:paraId="24BDE6F7">
      <w:pPr>
        <w:adjustRightInd w:val="0"/>
        <w:snapToGrid w:val="0"/>
        <w:spacing w:line="360" w:lineRule="auto"/>
        <w:ind w:firstLine="480" w:firstLineChars="200"/>
        <w:rPr>
          <w:rFonts w:hint="eastAsia" w:ascii="Times New Roman" w:hAnsi="Times New Roman" w:eastAsia="仿宋_GB2312" w:cs="Times New Roman"/>
          <w:kern w:val="2"/>
          <w:sz w:val="24"/>
          <w:szCs w:val="24"/>
          <w:lang w:val="en-US" w:eastAsia="zh-CN" w:bidi="ar-SA"/>
        </w:rPr>
      </w:pPr>
      <w:r>
        <w:rPr>
          <w:rFonts w:hint="eastAsia" w:ascii="Times New Roman" w:hAnsi="Times New Roman" w:eastAsia="仿宋_GB2312" w:cs="Times New Roman"/>
          <w:kern w:val="2"/>
          <w:sz w:val="24"/>
          <w:szCs w:val="24"/>
          <w:lang w:val="en-US" w:eastAsia="zh-CN" w:bidi="ar-SA"/>
        </w:rPr>
        <w:t>《分布式电源并网技术要求》（GB/T 33593-2017）</w:t>
      </w:r>
    </w:p>
    <w:p w14:paraId="0C7AD7D2">
      <w:pPr>
        <w:adjustRightInd w:val="0"/>
        <w:snapToGrid w:val="0"/>
        <w:spacing w:line="360" w:lineRule="auto"/>
        <w:ind w:firstLine="480" w:firstLineChars="200"/>
        <w:rPr>
          <w:rFonts w:hint="eastAsia" w:ascii="Times New Roman" w:hAnsi="Times New Roman" w:eastAsia="仿宋_GB2312" w:cs="Times New Roman"/>
          <w:kern w:val="2"/>
          <w:sz w:val="24"/>
          <w:szCs w:val="24"/>
          <w:lang w:val="en-US" w:eastAsia="zh-CN" w:bidi="ar-SA"/>
        </w:rPr>
      </w:pPr>
      <w:r>
        <w:rPr>
          <w:rFonts w:hint="eastAsia" w:ascii="Times New Roman" w:hAnsi="Times New Roman" w:eastAsia="仿宋_GB2312" w:cs="Times New Roman"/>
          <w:kern w:val="2"/>
          <w:sz w:val="24"/>
          <w:szCs w:val="24"/>
          <w:lang w:val="en-US" w:eastAsia="zh-CN" w:bidi="ar-SA"/>
        </w:rPr>
        <w:t>《光伏</w:t>
      </w:r>
      <w:r>
        <w:rPr>
          <w:rFonts w:hint="eastAsia" w:ascii="Times New Roman" w:hAnsi="Times New Roman" w:eastAsia="仿宋_GB2312" w:cs="Times New Roman"/>
          <w:sz w:val="24"/>
          <w:lang w:val="en-US" w:eastAsia="zh-CN"/>
        </w:rPr>
        <w:t>发电站</w:t>
      </w:r>
      <w:r>
        <w:rPr>
          <w:rFonts w:hint="eastAsia" w:ascii="Times New Roman" w:hAnsi="Times New Roman" w:eastAsia="仿宋_GB2312" w:cs="Times New Roman"/>
          <w:kern w:val="2"/>
          <w:sz w:val="24"/>
          <w:szCs w:val="24"/>
          <w:lang w:val="en-US" w:eastAsia="zh-CN" w:bidi="ar-SA"/>
        </w:rPr>
        <w:t>接入电力系统技术规定》（GB/T 19964）</w:t>
      </w:r>
    </w:p>
    <w:p w14:paraId="36B37B09">
      <w:pPr>
        <w:adjustRightInd w:val="0"/>
        <w:snapToGrid w:val="0"/>
        <w:spacing w:line="360" w:lineRule="auto"/>
        <w:ind w:firstLine="480" w:firstLineChars="200"/>
        <w:rPr>
          <w:rFonts w:hint="eastAsia" w:ascii="Times New Roman" w:hAnsi="Times New Roman" w:eastAsia="仿宋_GB2312" w:cs="Times New Roman"/>
          <w:kern w:val="2"/>
          <w:sz w:val="24"/>
          <w:szCs w:val="24"/>
          <w:lang w:val="en-US" w:eastAsia="zh-CN" w:bidi="ar-SA"/>
        </w:rPr>
      </w:pPr>
      <w:r>
        <w:rPr>
          <w:rFonts w:hint="eastAsia" w:ascii="Times New Roman" w:hAnsi="Times New Roman" w:eastAsia="仿宋_GB2312" w:cs="Times New Roman"/>
          <w:kern w:val="2"/>
          <w:sz w:val="24"/>
          <w:szCs w:val="24"/>
          <w:lang w:val="en-US" w:eastAsia="zh-CN" w:bidi="ar-SA"/>
        </w:rPr>
        <w:t>《电化学储能系统接入电网技术规定》（GB/T 36547-2018）</w:t>
      </w:r>
    </w:p>
    <w:p w14:paraId="5E2A8697">
      <w:pPr>
        <w:adjustRightInd w:val="0"/>
        <w:snapToGrid w:val="0"/>
        <w:spacing w:line="360" w:lineRule="auto"/>
        <w:ind w:firstLine="480" w:firstLineChars="200"/>
        <w:rPr>
          <w:rFonts w:hint="eastAsia" w:ascii="Times New Roman" w:hAnsi="Times New Roman" w:eastAsia="仿宋_GB2312" w:cs="Times New Roman"/>
          <w:sz w:val="24"/>
        </w:rPr>
      </w:pPr>
      <w:r>
        <w:rPr>
          <w:rFonts w:hint="eastAsia" w:ascii="Times New Roman" w:hAnsi="Times New Roman" w:eastAsia="仿宋_GB2312" w:cs="Times New Roman"/>
          <w:sz w:val="24"/>
          <w:lang w:eastAsia="zh-CN"/>
        </w:rPr>
        <w:t>以及其他国家现行有关法律、法规、规范和标准等。</w:t>
      </w:r>
    </w:p>
    <w:bookmarkEnd w:id="0"/>
    <w:p w14:paraId="1BE27B75">
      <w:pPr>
        <w:numPr>
          <w:ilvl w:val="0"/>
          <w:numId w:val="5"/>
        </w:numPr>
        <w:adjustRightInd w:val="0"/>
        <w:snapToGrid w:val="0"/>
        <w:spacing w:line="360" w:lineRule="auto"/>
        <w:rPr>
          <w:rFonts w:eastAsia="仿宋_GB2312"/>
          <w:b/>
          <w:sz w:val="30"/>
        </w:rPr>
      </w:pPr>
      <w:r>
        <w:rPr>
          <w:rFonts w:eastAsia="仿宋_GB2312"/>
          <w:b/>
          <w:sz w:val="30"/>
        </w:rPr>
        <w:t>项目研究内容和实施方案</w:t>
      </w:r>
    </w:p>
    <w:p w14:paraId="4C72F420">
      <w:pPr>
        <w:adjustRightInd w:val="0"/>
        <w:snapToGrid w:val="0"/>
        <w:spacing w:line="360" w:lineRule="auto"/>
        <w:ind w:firstLine="480" w:firstLineChars="200"/>
        <w:rPr>
          <w:rFonts w:hint="eastAsia" w:ascii="Times New Roman" w:hAnsi="Times New Roman" w:eastAsia="仿宋_GB2312" w:cs="Times New Roman"/>
          <w:sz w:val="24"/>
          <w:highlight w:val="none"/>
          <w:lang w:val="en-US" w:eastAsia="zh-CN"/>
        </w:rPr>
      </w:pPr>
      <w:r>
        <w:rPr>
          <w:rFonts w:hint="eastAsia" w:ascii="Times New Roman" w:hAnsi="Times New Roman" w:eastAsia="仿宋_GB2312" w:cs="Times New Roman"/>
          <w:sz w:val="24"/>
          <w:highlight w:val="none"/>
          <w:lang w:val="en-US" w:eastAsia="zh-CN"/>
        </w:rPr>
        <w:t>主要研究内容和实施方案简述如下：</w:t>
      </w:r>
    </w:p>
    <w:p w14:paraId="50521AB3">
      <w:pPr>
        <w:adjustRightInd w:val="0"/>
        <w:snapToGrid w:val="0"/>
        <w:spacing w:line="360" w:lineRule="auto"/>
        <w:ind w:firstLine="482" w:firstLineChars="200"/>
        <w:rPr>
          <w:rFonts w:hint="default" w:ascii="Times New Roman" w:hAnsi="Times New Roman" w:eastAsia="仿宋_GB2312" w:cs="Times New Roman"/>
          <w:b/>
          <w:bCs/>
          <w:sz w:val="24"/>
          <w:lang w:val="en-US" w:eastAsia="zh-CN"/>
        </w:rPr>
      </w:pPr>
      <w:r>
        <w:rPr>
          <w:rFonts w:hint="eastAsia" w:ascii="Times New Roman" w:hAnsi="Times New Roman" w:eastAsia="仿宋_GB2312" w:cs="Times New Roman"/>
          <w:b/>
          <w:bCs/>
          <w:sz w:val="24"/>
          <w:lang w:val="en-US" w:eastAsia="zh-CN"/>
        </w:rPr>
        <w:t>1.徐州典型地区新能源渗透水平-电网运行状态的数据</w:t>
      </w:r>
      <w:r>
        <w:rPr>
          <w:rFonts w:hint="eastAsia" w:eastAsia="仿宋_GB2312" w:cs="Times New Roman"/>
          <w:b/>
          <w:bCs/>
          <w:sz w:val="24"/>
          <w:lang w:val="en-US" w:eastAsia="zh-CN"/>
        </w:rPr>
        <w:t>库</w:t>
      </w:r>
      <w:r>
        <w:rPr>
          <w:rFonts w:hint="eastAsia" w:ascii="Times New Roman" w:hAnsi="Times New Roman" w:eastAsia="仿宋_GB2312" w:cs="Times New Roman"/>
          <w:b/>
          <w:bCs/>
          <w:sz w:val="24"/>
          <w:lang w:val="en-US" w:eastAsia="zh-CN"/>
        </w:rPr>
        <w:t>构建</w:t>
      </w:r>
    </w:p>
    <w:p w14:paraId="1C7218A1">
      <w:pPr>
        <w:adjustRightInd w:val="0"/>
        <w:snapToGrid w:val="0"/>
        <w:spacing w:line="360" w:lineRule="auto"/>
        <w:ind w:firstLine="480" w:firstLineChars="200"/>
        <w:rPr>
          <w:rFonts w:hint="default" w:ascii="Times New Roman" w:hAnsi="Times New Roman" w:eastAsia="仿宋_GB2312" w:cs="Times New Roman"/>
          <w:sz w:val="24"/>
          <w:lang w:val="en-US" w:eastAsia="zh-CN"/>
        </w:rPr>
      </w:pPr>
      <w:r>
        <w:rPr>
          <w:rFonts w:hint="eastAsia" w:ascii="Times New Roman" w:hAnsi="Times New Roman" w:eastAsia="仿宋_GB2312" w:cs="Times New Roman"/>
          <w:sz w:val="24"/>
          <w:lang w:val="en-US" w:eastAsia="zh-CN"/>
        </w:rPr>
        <w:t>结合导则中对容载比的最新解读，统计</w:t>
      </w:r>
      <w:r>
        <w:rPr>
          <w:rFonts w:hint="eastAsia" w:eastAsia="仿宋_GB2312" w:cs="Times New Roman"/>
          <w:sz w:val="24"/>
          <w:lang w:val="en-US" w:eastAsia="zh-CN"/>
        </w:rPr>
        <w:t>近五年</w:t>
      </w:r>
      <w:r>
        <w:rPr>
          <w:rFonts w:hint="eastAsia" w:ascii="Times New Roman" w:hAnsi="Times New Roman" w:eastAsia="仿宋_GB2312" w:cs="Times New Roman"/>
          <w:sz w:val="24"/>
          <w:lang w:val="en-US" w:eastAsia="zh-CN"/>
        </w:rPr>
        <w:t>徐州典型新能源高渗透率地区的110（35）kV主变负载率、源荷比、电量渗透率等指标，主变负载率数据需分别统计其降压运行工况（夏、冬季大负荷方式）、升压运行工况（按春、秋季小负荷方式）</w:t>
      </w:r>
      <w:r>
        <w:rPr>
          <w:rFonts w:hint="eastAsia" w:eastAsia="仿宋_GB2312" w:cs="Times New Roman"/>
          <w:sz w:val="24"/>
          <w:lang w:val="en-US" w:eastAsia="zh-CN"/>
        </w:rPr>
        <w:t>，观察容载比、源荷比、电量渗透率之间的统计关系，</w:t>
      </w:r>
      <w:r>
        <w:rPr>
          <w:rFonts w:hint="eastAsia" w:ascii="Times New Roman" w:hAnsi="Times New Roman" w:eastAsia="仿宋_GB2312" w:cs="Times New Roman"/>
          <w:sz w:val="24"/>
          <w:lang w:val="en-US" w:eastAsia="zh-CN"/>
        </w:rPr>
        <w:t>建立“新能源渗透水平-电网运行状态”的关联数据库。</w:t>
      </w:r>
    </w:p>
    <w:p w14:paraId="707443EB">
      <w:pPr>
        <w:adjustRightInd w:val="0"/>
        <w:snapToGrid w:val="0"/>
        <w:spacing w:line="360" w:lineRule="auto"/>
        <w:ind w:firstLine="482" w:firstLineChars="200"/>
        <w:rPr>
          <w:rFonts w:hint="default" w:ascii="Times New Roman" w:hAnsi="Times New Roman" w:eastAsia="仿宋_GB2312" w:cs="Times New Roman"/>
          <w:b/>
          <w:bCs/>
          <w:sz w:val="24"/>
          <w:lang w:val="en-US" w:eastAsia="zh-CN"/>
        </w:rPr>
      </w:pPr>
      <w:r>
        <w:rPr>
          <w:rFonts w:hint="eastAsia" w:ascii="Times New Roman" w:hAnsi="Times New Roman" w:eastAsia="仿宋_GB2312" w:cs="Times New Roman"/>
          <w:b/>
          <w:bCs/>
          <w:sz w:val="24"/>
          <w:lang w:val="en-US" w:eastAsia="zh-CN"/>
        </w:rPr>
        <w:t>2.多场景电网规划方案与成本模型构建</w:t>
      </w:r>
    </w:p>
    <w:p w14:paraId="683BDC69">
      <w:pPr>
        <w:adjustRightInd w:val="0"/>
        <w:snapToGrid w:val="0"/>
        <w:spacing w:line="360" w:lineRule="auto"/>
        <w:ind w:firstLine="480" w:firstLineChars="200"/>
        <w:rPr>
          <w:rFonts w:hint="eastAsia" w:ascii="Times New Roman" w:hAnsi="Times New Roman" w:eastAsia="仿宋_GB2312" w:cs="Times New Roman"/>
          <w:sz w:val="24"/>
          <w:lang w:val="en-US" w:eastAsia="zh-CN"/>
        </w:rPr>
      </w:pPr>
      <w:r>
        <w:rPr>
          <w:rFonts w:hint="eastAsia" w:ascii="Times New Roman" w:hAnsi="Times New Roman" w:eastAsia="仿宋_GB2312" w:cs="Times New Roman"/>
          <w:sz w:val="24"/>
          <w:lang w:val="en-US" w:eastAsia="zh-CN"/>
        </w:rPr>
        <w:t>统计内容1中典型地区的10kV及以下的分布式新能源送出、电网配套扩容等成本，建立电网建设成本模型</w:t>
      </w:r>
      <w:r>
        <w:rPr>
          <w:rFonts w:hint="eastAsia" w:eastAsia="仿宋_GB2312" w:cs="Times New Roman"/>
          <w:sz w:val="24"/>
          <w:lang w:val="en-US" w:eastAsia="zh-CN"/>
        </w:rPr>
        <w:t>。</w:t>
      </w:r>
      <w:r>
        <w:rPr>
          <w:rFonts w:hint="eastAsia" w:ascii="Times New Roman" w:hAnsi="Times New Roman" w:eastAsia="仿宋_GB2312" w:cs="Times New Roman"/>
          <w:sz w:val="24"/>
          <w:lang w:val="en-US" w:eastAsia="zh-CN"/>
        </w:rPr>
        <w:t>模拟量化严格执行容载比≤2.0时，采用加强中压配电网联络等方式所需的电网建设成本。将满足容载比≤2.0的电网建设成本与不严格控制容载比指标条件下的电网建设成本进行对比分析，采用年费用法对比其全寿命周期成本，折算为可比的</w:t>
      </w:r>
      <w:r>
        <w:rPr>
          <w:rFonts w:hint="eastAsia" w:eastAsia="仿宋_GB2312" w:cs="Times New Roman"/>
          <w:sz w:val="24"/>
          <w:lang w:val="en-US" w:eastAsia="zh-CN"/>
        </w:rPr>
        <w:t>技术</w:t>
      </w:r>
      <w:r>
        <w:rPr>
          <w:rFonts w:hint="eastAsia" w:ascii="Times New Roman" w:hAnsi="Times New Roman" w:eastAsia="仿宋_GB2312" w:cs="Times New Roman"/>
          <w:sz w:val="24"/>
          <w:lang w:val="en-US" w:eastAsia="zh-CN"/>
        </w:rPr>
        <w:t>经济指标</w:t>
      </w:r>
      <w:r>
        <w:rPr>
          <w:rFonts w:hint="eastAsia" w:eastAsia="仿宋_GB2312" w:cs="Times New Roman"/>
          <w:sz w:val="24"/>
          <w:lang w:val="en-US" w:eastAsia="zh-CN"/>
        </w:rPr>
        <w:t>，比如折</w:t>
      </w:r>
      <w:r>
        <w:rPr>
          <w:rFonts w:hint="eastAsia" w:ascii="Times New Roman" w:hAnsi="Times New Roman" w:eastAsia="仿宋_GB2312" w:cs="Times New Roman"/>
          <w:sz w:val="24"/>
          <w:lang w:val="en-US" w:eastAsia="zh-CN"/>
        </w:rPr>
        <w:t>现率、单位停电成本</w:t>
      </w:r>
      <w:r>
        <w:rPr>
          <w:rFonts w:hint="eastAsia" w:eastAsia="仿宋_GB2312" w:cs="Times New Roman"/>
          <w:sz w:val="24"/>
          <w:lang w:val="en-US" w:eastAsia="zh-CN"/>
        </w:rPr>
        <w:t>等</w:t>
      </w:r>
      <w:r>
        <w:rPr>
          <w:rFonts w:hint="eastAsia" w:ascii="Times New Roman" w:hAnsi="Times New Roman" w:eastAsia="仿宋_GB2312" w:cs="Times New Roman"/>
          <w:sz w:val="24"/>
          <w:lang w:val="en-US" w:eastAsia="zh-CN"/>
        </w:rPr>
        <w:t>。</w:t>
      </w:r>
    </w:p>
    <w:p w14:paraId="25D90D0C">
      <w:pPr>
        <w:adjustRightInd w:val="0"/>
        <w:snapToGrid w:val="0"/>
        <w:spacing w:line="360" w:lineRule="auto"/>
        <w:ind w:firstLine="482" w:firstLineChars="200"/>
        <w:rPr>
          <w:rFonts w:hint="default" w:ascii="Times New Roman" w:hAnsi="Times New Roman" w:eastAsia="仿宋_GB2312" w:cs="Times New Roman"/>
          <w:b/>
          <w:bCs/>
          <w:sz w:val="24"/>
          <w:lang w:val="en-US" w:eastAsia="zh-CN"/>
        </w:rPr>
      </w:pPr>
      <w:r>
        <w:rPr>
          <w:rFonts w:hint="eastAsia" w:ascii="Times New Roman" w:hAnsi="Times New Roman" w:eastAsia="仿宋_GB2312" w:cs="Times New Roman"/>
          <w:b/>
          <w:bCs/>
          <w:sz w:val="24"/>
          <w:lang w:val="en-US" w:eastAsia="zh-CN"/>
        </w:rPr>
        <w:t>3.基于成本最优的弹性容载比决策分析</w:t>
      </w:r>
    </w:p>
    <w:p w14:paraId="399D7950">
      <w:pPr>
        <w:adjustRightInd w:val="0"/>
        <w:snapToGrid w:val="0"/>
        <w:spacing w:line="360" w:lineRule="auto"/>
        <w:ind w:firstLine="480" w:firstLineChars="200"/>
        <w:rPr>
          <w:rFonts w:hint="default" w:ascii="Times New Roman" w:hAnsi="Times New Roman" w:eastAsia="仿宋_GB2312" w:cs="Times New Roman"/>
          <w:sz w:val="24"/>
          <w:lang w:val="en-US" w:eastAsia="zh-CN"/>
        </w:rPr>
      </w:pPr>
      <w:r>
        <w:rPr>
          <w:rFonts w:hint="eastAsia" w:ascii="Times New Roman" w:hAnsi="Times New Roman" w:eastAsia="仿宋_GB2312" w:cs="Times New Roman"/>
          <w:sz w:val="24"/>
          <w:highlight w:val="none"/>
          <w:lang w:val="en-US" w:eastAsia="zh-CN"/>
        </w:rPr>
        <w:t>结合内容</w:t>
      </w:r>
      <w:r>
        <w:rPr>
          <w:rFonts w:hint="eastAsia" w:eastAsia="仿宋_GB2312" w:cs="Times New Roman"/>
          <w:sz w:val="24"/>
          <w:highlight w:val="none"/>
          <w:lang w:val="en-US" w:eastAsia="zh-CN"/>
        </w:rPr>
        <w:t>2</w:t>
      </w:r>
      <w:r>
        <w:rPr>
          <w:rFonts w:hint="eastAsia" w:ascii="Times New Roman" w:hAnsi="Times New Roman" w:eastAsia="仿宋_GB2312" w:cs="Times New Roman"/>
          <w:sz w:val="24"/>
          <w:highlight w:val="none"/>
          <w:lang w:val="en-US" w:eastAsia="zh-CN"/>
        </w:rPr>
        <w:t>的研究成果，对内</w:t>
      </w:r>
      <w:r>
        <w:rPr>
          <w:rFonts w:hint="eastAsia" w:ascii="Times New Roman" w:hAnsi="Times New Roman" w:eastAsia="仿宋_GB2312" w:cs="Times New Roman"/>
          <w:sz w:val="24"/>
          <w:lang w:val="en-US" w:eastAsia="zh-CN"/>
        </w:rPr>
        <w:t>容1中选取的地区进行规划年份的负荷预测及分布式光伏预测</w:t>
      </w:r>
      <w:r>
        <w:rPr>
          <w:rFonts w:hint="eastAsia" w:eastAsia="仿宋_GB2312" w:cs="Times New Roman"/>
          <w:sz w:val="24"/>
          <w:lang w:val="en-US" w:eastAsia="zh-CN"/>
        </w:rPr>
        <w:t>。</w:t>
      </w:r>
      <w:r>
        <w:rPr>
          <w:rFonts w:hint="eastAsia" w:ascii="Times New Roman" w:hAnsi="Times New Roman" w:eastAsia="仿宋_GB2312" w:cs="Times New Roman"/>
          <w:sz w:val="24"/>
          <w:lang w:val="en-US" w:eastAsia="zh-CN"/>
        </w:rPr>
        <w:t>基于预测结果，</w:t>
      </w:r>
      <w:r>
        <w:rPr>
          <w:rFonts w:hint="default" w:ascii="Times New Roman" w:hAnsi="Times New Roman" w:eastAsia="仿宋_GB2312" w:cs="Times New Roman"/>
          <w:sz w:val="24"/>
          <w:lang w:val="en-US" w:eastAsia="zh-CN"/>
        </w:rPr>
        <w:t>结合该片区的新能源发展预期、负荷增长阶段、现有网络结构等因素，提出“一片一策”的容载比弹性规划建议。</w:t>
      </w:r>
    </w:p>
    <w:p w14:paraId="73D86759">
      <w:pPr>
        <w:numPr>
          <w:ilvl w:val="0"/>
          <w:numId w:val="5"/>
        </w:numPr>
        <w:adjustRightInd w:val="0"/>
        <w:snapToGrid w:val="0"/>
        <w:spacing w:line="360" w:lineRule="auto"/>
        <w:rPr>
          <w:rFonts w:ascii="仿宋_GB2312" w:eastAsia="仿宋_GB2312"/>
          <w:b/>
          <w:sz w:val="30"/>
        </w:rPr>
      </w:pPr>
      <w:r>
        <w:rPr>
          <w:rFonts w:ascii="仿宋_GB2312" w:eastAsia="仿宋_GB2312"/>
          <w:b/>
          <w:sz w:val="30"/>
        </w:rPr>
        <w:t>预期目标和成果形式</w:t>
      </w:r>
    </w:p>
    <w:p w14:paraId="6FBD1CAC">
      <w:pPr>
        <w:adjustRightInd w:val="0"/>
        <w:snapToGrid w:val="0"/>
        <w:spacing w:line="360" w:lineRule="auto"/>
        <w:ind w:firstLine="480" w:firstLineChars="200"/>
        <w:rPr>
          <w:rFonts w:hint="eastAsia" w:ascii="Times New Roman" w:hAnsi="Times New Roman" w:eastAsia="仿宋_GB2312" w:cs="Times New Roman"/>
          <w:sz w:val="24"/>
          <w:lang w:val="en-US" w:eastAsia="zh-CN"/>
        </w:rPr>
      </w:pPr>
      <w:r>
        <w:rPr>
          <w:rFonts w:hint="eastAsia" w:ascii="Times New Roman" w:hAnsi="Times New Roman" w:eastAsia="仿宋_GB2312" w:cs="Times New Roman"/>
          <w:sz w:val="24"/>
          <w:lang w:val="en-US" w:eastAsia="zh-CN"/>
        </w:rPr>
        <w:t>预期目标：</w:t>
      </w:r>
    </w:p>
    <w:p w14:paraId="363ACFD3">
      <w:pPr>
        <w:adjustRightInd w:val="0"/>
        <w:snapToGrid w:val="0"/>
        <w:spacing w:line="360" w:lineRule="auto"/>
        <w:ind w:firstLine="480" w:firstLineChars="200"/>
        <w:rPr>
          <w:rFonts w:hint="eastAsia" w:ascii="Times New Roman" w:hAnsi="Times New Roman" w:eastAsia="仿宋_GB2312" w:cs="Times New Roman"/>
          <w:sz w:val="24"/>
          <w:lang w:val="en-US" w:eastAsia="zh-CN"/>
        </w:rPr>
      </w:pPr>
      <w:r>
        <w:rPr>
          <w:rFonts w:hint="eastAsia" w:ascii="Times New Roman" w:hAnsi="Times New Roman" w:eastAsia="仿宋_GB2312" w:cs="Times New Roman"/>
          <w:sz w:val="24"/>
          <w:lang w:val="en-US" w:eastAsia="zh-CN"/>
        </w:rPr>
        <w:t>在徐州分布式新能源高渗透率地区，开展容载比相关的多项统计分析，量化不同容载比条件下电网建设成本，给出不同指标下经济性最优的电网规划方案建议，基于负荷、分布式光伏预测形成经济性最优的容载比弹性指标优化方案。</w:t>
      </w:r>
    </w:p>
    <w:p w14:paraId="5E3F2920">
      <w:pPr>
        <w:adjustRightInd w:val="0"/>
        <w:snapToGrid w:val="0"/>
        <w:spacing w:line="360" w:lineRule="auto"/>
        <w:ind w:firstLine="480" w:firstLineChars="200"/>
        <w:rPr>
          <w:rFonts w:hint="eastAsia" w:ascii="Times New Roman" w:hAnsi="Times New Roman" w:eastAsia="仿宋_GB2312" w:cs="Times New Roman"/>
          <w:sz w:val="24"/>
          <w:lang w:val="en-US" w:eastAsia="zh-CN"/>
        </w:rPr>
      </w:pPr>
      <w:r>
        <w:rPr>
          <w:rFonts w:hint="eastAsia" w:ascii="Times New Roman" w:hAnsi="Times New Roman" w:eastAsia="仿宋_GB2312" w:cs="Times New Roman"/>
          <w:sz w:val="24"/>
          <w:lang w:val="en-US" w:eastAsia="zh-CN"/>
        </w:rPr>
        <w:t>成果形式</w:t>
      </w:r>
    </w:p>
    <w:p w14:paraId="7CB0CD80">
      <w:pPr>
        <w:adjustRightInd w:val="0"/>
        <w:snapToGrid w:val="0"/>
        <w:spacing w:line="360" w:lineRule="auto"/>
        <w:ind w:firstLine="480" w:firstLineChars="200"/>
        <w:rPr>
          <w:rFonts w:hint="eastAsia" w:ascii="Times New Roman" w:hAnsi="Times New Roman" w:eastAsia="仿宋_GB2312" w:cs="Times New Roman"/>
          <w:sz w:val="24"/>
          <w:lang w:val="en-US" w:eastAsia="zh-CN"/>
        </w:rPr>
      </w:pPr>
      <w:r>
        <w:rPr>
          <w:rFonts w:hint="eastAsia" w:ascii="Times New Roman" w:hAnsi="Times New Roman" w:eastAsia="仿宋_GB2312" w:cs="Times New Roman"/>
          <w:sz w:val="24"/>
          <w:lang w:val="en-US" w:eastAsia="zh-CN"/>
        </w:rPr>
        <w:t>（1）编制《徐州地区分布式新能源高渗透率地区110kV电网容载比弹性指标优化研究》技术研究报告：</w:t>
      </w:r>
    </w:p>
    <w:p w14:paraId="48634CAA">
      <w:pPr>
        <w:adjustRightInd w:val="0"/>
        <w:snapToGrid w:val="0"/>
        <w:spacing w:line="360" w:lineRule="auto"/>
        <w:ind w:firstLine="480" w:firstLineChars="200"/>
        <w:rPr>
          <w:rFonts w:hint="eastAsia" w:ascii="Times New Roman" w:hAnsi="Times New Roman" w:eastAsia="仿宋_GB2312" w:cs="Times New Roman"/>
          <w:sz w:val="24"/>
          <w:lang w:val="en-US" w:eastAsia="zh-CN"/>
        </w:rPr>
      </w:pPr>
      <w:r>
        <w:rPr>
          <w:rFonts w:hint="eastAsia" w:ascii="Times New Roman" w:hAnsi="Times New Roman" w:eastAsia="仿宋_GB2312" w:cs="Times New Roman"/>
          <w:sz w:val="24"/>
          <w:lang w:val="en-US" w:eastAsia="zh-CN"/>
        </w:rPr>
        <w:t>（2）发表论文1篇。</w:t>
      </w:r>
    </w:p>
    <w:p w14:paraId="70A5B764">
      <w:pPr>
        <w:keepNext w:val="0"/>
        <w:keepLines w:val="0"/>
        <w:pageBreakBefore w:val="0"/>
        <w:widowControl w:val="0"/>
        <w:kinsoku/>
        <w:wordWrap/>
        <w:overflowPunct/>
        <w:topLinePunct w:val="0"/>
        <w:autoSpaceDE/>
        <w:autoSpaceDN/>
        <w:bidi w:val="0"/>
        <w:adjustRightInd/>
        <w:snapToGrid/>
        <w:ind w:firstLine="562" w:firstLineChars="200"/>
        <w:textAlignment w:val="auto"/>
        <w:rPr>
          <w:highlight w:val="yellow"/>
        </w:rPr>
      </w:pPr>
      <w:r>
        <w:rPr>
          <w:rStyle w:val="69"/>
          <w:rFonts w:hint="eastAsia" w:ascii="仿宋" w:hAnsi="仿宋" w:eastAsia="仿宋" w:cs="仿宋"/>
          <w:sz w:val="28"/>
          <w:szCs w:val="28"/>
          <w:highlight w:val="yellow"/>
          <w:lang w:val="en-US" w:eastAsia="zh-CN"/>
        </w:rPr>
        <w:t>六</w:t>
      </w:r>
      <w:r>
        <w:rPr>
          <w:rStyle w:val="69"/>
          <w:rFonts w:hint="eastAsia" w:ascii="仿宋" w:hAnsi="仿宋" w:eastAsia="仿宋" w:cs="仿宋"/>
          <w:sz w:val="28"/>
          <w:szCs w:val="28"/>
          <w:highlight w:val="yellow"/>
        </w:rPr>
        <w:t>、  进度计划及考核目标</w:t>
      </w:r>
    </w:p>
    <w:tbl>
      <w:tblPr>
        <w:tblStyle w:val="20"/>
        <w:tblW w:w="8830" w:type="dxa"/>
        <w:tblInd w:w="108"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1051"/>
        <w:gridCol w:w="7779"/>
      </w:tblGrid>
      <w:tr w14:paraId="236D858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cantSplit/>
          <w:trHeight w:val="2420" w:hRule="atLeast"/>
        </w:trPr>
        <w:tc>
          <w:tcPr>
            <w:tcW w:w="1051" w:type="dxa"/>
            <w:noWrap w:val="0"/>
            <w:vAlign w:val="center"/>
          </w:tcPr>
          <w:p w14:paraId="40CC258E">
            <w:pPr>
              <w:adjustRightInd w:val="0"/>
              <w:snapToGrid w:val="0"/>
              <w:spacing w:line="288" w:lineRule="auto"/>
              <w:jc w:val="center"/>
              <w:rPr>
                <w:rFonts w:eastAsia="仿宋_GB2312"/>
                <w:sz w:val="24"/>
              </w:rPr>
            </w:pPr>
            <w:r>
              <w:rPr>
                <w:rFonts w:hint="eastAsia" w:eastAsia="仿宋_GB2312"/>
                <w:sz w:val="24"/>
                <w:lang w:val="en-US" w:eastAsia="zh-CN"/>
              </w:rPr>
              <w:t>1</w:t>
            </w:r>
            <w:r>
              <w:rPr>
                <w:rFonts w:eastAsia="仿宋_GB2312"/>
                <w:sz w:val="24"/>
              </w:rPr>
              <w:t>.1</w:t>
            </w:r>
          </w:p>
        </w:tc>
        <w:tc>
          <w:tcPr>
            <w:tcW w:w="7779" w:type="dxa"/>
            <w:noWrap w:val="0"/>
            <w:vAlign w:val="top"/>
          </w:tcPr>
          <w:p w14:paraId="20405EED">
            <w:pPr>
              <w:adjustRightInd w:val="0"/>
              <w:snapToGrid w:val="0"/>
              <w:spacing w:line="288" w:lineRule="auto"/>
              <w:ind w:right="72"/>
              <w:rPr>
                <w:rStyle w:val="27"/>
              </w:rPr>
            </w:pPr>
            <w:r>
              <w:rPr>
                <w:rFonts w:hint="eastAsia" w:eastAsia="仿宋_GB2312"/>
                <w:b/>
                <w:sz w:val="24"/>
              </w:rPr>
              <w:t>202</w:t>
            </w:r>
            <w:r>
              <w:rPr>
                <w:rFonts w:hint="eastAsia" w:eastAsia="仿宋_GB2312"/>
                <w:b/>
                <w:sz w:val="24"/>
                <w:lang w:val="en-US" w:eastAsia="zh-CN"/>
              </w:rPr>
              <w:t>6</w:t>
            </w:r>
            <w:r>
              <w:rPr>
                <w:rFonts w:eastAsia="仿宋_GB2312"/>
                <w:b/>
                <w:sz w:val="24"/>
              </w:rPr>
              <w:t>年</w:t>
            </w:r>
            <w:r>
              <w:rPr>
                <w:rFonts w:hint="eastAsia" w:eastAsia="仿宋_GB2312"/>
                <w:b/>
                <w:sz w:val="24"/>
                <w:lang w:val="en-US" w:eastAsia="zh-CN"/>
              </w:rPr>
              <w:t>1</w:t>
            </w:r>
            <w:r>
              <w:rPr>
                <w:rFonts w:eastAsia="仿宋_GB2312"/>
                <w:b/>
                <w:sz w:val="24"/>
              </w:rPr>
              <w:t>月—</w:t>
            </w:r>
            <w:r>
              <w:rPr>
                <w:rFonts w:hint="eastAsia" w:eastAsia="仿宋_GB2312"/>
                <w:b/>
                <w:sz w:val="24"/>
              </w:rPr>
              <w:t xml:space="preserve"> 202</w:t>
            </w:r>
            <w:r>
              <w:rPr>
                <w:rFonts w:hint="eastAsia" w:eastAsia="仿宋_GB2312"/>
                <w:b/>
                <w:sz w:val="24"/>
                <w:lang w:val="en-US" w:eastAsia="zh-CN"/>
              </w:rPr>
              <w:t>6</w:t>
            </w:r>
            <w:r>
              <w:rPr>
                <w:rFonts w:eastAsia="仿宋_GB2312"/>
                <w:b/>
                <w:sz w:val="24"/>
              </w:rPr>
              <w:t>年</w:t>
            </w:r>
            <w:r>
              <w:rPr>
                <w:rFonts w:hint="eastAsia" w:eastAsia="仿宋_GB2312"/>
                <w:b/>
                <w:sz w:val="24"/>
                <w:lang w:val="en-US" w:eastAsia="zh-CN"/>
              </w:rPr>
              <w:t>3</w:t>
            </w:r>
            <w:r>
              <w:rPr>
                <w:rFonts w:eastAsia="仿宋_GB2312"/>
                <w:b/>
                <w:sz w:val="24"/>
              </w:rPr>
              <w:t xml:space="preserve">月 </w:t>
            </w:r>
          </w:p>
          <w:p w14:paraId="79A9557F">
            <w:pPr>
              <w:adjustRightInd w:val="0"/>
              <w:snapToGrid w:val="0"/>
              <w:spacing w:line="288" w:lineRule="auto"/>
              <w:ind w:right="249"/>
              <w:jc w:val="left"/>
              <w:rPr>
                <w:rFonts w:eastAsia="仿宋_GB2312"/>
                <w:sz w:val="24"/>
              </w:rPr>
            </w:pPr>
            <w:r>
              <w:rPr>
                <w:rFonts w:eastAsia="仿宋_GB2312"/>
                <w:b/>
                <w:sz w:val="24"/>
              </w:rPr>
              <w:t>主要内容：</w:t>
            </w:r>
          </w:p>
          <w:p w14:paraId="34C48254">
            <w:pPr>
              <w:rPr>
                <w:rFonts w:hint="eastAsia" w:ascii="Times New Roman" w:hAnsi="Times New Roman" w:eastAsia="仿宋_GB2312" w:cs="Times New Roman"/>
                <w:b w:val="0"/>
                <w:bCs w:val="0"/>
                <w:kern w:val="0"/>
                <w:sz w:val="24"/>
                <w:lang w:val="en-US" w:eastAsia="zh-Hans"/>
              </w:rPr>
            </w:pPr>
            <w:r>
              <w:rPr>
                <w:rFonts w:hint="eastAsia" w:ascii="Times New Roman" w:hAnsi="Times New Roman" w:eastAsia="仿宋_GB2312" w:cs="Times New Roman"/>
                <w:kern w:val="0"/>
                <w:sz w:val="24"/>
                <w:lang w:val="en-US" w:eastAsia="zh-CN"/>
              </w:rPr>
              <w:t>（1）</w:t>
            </w:r>
            <w:r>
              <w:rPr>
                <w:rFonts w:hint="eastAsia" w:eastAsia="仿宋_GB2312" w:cs="Times New Roman"/>
                <w:kern w:val="0"/>
                <w:sz w:val="24"/>
                <w:lang w:val="en-US" w:eastAsia="zh-CN"/>
              </w:rPr>
              <w:t>明确收资内容、收资对象，开展近五年徐州地区</w:t>
            </w:r>
            <w:r>
              <w:rPr>
                <w:rFonts w:hint="eastAsia" w:ascii="Times New Roman" w:hAnsi="Times New Roman" w:eastAsia="仿宋_GB2312" w:cs="Times New Roman"/>
                <w:sz w:val="24"/>
                <w:lang w:val="en-US" w:eastAsia="zh-CN"/>
              </w:rPr>
              <w:t>主变负载率、源荷比、电量渗透率等</w:t>
            </w:r>
            <w:r>
              <w:rPr>
                <w:rFonts w:hint="eastAsia" w:eastAsia="仿宋_GB2312" w:cs="Times New Roman"/>
                <w:sz w:val="24"/>
                <w:lang w:val="en-US" w:eastAsia="zh-CN"/>
              </w:rPr>
              <w:t>数据</w:t>
            </w:r>
            <w:r>
              <w:rPr>
                <w:rFonts w:hint="eastAsia" w:eastAsia="仿宋_GB2312" w:cs="Times New Roman"/>
                <w:kern w:val="0"/>
                <w:sz w:val="24"/>
                <w:lang w:val="en-US" w:eastAsia="zh-CN"/>
              </w:rPr>
              <w:t>收资；</w:t>
            </w:r>
            <w:r>
              <w:rPr>
                <w:rFonts w:hint="eastAsia" w:ascii="Times New Roman" w:hAnsi="Times New Roman" w:eastAsia="仿宋_GB2312" w:cs="Times New Roman"/>
                <w:kern w:val="0"/>
                <w:sz w:val="24"/>
                <w:lang w:val="en-US" w:eastAsia="zh-Hans"/>
              </w:rPr>
              <w:t>结合国内外研究现状，对技术路线和研究内容展开调研</w:t>
            </w:r>
            <w:r>
              <w:rPr>
                <w:rFonts w:hint="eastAsia" w:eastAsia="仿宋_GB2312" w:cs="Times New Roman"/>
                <w:kern w:val="0"/>
                <w:sz w:val="24"/>
                <w:lang w:val="en-US" w:eastAsia="zh-CN"/>
              </w:rPr>
              <w:t>，确立</w:t>
            </w:r>
            <w:r>
              <w:rPr>
                <w:rFonts w:hint="eastAsia" w:ascii="Times New Roman" w:hAnsi="Times New Roman" w:eastAsia="仿宋_GB2312" w:cs="Times New Roman"/>
                <w:kern w:val="0"/>
                <w:sz w:val="24"/>
                <w:lang w:val="en-US" w:eastAsia="zh-Hans"/>
              </w:rPr>
              <w:t>研究工作思路和可行的基本技术方法</w:t>
            </w:r>
            <w:r>
              <w:rPr>
                <w:rFonts w:hint="eastAsia" w:ascii="Times New Roman" w:hAnsi="Times New Roman" w:eastAsia="仿宋_GB2312" w:cs="Times New Roman"/>
                <w:b w:val="0"/>
                <w:bCs w:val="0"/>
                <w:kern w:val="0"/>
                <w:sz w:val="24"/>
                <w:lang w:val="en-US" w:eastAsia="zh-Hans"/>
              </w:rPr>
              <w:t>；</w:t>
            </w:r>
          </w:p>
          <w:p w14:paraId="4DA29ED7">
            <w:pPr>
              <w:adjustRightInd w:val="0"/>
              <w:snapToGrid w:val="0"/>
              <w:spacing w:line="288" w:lineRule="auto"/>
              <w:ind w:right="249"/>
              <w:jc w:val="left"/>
              <w:rPr>
                <w:rFonts w:eastAsia="仿宋_GB2312"/>
                <w:b/>
                <w:sz w:val="24"/>
              </w:rPr>
            </w:pPr>
            <w:commentRangeStart w:id="0"/>
            <w:r>
              <w:rPr>
                <w:rFonts w:eastAsia="仿宋_GB2312"/>
                <w:b/>
                <w:sz w:val="24"/>
              </w:rPr>
              <w:t>考核目标：</w:t>
            </w:r>
            <w:commentRangeEnd w:id="0"/>
            <w:r>
              <w:rPr>
                <w:rStyle w:val="27"/>
              </w:rPr>
              <w:commentReference w:id="0"/>
            </w:r>
          </w:p>
          <w:p w14:paraId="4B55243B">
            <w:pPr>
              <w:numPr>
                <w:ilvl w:val="0"/>
                <w:numId w:val="0"/>
              </w:numPr>
            </w:pPr>
            <w:r>
              <w:rPr>
                <w:rFonts w:hint="eastAsia" w:eastAsia="仿宋_GB2312"/>
                <w:sz w:val="24"/>
                <w:lang w:eastAsia="zh-CN"/>
              </w:rPr>
              <w:t>（</w:t>
            </w:r>
            <w:r>
              <w:rPr>
                <w:rFonts w:hint="eastAsia" w:eastAsia="仿宋_GB2312"/>
                <w:sz w:val="24"/>
                <w:lang w:val="en-US" w:eastAsia="zh-CN"/>
              </w:rPr>
              <w:t>1</w:t>
            </w:r>
            <w:r>
              <w:rPr>
                <w:rFonts w:hint="eastAsia" w:eastAsia="仿宋_GB2312"/>
                <w:sz w:val="24"/>
                <w:lang w:eastAsia="zh-CN"/>
              </w:rPr>
              <w:t>）</w:t>
            </w:r>
            <w:r>
              <w:rPr>
                <w:rFonts w:hint="eastAsia" w:eastAsia="仿宋_GB2312"/>
                <w:sz w:val="24"/>
                <w:lang w:val="en-US" w:eastAsia="zh-CN"/>
              </w:rPr>
              <w:t>初步完成收资、确立</w:t>
            </w:r>
            <w:r>
              <w:rPr>
                <w:rFonts w:ascii="仿宋_GB2312" w:hAnsi="仿宋_GB2312" w:eastAsia="仿宋_GB2312" w:cs="仿宋_GB2312"/>
                <w:color w:val="000000"/>
                <w:kern w:val="0"/>
                <w:sz w:val="24"/>
                <w:szCs w:val="24"/>
                <w:lang w:val="en-US" w:eastAsia="zh-CN" w:bidi="ar"/>
              </w:rPr>
              <w:t>技术</w:t>
            </w:r>
            <w:r>
              <w:rPr>
                <w:rFonts w:hint="eastAsia" w:ascii="仿宋_GB2312" w:hAnsi="仿宋_GB2312" w:eastAsia="仿宋_GB2312" w:cs="仿宋_GB2312"/>
                <w:color w:val="000000"/>
                <w:kern w:val="0"/>
                <w:sz w:val="24"/>
                <w:szCs w:val="24"/>
                <w:lang w:val="en-US" w:eastAsia="zh-CN" w:bidi="ar"/>
              </w:rPr>
              <w:t>路线和研究</w:t>
            </w:r>
            <w:r>
              <w:rPr>
                <w:rFonts w:ascii="仿宋_GB2312" w:hAnsi="仿宋_GB2312" w:eastAsia="仿宋_GB2312" w:cs="仿宋_GB2312"/>
                <w:color w:val="000000"/>
                <w:kern w:val="0"/>
                <w:sz w:val="24"/>
                <w:szCs w:val="24"/>
                <w:lang w:val="en-US" w:eastAsia="zh-CN" w:bidi="ar"/>
              </w:rPr>
              <w:t>方案。</w:t>
            </w:r>
          </w:p>
          <w:p w14:paraId="6F77D4E1">
            <w:pPr>
              <w:adjustRightInd w:val="0"/>
              <w:snapToGrid w:val="0"/>
              <w:spacing w:line="288" w:lineRule="auto"/>
              <w:ind w:right="72"/>
              <w:rPr>
                <w:rStyle w:val="27"/>
              </w:rPr>
            </w:pPr>
            <w:r>
              <w:rPr>
                <w:rFonts w:hint="eastAsia" w:eastAsia="仿宋_GB2312"/>
                <w:b/>
                <w:sz w:val="24"/>
              </w:rPr>
              <w:t>202</w:t>
            </w:r>
            <w:r>
              <w:rPr>
                <w:rFonts w:hint="eastAsia" w:eastAsia="仿宋_GB2312"/>
                <w:b/>
                <w:sz w:val="24"/>
                <w:lang w:val="en-US" w:eastAsia="zh-CN"/>
              </w:rPr>
              <w:t>6</w:t>
            </w:r>
            <w:r>
              <w:rPr>
                <w:rFonts w:eastAsia="仿宋_GB2312"/>
                <w:b/>
                <w:sz w:val="24"/>
              </w:rPr>
              <w:t>年</w:t>
            </w:r>
            <w:r>
              <w:rPr>
                <w:rFonts w:hint="eastAsia" w:eastAsia="仿宋_GB2312"/>
                <w:b/>
                <w:sz w:val="24"/>
                <w:lang w:val="en-US" w:eastAsia="zh-CN"/>
              </w:rPr>
              <w:t>3</w:t>
            </w:r>
            <w:r>
              <w:rPr>
                <w:rFonts w:eastAsia="仿宋_GB2312"/>
                <w:b/>
                <w:sz w:val="24"/>
              </w:rPr>
              <w:t>月—</w:t>
            </w:r>
            <w:r>
              <w:rPr>
                <w:rFonts w:hint="eastAsia" w:eastAsia="仿宋_GB2312"/>
                <w:b/>
                <w:sz w:val="24"/>
              </w:rPr>
              <w:t xml:space="preserve"> 202</w:t>
            </w:r>
            <w:r>
              <w:rPr>
                <w:rFonts w:hint="eastAsia" w:eastAsia="仿宋_GB2312"/>
                <w:b/>
                <w:sz w:val="24"/>
                <w:lang w:val="en-US" w:eastAsia="zh-CN"/>
              </w:rPr>
              <w:t>6</w:t>
            </w:r>
            <w:r>
              <w:rPr>
                <w:rFonts w:eastAsia="仿宋_GB2312"/>
                <w:b/>
                <w:sz w:val="24"/>
              </w:rPr>
              <w:t>年</w:t>
            </w:r>
            <w:r>
              <w:rPr>
                <w:rFonts w:hint="eastAsia" w:eastAsia="仿宋_GB2312"/>
                <w:b/>
                <w:sz w:val="24"/>
                <w:lang w:val="en-US" w:eastAsia="zh-CN"/>
              </w:rPr>
              <w:t>4</w:t>
            </w:r>
            <w:r>
              <w:rPr>
                <w:rFonts w:eastAsia="仿宋_GB2312"/>
                <w:b/>
                <w:sz w:val="24"/>
              </w:rPr>
              <w:t xml:space="preserve">月 </w:t>
            </w:r>
          </w:p>
          <w:p w14:paraId="0EADCF5E">
            <w:pPr>
              <w:adjustRightInd w:val="0"/>
              <w:snapToGrid w:val="0"/>
              <w:spacing w:line="288" w:lineRule="auto"/>
              <w:ind w:right="249"/>
              <w:jc w:val="left"/>
              <w:rPr>
                <w:rFonts w:eastAsia="仿宋_GB2312"/>
                <w:sz w:val="24"/>
              </w:rPr>
            </w:pPr>
            <w:r>
              <w:rPr>
                <w:rFonts w:eastAsia="仿宋_GB2312"/>
                <w:b/>
                <w:sz w:val="24"/>
              </w:rPr>
              <w:t>主要内容：</w:t>
            </w:r>
          </w:p>
          <w:p w14:paraId="2CF26E88">
            <w:pPr>
              <w:numPr>
                <w:ilvl w:val="0"/>
                <w:numId w:val="8"/>
              </w:numPr>
              <w:rPr>
                <w:rFonts w:hint="eastAsia" w:ascii="Times New Roman" w:hAnsi="Times New Roman" w:eastAsia="仿宋_GB2312" w:cs="Times New Roman"/>
                <w:kern w:val="0"/>
                <w:sz w:val="24"/>
                <w:lang w:val="en-US" w:eastAsia="zh-Hans"/>
              </w:rPr>
            </w:pPr>
            <w:r>
              <w:rPr>
                <w:rFonts w:hint="eastAsia" w:eastAsia="仿宋_GB2312" w:cs="Times New Roman"/>
                <w:kern w:val="0"/>
                <w:sz w:val="24"/>
                <w:lang w:val="en-US" w:eastAsia="zh-CN"/>
              </w:rPr>
              <w:t>配合地市公司及计划技经中心编制招、投标技术规范书。</w:t>
            </w:r>
          </w:p>
          <w:p w14:paraId="6BC77A8E">
            <w:pPr>
              <w:numPr>
                <w:ilvl w:val="0"/>
                <w:numId w:val="8"/>
              </w:numPr>
              <w:rPr>
                <w:rFonts w:hint="eastAsia" w:ascii="Times New Roman" w:hAnsi="Times New Roman" w:eastAsia="仿宋_GB2312" w:cs="Times New Roman"/>
                <w:kern w:val="0"/>
                <w:sz w:val="24"/>
                <w:lang w:val="en-US" w:eastAsia="zh-Hans"/>
              </w:rPr>
            </w:pPr>
            <w:r>
              <w:rPr>
                <w:rFonts w:hint="eastAsia" w:eastAsia="仿宋_GB2312" w:cs="Times New Roman"/>
                <w:kern w:val="0"/>
                <w:sz w:val="24"/>
                <w:lang w:val="en-US" w:eastAsia="zh-CN"/>
              </w:rPr>
              <w:t>中标后，尽快</w:t>
            </w:r>
            <w:r>
              <w:rPr>
                <w:rFonts w:hint="eastAsia" w:ascii="Times New Roman" w:hAnsi="Times New Roman" w:eastAsia="仿宋_GB2312" w:cs="Times New Roman"/>
                <w:kern w:val="0"/>
                <w:sz w:val="24"/>
                <w:lang w:val="en-US" w:eastAsia="zh-Hans"/>
              </w:rPr>
              <w:t>召开课题启动会；</w:t>
            </w:r>
          </w:p>
          <w:p w14:paraId="1F3B6918">
            <w:pPr>
              <w:adjustRightInd w:val="0"/>
              <w:snapToGrid w:val="0"/>
              <w:spacing w:line="288" w:lineRule="auto"/>
              <w:ind w:right="249"/>
              <w:jc w:val="left"/>
              <w:rPr>
                <w:rFonts w:eastAsia="仿宋_GB2312"/>
                <w:b/>
                <w:sz w:val="24"/>
              </w:rPr>
            </w:pPr>
            <w:r>
              <w:rPr>
                <w:rFonts w:eastAsia="仿宋_GB2312"/>
                <w:b/>
                <w:sz w:val="24"/>
              </w:rPr>
              <w:t>考核目标：</w:t>
            </w:r>
          </w:p>
          <w:p w14:paraId="3A3446E6">
            <w:pPr>
              <w:keepNext w:val="0"/>
              <w:keepLines w:val="0"/>
              <w:widowControl/>
              <w:suppressLineNumbers w:val="0"/>
              <w:jc w:val="left"/>
              <w:rPr>
                <w:rFonts w:hint="eastAsia" w:eastAsia="仿宋_GB2312"/>
                <w:b/>
                <w:sz w:val="24"/>
              </w:rPr>
            </w:pPr>
            <w:r>
              <w:rPr>
                <w:rFonts w:eastAsia="仿宋_GB2312"/>
                <w:sz w:val="24"/>
              </w:rPr>
              <w:t>(1)</w:t>
            </w:r>
            <w:r>
              <w:rPr>
                <w:rFonts w:hint="eastAsia" w:eastAsia="仿宋_GB2312"/>
                <w:sz w:val="24"/>
              </w:rPr>
              <w:t xml:space="preserve"> </w:t>
            </w:r>
            <w:r>
              <w:rPr>
                <w:rFonts w:hint="eastAsia" w:eastAsia="仿宋_GB2312"/>
                <w:sz w:val="24"/>
                <w:lang w:val="en-US" w:eastAsia="zh-CN"/>
              </w:rPr>
              <w:t>补充收资完成</w:t>
            </w:r>
            <w:r>
              <w:rPr>
                <w:rFonts w:hint="eastAsia" w:eastAsia="仿宋_GB2312"/>
                <w:sz w:val="24"/>
                <w:lang w:eastAsia="zh-CN"/>
              </w:rPr>
              <w:t>，</w:t>
            </w:r>
            <w:r>
              <w:rPr>
                <w:rFonts w:hint="eastAsia" w:eastAsia="仿宋_GB2312"/>
                <w:sz w:val="24"/>
                <w:lang w:val="en-US" w:eastAsia="zh-CN"/>
              </w:rPr>
              <w:t>确立</w:t>
            </w:r>
            <w:r>
              <w:rPr>
                <w:rFonts w:ascii="仿宋_GB2312" w:hAnsi="仿宋_GB2312" w:eastAsia="仿宋_GB2312" w:cs="仿宋_GB2312"/>
                <w:color w:val="000000"/>
                <w:kern w:val="0"/>
                <w:sz w:val="24"/>
                <w:szCs w:val="24"/>
                <w:lang w:val="en-US" w:eastAsia="zh-CN" w:bidi="ar"/>
              </w:rPr>
              <w:t>详细</w:t>
            </w:r>
            <w:r>
              <w:rPr>
                <w:rFonts w:hint="eastAsia" w:ascii="仿宋_GB2312" w:hAnsi="仿宋_GB2312" w:eastAsia="仿宋_GB2312" w:cs="仿宋_GB2312"/>
                <w:color w:val="000000"/>
                <w:kern w:val="0"/>
                <w:sz w:val="24"/>
                <w:szCs w:val="24"/>
                <w:lang w:val="en-US" w:eastAsia="zh-CN" w:bidi="ar"/>
              </w:rPr>
              <w:t>、可执行</w:t>
            </w:r>
            <w:r>
              <w:rPr>
                <w:rFonts w:ascii="仿宋_GB2312" w:hAnsi="仿宋_GB2312" w:eastAsia="仿宋_GB2312" w:cs="仿宋_GB2312"/>
                <w:color w:val="000000"/>
                <w:kern w:val="0"/>
                <w:sz w:val="24"/>
                <w:szCs w:val="24"/>
                <w:lang w:val="en-US" w:eastAsia="zh-CN" w:bidi="ar"/>
              </w:rPr>
              <w:t>的研究技术方案。</w:t>
            </w:r>
          </w:p>
        </w:tc>
      </w:tr>
      <w:tr w14:paraId="1633163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cantSplit/>
          <w:trHeight w:val="1763" w:hRule="atLeast"/>
        </w:trPr>
        <w:tc>
          <w:tcPr>
            <w:tcW w:w="1051" w:type="dxa"/>
            <w:noWrap w:val="0"/>
            <w:vAlign w:val="center"/>
          </w:tcPr>
          <w:p w14:paraId="36023D9F">
            <w:pPr>
              <w:adjustRightInd w:val="0"/>
              <w:snapToGrid w:val="0"/>
              <w:spacing w:line="288" w:lineRule="auto"/>
              <w:jc w:val="center"/>
              <w:rPr>
                <w:rFonts w:eastAsia="仿宋_GB2312"/>
                <w:sz w:val="24"/>
              </w:rPr>
            </w:pPr>
            <w:r>
              <w:rPr>
                <w:rFonts w:hint="eastAsia" w:eastAsia="仿宋_GB2312"/>
                <w:sz w:val="24"/>
                <w:lang w:val="en-US" w:eastAsia="zh-CN"/>
              </w:rPr>
              <w:t>1</w:t>
            </w:r>
            <w:r>
              <w:rPr>
                <w:rFonts w:eastAsia="仿宋_GB2312"/>
                <w:sz w:val="24"/>
              </w:rPr>
              <w:t>.2</w:t>
            </w:r>
          </w:p>
        </w:tc>
        <w:tc>
          <w:tcPr>
            <w:tcW w:w="7779" w:type="dxa"/>
            <w:noWrap w:val="0"/>
            <w:vAlign w:val="top"/>
          </w:tcPr>
          <w:p w14:paraId="4C33205C">
            <w:pPr>
              <w:adjustRightInd w:val="0"/>
              <w:snapToGrid w:val="0"/>
              <w:spacing w:line="288" w:lineRule="auto"/>
              <w:ind w:right="72"/>
              <w:rPr>
                <w:rFonts w:eastAsia="仿宋_GB2312"/>
                <w:sz w:val="24"/>
              </w:rPr>
            </w:pPr>
            <w:r>
              <w:rPr>
                <w:rFonts w:hint="eastAsia" w:eastAsia="仿宋_GB2312"/>
                <w:b/>
                <w:sz w:val="24"/>
              </w:rPr>
              <w:t>202</w:t>
            </w:r>
            <w:r>
              <w:rPr>
                <w:rFonts w:hint="eastAsia" w:eastAsia="仿宋_GB2312"/>
                <w:b/>
                <w:sz w:val="24"/>
                <w:lang w:val="en-US" w:eastAsia="zh-CN"/>
              </w:rPr>
              <w:t>6</w:t>
            </w:r>
            <w:r>
              <w:rPr>
                <w:rFonts w:eastAsia="仿宋_GB2312"/>
                <w:b/>
                <w:sz w:val="24"/>
              </w:rPr>
              <w:t>年</w:t>
            </w:r>
            <w:r>
              <w:rPr>
                <w:rFonts w:hint="eastAsia" w:eastAsia="仿宋_GB2312"/>
                <w:b/>
                <w:sz w:val="24"/>
                <w:lang w:val="en-US" w:eastAsia="zh-CN"/>
              </w:rPr>
              <w:t>4</w:t>
            </w:r>
            <w:r>
              <w:rPr>
                <w:rFonts w:eastAsia="仿宋_GB2312"/>
                <w:b/>
                <w:sz w:val="24"/>
              </w:rPr>
              <w:t xml:space="preserve">月— </w:t>
            </w:r>
            <w:r>
              <w:rPr>
                <w:rFonts w:hint="eastAsia" w:eastAsia="仿宋_GB2312"/>
                <w:b/>
                <w:sz w:val="24"/>
              </w:rPr>
              <w:t>202</w:t>
            </w:r>
            <w:r>
              <w:rPr>
                <w:rFonts w:hint="eastAsia" w:eastAsia="仿宋_GB2312"/>
                <w:b/>
                <w:sz w:val="24"/>
                <w:lang w:val="en-US" w:eastAsia="zh-CN"/>
              </w:rPr>
              <w:t>6</w:t>
            </w:r>
            <w:r>
              <w:rPr>
                <w:rFonts w:eastAsia="仿宋_GB2312"/>
                <w:b/>
                <w:sz w:val="24"/>
              </w:rPr>
              <w:t>年</w:t>
            </w:r>
            <w:r>
              <w:rPr>
                <w:rFonts w:hint="eastAsia" w:eastAsia="仿宋_GB2312"/>
                <w:b/>
                <w:sz w:val="24"/>
                <w:lang w:val="en-US" w:eastAsia="zh-CN"/>
              </w:rPr>
              <w:t>6</w:t>
            </w:r>
            <w:r>
              <w:rPr>
                <w:rFonts w:eastAsia="仿宋_GB2312"/>
                <w:b/>
                <w:sz w:val="24"/>
              </w:rPr>
              <w:t xml:space="preserve">月 </w:t>
            </w:r>
          </w:p>
          <w:p w14:paraId="79EF7447">
            <w:pPr>
              <w:adjustRightInd w:val="0"/>
              <w:snapToGrid w:val="0"/>
              <w:spacing w:line="288" w:lineRule="auto"/>
              <w:ind w:right="249"/>
              <w:jc w:val="left"/>
              <w:rPr>
                <w:rFonts w:eastAsia="仿宋_GB2312"/>
                <w:sz w:val="24"/>
              </w:rPr>
            </w:pPr>
            <w:r>
              <w:rPr>
                <w:rFonts w:eastAsia="仿宋_GB2312"/>
                <w:b/>
                <w:sz w:val="24"/>
              </w:rPr>
              <w:t>主要内容：</w:t>
            </w:r>
          </w:p>
          <w:p w14:paraId="112A133A">
            <w:pPr>
              <w:rPr>
                <w:rFonts w:hint="eastAsia" w:ascii="Times New Roman" w:hAnsi="Times New Roman" w:eastAsia="仿宋_GB2312" w:cs="Times New Roman"/>
                <w:kern w:val="0"/>
                <w:sz w:val="24"/>
                <w:lang w:val="en-US" w:eastAsia="zh-CN"/>
              </w:rPr>
            </w:pPr>
            <w:r>
              <w:rPr>
                <w:rFonts w:hint="eastAsia" w:ascii="Times New Roman" w:hAnsi="Times New Roman" w:eastAsia="仿宋_GB2312" w:cs="Times New Roman"/>
                <w:kern w:val="0"/>
                <w:sz w:val="24"/>
                <w:lang w:val="en-US" w:eastAsia="zh-Hans"/>
              </w:rPr>
              <w:t>(</w:t>
            </w:r>
            <w:r>
              <w:rPr>
                <w:rFonts w:hint="eastAsia" w:ascii="Times New Roman" w:hAnsi="Times New Roman" w:eastAsia="仿宋_GB2312" w:cs="Times New Roman"/>
                <w:kern w:val="0"/>
                <w:sz w:val="24"/>
                <w:lang w:val="en-US" w:eastAsia="zh-CN"/>
              </w:rPr>
              <w:t>1</w:t>
            </w:r>
            <w:r>
              <w:rPr>
                <w:rFonts w:hint="eastAsia" w:ascii="Times New Roman" w:hAnsi="Times New Roman" w:eastAsia="仿宋_GB2312" w:cs="Times New Roman"/>
                <w:kern w:val="0"/>
                <w:sz w:val="24"/>
                <w:lang w:val="en-US" w:eastAsia="zh-Hans"/>
              </w:rPr>
              <w:t xml:space="preserve">) </w:t>
            </w:r>
            <w:r>
              <w:rPr>
                <w:rFonts w:hint="eastAsia" w:eastAsia="仿宋_GB2312" w:cs="Times New Roman"/>
                <w:kern w:val="0"/>
                <w:sz w:val="24"/>
                <w:lang w:val="en-US" w:eastAsia="zh-CN"/>
              </w:rPr>
              <w:t>根据</w:t>
            </w:r>
            <w:r>
              <w:rPr>
                <w:rFonts w:hint="eastAsia" w:ascii="Times New Roman" w:hAnsi="Times New Roman" w:eastAsia="仿宋_GB2312" w:cs="Times New Roman"/>
                <w:kern w:val="0"/>
                <w:sz w:val="24"/>
                <w:lang w:val="en-US" w:eastAsia="zh-CN"/>
              </w:rPr>
              <w:t>收集</w:t>
            </w:r>
            <w:r>
              <w:rPr>
                <w:rFonts w:hint="eastAsia" w:eastAsia="仿宋_GB2312" w:cs="Times New Roman"/>
                <w:kern w:val="0"/>
                <w:sz w:val="24"/>
                <w:lang w:val="en-US" w:eastAsia="zh-CN"/>
              </w:rPr>
              <w:t>到的</w:t>
            </w:r>
            <w:r>
              <w:rPr>
                <w:rFonts w:hint="eastAsia" w:ascii="Times New Roman" w:hAnsi="Times New Roman" w:eastAsia="仿宋_GB2312" w:cs="Times New Roman"/>
                <w:kern w:val="0"/>
                <w:sz w:val="24"/>
                <w:lang w:val="en-US" w:eastAsia="zh-CN"/>
              </w:rPr>
              <w:t>原始数据，</w:t>
            </w:r>
            <w:r>
              <w:rPr>
                <w:rFonts w:hint="eastAsia" w:eastAsia="仿宋_GB2312" w:cs="Times New Roman"/>
                <w:kern w:val="0"/>
                <w:sz w:val="24"/>
                <w:lang w:val="en-US" w:eastAsia="zh-CN"/>
              </w:rPr>
              <w:t>进行数据的</w:t>
            </w:r>
            <w:r>
              <w:rPr>
                <w:rFonts w:hint="eastAsia" w:ascii="Times New Roman" w:hAnsi="Times New Roman" w:eastAsia="仿宋_GB2312" w:cs="Times New Roman"/>
                <w:kern w:val="0"/>
                <w:sz w:val="24"/>
                <w:lang w:val="en-US" w:eastAsia="zh-Hans"/>
              </w:rPr>
              <w:t>处理</w:t>
            </w:r>
            <w:r>
              <w:rPr>
                <w:rFonts w:hint="eastAsia" w:eastAsia="仿宋_GB2312" w:cs="Times New Roman"/>
                <w:kern w:val="0"/>
                <w:sz w:val="24"/>
                <w:lang w:val="en-US" w:eastAsia="zh-CN"/>
              </w:rPr>
              <w:t>、分析和统计</w:t>
            </w:r>
            <w:r>
              <w:rPr>
                <w:rFonts w:hint="eastAsia" w:ascii="Times New Roman" w:hAnsi="Times New Roman" w:eastAsia="仿宋_GB2312" w:cs="Times New Roman"/>
                <w:kern w:val="0"/>
                <w:sz w:val="24"/>
                <w:lang w:val="en-US" w:eastAsia="zh-CN"/>
              </w:rPr>
              <w:t>；</w:t>
            </w:r>
          </w:p>
          <w:p w14:paraId="200DA986">
            <w:pPr>
              <w:rPr>
                <w:rFonts w:hint="eastAsia" w:ascii="Times New Roman" w:hAnsi="Times New Roman" w:eastAsia="仿宋_GB2312" w:cs="Times New Roman"/>
                <w:kern w:val="0"/>
                <w:sz w:val="24"/>
                <w:lang w:val="en-US" w:eastAsia="zh-CN"/>
              </w:rPr>
            </w:pPr>
            <w:r>
              <w:rPr>
                <w:rFonts w:hint="eastAsia" w:ascii="Times New Roman" w:hAnsi="Times New Roman" w:eastAsia="仿宋_GB2312" w:cs="Times New Roman"/>
                <w:kern w:val="0"/>
                <w:sz w:val="24"/>
                <w:lang w:val="en-US" w:eastAsia="zh-Hans"/>
              </w:rPr>
              <w:t>(</w:t>
            </w:r>
            <w:r>
              <w:rPr>
                <w:rFonts w:hint="eastAsia" w:ascii="Times New Roman" w:hAnsi="Times New Roman" w:eastAsia="仿宋_GB2312" w:cs="Times New Roman"/>
                <w:kern w:val="0"/>
                <w:sz w:val="24"/>
                <w:lang w:val="en-US" w:eastAsia="zh-CN"/>
              </w:rPr>
              <w:t>2</w:t>
            </w:r>
            <w:r>
              <w:rPr>
                <w:rFonts w:hint="eastAsia" w:ascii="Times New Roman" w:hAnsi="Times New Roman" w:eastAsia="仿宋_GB2312" w:cs="Times New Roman"/>
                <w:kern w:val="0"/>
                <w:sz w:val="24"/>
                <w:lang w:val="en-US" w:eastAsia="zh-Hans"/>
              </w:rPr>
              <w:t xml:space="preserve">) </w:t>
            </w:r>
            <w:r>
              <w:rPr>
                <w:rFonts w:hint="eastAsia" w:ascii="Times New Roman" w:hAnsi="Times New Roman" w:eastAsia="仿宋_GB2312" w:cs="Times New Roman"/>
                <w:sz w:val="24"/>
                <w:lang w:val="en-US" w:eastAsia="zh-CN"/>
              </w:rPr>
              <w:t>建立“新能源渗透水平-电网运行状态”的关联数据库</w:t>
            </w:r>
            <w:r>
              <w:rPr>
                <w:rFonts w:hint="eastAsia" w:eastAsia="仿宋_GB2312" w:cs="Times New Roman"/>
                <w:sz w:val="24"/>
                <w:lang w:val="en-US" w:eastAsia="zh-CN"/>
              </w:rPr>
              <w:t>；</w:t>
            </w:r>
          </w:p>
          <w:p w14:paraId="531525E3">
            <w:pPr>
              <w:rPr>
                <w:rFonts w:hint="eastAsia" w:eastAsia="仿宋_GB2312" w:cs="Times New Roman"/>
                <w:sz w:val="24"/>
                <w:lang w:val="en-US" w:eastAsia="zh-CN"/>
              </w:rPr>
            </w:pPr>
            <w:r>
              <w:rPr>
                <w:rFonts w:hint="eastAsia" w:eastAsia="仿宋_GB2312" w:cs="Times New Roman"/>
                <w:b w:val="0"/>
                <w:bCs w:val="0"/>
                <w:kern w:val="0"/>
                <w:sz w:val="24"/>
                <w:szCs w:val="24"/>
                <w:lang w:val="en-US" w:eastAsia="zh-CN" w:bidi="ar-SA"/>
              </w:rPr>
              <w:t>(3) 收集</w:t>
            </w:r>
            <w:r>
              <w:rPr>
                <w:rFonts w:hint="eastAsia" w:ascii="Times New Roman" w:hAnsi="Times New Roman" w:eastAsia="仿宋_GB2312" w:cs="Times New Roman"/>
                <w:sz w:val="24"/>
                <w:lang w:val="en-US" w:eastAsia="zh-CN"/>
              </w:rPr>
              <w:t>典型地区的10kV及以下的分布式新能源</w:t>
            </w:r>
            <w:r>
              <w:rPr>
                <w:rFonts w:hint="eastAsia" w:eastAsia="仿宋_GB2312" w:cs="Times New Roman"/>
                <w:sz w:val="24"/>
                <w:lang w:val="en-US" w:eastAsia="zh-CN"/>
              </w:rPr>
              <w:t>项目的实际案例，收集项目配套</w:t>
            </w:r>
            <w:r>
              <w:rPr>
                <w:rFonts w:hint="eastAsia" w:ascii="Times New Roman" w:hAnsi="Times New Roman" w:eastAsia="仿宋_GB2312" w:cs="Times New Roman"/>
                <w:sz w:val="24"/>
                <w:lang w:val="en-US" w:eastAsia="zh-CN"/>
              </w:rPr>
              <w:t>送出、电网配套扩容</w:t>
            </w:r>
            <w:r>
              <w:rPr>
                <w:rFonts w:hint="eastAsia" w:eastAsia="仿宋_GB2312" w:cs="Times New Roman"/>
                <w:sz w:val="24"/>
                <w:lang w:val="en-US" w:eastAsia="zh-CN"/>
              </w:rPr>
              <w:t>工程的估算投资；</w:t>
            </w:r>
          </w:p>
          <w:p w14:paraId="4CA7E9CF">
            <w:pPr>
              <w:pStyle w:val="6"/>
              <w:rPr>
                <w:rFonts w:hint="default"/>
                <w:b w:val="0"/>
                <w:bCs w:val="0"/>
                <w:lang w:val="en-US" w:eastAsia="zh-CN"/>
              </w:rPr>
            </w:pPr>
            <w:r>
              <w:rPr>
                <w:rFonts w:hint="eastAsia"/>
                <w:b w:val="0"/>
                <w:bCs w:val="0"/>
                <w:lang w:val="en-US" w:eastAsia="zh-CN"/>
              </w:rPr>
              <w:t>(4)着手</w:t>
            </w:r>
            <w:r>
              <w:rPr>
                <w:rFonts w:hint="eastAsia" w:ascii="Times New Roman" w:hAnsi="Times New Roman" w:eastAsia="仿宋_GB2312" w:cs="Times New Roman"/>
                <w:b w:val="0"/>
                <w:bCs w:val="0"/>
                <w:kern w:val="0"/>
                <w:sz w:val="24"/>
                <w:szCs w:val="24"/>
                <w:lang w:val="en-US" w:eastAsia="zh-CN" w:bidi="ar-SA"/>
              </w:rPr>
              <w:t>建立电网建设成本模型</w:t>
            </w:r>
            <w:r>
              <w:rPr>
                <w:rFonts w:hint="eastAsia" w:eastAsia="仿宋_GB2312" w:cs="Times New Roman"/>
                <w:b w:val="0"/>
                <w:bCs w:val="0"/>
                <w:kern w:val="0"/>
                <w:sz w:val="24"/>
                <w:szCs w:val="24"/>
                <w:lang w:val="en-US" w:eastAsia="zh-CN" w:bidi="ar-SA"/>
              </w:rPr>
              <w:t>。</w:t>
            </w:r>
          </w:p>
          <w:p w14:paraId="61E57440">
            <w:pPr>
              <w:adjustRightInd w:val="0"/>
              <w:snapToGrid w:val="0"/>
              <w:spacing w:line="288" w:lineRule="auto"/>
              <w:ind w:right="249"/>
              <w:jc w:val="left"/>
              <w:rPr>
                <w:rFonts w:eastAsia="仿宋_GB2312"/>
                <w:b/>
                <w:sz w:val="24"/>
              </w:rPr>
            </w:pPr>
            <w:r>
              <w:rPr>
                <w:rFonts w:eastAsia="仿宋_GB2312"/>
                <w:b/>
                <w:sz w:val="24"/>
              </w:rPr>
              <w:t>考核目标：</w:t>
            </w:r>
          </w:p>
          <w:p w14:paraId="22FED42E">
            <w:pPr>
              <w:keepNext w:val="0"/>
              <w:keepLines w:val="0"/>
              <w:widowControl/>
              <w:numPr>
                <w:ilvl w:val="0"/>
                <w:numId w:val="9"/>
              </w:numPr>
              <w:suppressLineNumbers w:val="0"/>
              <w:jc w:val="left"/>
              <w:rPr>
                <w:rFonts w:eastAsia="仿宋_GB2312"/>
                <w:b/>
                <w:sz w:val="24"/>
              </w:rPr>
            </w:pPr>
            <w:r>
              <w:rPr>
                <w:rFonts w:hint="eastAsia" w:eastAsia="仿宋_GB2312" w:cs="Times New Roman"/>
                <w:kern w:val="0"/>
                <w:sz w:val="24"/>
                <w:lang w:val="en-US" w:eastAsia="zh-CN"/>
              </w:rPr>
              <w:t>完成</w:t>
            </w:r>
            <w:r>
              <w:rPr>
                <w:rFonts w:hint="eastAsia" w:ascii="Times New Roman" w:hAnsi="Times New Roman" w:eastAsia="仿宋_GB2312" w:cs="Times New Roman"/>
                <w:sz w:val="24"/>
                <w:lang w:val="en-US" w:eastAsia="zh-CN"/>
              </w:rPr>
              <w:t>数据库</w:t>
            </w:r>
            <w:r>
              <w:rPr>
                <w:rFonts w:hint="eastAsia" w:eastAsia="仿宋_GB2312" w:cs="Times New Roman"/>
                <w:sz w:val="24"/>
                <w:lang w:val="en-US" w:eastAsia="zh-CN"/>
              </w:rPr>
              <w:t>及电网建设成本模型的建立</w:t>
            </w:r>
            <w:r>
              <w:rPr>
                <w:rFonts w:hint="eastAsia" w:ascii="仿宋_GB2312" w:hAnsi="宋体" w:eastAsia="仿宋_GB2312" w:cs="仿宋_GB2312"/>
                <w:color w:val="000000"/>
                <w:kern w:val="0"/>
                <w:sz w:val="24"/>
                <w:szCs w:val="24"/>
                <w:lang w:val="en-US" w:eastAsia="zh-CN" w:bidi="ar"/>
              </w:rPr>
              <w:t>。</w:t>
            </w:r>
          </w:p>
        </w:tc>
      </w:tr>
      <w:tr w14:paraId="1FD98E6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cantSplit/>
          <w:trHeight w:val="2107" w:hRule="atLeast"/>
        </w:trPr>
        <w:tc>
          <w:tcPr>
            <w:tcW w:w="1051" w:type="dxa"/>
            <w:noWrap w:val="0"/>
            <w:vAlign w:val="center"/>
          </w:tcPr>
          <w:p w14:paraId="6B09C9EF">
            <w:pPr>
              <w:adjustRightInd w:val="0"/>
              <w:snapToGrid w:val="0"/>
              <w:spacing w:line="288" w:lineRule="auto"/>
              <w:jc w:val="center"/>
              <w:rPr>
                <w:rFonts w:eastAsia="仿宋_GB2312"/>
                <w:sz w:val="24"/>
              </w:rPr>
            </w:pPr>
            <w:r>
              <w:rPr>
                <w:rFonts w:hint="eastAsia" w:eastAsia="仿宋_GB2312"/>
                <w:sz w:val="24"/>
                <w:lang w:val="en-US" w:eastAsia="zh-CN"/>
              </w:rPr>
              <w:t>1</w:t>
            </w:r>
            <w:r>
              <w:rPr>
                <w:rFonts w:eastAsia="仿宋_GB2312"/>
                <w:sz w:val="24"/>
              </w:rPr>
              <w:t>.3</w:t>
            </w:r>
          </w:p>
        </w:tc>
        <w:tc>
          <w:tcPr>
            <w:tcW w:w="7779" w:type="dxa"/>
            <w:noWrap w:val="0"/>
            <w:vAlign w:val="top"/>
          </w:tcPr>
          <w:p w14:paraId="5CBEFFC6">
            <w:pPr>
              <w:adjustRightInd w:val="0"/>
              <w:snapToGrid w:val="0"/>
              <w:spacing w:line="288" w:lineRule="auto"/>
              <w:ind w:right="72"/>
              <w:rPr>
                <w:rFonts w:eastAsia="仿宋_GB2312"/>
                <w:b/>
                <w:sz w:val="24"/>
              </w:rPr>
            </w:pPr>
            <w:r>
              <w:rPr>
                <w:rFonts w:hint="eastAsia" w:eastAsia="仿宋_GB2312"/>
                <w:b/>
                <w:sz w:val="24"/>
              </w:rPr>
              <w:t>202</w:t>
            </w:r>
            <w:r>
              <w:rPr>
                <w:rFonts w:hint="eastAsia" w:eastAsia="仿宋_GB2312"/>
                <w:b/>
                <w:sz w:val="24"/>
                <w:lang w:val="en-US" w:eastAsia="zh-CN"/>
              </w:rPr>
              <w:t>6</w:t>
            </w:r>
            <w:r>
              <w:rPr>
                <w:rFonts w:eastAsia="仿宋_GB2312"/>
                <w:b/>
                <w:sz w:val="24"/>
              </w:rPr>
              <w:t>年</w:t>
            </w:r>
            <w:r>
              <w:rPr>
                <w:rFonts w:hint="eastAsia" w:eastAsia="仿宋_GB2312"/>
                <w:b/>
                <w:sz w:val="24"/>
                <w:lang w:val="en-US" w:eastAsia="zh-CN"/>
              </w:rPr>
              <w:t>6</w:t>
            </w:r>
            <w:r>
              <w:rPr>
                <w:rFonts w:eastAsia="仿宋_GB2312"/>
                <w:b/>
                <w:sz w:val="24"/>
              </w:rPr>
              <w:t xml:space="preserve">月— </w:t>
            </w:r>
            <w:r>
              <w:rPr>
                <w:rFonts w:hint="eastAsia" w:eastAsia="仿宋_GB2312"/>
                <w:b/>
                <w:sz w:val="24"/>
              </w:rPr>
              <w:t>202</w:t>
            </w:r>
            <w:r>
              <w:rPr>
                <w:rFonts w:hint="eastAsia" w:eastAsia="仿宋_GB2312"/>
                <w:b/>
                <w:sz w:val="24"/>
                <w:lang w:val="en-US" w:eastAsia="zh-CN"/>
              </w:rPr>
              <w:t>6</w:t>
            </w:r>
            <w:r>
              <w:rPr>
                <w:rFonts w:eastAsia="仿宋_GB2312"/>
                <w:b/>
                <w:sz w:val="24"/>
              </w:rPr>
              <w:t>年</w:t>
            </w:r>
            <w:r>
              <w:rPr>
                <w:rFonts w:hint="eastAsia" w:eastAsia="仿宋_GB2312"/>
                <w:b/>
                <w:sz w:val="24"/>
                <w:lang w:val="en-US" w:eastAsia="zh-CN"/>
              </w:rPr>
              <w:t>8</w:t>
            </w:r>
            <w:r>
              <w:rPr>
                <w:rFonts w:eastAsia="仿宋_GB2312"/>
                <w:b/>
                <w:sz w:val="24"/>
              </w:rPr>
              <w:t xml:space="preserve">月  </w:t>
            </w:r>
          </w:p>
          <w:p w14:paraId="10A38B5E">
            <w:pPr>
              <w:adjustRightInd w:val="0"/>
              <w:snapToGrid w:val="0"/>
              <w:spacing w:line="288" w:lineRule="auto"/>
              <w:ind w:right="72"/>
              <w:rPr>
                <w:rFonts w:eastAsia="仿宋_GB2312"/>
                <w:b/>
                <w:sz w:val="24"/>
              </w:rPr>
            </w:pPr>
            <w:r>
              <w:rPr>
                <w:rFonts w:eastAsia="仿宋_GB2312"/>
                <w:b/>
                <w:sz w:val="24"/>
              </w:rPr>
              <w:t>主要内容：</w:t>
            </w:r>
          </w:p>
          <w:p w14:paraId="0BD1204C">
            <w:pPr>
              <w:adjustRightInd w:val="0"/>
              <w:snapToGrid w:val="0"/>
              <w:spacing w:line="288" w:lineRule="auto"/>
              <w:ind w:right="72"/>
              <w:rPr>
                <w:rFonts w:hint="eastAsia" w:ascii="Times New Roman" w:hAnsi="Times New Roman" w:eastAsia="仿宋_GB2312" w:cs="Times New Roman"/>
                <w:sz w:val="24"/>
                <w:lang w:val="en-US" w:eastAsia="zh-CN"/>
              </w:rPr>
            </w:pPr>
            <w:r>
              <w:rPr>
                <w:rFonts w:hint="eastAsia" w:eastAsia="仿宋_GB2312" w:cs="Times New Roman"/>
                <w:sz w:val="24"/>
                <w:lang w:val="en-US" w:eastAsia="zh-CN"/>
              </w:rPr>
              <w:t>(1)结合收集的实际案例和配网接线图，通过</w:t>
            </w:r>
            <w:r>
              <w:rPr>
                <w:rFonts w:hint="eastAsia" w:ascii="Times New Roman" w:hAnsi="Times New Roman" w:eastAsia="仿宋_GB2312" w:cs="Times New Roman"/>
                <w:sz w:val="24"/>
                <w:lang w:val="en-US" w:eastAsia="zh-CN"/>
              </w:rPr>
              <w:t>采用加强中压配电网联络</w:t>
            </w:r>
            <w:r>
              <w:rPr>
                <w:rFonts w:hint="eastAsia" w:eastAsia="仿宋_GB2312" w:cs="Times New Roman"/>
                <w:sz w:val="24"/>
                <w:lang w:val="en-US" w:eastAsia="zh-CN"/>
              </w:rPr>
              <w:t>、配储等方式，量化</w:t>
            </w:r>
            <w:r>
              <w:rPr>
                <w:rFonts w:hint="eastAsia" w:ascii="Times New Roman" w:hAnsi="Times New Roman" w:eastAsia="仿宋_GB2312" w:cs="Times New Roman"/>
                <w:sz w:val="24"/>
                <w:lang w:val="en-US" w:eastAsia="zh-CN"/>
              </w:rPr>
              <w:t>严格执行</w:t>
            </w:r>
            <w:r>
              <w:rPr>
                <w:rFonts w:hint="eastAsia" w:eastAsia="仿宋_GB2312" w:cs="Times New Roman"/>
                <w:sz w:val="24"/>
                <w:lang w:val="en-US" w:eastAsia="zh-CN"/>
              </w:rPr>
              <w:t>执行</w:t>
            </w:r>
            <w:r>
              <w:rPr>
                <w:rFonts w:hint="eastAsia" w:ascii="Times New Roman" w:hAnsi="Times New Roman" w:eastAsia="仿宋_GB2312" w:cs="Times New Roman"/>
                <w:sz w:val="24"/>
                <w:lang w:val="en-US" w:eastAsia="zh-CN"/>
              </w:rPr>
              <w:t>容载比≤2.0时所需的电网建设成本。</w:t>
            </w:r>
          </w:p>
          <w:p w14:paraId="4F1F33AA">
            <w:pPr>
              <w:adjustRightInd w:val="0"/>
              <w:snapToGrid w:val="0"/>
              <w:spacing w:line="288" w:lineRule="auto"/>
              <w:ind w:right="72"/>
              <w:rPr>
                <w:rFonts w:hint="eastAsia" w:ascii="Times New Roman" w:hAnsi="Times New Roman" w:eastAsia="仿宋_GB2312" w:cs="Times New Roman"/>
                <w:sz w:val="24"/>
                <w:lang w:val="en-US" w:eastAsia="zh-CN"/>
              </w:rPr>
            </w:pPr>
            <w:r>
              <w:rPr>
                <w:rFonts w:hint="eastAsia" w:eastAsia="仿宋_GB2312" w:cs="Times New Roman"/>
                <w:sz w:val="24"/>
                <w:lang w:val="en-US" w:eastAsia="zh-CN"/>
              </w:rPr>
              <w:t>(2)</w:t>
            </w:r>
            <w:r>
              <w:rPr>
                <w:rFonts w:hint="eastAsia" w:ascii="Times New Roman" w:hAnsi="Times New Roman" w:eastAsia="仿宋_GB2312" w:cs="Times New Roman"/>
                <w:sz w:val="24"/>
                <w:lang w:val="en-US" w:eastAsia="zh-CN"/>
              </w:rPr>
              <w:t>采用年费用法对比</w:t>
            </w:r>
            <w:r>
              <w:rPr>
                <w:rFonts w:hint="eastAsia" w:eastAsia="仿宋_GB2312" w:cs="Times New Roman"/>
                <w:sz w:val="24"/>
                <w:lang w:val="en-US" w:eastAsia="zh-CN"/>
              </w:rPr>
              <w:t>严格执行容载比2.0与不严格执行容载比2.0在</w:t>
            </w:r>
            <w:r>
              <w:rPr>
                <w:rFonts w:hint="eastAsia" w:ascii="Times New Roman" w:hAnsi="Times New Roman" w:eastAsia="仿宋_GB2312" w:cs="Times New Roman"/>
                <w:sz w:val="24"/>
                <w:lang w:val="en-US" w:eastAsia="zh-CN"/>
              </w:rPr>
              <w:t>全寿命周期</w:t>
            </w:r>
            <w:r>
              <w:rPr>
                <w:rFonts w:hint="eastAsia" w:eastAsia="仿宋_GB2312" w:cs="Times New Roman"/>
                <w:sz w:val="24"/>
                <w:lang w:val="en-US" w:eastAsia="zh-CN"/>
              </w:rPr>
              <w:t>的</w:t>
            </w:r>
            <w:r>
              <w:rPr>
                <w:rFonts w:hint="eastAsia" w:ascii="Times New Roman" w:hAnsi="Times New Roman" w:eastAsia="仿宋_GB2312" w:cs="Times New Roman"/>
                <w:sz w:val="24"/>
                <w:lang w:val="en-US" w:eastAsia="zh-CN"/>
              </w:rPr>
              <w:t>成本，折算为可比的经济指标。</w:t>
            </w:r>
          </w:p>
          <w:p w14:paraId="6B60F216">
            <w:pPr>
              <w:adjustRightInd w:val="0"/>
              <w:snapToGrid w:val="0"/>
              <w:spacing w:line="288" w:lineRule="auto"/>
              <w:ind w:right="72"/>
              <w:rPr>
                <w:rFonts w:eastAsia="仿宋_GB2312"/>
                <w:b/>
                <w:sz w:val="24"/>
              </w:rPr>
            </w:pPr>
            <w:r>
              <w:rPr>
                <w:rFonts w:eastAsia="仿宋_GB2312"/>
                <w:b/>
                <w:sz w:val="24"/>
              </w:rPr>
              <w:t>考核目标：</w:t>
            </w:r>
          </w:p>
          <w:p w14:paraId="6C652B13">
            <w:pPr>
              <w:numPr>
                <w:ilvl w:val="0"/>
                <w:numId w:val="10"/>
              </w:numPr>
              <w:adjustRightInd w:val="0"/>
              <w:snapToGrid w:val="0"/>
              <w:spacing w:line="288" w:lineRule="auto"/>
              <w:ind w:right="72"/>
              <w:rPr>
                <w:rFonts w:hint="eastAsia"/>
                <w:lang w:val="en-US" w:eastAsia="zh-CN"/>
              </w:rPr>
            </w:pPr>
            <w:r>
              <w:rPr>
                <w:rFonts w:hint="eastAsia" w:ascii="Times New Roman" w:hAnsi="Times New Roman" w:eastAsia="仿宋_GB2312" w:cs="Times New Roman"/>
                <w:sz w:val="24"/>
                <w:lang w:val="en-US" w:eastAsia="zh-CN"/>
              </w:rPr>
              <w:t>量化典型地区不同思路下的电网建设成本</w:t>
            </w:r>
            <w:r>
              <w:rPr>
                <w:rFonts w:hint="eastAsia" w:eastAsia="仿宋_GB2312" w:cs="Times New Roman"/>
                <w:sz w:val="24"/>
                <w:lang w:val="en-US" w:eastAsia="zh-CN"/>
              </w:rPr>
              <w:t>；</w:t>
            </w:r>
          </w:p>
          <w:p w14:paraId="080E8D6D">
            <w:pPr>
              <w:pStyle w:val="6"/>
              <w:rPr>
                <w:rFonts w:hint="default"/>
                <w:b w:val="0"/>
                <w:bCs w:val="0"/>
                <w:lang w:val="en-US" w:eastAsia="zh-CN"/>
              </w:rPr>
            </w:pPr>
            <w:r>
              <w:rPr>
                <w:rFonts w:hint="eastAsia" w:eastAsia="仿宋_GB2312" w:cs="Times New Roman"/>
                <w:b w:val="0"/>
                <w:bCs w:val="0"/>
                <w:sz w:val="24"/>
                <w:lang w:val="en-US" w:eastAsia="zh-CN"/>
              </w:rPr>
              <w:t>(2)形成可比的经济对比指标；</w:t>
            </w:r>
          </w:p>
          <w:p w14:paraId="3B7B8991">
            <w:pPr>
              <w:adjustRightInd w:val="0"/>
              <w:snapToGrid w:val="0"/>
              <w:spacing w:line="288" w:lineRule="auto"/>
              <w:ind w:right="72"/>
              <w:rPr>
                <w:rFonts w:eastAsia="仿宋_GB2312"/>
                <w:b/>
                <w:sz w:val="24"/>
              </w:rPr>
            </w:pPr>
            <w:r>
              <w:rPr>
                <w:rFonts w:hint="eastAsia" w:eastAsia="仿宋_GB2312" w:cs="Times New Roman"/>
                <w:sz w:val="24"/>
                <w:lang w:val="en-US" w:eastAsia="zh-CN"/>
              </w:rPr>
              <w:t>(3)</w:t>
            </w:r>
            <w:r>
              <w:rPr>
                <w:rFonts w:hint="eastAsia" w:ascii="Times New Roman" w:hAnsi="Times New Roman" w:eastAsia="仿宋_GB2312" w:cs="Times New Roman"/>
                <w:sz w:val="24"/>
                <w:lang w:val="en-US" w:eastAsia="zh-CN"/>
              </w:rPr>
              <w:t>撰写并录用高水平</w:t>
            </w:r>
            <w:r>
              <w:rPr>
                <w:rFonts w:hint="default" w:ascii="Times New Roman" w:hAnsi="Times New Roman" w:eastAsia="仿宋_GB2312" w:cs="Times New Roman"/>
                <w:sz w:val="24"/>
                <w:lang w:val="en-US" w:eastAsia="zh-CN"/>
              </w:rPr>
              <w:t>论文</w:t>
            </w:r>
            <w:r>
              <w:rPr>
                <w:rFonts w:hint="eastAsia" w:ascii="仿宋_GB2312" w:hAnsi="宋体" w:eastAsia="仿宋_GB2312" w:cs="仿宋_GB2312"/>
                <w:color w:val="000000"/>
                <w:kern w:val="0"/>
                <w:sz w:val="24"/>
                <w:szCs w:val="24"/>
                <w:lang w:val="en-US" w:eastAsia="zh-CN" w:bidi="ar"/>
              </w:rPr>
              <w:t>1</w:t>
            </w:r>
            <w:r>
              <w:rPr>
                <w:rFonts w:hint="default" w:ascii="仿宋_GB2312" w:hAnsi="宋体" w:eastAsia="仿宋_GB2312" w:cs="仿宋_GB2312"/>
                <w:color w:val="000000"/>
                <w:kern w:val="0"/>
                <w:sz w:val="24"/>
                <w:szCs w:val="24"/>
                <w:lang w:val="en-US" w:eastAsia="zh-CN" w:bidi="ar"/>
              </w:rPr>
              <w:t>篇</w:t>
            </w:r>
            <w:r>
              <w:rPr>
                <w:rFonts w:hint="eastAsia" w:ascii="仿宋_GB2312" w:hAnsi="宋体" w:eastAsia="仿宋_GB2312" w:cs="仿宋_GB2312"/>
                <w:color w:val="000000"/>
                <w:kern w:val="0"/>
                <w:sz w:val="24"/>
                <w:szCs w:val="24"/>
                <w:lang w:val="en-US" w:eastAsia="zh-CN" w:bidi="ar"/>
              </w:rPr>
              <w:t>。</w:t>
            </w:r>
          </w:p>
        </w:tc>
      </w:tr>
      <w:tr w14:paraId="4C7F464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cantSplit/>
          <w:trHeight w:val="2107" w:hRule="atLeast"/>
        </w:trPr>
        <w:tc>
          <w:tcPr>
            <w:tcW w:w="1051" w:type="dxa"/>
            <w:noWrap w:val="0"/>
            <w:vAlign w:val="center"/>
          </w:tcPr>
          <w:p w14:paraId="4ED55082">
            <w:pPr>
              <w:adjustRightInd w:val="0"/>
              <w:snapToGrid w:val="0"/>
              <w:spacing w:line="288" w:lineRule="auto"/>
              <w:jc w:val="center"/>
              <w:rPr>
                <w:rFonts w:eastAsia="仿宋_GB2312"/>
                <w:sz w:val="24"/>
              </w:rPr>
            </w:pPr>
            <w:r>
              <w:rPr>
                <w:rFonts w:hint="eastAsia" w:eastAsia="仿宋_GB2312"/>
                <w:sz w:val="24"/>
                <w:lang w:val="en-US" w:eastAsia="zh-CN"/>
              </w:rPr>
              <w:t>1</w:t>
            </w:r>
            <w:r>
              <w:rPr>
                <w:rFonts w:eastAsia="仿宋_GB2312"/>
                <w:sz w:val="24"/>
              </w:rPr>
              <w:t>.4</w:t>
            </w:r>
          </w:p>
        </w:tc>
        <w:tc>
          <w:tcPr>
            <w:tcW w:w="7779" w:type="dxa"/>
            <w:noWrap w:val="0"/>
            <w:vAlign w:val="top"/>
          </w:tcPr>
          <w:p w14:paraId="57A47965">
            <w:pPr>
              <w:adjustRightInd w:val="0"/>
              <w:snapToGrid w:val="0"/>
              <w:spacing w:line="288" w:lineRule="auto"/>
              <w:ind w:right="72"/>
              <w:rPr>
                <w:rFonts w:eastAsia="仿宋_GB2312"/>
                <w:b/>
                <w:sz w:val="24"/>
              </w:rPr>
            </w:pPr>
            <w:r>
              <w:rPr>
                <w:rFonts w:hint="eastAsia" w:eastAsia="仿宋_GB2312"/>
                <w:b/>
                <w:sz w:val="24"/>
              </w:rPr>
              <w:t>202</w:t>
            </w:r>
            <w:r>
              <w:rPr>
                <w:rFonts w:hint="eastAsia" w:eastAsia="仿宋_GB2312"/>
                <w:b/>
                <w:sz w:val="24"/>
                <w:lang w:val="en-US" w:eastAsia="zh-CN"/>
              </w:rPr>
              <w:t>6</w:t>
            </w:r>
            <w:r>
              <w:rPr>
                <w:rFonts w:eastAsia="仿宋_GB2312"/>
                <w:b/>
                <w:sz w:val="24"/>
              </w:rPr>
              <w:t>年</w:t>
            </w:r>
            <w:r>
              <w:rPr>
                <w:rFonts w:hint="eastAsia" w:eastAsia="仿宋_GB2312"/>
                <w:b/>
                <w:sz w:val="24"/>
                <w:lang w:val="en-US" w:eastAsia="zh-CN"/>
              </w:rPr>
              <w:t>8</w:t>
            </w:r>
            <w:r>
              <w:rPr>
                <w:rFonts w:eastAsia="仿宋_GB2312"/>
                <w:b/>
                <w:sz w:val="24"/>
              </w:rPr>
              <w:t xml:space="preserve">月— </w:t>
            </w:r>
            <w:r>
              <w:rPr>
                <w:rFonts w:hint="eastAsia" w:eastAsia="仿宋_GB2312"/>
                <w:b/>
                <w:sz w:val="24"/>
              </w:rPr>
              <w:t>202</w:t>
            </w:r>
            <w:r>
              <w:rPr>
                <w:rFonts w:hint="eastAsia" w:eastAsia="仿宋_GB2312"/>
                <w:b/>
                <w:sz w:val="24"/>
                <w:lang w:val="en-US" w:eastAsia="zh-CN"/>
              </w:rPr>
              <w:t>6</w:t>
            </w:r>
            <w:r>
              <w:rPr>
                <w:rFonts w:eastAsia="仿宋_GB2312"/>
                <w:b/>
                <w:sz w:val="24"/>
              </w:rPr>
              <w:t>年</w:t>
            </w:r>
            <w:r>
              <w:rPr>
                <w:rFonts w:hint="eastAsia" w:eastAsia="仿宋_GB2312"/>
                <w:b/>
                <w:sz w:val="24"/>
                <w:lang w:val="en-US" w:eastAsia="zh-CN"/>
              </w:rPr>
              <w:t>10</w:t>
            </w:r>
            <w:r>
              <w:rPr>
                <w:rFonts w:eastAsia="仿宋_GB2312"/>
                <w:b/>
                <w:sz w:val="24"/>
              </w:rPr>
              <w:t xml:space="preserve">月  </w:t>
            </w:r>
          </w:p>
          <w:p w14:paraId="277B1521">
            <w:pPr>
              <w:adjustRightInd w:val="0"/>
              <w:snapToGrid w:val="0"/>
              <w:spacing w:line="288" w:lineRule="auto"/>
              <w:ind w:right="72"/>
              <w:rPr>
                <w:rFonts w:hint="eastAsia" w:eastAsia="仿宋_GB2312"/>
                <w:sz w:val="24"/>
              </w:rPr>
            </w:pPr>
            <w:r>
              <w:rPr>
                <w:rFonts w:eastAsia="仿宋_GB2312"/>
                <w:b/>
                <w:sz w:val="24"/>
              </w:rPr>
              <w:t>主要内容：</w:t>
            </w:r>
            <w:r>
              <w:rPr>
                <w:rFonts w:hint="eastAsia" w:ascii="Times New Roman" w:hAnsi="Times New Roman" w:eastAsia="仿宋_GB2312" w:cs="Times New Roman"/>
                <w:sz w:val="24"/>
                <w:lang w:val="en-US" w:eastAsia="zh-CN"/>
              </w:rPr>
              <w:t>结合</w:t>
            </w:r>
            <w:r>
              <w:rPr>
                <w:rFonts w:hint="eastAsia" w:ascii="Times New Roman" w:hAnsi="Times New Roman" w:eastAsia="仿宋_GB2312" w:cs="Times New Roman"/>
                <w:sz w:val="24"/>
                <w:lang w:val="en-US" w:eastAsia="zh-CN"/>
              </w:rPr>
              <w:t>规划年份的负荷及分布式光伏预测</w:t>
            </w:r>
            <w:r>
              <w:rPr>
                <w:rFonts w:hint="eastAsia" w:eastAsia="仿宋_GB2312" w:cs="Times New Roman"/>
                <w:sz w:val="24"/>
                <w:lang w:val="en-US" w:eastAsia="zh-CN"/>
              </w:rPr>
              <w:t>，</w:t>
            </w:r>
            <w:r>
              <w:rPr>
                <w:rFonts w:hint="default" w:ascii="Times New Roman" w:hAnsi="Times New Roman" w:eastAsia="仿宋_GB2312" w:cs="Times New Roman"/>
                <w:sz w:val="24"/>
                <w:lang w:val="en-US" w:eastAsia="zh-CN"/>
              </w:rPr>
              <w:t>提出“一片一策”的容载比弹性规划建议。</w:t>
            </w:r>
          </w:p>
          <w:p w14:paraId="6C65FA51">
            <w:pPr>
              <w:adjustRightInd w:val="0"/>
              <w:snapToGrid w:val="0"/>
              <w:spacing w:line="288" w:lineRule="auto"/>
              <w:ind w:right="72"/>
              <w:rPr>
                <w:rFonts w:eastAsia="仿宋_GB2312"/>
                <w:b/>
                <w:sz w:val="24"/>
              </w:rPr>
            </w:pPr>
            <w:r>
              <w:rPr>
                <w:rFonts w:eastAsia="仿宋_GB2312"/>
                <w:b/>
                <w:sz w:val="24"/>
              </w:rPr>
              <w:t>考核目标：</w:t>
            </w:r>
          </w:p>
          <w:p w14:paraId="15FDFF1E">
            <w:pPr>
              <w:keepNext w:val="0"/>
              <w:keepLines w:val="0"/>
              <w:widowControl/>
              <w:numPr>
                <w:ilvl w:val="0"/>
                <w:numId w:val="11"/>
              </w:numPr>
              <w:suppressLineNumbers w:val="0"/>
              <w:jc w:val="left"/>
              <w:rPr>
                <w:rFonts w:eastAsia="仿宋_GB2312"/>
                <w:b/>
                <w:sz w:val="24"/>
              </w:rPr>
            </w:pPr>
            <w:r>
              <w:rPr>
                <w:rFonts w:hint="eastAsia" w:ascii="仿宋_GB2312" w:hAnsi="宋体" w:eastAsia="仿宋_GB2312" w:cs="仿宋_GB2312"/>
                <w:color w:val="000000"/>
                <w:kern w:val="0"/>
                <w:sz w:val="24"/>
                <w:szCs w:val="24"/>
                <w:lang w:val="en-US" w:eastAsia="zh-CN" w:bidi="ar"/>
              </w:rPr>
              <w:t>形成规划建议</w:t>
            </w:r>
          </w:p>
          <w:p w14:paraId="60EFEF9E">
            <w:pPr>
              <w:pStyle w:val="6"/>
              <w:rPr>
                <w:rFonts w:hint="default" w:eastAsia="仿宋"/>
                <w:lang w:val="en-US" w:eastAsia="zh-CN"/>
              </w:rPr>
            </w:pPr>
            <w:r>
              <w:rPr>
                <w:rFonts w:hint="eastAsia"/>
                <w:b w:val="0"/>
                <w:bCs w:val="0"/>
                <w:lang w:val="en-US" w:eastAsia="zh-CN"/>
              </w:rPr>
              <w:t>(2)撰写成果报告</w:t>
            </w:r>
          </w:p>
        </w:tc>
      </w:tr>
      <w:tr w14:paraId="2100112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cantSplit/>
          <w:trHeight w:val="956" w:hRule="atLeast"/>
        </w:trPr>
        <w:tc>
          <w:tcPr>
            <w:tcW w:w="1051" w:type="dxa"/>
            <w:noWrap w:val="0"/>
            <w:vAlign w:val="center"/>
          </w:tcPr>
          <w:p w14:paraId="4FD04A87">
            <w:pPr>
              <w:adjustRightInd w:val="0"/>
              <w:snapToGrid w:val="0"/>
              <w:spacing w:line="288" w:lineRule="auto"/>
              <w:jc w:val="center"/>
              <w:rPr>
                <w:rFonts w:hint="default" w:eastAsia="仿宋_GB2312"/>
                <w:sz w:val="24"/>
                <w:lang w:val="en-US" w:eastAsia="zh-CN"/>
              </w:rPr>
            </w:pPr>
            <w:r>
              <w:rPr>
                <w:rFonts w:hint="eastAsia" w:eastAsia="仿宋_GB2312"/>
                <w:sz w:val="24"/>
                <w:lang w:val="en-US" w:eastAsia="zh-CN"/>
              </w:rPr>
              <w:t>1.5</w:t>
            </w:r>
          </w:p>
        </w:tc>
        <w:tc>
          <w:tcPr>
            <w:tcW w:w="7779" w:type="dxa"/>
            <w:noWrap w:val="0"/>
            <w:vAlign w:val="top"/>
          </w:tcPr>
          <w:p w14:paraId="4DE56EEF">
            <w:pPr>
              <w:adjustRightInd w:val="0"/>
              <w:snapToGrid w:val="0"/>
              <w:spacing w:line="288" w:lineRule="auto"/>
              <w:ind w:right="72"/>
              <w:rPr>
                <w:rFonts w:eastAsia="仿宋_GB2312"/>
                <w:b/>
                <w:sz w:val="24"/>
              </w:rPr>
            </w:pPr>
            <w:r>
              <w:rPr>
                <w:rFonts w:hint="eastAsia" w:eastAsia="仿宋_GB2312"/>
                <w:b/>
                <w:sz w:val="24"/>
              </w:rPr>
              <w:t>202</w:t>
            </w:r>
            <w:r>
              <w:rPr>
                <w:rFonts w:hint="eastAsia" w:eastAsia="仿宋_GB2312"/>
                <w:b/>
                <w:sz w:val="24"/>
                <w:lang w:val="en-US" w:eastAsia="zh-CN"/>
              </w:rPr>
              <w:t>6</w:t>
            </w:r>
            <w:r>
              <w:rPr>
                <w:rFonts w:eastAsia="仿宋_GB2312"/>
                <w:b/>
                <w:sz w:val="24"/>
              </w:rPr>
              <w:t>年</w:t>
            </w:r>
            <w:r>
              <w:rPr>
                <w:rFonts w:hint="eastAsia" w:eastAsia="仿宋_GB2312"/>
                <w:b/>
                <w:sz w:val="24"/>
                <w:lang w:val="en-US" w:eastAsia="zh-CN"/>
              </w:rPr>
              <w:t>10</w:t>
            </w:r>
            <w:r>
              <w:rPr>
                <w:rFonts w:eastAsia="仿宋_GB2312"/>
                <w:b/>
                <w:sz w:val="24"/>
              </w:rPr>
              <w:t xml:space="preserve">月— </w:t>
            </w:r>
            <w:r>
              <w:rPr>
                <w:rFonts w:hint="eastAsia" w:eastAsia="仿宋_GB2312"/>
                <w:b/>
                <w:sz w:val="24"/>
              </w:rPr>
              <w:t>202</w:t>
            </w:r>
            <w:r>
              <w:rPr>
                <w:rFonts w:hint="eastAsia" w:eastAsia="仿宋_GB2312"/>
                <w:b/>
                <w:sz w:val="24"/>
                <w:lang w:val="en-US" w:eastAsia="zh-CN"/>
              </w:rPr>
              <w:t>6</w:t>
            </w:r>
            <w:r>
              <w:rPr>
                <w:rFonts w:eastAsia="仿宋_GB2312"/>
                <w:b/>
                <w:sz w:val="24"/>
              </w:rPr>
              <w:t>年</w:t>
            </w:r>
            <w:r>
              <w:rPr>
                <w:rFonts w:hint="eastAsia" w:eastAsia="仿宋_GB2312"/>
                <w:b/>
                <w:sz w:val="24"/>
                <w:lang w:val="en-US" w:eastAsia="zh-CN"/>
              </w:rPr>
              <w:t>11</w:t>
            </w:r>
            <w:r>
              <w:rPr>
                <w:rFonts w:eastAsia="仿宋_GB2312"/>
                <w:b/>
                <w:sz w:val="24"/>
              </w:rPr>
              <w:t xml:space="preserve">月  </w:t>
            </w:r>
          </w:p>
          <w:p w14:paraId="120A154B">
            <w:pPr>
              <w:adjustRightInd w:val="0"/>
              <w:snapToGrid w:val="0"/>
              <w:spacing w:line="288" w:lineRule="auto"/>
              <w:ind w:right="72"/>
              <w:rPr>
                <w:rFonts w:hint="eastAsia" w:eastAsia="仿宋_GB2312"/>
                <w:sz w:val="24"/>
              </w:rPr>
            </w:pPr>
            <w:r>
              <w:rPr>
                <w:rFonts w:eastAsia="仿宋_GB2312"/>
                <w:b/>
                <w:sz w:val="24"/>
              </w:rPr>
              <w:t>主要内容：</w:t>
            </w:r>
            <w:r>
              <w:rPr>
                <w:rFonts w:hint="eastAsia" w:eastAsia="仿宋_GB2312"/>
                <w:color w:val="auto"/>
                <w:sz w:val="24"/>
              </w:rPr>
              <w:t>完成项目</w:t>
            </w:r>
            <w:r>
              <w:rPr>
                <w:rFonts w:hint="eastAsia" w:eastAsia="仿宋_GB2312"/>
                <w:color w:val="auto"/>
                <w:sz w:val="24"/>
                <w:lang w:val="en-US" w:eastAsia="zh-CN"/>
              </w:rPr>
              <w:t>自</w:t>
            </w:r>
            <w:r>
              <w:rPr>
                <w:rFonts w:hint="eastAsia" w:eastAsia="仿宋_GB2312"/>
                <w:color w:val="auto"/>
                <w:sz w:val="24"/>
              </w:rPr>
              <w:t>验收</w:t>
            </w:r>
            <w:r>
              <w:rPr>
                <w:rFonts w:hint="eastAsia" w:eastAsia="仿宋_GB2312"/>
                <w:color w:val="auto"/>
                <w:sz w:val="24"/>
                <w:lang w:eastAsia="zh-CN"/>
              </w:rPr>
              <w:t>（</w:t>
            </w:r>
            <w:r>
              <w:rPr>
                <w:rFonts w:hint="eastAsia" w:eastAsia="仿宋_GB2312"/>
                <w:color w:val="auto"/>
                <w:sz w:val="24"/>
                <w:lang w:val="en-US" w:eastAsia="zh-CN"/>
              </w:rPr>
              <w:t>地市公司组织或自行组织</w:t>
            </w:r>
            <w:r>
              <w:rPr>
                <w:rFonts w:hint="eastAsia" w:eastAsia="仿宋_GB2312"/>
                <w:color w:val="auto"/>
                <w:sz w:val="24"/>
                <w:lang w:eastAsia="zh-CN"/>
              </w:rPr>
              <w:t>），</w:t>
            </w:r>
            <w:r>
              <w:rPr>
                <w:rFonts w:hint="eastAsia" w:eastAsia="仿宋_GB2312"/>
                <w:color w:val="auto"/>
                <w:sz w:val="24"/>
                <w:lang w:val="en-US" w:eastAsia="zh-CN"/>
              </w:rPr>
              <w:t>并修改闭环</w:t>
            </w:r>
            <w:r>
              <w:rPr>
                <w:rFonts w:hint="eastAsia" w:eastAsia="仿宋_GB2312"/>
                <w:color w:val="auto"/>
                <w:sz w:val="24"/>
                <w:lang w:eastAsia="zh-CN"/>
              </w:rPr>
              <w:t>。</w:t>
            </w:r>
          </w:p>
          <w:p w14:paraId="7DB366BC">
            <w:pPr>
              <w:adjustRightInd w:val="0"/>
              <w:snapToGrid w:val="0"/>
              <w:spacing w:line="288" w:lineRule="auto"/>
              <w:ind w:right="72"/>
              <w:rPr>
                <w:rFonts w:eastAsia="仿宋_GB2312"/>
                <w:b/>
                <w:sz w:val="24"/>
              </w:rPr>
            </w:pPr>
            <w:r>
              <w:rPr>
                <w:rFonts w:eastAsia="仿宋_GB2312"/>
                <w:b/>
                <w:sz w:val="24"/>
              </w:rPr>
              <w:t>考核目标：</w:t>
            </w:r>
          </w:p>
          <w:p w14:paraId="15FD327B">
            <w:pPr>
              <w:numPr>
                <w:ilvl w:val="0"/>
                <w:numId w:val="12"/>
              </w:numPr>
              <w:adjustRightInd w:val="0"/>
              <w:snapToGrid w:val="0"/>
              <w:spacing w:line="360" w:lineRule="auto"/>
              <w:rPr>
                <w:rFonts w:hint="default"/>
                <w:lang w:val="en-US" w:eastAsia="zh-CN"/>
              </w:rPr>
            </w:pPr>
            <w:r>
              <w:rPr>
                <w:rFonts w:hint="eastAsia" w:eastAsia="仿宋_GB2312"/>
                <w:b w:val="0"/>
                <w:bCs/>
                <w:sz w:val="24"/>
                <w:lang w:val="en-US" w:eastAsia="zh-CN"/>
              </w:rPr>
              <w:t>完成成果报告及</w:t>
            </w:r>
            <w:r>
              <w:rPr>
                <w:rFonts w:hint="eastAsia" w:ascii="仿宋_GB2312" w:eastAsia="仿宋_GB2312"/>
                <w:b w:val="0"/>
                <w:bCs w:val="0"/>
                <w:sz w:val="24"/>
                <w:lang w:val="en-US" w:eastAsia="zh-CN"/>
              </w:rPr>
              <w:t>其他合同规定的内容；</w:t>
            </w:r>
          </w:p>
          <w:p w14:paraId="4A3BB540">
            <w:pPr>
              <w:pStyle w:val="6"/>
              <w:rPr>
                <w:rFonts w:hint="default"/>
                <w:lang w:val="en-US" w:eastAsia="zh-CN"/>
              </w:rPr>
            </w:pPr>
            <w:r>
              <w:rPr>
                <w:rFonts w:hint="eastAsia" w:ascii="仿宋_GB2312" w:eastAsia="仿宋_GB2312"/>
                <w:b w:val="0"/>
                <w:bCs w:val="0"/>
                <w:sz w:val="24"/>
                <w:lang w:val="en-US" w:eastAsia="zh-CN"/>
              </w:rPr>
              <w:t>(2)完成项目自验收，并组织整改闭环</w:t>
            </w:r>
          </w:p>
        </w:tc>
      </w:tr>
      <w:tr w14:paraId="0CAFD3A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cantSplit/>
          <w:trHeight w:val="1587" w:hRule="atLeast"/>
        </w:trPr>
        <w:tc>
          <w:tcPr>
            <w:tcW w:w="1051" w:type="dxa"/>
            <w:noWrap w:val="0"/>
            <w:vAlign w:val="center"/>
          </w:tcPr>
          <w:p w14:paraId="179FF24C">
            <w:pPr>
              <w:adjustRightInd w:val="0"/>
              <w:snapToGrid w:val="0"/>
              <w:spacing w:line="288" w:lineRule="auto"/>
              <w:jc w:val="center"/>
              <w:rPr>
                <w:rFonts w:hint="eastAsia" w:eastAsia="仿宋_GB2312"/>
                <w:sz w:val="24"/>
                <w:lang w:val="en-US" w:eastAsia="zh-CN"/>
              </w:rPr>
            </w:pPr>
            <w:r>
              <w:rPr>
                <w:rFonts w:hint="eastAsia" w:eastAsia="仿宋_GB2312"/>
                <w:sz w:val="24"/>
                <w:lang w:val="en-US" w:eastAsia="zh-CN"/>
              </w:rPr>
              <w:t>1.6</w:t>
            </w:r>
          </w:p>
        </w:tc>
        <w:tc>
          <w:tcPr>
            <w:tcW w:w="7779" w:type="dxa"/>
            <w:noWrap w:val="0"/>
            <w:vAlign w:val="top"/>
          </w:tcPr>
          <w:p w14:paraId="4926DE7C">
            <w:pPr>
              <w:adjustRightInd w:val="0"/>
              <w:snapToGrid w:val="0"/>
              <w:spacing w:line="288" w:lineRule="auto"/>
              <w:ind w:right="72"/>
              <w:rPr>
                <w:rFonts w:eastAsia="仿宋_GB2312"/>
                <w:b/>
                <w:sz w:val="24"/>
              </w:rPr>
            </w:pPr>
            <w:r>
              <w:rPr>
                <w:rFonts w:hint="eastAsia" w:eastAsia="仿宋_GB2312"/>
                <w:b/>
                <w:sz w:val="24"/>
              </w:rPr>
              <w:t>202</w:t>
            </w:r>
            <w:r>
              <w:rPr>
                <w:rFonts w:hint="eastAsia" w:eastAsia="仿宋_GB2312"/>
                <w:b/>
                <w:sz w:val="24"/>
                <w:lang w:val="en-US" w:eastAsia="zh-CN"/>
              </w:rPr>
              <w:t>6</w:t>
            </w:r>
            <w:r>
              <w:rPr>
                <w:rFonts w:eastAsia="仿宋_GB2312"/>
                <w:b/>
                <w:sz w:val="24"/>
              </w:rPr>
              <w:t>年</w:t>
            </w:r>
            <w:r>
              <w:rPr>
                <w:rFonts w:hint="eastAsia" w:eastAsia="仿宋_GB2312"/>
                <w:b/>
                <w:sz w:val="24"/>
                <w:lang w:val="en-US" w:eastAsia="zh-CN"/>
              </w:rPr>
              <w:t>11</w:t>
            </w:r>
            <w:r>
              <w:rPr>
                <w:rFonts w:eastAsia="仿宋_GB2312"/>
                <w:b/>
                <w:sz w:val="24"/>
              </w:rPr>
              <w:t xml:space="preserve">月— </w:t>
            </w:r>
            <w:r>
              <w:rPr>
                <w:rFonts w:hint="eastAsia" w:eastAsia="仿宋_GB2312"/>
                <w:b/>
                <w:sz w:val="24"/>
              </w:rPr>
              <w:t>202</w:t>
            </w:r>
            <w:r>
              <w:rPr>
                <w:rFonts w:hint="eastAsia" w:eastAsia="仿宋_GB2312"/>
                <w:b/>
                <w:sz w:val="24"/>
                <w:lang w:val="en-US" w:eastAsia="zh-CN"/>
              </w:rPr>
              <w:t>6</w:t>
            </w:r>
            <w:r>
              <w:rPr>
                <w:rFonts w:eastAsia="仿宋_GB2312"/>
                <w:b/>
                <w:sz w:val="24"/>
              </w:rPr>
              <w:t>年</w:t>
            </w:r>
            <w:r>
              <w:rPr>
                <w:rFonts w:hint="eastAsia" w:eastAsia="仿宋_GB2312"/>
                <w:b/>
                <w:sz w:val="24"/>
                <w:lang w:val="en-US" w:eastAsia="zh-CN"/>
              </w:rPr>
              <w:t>12</w:t>
            </w:r>
            <w:r>
              <w:rPr>
                <w:rFonts w:eastAsia="仿宋_GB2312"/>
                <w:b/>
                <w:sz w:val="24"/>
              </w:rPr>
              <w:t xml:space="preserve">月  </w:t>
            </w:r>
          </w:p>
          <w:p w14:paraId="7F164847">
            <w:pPr>
              <w:adjustRightInd w:val="0"/>
              <w:snapToGrid w:val="0"/>
              <w:spacing w:line="288" w:lineRule="auto"/>
              <w:ind w:right="72"/>
              <w:rPr>
                <w:rFonts w:hint="eastAsia" w:eastAsia="仿宋_GB2312"/>
                <w:sz w:val="24"/>
              </w:rPr>
            </w:pPr>
            <w:r>
              <w:rPr>
                <w:rFonts w:eastAsia="仿宋_GB2312"/>
                <w:b/>
                <w:sz w:val="24"/>
              </w:rPr>
              <w:t>主要内容：</w:t>
            </w:r>
            <w:r>
              <w:rPr>
                <w:rFonts w:hint="eastAsia" w:ascii="Times New Roman" w:hAnsi="Times New Roman" w:eastAsia="仿宋_GB2312" w:cs="Times New Roman"/>
                <w:color w:val="auto"/>
                <w:sz w:val="24"/>
                <w:lang w:eastAsia="zh-CN"/>
              </w:rPr>
              <w:t>完</w:t>
            </w:r>
            <w:r>
              <w:rPr>
                <w:rFonts w:hint="eastAsia" w:eastAsia="仿宋_GB2312"/>
                <w:color w:val="auto"/>
                <w:sz w:val="24"/>
              </w:rPr>
              <w:t>成项目</w:t>
            </w:r>
            <w:r>
              <w:rPr>
                <w:rFonts w:hint="eastAsia" w:eastAsia="仿宋_GB2312"/>
                <w:color w:val="auto"/>
                <w:sz w:val="24"/>
                <w:lang w:val="en-US" w:eastAsia="zh-CN"/>
              </w:rPr>
              <w:t>正式</w:t>
            </w:r>
            <w:r>
              <w:rPr>
                <w:rFonts w:hint="eastAsia" w:eastAsia="仿宋_GB2312"/>
                <w:color w:val="auto"/>
                <w:sz w:val="24"/>
              </w:rPr>
              <w:t>验收</w:t>
            </w:r>
            <w:r>
              <w:rPr>
                <w:rFonts w:hint="eastAsia" w:eastAsia="仿宋_GB2312"/>
                <w:sz w:val="24"/>
              </w:rPr>
              <w:t>。</w:t>
            </w:r>
          </w:p>
          <w:p w14:paraId="5D08BB6B">
            <w:pPr>
              <w:adjustRightInd w:val="0"/>
              <w:snapToGrid w:val="0"/>
              <w:spacing w:line="288" w:lineRule="auto"/>
              <w:ind w:right="72"/>
              <w:rPr>
                <w:rFonts w:eastAsia="仿宋_GB2312"/>
                <w:b/>
                <w:sz w:val="24"/>
              </w:rPr>
            </w:pPr>
            <w:r>
              <w:rPr>
                <w:rFonts w:eastAsia="仿宋_GB2312"/>
                <w:b/>
                <w:sz w:val="24"/>
              </w:rPr>
              <w:t>考核目标：</w:t>
            </w:r>
          </w:p>
          <w:p w14:paraId="3FDCEE2F">
            <w:pPr>
              <w:adjustRightInd w:val="0"/>
              <w:snapToGrid w:val="0"/>
              <w:spacing w:line="360" w:lineRule="auto"/>
              <w:rPr>
                <w:rFonts w:hint="eastAsia" w:eastAsia="仿宋_GB2312"/>
                <w:sz w:val="24"/>
              </w:rPr>
            </w:pPr>
            <w:r>
              <w:rPr>
                <w:rFonts w:hint="eastAsia" w:eastAsia="仿宋_GB2312"/>
                <w:sz w:val="24"/>
              </w:rPr>
              <w:t>（1）</w:t>
            </w:r>
            <w:r>
              <w:rPr>
                <w:rFonts w:hint="eastAsia" w:eastAsia="仿宋_GB2312"/>
                <w:sz w:val="24"/>
                <w:lang w:val="en-US" w:eastAsia="zh-CN"/>
              </w:rPr>
              <w:t>完成项目整体验收，并修改闭环</w:t>
            </w:r>
            <w:r>
              <w:rPr>
                <w:rFonts w:hint="eastAsia" w:eastAsia="仿宋_GB2312"/>
                <w:sz w:val="24"/>
              </w:rPr>
              <w:t>。</w:t>
            </w:r>
          </w:p>
        </w:tc>
      </w:tr>
    </w:tbl>
    <w:p w14:paraId="400B5A2D"/>
    <w:p w14:paraId="188F7454">
      <w:pPr>
        <w:keepNext w:val="0"/>
        <w:keepLines w:val="0"/>
        <w:pageBreakBefore w:val="0"/>
        <w:widowControl w:val="0"/>
        <w:kinsoku/>
        <w:wordWrap/>
        <w:overflowPunct/>
        <w:topLinePunct w:val="0"/>
        <w:autoSpaceDE/>
        <w:autoSpaceDN/>
        <w:bidi w:val="0"/>
        <w:adjustRightInd/>
        <w:snapToGrid/>
        <w:ind w:firstLine="562" w:firstLineChars="200"/>
        <w:textAlignment w:val="auto"/>
        <w:rPr>
          <w:rStyle w:val="69"/>
          <w:rFonts w:hint="eastAsia" w:ascii="仿宋" w:hAnsi="仿宋" w:eastAsia="仿宋" w:cs="仿宋"/>
          <w:sz w:val="28"/>
          <w:szCs w:val="28"/>
          <w:highlight w:val="yellow"/>
          <w:lang w:val="en-US" w:eastAsia="zh-CN"/>
        </w:rPr>
      </w:pPr>
      <w:r>
        <w:rPr>
          <w:rStyle w:val="69"/>
          <w:rFonts w:hint="eastAsia" w:ascii="仿宋" w:hAnsi="仿宋" w:eastAsia="仿宋" w:cs="仿宋"/>
          <w:sz w:val="28"/>
          <w:szCs w:val="28"/>
          <w:highlight w:val="yellow"/>
          <w:lang w:val="en-US" w:eastAsia="zh-CN"/>
        </w:rPr>
        <w:t>七、收资清单</w:t>
      </w:r>
    </w:p>
    <w:p w14:paraId="7AC8F51A">
      <w:pPr>
        <w:adjustRightInd w:val="0"/>
        <w:snapToGrid w:val="0"/>
        <w:spacing w:line="360" w:lineRule="auto"/>
        <w:ind w:firstLine="480" w:firstLineChars="200"/>
        <w:rPr>
          <w:rFonts w:hint="eastAsia" w:eastAsia="仿宋_GB2312"/>
          <w:i/>
          <w:iCs/>
          <w:sz w:val="24"/>
          <w:highlight w:val="yellow"/>
          <w:lang w:val="en-US" w:eastAsia="zh-CN"/>
        </w:rPr>
      </w:pPr>
      <w:r>
        <w:rPr>
          <w:rFonts w:hint="eastAsia" w:eastAsia="仿宋_GB2312"/>
          <w:i/>
          <w:iCs/>
          <w:sz w:val="24"/>
          <w:highlight w:val="yellow"/>
          <w:lang w:val="en-US" w:eastAsia="zh-CN"/>
        </w:rPr>
        <w:t>包含收资内容、收资对象、收资难度、收资工作量，存在哪些困难。</w:t>
      </w:r>
    </w:p>
    <w:p w14:paraId="4E778563">
      <w:pPr>
        <w:keepNext w:val="0"/>
        <w:keepLines w:val="0"/>
        <w:pageBreakBefore w:val="0"/>
        <w:widowControl w:val="0"/>
        <w:kinsoku/>
        <w:wordWrap/>
        <w:overflowPunct/>
        <w:topLinePunct w:val="0"/>
        <w:autoSpaceDE/>
        <w:autoSpaceDN/>
        <w:bidi w:val="0"/>
        <w:adjustRightInd w:val="0"/>
        <w:snapToGrid w:val="0"/>
        <w:spacing w:line="360" w:lineRule="auto"/>
        <w:ind w:firstLine="482" w:firstLineChars="200"/>
        <w:textAlignment w:val="auto"/>
        <w:rPr>
          <w:rFonts w:hint="default" w:ascii="仿宋" w:hAnsi="仿宋" w:eastAsia="仿宋" w:cs="仿宋"/>
          <w:color w:val="000000"/>
          <w:sz w:val="24"/>
          <w:szCs w:val="24"/>
          <w:highlight w:val="yellow"/>
          <w:lang w:val="en-US" w:eastAsia="zh-CN"/>
        </w:rPr>
      </w:pPr>
      <w:r>
        <w:rPr>
          <w:rFonts w:hint="eastAsia" w:ascii="仿宋" w:hAnsi="仿宋" w:eastAsia="仿宋" w:cs="仿宋"/>
          <w:b/>
          <w:bCs/>
          <w:color w:val="000000"/>
          <w:sz w:val="24"/>
          <w:szCs w:val="24"/>
          <w:highlight w:val="yellow"/>
          <w:lang w:val="en-US" w:eastAsia="zh-CN"/>
        </w:rPr>
        <w:t>收资对象：</w:t>
      </w:r>
      <w:r>
        <w:rPr>
          <w:rFonts w:hint="eastAsia" w:ascii="仿宋" w:hAnsi="仿宋" w:eastAsia="仿宋" w:cs="仿宋"/>
          <w:color w:val="000000"/>
          <w:sz w:val="24"/>
          <w:szCs w:val="24"/>
          <w:highlight w:val="yellow"/>
          <w:lang w:val="en-US" w:eastAsia="zh-CN"/>
        </w:rPr>
        <w:t>徐州供电公司发展部、经研所、营销部</w:t>
      </w:r>
    </w:p>
    <w:p w14:paraId="62FC1D67">
      <w:pPr>
        <w:keepNext w:val="0"/>
        <w:keepLines w:val="0"/>
        <w:pageBreakBefore w:val="0"/>
        <w:widowControl w:val="0"/>
        <w:kinsoku/>
        <w:wordWrap/>
        <w:overflowPunct/>
        <w:topLinePunct w:val="0"/>
        <w:autoSpaceDE/>
        <w:autoSpaceDN/>
        <w:bidi w:val="0"/>
        <w:adjustRightInd w:val="0"/>
        <w:snapToGrid w:val="0"/>
        <w:spacing w:line="360" w:lineRule="auto"/>
        <w:ind w:firstLine="482" w:firstLineChars="200"/>
        <w:textAlignment w:val="auto"/>
        <w:rPr>
          <w:rFonts w:hint="default" w:ascii="仿宋" w:hAnsi="仿宋" w:eastAsia="仿宋" w:cs="仿宋"/>
          <w:b/>
          <w:bCs/>
          <w:color w:val="000000"/>
          <w:sz w:val="24"/>
          <w:szCs w:val="24"/>
          <w:highlight w:val="yellow"/>
          <w:lang w:val="en-US" w:eastAsia="zh-CN"/>
        </w:rPr>
      </w:pPr>
      <w:r>
        <w:rPr>
          <w:rFonts w:hint="eastAsia" w:ascii="仿宋" w:hAnsi="仿宋" w:eastAsia="仿宋" w:cs="仿宋"/>
          <w:b/>
          <w:bCs/>
          <w:color w:val="000000"/>
          <w:sz w:val="24"/>
          <w:szCs w:val="24"/>
          <w:highlight w:val="yellow"/>
          <w:lang w:val="en-US" w:eastAsia="zh-CN"/>
        </w:rPr>
        <w:t>收资内容：</w:t>
      </w:r>
    </w:p>
    <w:p w14:paraId="1AEC001C">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textAlignment w:val="auto"/>
        <w:rPr>
          <w:rFonts w:hint="eastAsia" w:ascii="仿宋" w:hAnsi="仿宋" w:eastAsia="仿宋" w:cs="仿宋"/>
          <w:color w:val="000000"/>
          <w:sz w:val="24"/>
          <w:szCs w:val="24"/>
          <w:highlight w:val="yellow"/>
          <w:lang w:val="en-US" w:eastAsia="zh-CN"/>
        </w:rPr>
      </w:pPr>
      <w:r>
        <w:rPr>
          <w:rFonts w:hint="eastAsia" w:ascii="仿宋" w:hAnsi="仿宋" w:eastAsia="仿宋" w:cs="仿宋"/>
          <w:color w:val="000000"/>
          <w:sz w:val="24"/>
          <w:szCs w:val="24"/>
          <w:highlight w:val="yellow"/>
          <w:lang w:val="en-US" w:eastAsia="zh-CN"/>
        </w:rPr>
        <w:t>（1）近五年</w:t>
      </w:r>
      <w:r>
        <w:rPr>
          <w:rFonts w:hint="eastAsia" w:ascii="仿宋" w:hAnsi="仿宋" w:eastAsia="仿宋" w:cs="仿宋"/>
          <w:sz w:val="24"/>
          <w:highlight w:val="yellow"/>
          <w:lang w:val="en-US" w:eastAsia="zh-CN"/>
        </w:rPr>
        <w:t>徐州地区110（35）kV在主变在夏季、冬季晚峰、午峰、春秋季午间小负荷等多种典型场景下的负载率</w:t>
      </w:r>
      <w:r>
        <w:rPr>
          <w:rFonts w:hint="eastAsia" w:ascii="仿宋" w:hAnsi="仿宋" w:eastAsia="仿宋" w:cs="仿宋"/>
          <w:color w:val="000000"/>
          <w:sz w:val="24"/>
          <w:szCs w:val="24"/>
          <w:highlight w:val="yellow"/>
          <w:lang w:val="en-US" w:eastAsia="zh-CN"/>
        </w:rPr>
        <w:t>；</w:t>
      </w:r>
    </w:p>
    <w:p w14:paraId="1A80F288">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textAlignment w:val="auto"/>
        <w:rPr>
          <w:rFonts w:hint="eastAsia" w:ascii="仿宋" w:hAnsi="仿宋" w:eastAsia="仿宋" w:cs="仿宋"/>
          <w:color w:val="000000"/>
          <w:sz w:val="24"/>
          <w:szCs w:val="24"/>
          <w:highlight w:val="yellow"/>
          <w:lang w:val="en-US" w:eastAsia="zh-CN"/>
        </w:rPr>
      </w:pPr>
      <w:r>
        <w:rPr>
          <w:rFonts w:hint="eastAsia" w:ascii="仿宋" w:hAnsi="仿宋" w:eastAsia="仿宋" w:cs="仿宋"/>
          <w:color w:val="000000"/>
          <w:sz w:val="24"/>
          <w:szCs w:val="24"/>
          <w:highlight w:val="yellow"/>
          <w:lang w:val="en-US" w:eastAsia="zh-CN"/>
        </w:rPr>
        <w:t>（2）选取典型地区中、低压配网接入新能源的接入方案、投资以及电网配套增容的成本；</w:t>
      </w:r>
    </w:p>
    <w:p w14:paraId="3D84E2C9">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textAlignment w:val="auto"/>
        <w:rPr>
          <w:rFonts w:hint="default" w:ascii="仿宋" w:hAnsi="仿宋" w:eastAsia="仿宋" w:cs="仿宋"/>
          <w:color w:val="000000"/>
          <w:sz w:val="24"/>
          <w:szCs w:val="24"/>
          <w:highlight w:val="yellow"/>
          <w:lang w:val="en-US" w:eastAsia="zh-CN"/>
        </w:rPr>
      </w:pPr>
      <w:r>
        <w:rPr>
          <w:rFonts w:hint="eastAsia" w:ascii="仿宋" w:hAnsi="仿宋" w:eastAsia="仿宋" w:cs="仿宋"/>
          <w:color w:val="000000"/>
          <w:sz w:val="24"/>
          <w:szCs w:val="24"/>
          <w:highlight w:val="yellow"/>
          <w:lang w:val="en-US" w:eastAsia="zh-CN"/>
        </w:rPr>
        <w:t>（3）典型地区的中、低配网接线图。</w:t>
      </w:r>
    </w:p>
    <w:p w14:paraId="5BB0ED00">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textAlignment w:val="auto"/>
        <w:rPr>
          <w:rFonts w:hint="eastAsia" w:ascii="仿宋" w:hAnsi="仿宋" w:eastAsia="仿宋" w:cs="仿宋"/>
          <w:color w:val="000000"/>
          <w:sz w:val="24"/>
          <w:szCs w:val="24"/>
          <w:highlight w:val="yellow"/>
          <w:lang w:val="en-US" w:eastAsia="zh-CN"/>
        </w:rPr>
      </w:pPr>
      <w:r>
        <w:rPr>
          <w:rFonts w:hint="eastAsia" w:ascii="仿宋" w:hAnsi="仿宋" w:eastAsia="仿宋" w:cs="仿宋"/>
          <w:color w:val="000000"/>
          <w:sz w:val="24"/>
          <w:szCs w:val="24"/>
          <w:highlight w:val="yellow"/>
          <w:lang w:val="en-US" w:eastAsia="zh-CN"/>
        </w:rPr>
        <w:t>（4）典型地区电网负荷预测与光伏预测。</w:t>
      </w:r>
    </w:p>
    <w:p w14:paraId="5F62610B">
      <w:pPr>
        <w:keepNext w:val="0"/>
        <w:keepLines w:val="0"/>
        <w:pageBreakBefore w:val="0"/>
        <w:widowControl w:val="0"/>
        <w:kinsoku/>
        <w:wordWrap/>
        <w:overflowPunct/>
        <w:topLinePunct w:val="0"/>
        <w:autoSpaceDE/>
        <w:autoSpaceDN/>
        <w:bidi w:val="0"/>
        <w:adjustRightInd w:val="0"/>
        <w:snapToGrid w:val="0"/>
        <w:spacing w:line="360" w:lineRule="auto"/>
        <w:ind w:firstLine="482" w:firstLineChars="200"/>
        <w:textAlignment w:val="auto"/>
        <w:rPr>
          <w:rFonts w:hint="eastAsia" w:ascii="仿宋" w:hAnsi="仿宋" w:eastAsia="仿宋" w:cs="仿宋"/>
          <w:b/>
          <w:bCs/>
          <w:color w:val="000000"/>
          <w:sz w:val="24"/>
          <w:szCs w:val="24"/>
          <w:highlight w:val="yellow"/>
          <w:lang w:val="en-US" w:eastAsia="zh-CN"/>
        </w:rPr>
      </w:pPr>
      <w:r>
        <w:rPr>
          <w:rFonts w:hint="eastAsia" w:ascii="仿宋" w:hAnsi="仿宋" w:eastAsia="仿宋" w:cs="仿宋"/>
          <w:b/>
          <w:bCs/>
          <w:color w:val="000000"/>
          <w:sz w:val="24"/>
          <w:szCs w:val="24"/>
          <w:highlight w:val="yellow"/>
          <w:lang w:val="en-US" w:eastAsia="zh-CN"/>
        </w:rPr>
        <w:t>存在困难：</w:t>
      </w:r>
    </w:p>
    <w:p w14:paraId="57D39550">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textAlignment w:val="auto"/>
        <w:rPr>
          <w:rFonts w:hint="eastAsia"/>
          <w:highlight w:val="yellow"/>
          <w:lang w:val="en-US" w:eastAsia="zh-CN"/>
        </w:rPr>
      </w:pPr>
      <w:r>
        <w:rPr>
          <w:rFonts w:hint="eastAsia" w:ascii="仿宋" w:hAnsi="仿宋" w:eastAsia="仿宋" w:cs="仿宋"/>
          <w:color w:val="000000"/>
          <w:sz w:val="24"/>
          <w:szCs w:val="24"/>
          <w:highlight w:val="yellow"/>
          <w:lang w:val="en-US" w:eastAsia="zh-CN"/>
        </w:rPr>
        <w:t>（1）低压配网接入的分布式光伏没有接入方案评审意见，缺少接入费用的估算。</w:t>
      </w:r>
    </w:p>
    <w:p w14:paraId="04DFA81E">
      <w:pPr>
        <w:keepNext w:val="0"/>
        <w:keepLines w:val="0"/>
        <w:pageBreakBefore w:val="0"/>
        <w:widowControl w:val="0"/>
        <w:numPr>
          <w:ilvl w:val="0"/>
          <w:numId w:val="13"/>
        </w:numPr>
        <w:kinsoku/>
        <w:wordWrap/>
        <w:overflowPunct/>
        <w:topLinePunct w:val="0"/>
        <w:autoSpaceDE/>
        <w:autoSpaceDN/>
        <w:bidi w:val="0"/>
        <w:adjustRightInd/>
        <w:snapToGrid/>
        <w:ind w:firstLine="562" w:firstLineChars="200"/>
        <w:textAlignment w:val="auto"/>
        <w:rPr>
          <w:rStyle w:val="69"/>
          <w:rFonts w:hint="eastAsia" w:ascii="仿宋" w:hAnsi="仿宋" w:eastAsia="仿宋" w:cs="仿宋"/>
          <w:sz w:val="28"/>
          <w:szCs w:val="28"/>
          <w:highlight w:val="yellow"/>
          <w:lang w:val="en-US" w:eastAsia="zh-CN"/>
        </w:rPr>
      </w:pPr>
      <w:r>
        <w:rPr>
          <w:rStyle w:val="69"/>
          <w:rFonts w:hint="eastAsia" w:ascii="仿宋" w:hAnsi="仿宋" w:eastAsia="仿宋" w:cs="仿宋"/>
          <w:sz w:val="28"/>
          <w:szCs w:val="28"/>
          <w:highlight w:val="yellow"/>
          <w:lang w:val="en-US" w:eastAsia="zh-CN"/>
        </w:rPr>
        <w:t>其他困难</w:t>
      </w:r>
    </w:p>
    <w:p w14:paraId="614983E6">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textAlignment w:val="auto"/>
        <w:rPr>
          <w:rFonts w:hint="eastAsia" w:eastAsia="仿宋_GB2312"/>
          <w:i/>
          <w:iCs/>
          <w:sz w:val="24"/>
          <w:highlight w:val="yellow"/>
          <w:lang w:val="en-US" w:eastAsia="zh-CN"/>
        </w:rPr>
      </w:pPr>
      <w:r>
        <w:rPr>
          <w:rFonts w:hint="eastAsia" w:eastAsia="仿宋_GB2312"/>
          <w:i/>
          <w:iCs/>
          <w:sz w:val="24"/>
          <w:highlight w:val="yellow"/>
          <w:lang w:val="en-US" w:eastAsia="zh-CN"/>
        </w:rPr>
        <w:t>课题实施过程中可能存在的其他困难。</w:t>
      </w:r>
    </w:p>
    <w:p w14:paraId="614FD5EA">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textAlignment w:val="auto"/>
        <w:rPr>
          <w:rFonts w:hint="default" w:ascii="仿宋" w:hAnsi="仿宋" w:eastAsia="仿宋" w:cs="仿宋"/>
          <w:color w:val="000000"/>
          <w:sz w:val="24"/>
          <w:szCs w:val="24"/>
          <w:highlight w:val="yellow"/>
          <w:lang w:val="en-US" w:eastAsia="zh-CN"/>
        </w:rPr>
      </w:pPr>
      <w:r>
        <w:rPr>
          <w:rFonts w:hint="eastAsia" w:ascii="Times New Roman" w:hAnsi="Times New Roman" w:eastAsia="仿宋_GB2312" w:cs="Times New Roman"/>
          <w:sz w:val="24"/>
          <w:highlight w:val="yellow"/>
          <w:lang w:val="en-US" w:eastAsia="zh-CN"/>
        </w:rPr>
        <w:t>电网建设成本模型</w:t>
      </w:r>
      <w:r>
        <w:rPr>
          <w:rFonts w:hint="eastAsia" w:eastAsia="仿宋_GB2312" w:cs="Times New Roman"/>
          <w:sz w:val="24"/>
          <w:highlight w:val="yellow"/>
          <w:lang w:val="en-US" w:eastAsia="zh-CN"/>
        </w:rPr>
        <w:t>建立存在困难。</w:t>
      </w:r>
    </w:p>
    <w:p w14:paraId="640F7D34">
      <w:pPr>
        <w:rPr>
          <w:rFonts w:hint="default"/>
          <w:lang w:val="en-US" w:eastAsia="zh-CN"/>
        </w:rPr>
      </w:pPr>
    </w:p>
    <w:p w14:paraId="00FBFC74">
      <w:pPr>
        <w:pStyle w:val="2"/>
        <w:rPr>
          <w:rFonts w:hint="default"/>
          <w:lang w:val="en-US" w:eastAsia="zh-CN"/>
        </w:rPr>
        <w:sectPr>
          <w:headerReference r:id="rId5" w:type="default"/>
          <w:footerReference r:id="rId6" w:type="default"/>
          <w:pgSz w:w="11907" w:h="16840"/>
          <w:pgMar w:top="1440" w:right="1247" w:bottom="1440" w:left="1304" w:header="851" w:footer="992" w:gutter="0"/>
          <w:cols w:space="720" w:num="1"/>
          <w:formProt w:val="0"/>
          <w:titlePg/>
          <w:docGrid w:linePitch="380" w:charSpace="0"/>
        </w:sectPr>
      </w:pPr>
    </w:p>
    <w:p w14:paraId="438DFF4A">
      <w:pPr>
        <w:tabs>
          <w:tab w:val="left" w:pos="0"/>
          <w:tab w:val="left" w:pos="9288"/>
        </w:tabs>
        <w:adjustRightInd w:val="0"/>
        <w:snapToGrid w:val="0"/>
        <w:spacing w:line="288" w:lineRule="auto"/>
        <w:ind w:firstLine="602" w:firstLineChars="200"/>
        <w:rPr>
          <w:rFonts w:eastAsia="仿宋_GB2312"/>
          <w:b/>
          <w:sz w:val="36"/>
        </w:rPr>
      </w:pPr>
      <w:r>
        <w:rPr>
          <w:rFonts w:hint="eastAsia" w:eastAsia="仿宋_GB2312"/>
          <w:b/>
          <w:sz w:val="30"/>
          <w:lang w:val="en-US" w:eastAsia="zh-CN"/>
        </w:rPr>
        <w:t>九</w:t>
      </w:r>
      <w:r>
        <w:rPr>
          <w:rFonts w:eastAsia="仿宋_GB2312"/>
          <w:b/>
          <w:sz w:val="30"/>
        </w:rPr>
        <w:t>、项目经费预算　</w:t>
      </w:r>
      <w:r>
        <w:rPr>
          <w:rFonts w:eastAsia="仿宋_GB2312"/>
          <w:b/>
          <w:sz w:val="36"/>
        </w:rPr>
        <w:t>　　</w:t>
      </w:r>
    </w:p>
    <w:p w14:paraId="4CA0A61A">
      <w:pPr>
        <w:tabs>
          <w:tab w:val="left" w:pos="0"/>
          <w:tab w:val="left" w:pos="9288"/>
        </w:tabs>
        <w:adjustRightInd w:val="0"/>
        <w:snapToGrid w:val="0"/>
        <w:spacing w:line="288" w:lineRule="auto"/>
        <w:ind w:firstLine="723" w:firstLineChars="200"/>
        <w:rPr>
          <w:rFonts w:eastAsia="仿宋_GB2312"/>
          <w:b/>
        </w:rPr>
      </w:pPr>
      <w:r>
        <w:rPr>
          <w:rFonts w:eastAsia="仿宋_GB2312"/>
          <w:b/>
          <w:sz w:val="36"/>
        </w:rPr>
        <w:t>　　　　</w:t>
      </w:r>
      <w:r>
        <w:rPr>
          <w:rFonts w:hint="eastAsia" w:eastAsia="仿宋_GB2312"/>
          <w:b/>
          <w:sz w:val="36"/>
        </w:rPr>
        <w:t xml:space="preserve">    </w:t>
      </w:r>
      <w:r>
        <w:rPr>
          <w:rFonts w:eastAsia="仿宋_GB2312"/>
          <w:b/>
          <w:sz w:val="36"/>
        </w:rPr>
        <w:t>　　  　</w:t>
      </w:r>
      <w:r>
        <w:rPr>
          <w:rFonts w:hint="eastAsia" w:eastAsia="仿宋_GB2312"/>
          <w:b/>
          <w:sz w:val="36"/>
          <w:lang w:val="en-US" w:eastAsia="zh-CN"/>
        </w:rPr>
        <w:t xml:space="preserve">                   </w:t>
      </w:r>
      <w:r>
        <w:rPr>
          <w:rFonts w:eastAsia="仿宋_GB2312"/>
          <w:b/>
        </w:rPr>
        <w:t>单位：万元</w:t>
      </w:r>
    </w:p>
    <w:tbl>
      <w:tblPr>
        <w:tblStyle w:val="2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494"/>
        <w:gridCol w:w="721"/>
        <w:gridCol w:w="7197"/>
      </w:tblGrid>
      <w:tr w14:paraId="3102C2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00" w:hRule="atLeast"/>
        </w:trPr>
        <w:tc>
          <w:tcPr>
            <w:tcW w:w="0" w:type="auto"/>
            <w:tcBorders>
              <w:top w:val="single" w:color="000008" w:sz="4" w:space="0"/>
              <w:left w:val="single" w:color="000008" w:sz="4" w:space="0"/>
              <w:bottom w:val="single" w:color="000008" w:sz="4" w:space="0"/>
              <w:right w:val="single" w:color="000008" w:sz="4" w:space="0"/>
            </w:tcBorders>
            <w:noWrap w:val="0"/>
            <w:tcMar>
              <w:left w:w="28" w:type="dxa"/>
              <w:right w:w="28" w:type="dxa"/>
            </w:tcMar>
            <w:vAlign w:val="center"/>
          </w:tcPr>
          <w:p w14:paraId="2BC82EA5">
            <w:pPr>
              <w:pStyle w:val="16"/>
              <w:keepNext w:val="0"/>
              <w:keepLines w:val="0"/>
              <w:widowControl/>
              <w:suppressLineNumbers w:val="0"/>
              <w:kinsoku/>
              <w:wordWrap/>
              <w:overflowPunct/>
              <w:jc w:val="center"/>
              <w:rPr>
                <w:highlight w:val="none"/>
              </w:rPr>
            </w:pPr>
            <w:r>
              <w:rPr>
                <w:rFonts w:hint="default" w:ascii="Times New Roman" w:hAnsi="Times New Roman" w:cs="Times New Roman"/>
                <w:b/>
                <w:bCs/>
                <w:color w:val="000000"/>
                <w:sz w:val="24"/>
                <w:szCs w:val="24"/>
                <w:highlight w:val="none"/>
              </w:rPr>
              <w:t>科目</w:t>
            </w:r>
          </w:p>
        </w:tc>
        <w:tc>
          <w:tcPr>
            <w:tcW w:w="721" w:type="dxa"/>
            <w:tcBorders>
              <w:top w:val="single" w:color="000008" w:sz="4" w:space="0"/>
              <w:left w:val="single" w:color="000008" w:sz="4" w:space="0"/>
              <w:bottom w:val="single" w:color="000008" w:sz="4" w:space="0"/>
              <w:right w:val="single" w:color="000008" w:sz="4" w:space="0"/>
            </w:tcBorders>
            <w:noWrap w:val="0"/>
            <w:tcMar>
              <w:left w:w="28" w:type="dxa"/>
              <w:right w:w="28" w:type="dxa"/>
            </w:tcMar>
            <w:vAlign w:val="center"/>
          </w:tcPr>
          <w:p w14:paraId="319ADA2D">
            <w:pPr>
              <w:pStyle w:val="16"/>
              <w:keepNext w:val="0"/>
              <w:keepLines w:val="0"/>
              <w:widowControl/>
              <w:suppressLineNumbers w:val="0"/>
              <w:kinsoku/>
              <w:wordWrap/>
              <w:overflowPunct/>
              <w:jc w:val="center"/>
              <w:rPr>
                <w:highlight w:val="none"/>
              </w:rPr>
            </w:pPr>
            <w:r>
              <w:rPr>
                <w:rFonts w:hint="default" w:ascii="Times New Roman" w:hAnsi="Times New Roman" w:cs="Times New Roman"/>
                <w:b/>
                <w:bCs/>
                <w:color w:val="000000"/>
                <w:sz w:val="24"/>
                <w:szCs w:val="24"/>
                <w:highlight w:val="none"/>
              </w:rPr>
              <w:t>金额</w:t>
            </w:r>
          </w:p>
        </w:tc>
        <w:tc>
          <w:tcPr>
            <w:tcW w:w="7197" w:type="dxa"/>
            <w:tcBorders>
              <w:top w:val="single" w:color="000008" w:sz="4" w:space="0"/>
              <w:left w:val="single" w:color="000008" w:sz="4" w:space="0"/>
              <w:bottom w:val="single" w:color="000008" w:sz="4" w:space="0"/>
              <w:right w:val="single" w:color="000008" w:sz="4" w:space="0"/>
            </w:tcBorders>
            <w:noWrap w:val="0"/>
            <w:tcMar>
              <w:left w:w="28" w:type="dxa"/>
              <w:right w:w="28" w:type="dxa"/>
            </w:tcMar>
            <w:vAlign w:val="center"/>
          </w:tcPr>
          <w:p w14:paraId="576F617F">
            <w:pPr>
              <w:pStyle w:val="16"/>
              <w:keepNext w:val="0"/>
              <w:keepLines w:val="0"/>
              <w:widowControl/>
              <w:suppressLineNumbers w:val="0"/>
              <w:kinsoku/>
              <w:wordWrap/>
              <w:overflowPunct/>
              <w:jc w:val="center"/>
              <w:rPr>
                <w:highlight w:val="none"/>
              </w:rPr>
            </w:pPr>
            <w:r>
              <w:rPr>
                <w:rFonts w:hint="default" w:ascii="Times New Roman" w:hAnsi="Times New Roman" w:cs="Times New Roman"/>
                <w:b/>
                <w:bCs/>
                <w:color w:val="000000"/>
                <w:sz w:val="24"/>
                <w:szCs w:val="24"/>
                <w:highlight w:val="none"/>
              </w:rPr>
              <w:t>备注</w:t>
            </w:r>
          </w:p>
        </w:tc>
      </w:tr>
      <w:tr w14:paraId="00E335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60" w:hRule="atLeast"/>
        </w:trPr>
        <w:tc>
          <w:tcPr>
            <w:tcW w:w="1494" w:type="dxa"/>
            <w:tcBorders>
              <w:top w:val="single" w:color="000008" w:sz="4" w:space="0"/>
              <w:left w:val="single" w:color="000008" w:sz="4" w:space="0"/>
              <w:bottom w:val="single" w:color="000008" w:sz="4" w:space="0"/>
              <w:right w:val="single" w:color="000008" w:sz="4" w:space="0"/>
            </w:tcBorders>
            <w:noWrap w:val="0"/>
            <w:tcMar>
              <w:left w:w="28" w:type="dxa"/>
              <w:right w:w="28" w:type="dxa"/>
            </w:tcMar>
            <w:vAlign w:val="center"/>
          </w:tcPr>
          <w:p w14:paraId="2B0AD843">
            <w:pPr>
              <w:keepNext w:val="0"/>
              <w:keepLines w:val="0"/>
              <w:pageBreakBefore w:val="0"/>
              <w:widowControl/>
              <w:kinsoku/>
              <w:wordWrap/>
              <w:overflowPunct/>
              <w:topLinePunct w:val="0"/>
              <w:autoSpaceDE/>
              <w:autoSpaceDN/>
              <w:bidi w:val="0"/>
              <w:adjustRightInd/>
              <w:snapToGrid/>
              <w:spacing w:after="0" w:line="400" w:lineRule="exact"/>
              <w:textAlignment w:val="auto"/>
              <w:rPr>
                <w:highlight w:val="none"/>
              </w:rPr>
            </w:pPr>
            <w:r>
              <w:rPr>
                <w:rFonts w:hint="eastAsia" w:ascii="方正仿宋_GBK" w:hAnsi="方正仿宋_GBK" w:eastAsia="方正仿宋_GBK" w:cs="方正仿宋_GBK"/>
                <w:b/>
                <w:bCs/>
                <w:color w:val="000000"/>
                <w:kern w:val="0"/>
                <w:sz w:val="24"/>
                <w:szCs w:val="24"/>
              </w:rPr>
              <w:t>（一）直接费用</w:t>
            </w:r>
          </w:p>
        </w:tc>
        <w:tc>
          <w:tcPr>
            <w:tcW w:w="721" w:type="dxa"/>
            <w:tcBorders>
              <w:top w:val="single" w:color="000008" w:sz="4" w:space="0"/>
              <w:left w:val="single" w:color="000008" w:sz="4" w:space="0"/>
              <w:bottom w:val="single" w:color="000008" w:sz="4" w:space="0"/>
              <w:right w:val="single" w:color="000008" w:sz="4" w:space="0"/>
            </w:tcBorders>
            <w:noWrap w:val="0"/>
            <w:tcMar>
              <w:left w:w="28" w:type="dxa"/>
              <w:right w:w="28" w:type="dxa"/>
            </w:tcMar>
            <w:vAlign w:val="center"/>
          </w:tcPr>
          <w:p w14:paraId="455900F3">
            <w:pPr>
              <w:keepNext w:val="0"/>
              <w:keepLines w:val="0"/>
              <w:pageBreakBefore w:val="0"/>
              <w:widowControl/>
              <w:kinsoku/>
              <w:wordWrap/>
              <w:overflowPunct/>
              <w:topLinePunct w:val="0"/>
              <w:autoSpaceDE/>
              <w:autoSpaceDN/>
              <w:bidi w:val="0"/>
              <w:adjustRightInd/>
              <w:snapToGrid/>
              <w:spacing w:after="0" w:line="400" w:lineRule="exact"/>
              <w:jc w:val="center"/>
              <w:textAlignment w:val="auto"/>
              <w:rPr>
                <w:rFonts w:hint="default" w:eastAsia="宋体"/>
                <w:highlight w:val="none"/>
                <w:lang w:val="en-US" w:eastAsia="zh-CN"/>
              </w:rPr>
            </w:pPr>
            <w:r>
              <w:rPr>
                <w:rFonts w:hint="eastAsia" w:ascii="方正仿宋_GBK" w:hAnsi="方正仿宋_GBK" w:eastAsia="方正仿宋_GBK" w:cs="方正仿宋_GBK"/>
                <w:b/>
                <w:bCs/>
                <w:sz w:val="24"/>
                <w:szCs w:val="24"/>
                <w:lang w:val="en-US" w:eastAsia="zh-CN"/>
              </w:rPr>
              <w:t>67万元</w:t>
            </w:r>
          </w:p>
        </w:tc>
        <w:tc>
          <w:tcPr>
            <w:tcW w:w="7197" w:type="dxa"/>
            <w:tcBorders>
              <w:top w:val="single" w:color="000008" w:sz="4" w:space="0"/>
              <w:left w:val="single" w:color="000008" w:sz="4" w:space="0"/>
              <w:bottom w:val="single" w:color="000008" w:sz="4" w:space="0"/>
              <w:right w:val="single" w:color="000008" w:sz="4" w:space="0"/>
            </w:tcBorders>
            <w:noWrap w:val="0"/>
            <w:tcMar>
              <w:left w:w="28" w:type="dxa"/>
              <w:right w:w="28" w:type="dxa"/>
            </w:tcMar>
            <w:vAlign w:val="center"/>
          </w:tcPr>
          <w:p w14:paraId="0BFAF3BC">
            <w:pPr>
              <w:keepNext w:val="0"/>
              <w:keepLines w:val="0"/>
              <w:pageBreakBefore w:val="0"/>
              <w:widowControl/>
              <w:kinsoku/>
              <w:wordWrap/>
              <w:overflowPunct/>
              <w:topLinePunct w:val="0"/>
              <w:autoSpaceDE/>
              <w:autoSpaceDN/>
              <w:bidi w:val="0"/>
              <w:adjustRightInd/>
              <w:snapToGrid/>
              <w:spacing w:after="0" w:line="400" w:lineRule="exact"/>
              <w:textAlignment w:val="auto"/>
              <w:rPr>
                <w:highlight w:val="none"/>
              </w:rPr>
            </w:pPr>
            <w:r>
              <w:rPr>
                <w:rFonts w:hint="eastAsia" w:ascii="方正仿宋_GBK" w:hAnsi="方正仿宋_GBK" w:eastAsia="方正仿宋_GBK" w:cs="方正仿宋_GBK"/>
                <w:b/>
                <w:bCs/>
                <w:color w:val="000000"/>
                <w:kern w:val="0"/>
                <w:sz w:val="24"/>
                <w:szCs w:val="24"/>
              </w:rPr>
              <w:t>直接费=人工费+设备使用费+业务费+场地使用费+专家咨询费</w:t>
            </w:r>
          </w:p>
        </w:tc>
      </w:tr>
      <w:tr w14:paraId="10FEFC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40" w:hRule="atLeast"/>
        </w:trPr>
        <w:tc>
          <w:tcPr>
            <w:tcW w:w="1494" w:type="dxa"/>
            <w:tcBorders>
              <w:top w:val="single" w:color="000008" w:sz="4" w:space="0"/>
              <w:left w:val="single" w:color="000008" w:sz="4" w:space="0"/>
              <w:bottom w:val="single" w:color="000008" w:sz="4" w:space="0"/>
              <w:right w:val="single" w:color="000008" w:sz="4" w:space="0"/>
            </w:tcBorders>
            <w:noWrap w:val="0"/>
            <w:tcMar>
              <w:left w:w="28" w:type="dxa"/>
              <w:right w:w="28" w:type="dxa"/>
            </w:tcMar>
            <w:vAlign w:val="center"/>
          </w:tcPr>
          <w:p w14:paraId="70EEA224">
            <w:pPr>
              <w:keepNext w:val="0"/>
              <w:keepLines w:val="0"/>
              <w:pageBreakBefore w:val="0"/>
              <w:widowControl/>
              <w:kinsoku/>
              <w:wordWrap/>
              <w:overflowPunct/>
              <w:topLinePunct w:val="0"/>
              <w:autoSpaceDE/>
              <w:autoSpaceDN/>
              <w:bidi w:val="0"/>
              <w:adjustRightInd/>
              <w:snapToGrid/>
              <w:spacing w:after="0" w:line="400" w:lineRule="exact"/>
              <w:textAlignment w:val="auto"/>
              <w:rPr>
                <w:highlight w:val="none"/>
              </w:rPr>
            </w:pPr>
            <w:r>
              <w:rPr>
                <w:rFonts w:hint="eastAsia" w:ascii="方正仿宋_GBK" w:hAnsi="方正仿宋_GBK" w:eastAsia="方正仿宋_GBK" w:cs="方正仿宋_GBK"/>
                <w:color w:val="000000"/>
                <w:kern w:val="0"/>
                <w:sz w:val="24"/>
                <w:szCs w:val="24"/>
              </w:rPr>
              <w:t>1.人工费</w:t>
            </w:r>
          </w:p>
        </w:tc>
        <w:tc>
          <w:tcPr>
            <w:tcW w:w="721" w:type="dxa"/>
            <w:tcBorders>
              <w:top w:val="single" w:color="000008" w:sz="4" w:space="0"/>
              <w:left w:val="single" w:color="000008" w:sz="4" w:space="0"/>
              <w:bottom w:val="single" w:color="000008" w:sz="4" w:space="0"/>
              <w:right w:val="single" w:color="000008" w:sz="4" w:space="0"/>
            </w:tcBorders>
            <w:noWrap w:val="0"/>
            <w:tcMar>
              <w:left w:w="28" w:type="dxa"/>
              <w:right w:w="28" w:type="dxa"/>
            </w:tcMar>
            <w:vAlign w:val="center"/>
          </w:tcPr>
          <w:p w14:paraId="6E42212B">
            <w:pPr>
              <w:keepNext w:val="0"/>
              <w:keepLines w:val="0"/>
              <w:pageBreakBefore w:val="0"/>
              <w:widowControl/>
              <w:kinsoku/>
              <w:wordWrap/>
              <w:overflowPunct/>
              <w:topLinePunct w:val="0"/>
              <w:autoSpaceDE/>
              <w:autoSpaceDN/>
              <w:bidi w:val="0"/>
              <w:adjustRightInd/>
              <w:snapToGrid/>
              <w:spacing w:after="0" w:line="400" w:lineRule="exact"/>
              <w:jc w:val="center"/>
              <w:textAlignment w:val="auto"/>
              <w:rPr>
                <w:highlight w:val="none"/>
              </w:rPr>
            </w:pPr>
            <w:r>
              <w:rPr>
                <w:rFonts w:hint="eastAsia" w:ascii="方正仿宋_GBK" w:hAnsi="方正仿宋_GBK" w:eastAsia="方正仿宋_GBK" w:cs="方正仿宋_GBK"/>
                <w:b/>
                <w:bCs/>
                <w:sz w:val="24"/>
                <w:szCs w:val="24"/>
                <w:lang w:val="en-US" w:eastAsia="zh-CN"/>
              </w:rPr>
              <w:t>61万元</w:t>
            </w:r>
          </w:p>
        </w:tc>
        <w:tc>
          <w:tcPr>
            <w:tcW w:w="7197" w:type="dxa"/>
            <w:tcBorders>
              <w:top w:val="single" w:color="000008" w:sz="4" w:space="0"/>
              <w:left w:val="single" w:color="000008" w:sz="4" w:space="0"/>
              <w:bottom w:val="single" w:color="000008" w:sz="4" w:space="0"/>
              <w:right w:val="single" w:color="000008" w:sz="4" w:space="0"/>
            </w:tcBorders>
            <w:noWrap w:val="0"/>
            <w:tcMar>
              <w:left w:w="28" w:type="dxa"/>
              <w:right w:w="28" w:type="dxa"/>
            </w:tcMar>
            <w:vAlign w:val="center"/>
          </w:tcPr>
          <w:p w14:paraId="1EB32399">
            <w:pPr>
              <w:keepNext w:val="0"/>
              <w:keepLines w:val="0"/>
              <w:pageBreakBefore w:val="0"/>
              <w:widowControl/>
              <w:kinsoku/>
              <w:wordWrap/>
              <w:overflowPunct/>
              <w:topLinePunct w:val="0"/>
              <w:autoSpaceDE/>
              <w:autoSpaceDN/>
              <w:bidi w:val="0"/>
              <w:adjustRightInd/>
              <w:snapToGrid/>
              <w:spacing w:after="0" w:line="400" w:lineRule="exact"/>
              <w:textAlignment w:val="auto"/>
              <w:rPr>
                <w:highlight w:val="none"/>
              </w:rPr>
            </w:pPr>
            <w:r>
              <w:rPr>
                <w:rFonts w:hint="eastAsia" w:ascii="方正仿宋_GBK" w:hAnsi="方正仿宋_GBK" w:eastAsia="方正仿宋_GBK" w:cs="方正仿宋_GBK"/>
                <w:color w:val="000000"/>
                <w:kern w:val="0"/>
                <w:sz w:val="24"/>
                <w:szCs w:val="24"/>
              </w:rPr>
              <w:t>人工费=专职研究人员人工费+临时性研究人员人工费</w:t>
            </w:r>
          </w:p>
        </w:tc>
      </w:tr>
      <w:tr w14:paraId="717B4F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800" w:hRule="atLeast"/>
        </w:trPr>
        <w:tc>
          <w:tcPr>
            <w:tcW w:w="1494" w:type="dxa"/>
            <w:tcBorders>
              <w:top w:val="single" w:color="000008" w:sz="4" w:space="0"/>
              <w:left w:val="single" w:color="000008" w:sz="4" w:space="0"/>
              <w:bottom w:val="single" w:color="000008" w:sz="4" w:space="0"/>
              <w:right w:val="single" w:color="000008" w:sz="4" w:space="0"/>
            </w:tcBorders>
            <w:noWrap w:val="0"/>
            <w:tcMar>
              <w:left w:w="28" w:type="dxa"/>
              <w:right w:w="28" w:type="dxa"/>
            </w:tcMar>
            <w:vAlign w:val="center"/>
          </w:tcPr>
          <w:p w14:paraId="2E13F58A">
            <w:pPr>
              <w:keepNext w:val="0"/>
              <w:keepLines w:val="0"/>
              <w:pageBreakBefore w:val="0"/>
              <w:widowControl/>
              <w:kinsoku/>
              <w:wordWrap/>
              <w:overflowPunct/>
              <w:topLinePunct w:val="0"/>
              <w:autoSpaceDE/>
              <w:autoSpaceDN/>
              <w:bidi w:val="0"/>
              <w:adjustRightInd/>
              <w:snapToGrid/>
              <w:spacing w:after="0" w:line="400" w:lineRule="exact"/>
              <w:textAlignment w:val="auto"/>
              <w:rPr>
                <w:highlight w:val="none"/>
              </w:rPr>
            </w:pPr>
            <w:r>
              <w:rPr>
                <w:rFonts w:hint="eastAsia" w:ascii="方正仿宋_GBK" w:hAnsi="方正仿宋_GBK" w:eastAsia="方正仿宋_GBK" w:cs="方正仿宋_GBK"/>
                <w:color w:val="000000"/>
                <w:kern w:val="0"/>
                <w:sz w:val="24"/>
                <w:szCs w:val="24"/>
              </w:rPr>
              <w:t>（1）专职研究人员人工费</w:t>
            </w:r>
          </w:p>
        </w:tc>
        <w:tc>
          <w:tcPr>
            <w:tcW w:w="721" w:type="dxa"/>
            <w:tcBorders>
              <w:top w:val="single" w:color="000008" w:sz="4" w:space="0"/>
              <w:left w:val="single" w:color="000008" w:sz="4" w:space="0"/>
              <w:bottom w:val="single" w:color="000008" w:sz="4" w:space="0"/>
              <w:right w:val="single" w:color="000008" w:sz="4" w:space="0"/>
            </w:tcBorders>
            <w:noWrap w:val="0"/>
            <w:tcMar>
              <w:left w:w="28" w:type="dxa"/>
              <w:right w:w="28" w:type="dxa"/>
            </w:tcMar>
            <w:vAlign w:val="center"/>
          </w:tcPr>
          <w:p w14:paraId="3D525318">
            <w:pPr>
              <w:keepNext w:val="0"/>
              <w:keepLines w:val="0"/>
              <w:pageBreakBefore w:val="0"/>
              <w:widowControl/>
              <w:kinsoku/>
              <w:wordWrap/>
              <w:overflowPunct/>
              <w:topLinePunct w:val="0"/>
              <w:autoSpaceDE/>
              <w:autoSpaceDN/>
              <w:bidi w:val="0"/>
              <w:adjustRightInd/>
              <w:snapToGrid/>
              <w:spacing w:after="0" w:line="400" w:lineRule="exact"/>
              <w:jc w:val="center"/>
              <w:textAlignment w:val="auto"/>
              <w:rPr>
                <w:highlight w:val="none"/>
              </w:rPr>
            </w:pPr>
            <w:r>
              <w:rPr>
                <w:rFonts w:hint="eastAsia" w:ascii="方正仿宋_GBK" w:hAnsi="方正仿宋_GBK" w:eastAsia="方正仿宋_GBK" w:cs="方正仿宋_GBK"/>
                <w:b/>
                <w:bCs/>
                <w:sz w:val="24"/>
                <w:szCs w:val="24"/>
                <w:lang w:val="en-US" w:eastAsia="zh-CN"/>
              </w:rPr>
              <w:t>61万元</w:t>
            </w:r>
          </w:p>
        </w:tc>
        <w:tc>
          <w:tcPr>
            <w:tcW w:w="7197" w:type="dxa"/>
            <w:tcBorders>
              <w:top w:val="single" w:color="000008" w:sz="4" w:space="0"/>
              <w:left w:val="single" w:color="000008" w:sz="4" w:space="0"/>
              <w:bottom w:val="single" w:color="000008" w:sz="4" w:space="0"/>
              <w:right w:val="single" w:color="000008" w:sz="4" w:space="0"/>
            </w:tcBorders>
            <w:noWrap w:val="0"/>
            <w:tcMar>
              <w:left w:w="28" w:type="dxa"/>
              <w:right w:w="28" w:type="dxa"/>
            </w:tcMar>
            <w:vAlign w:val="center"/>
          </w:tcPr>
          <w:p w14:paraId="567CC087">
            <w:pPr>
              <w:keepNext w:val="0"/>
              <w:keepLines w:val="0"/>
              <w:pageBreakBefore w:val="0"/>
              <w:widowControl/>
              <w:kinsoku/>
              <w:wordWrap/>
              <w:overflowPunct/>
              <w:topLinePunct w:val="0"/>
              <w:autoSpaceDE/>
              <w:autoSpaceDN/>
              <w:bidi w:val="0"/>
              <w:adjustRightInd/>
              <w:snapToGrid/>
              <w:spacing w:after="0" w:line="400" w:lineRule="exact"/>
              <w:textAlignment w:val="auto"/>
              <w:rPr>
                <w:rFonts w:hint="eastAsia" w:ascii="仿宋" w:hAnsi="仿宋" w:eastAsia="仿宋" w:cs="仿宋"/>
                <w:color w:val="000000"/>
                <w:sz w:val="24"/>
                <w:szCs w:val="24"/>
                <w:highlight w:val="none"/>
                <w:lang w:val="en-US" w:eastAsia="zh-CN"/>
              </w:rPr>
            </w:pPr>
            <w:r>
              <w:rPr>
                <w:rFonts w:hint="eastAsia" w:ascii="方正仿宋_GBK" w:hAnsi="方正仿宋_GBK" w:eastAsia="方正仿宋_GBK" w:cs="方正仿宋_GBK"/>
                <w:color w:val="000000"/>
                <w:kern w:val="0"/>
                <w:sz w:val="24"/>
                <w:szCs w:val="24"/>
              </w:rPr>
              <w:t>高级研究人员（含项目负责人、子项目负责人、项目骨干研究人员和其他高级研究人员），标准为1.5～2万元/人月；其他研究人员（含中初级研究人员、技术工人等其他研究人员），标准为1～1.5万元/人月。</w:t>
            </w:r>
          </w:p>
        </w:tc>
      </w:tr>
      <w:tr w14:paraId="72A603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40" w:hRule="atLeast"/>
        </w:trPr>
        <w:tc>
          <w:tcPr>
            <w:tcW w:w="1494" w:type="dxa"/>
            <w:tcBorders>
              <w:top w:val="single" w:color="000008" w:sz="4" w:space="0"/>
              <w:left w:val="single" w:color="000008" w:sz="4" w:space="0"/>
              <w:bottom w:val="single" w:color="000008" w:sz="4" w:space="0"/>
              <w:right w:val="single" w:color="000008" w:sz="4" w:space="0"/>
            </w:tcBorders>
            <w:noWrap w:val="0"/>
            <w:tcMar>
              <w:left w:w="28" w:type="dxa"/>
              <w:right w:w="28" w:type="dxa"/>
            </w:tcMar>
            <w:vAlign w:val="center"/>
          </w:tcPr>
          <w:p w14:paraId="3F59DAB0">
            <w:pPr>
              <w:keepNext w:val="0"/>
              <w:keepLines w:val="0"/>
              <w:pageBreakBefore w:val="0"/>
              <w:widowControl/>
              <w:kinsoku/>
              <w:wordWrap/>
              <w:overflowPunct/>
              <w:topLinePunct w:val="0"/>
              <w:autoSpaceDE/>
              <w:autoSpaceDN/>
              <w:bidi w:val="0"/>
              <w:adjustRightInd/>
              <w:snapToGrid/>
              <w:spacing w:after="0" w:line="400" w:lineRule="exact"/>
              <w:textAlignment w:val="auto"/>
              <w:rPr>
                <w:highlight w:val="none"/>
              </w:rPr>
            </w:pPr>
            <w:r>
              <w:rPr>
                <w:rFonts w:hint="eastAsia" w:ascii="方正仿宋_GBK" w:hAnsi="方正仿宋_GBK" w:eastAsia="方正仿宋_GBK" w:cs="方正仿宋_GBK"/>
                <w:color w:val="000000"/>
                <w:kern w:val="0"/>
                <w:sz w:val="24"/>
                <w:szCs w:val="24"/>
              </w:rPr>
              <w:t>2.设备使用费</w:t>
            </w:r>
          </w:p>
        </w:tc>
        <w:tc>
          <w:tcPr>
            <w:tcW w:w="721" w:type="dxa"/>
            <w:tcBorders>
              <w:top w:val="single" w:color="000008" w:sz="4" w:space="0"/>
              <w:left w:val="single" w:color="000008" w:sz="4" w:space="0"/>
              <w:bottom w:val="single" w:color="000008" w:sz="4" w:space="0"/>
              <w:right w:val="single" w:color="000008" w:sz="4" w:space="0"/>
            </w:tcBorders>
            <w:noWrap w:val="0"/>
            <w:tcMar>
              <w:left w:w="28" w:type="dxa"/>
              <w:right w:w="28" w:type="dxa"/>
            </w:tcMar>
            <w:vAlign w:val="center"/>
          </w:tcPr>
          <w:p w14:paraId="5CC1F16A">
            <w:pPr>
              <w:keepNext w:val="0"/>
              <w:keepLines w:val="0"/>
              <w:pageBreakBefore w:val="0"/>
              <w:widowControl/>
              <w:kinsoku/>
              <w:wordWrap/>
              <w:overflowPunct/>
              <w:topLinePunct w:val="0"/>
              <w:autoSpaceDE/>
              <w:autoSpaceDN/>
              <w:bidi w:val="0"/>
              <w:adjustRightInd/>
              <w:snapToGrid/>
              <w:spacing w:after="0" w:line="400" w:lineRule="exact"/>
              <w:jc w:val="center"/>
              <w:textAlignment w:val="auto"/>
              <w:rPr>
                <w:highlight w:val="none"/>
              </w:rPr>
            </w:pPr>
            <w:r>
              <w:rPr>
                <w:rFonts w:hint="eastAsia" w:ascii="方正仿宋_GBK" w:hAnsi="方正仿宋_GBK" w:eastAsia="方正仿宋_GBK" w:cs="方正仿宋_GBK"/>
                <w:b/>
                <w:bCs/>
                <w:sz w:val="24"/>
                <w:szCs w:val="24"/>
                <w:lang w:val="en-US" w:eastAsia="zh-CN"/>
              </w:rPr>
              <w:t>无</w:t>
            </w:r>
          </w:p>
        </w:tc>
        <w:tc>
          <w:tcPr>
            <w:tcW w:w="7197" w:type="dxa"/>
            <w:tcBorders>
              <w:top w:val="single" w:color="000008" w:sz="4" w:space="0"/>
              <w:left w:val="single" w:color="000008" w:sz="4" w:space="0"/>
              <w:bottom w:val="single" w:color="000008" w:sz="4" w:space="0"/>
              <w:right w:val="single" w:color="000008" w:sz="4" w:space="0"/>
            </w:tcBorders>
            <w:noWrap w:val="0"/>
            <w:tcMar>
              <w:left w:w="28" w:type="dxa"/>
              <w:right w:w="28" w:type="dxa"/>
            </w:tcMar>
            <w:vAlign w:val="center"/>
          </w:tcPr>
          <w:p w14:paraId="1019D53A">
            <w:pPr>
              <w:keepNext w:val="0"/>
              <w:keepLines w:val="0"/>
              <w:pageBreakBefore w:val="0"/>
              <w:widowControl/>
              <w:kinsoku/>
              <w:wordWrap/>
              <w:overflowPunct/>
              <w:topLinePunct w:val="0"/>
              <w:autoSpaceDE/>
              <w:autoSpaceDN/>
              <w:bidi w:val="0"/>
              <w:adjustRightInd/>
              <w:snapToGrid/>
              <w:spacing w:after="0" w:line="400" w:lineRule="exact"/>
              <w:textAlignment w:val="auto"/>
              <w:rPr>
                <w:rFonts w:hint="eastAsia" w:ascii="仿宋" w:hAnsi="仿宋" w:eastAsia="仿宋" w:cs="仿宋"/>
                <w:highlight w:val="none"/>
              </w:rPr>
            </w:pPr>
            <w:r>
              <w:rPr>
                <w:rFonts w:hint="eastAsia" w:ascii="方正仿宋_GBK" w:hAnsi="方正仿宋_GBK" w:eastAsia="方正仿宋_GBK" w:cs="方正仿宋_GBK"/>
                <w:color w:val="000000"/>
                <w:kern w:val="0"/>
                <w:sz w:val="24"/>
                <w:szCs w:val="24"/>
              </w:rPr>
              <w:t>按照实际需求列支。</w:t>
            </w:r>
          </w:p>
        </w:tc>
      </w:tr>
      <w:tr w14:paraId="38F5D6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00" w:hRule="atLeast"/>
        </w:trPr>
        <w:tc>
          <w:tcPr>
            <w:tcW w:w="1494" w:type="dxa"/>
            <w:tcBorders>
              <w:top w:val="single" w:color="000008" w:sz="4" w:space="0"/>
              <w:left w:val="single" w:color="000008" w:sz="4" w:space="0"/>
              <w:bottom w:val="single" w:color="000008" w:sz="4" w:space="0"/>
              <w:right w:val="single" w:color="000008" w:sz="4" w:space="0"/>
            </w:tcBorders>
            <w:noWrap w:val="0"/>
            <w:tcMar>
              <w:left w:w="28" w:type="dxa"/>
              <w:right w:w="28" w:type="dxa"/>
            </w:tcMar>
            <w:vAlign w:val="center"/>
          </w:tcPr>
          <w:p w14:paraId="674CE3EE">
            <w:pPr>
              <w:keepNext w:val="0"/>
              <w:keepLines w:val="0"/>
              <w:pageBreakBefore w:val="0"/>
              <w:widowControl/>
              <w:kinsoku/>
              <w:wordWrap/>
              <w:overflowPunct/>
              <w:topLinePunct w:val="0"/>
              <w:autoSpaceDE/>
              <w:autoSpaceDN/>
              <w:bidi w:val="0"/>
              <w:adjustRightInd/>
              <w:snapToGrid/>
              <w:spacing w:after="0" w:line="400" w:lineRule="exact"/>
              <w:textAlignment w:val="auto"/>
              <w:rPr>
                <w:highlight w:val="none"/>
              </w:rPr>
            </w:pPr>
            <w:r>
              <w:rPr>
                <w:rFonts w:hint="eastAsia" w:ascii="方正仿宋_GBK" w:hAnsi="方正仿宋_GBK" w:eastAsia="方正仿宋_GBK" w:cs="方正仿宋_GBK"/>
                <w:color w:val="000000"/>
                <w:kern w:val="0"/>
                <w:sz w:val="24"/>
                <w:szCs w:val="24"/>
              </w:rPr>
              <w:t>3.业务费</w:t>
            </w:r>
          </w:p>
        </w:tc>
        <w:tc>
          <w:tcPr>
            <w:tcW w:w="721" w:type="dxa"/>
            <w:tcBorders>
              <w:top w:val="single" w:color="000008" w:sz="4" w:space="0"/>
              <w:left w:val="single" w:color="000008" w:sz="4" w:space="0"/>
              <w:bottom w:val="single" w:color="000008" w:sz="4" w:space="0"/>
              <w:right w:val="single" w:color="000008" w:sz="4" w:space="0"/>
            </w:tcBorders>
            <w:noWrap w:val="0"/>
            <w:tcMar>
              <w:left w:w="28" w:type="dxa"/>
              <w:right w:w="28" w:type="dxa"/>
            </w:tcMar>
            <w:vAlign w:val="center"/>
          </w:tcPr>
          <w:p w14:paraId="62CA603C">
            <w:pPr>
              <w:keepNext w:val="0"/>
              <w:keepLines w:val="0"/>
              <w:pageBreakBefore w:val="0"/>
              <w:widowControl/>
              <w:kinsoku/>
              <w:wordWrap/>
              <w:overflowPunct/>
              <w:topLinePunct w:val="0"/>
              <w:autoSpaceDE/>
              <w:autoSpaceDN/>
              <w:bidi w:val="0"/>
              <w:adjustRightInd/>
              <w:snapToGrid/>
              <w:spacing w:after="0" w:line="400" w:lineRule="exact"/>
              <w:jc w:val="center"/>
              <w:textAlignment w:val="auto"/>
              <w:rPr>
                <w:highlight w:val="none"/>
              </w:rPr>
            </w:pPr>
            <w:r>
              <w:rPr>
                <w:rFonts w:hint="eastAsia" w:ascii="方正仿宋_GBK" w:hAnsi="方正仿宋_GBK" w:eastAsia="方正仿宋_GBK" w:cs="方正仿宋_GBK"/>
                <w:b/>
                <w:bCs/>
                <w:sz w:val="24"/>
                <w:szCs w:val="24"/>
                <w:lang w:val="en-US" w:eastAsia="zh-CN"/>
              </w:rPr>
              <w:t>4万元</w:t>
            </w:r>
          </w:p>
        </w:tc>
        <w:tc>
          <w:tcPr>
            <w:tcW w:w="7197" w:type="dxa"/>
            <w:tcBorders>
              <w:top w:val="single" w:color="000008" w:sz="4" w:space="0"/>
              <w:left w:val="single" w:color="000008" w:sz="4" w:space="0"/>
              <w:bottom w:val="single" w:color="000008" w:sz="4" w:space="0"/>
              <w:right w:val="single" w:color="000008" w:sz="4" w:space="0"/>
            </w:tcBorders>
            <w:noWrap w:val="0"/>
            <w:tcMar>
              <w:left w:w="28" w:type="dxa"/>
              <w:right w:w="28" w:type="dxa"/>
            </w:tcMar>
            <w:vAlign w:val="center"/>
          </w:tcPr>
          <w:p w14:paraId="30E884D1">
            <w:pPr>
              <w:keepNext w:val="0"/>
              <w:keepLines w:val="0"/>
              <w:pageBreakBefore w:val="0"/>
              <w:widowControl/>
              <w:kinsoku/>
              <w:wordWrap/>
              <w:overflowPunct/>
              <w:topLinePunct w:val="0"/>
              <w:autoSpaceDE/>
              <w:autoSpaceDN/>
              <w:bidi w:val="0"/>
              <w:adjustRightInd/>
              <w:snapToGrid/>
              <w:spacing w:after="0" w:line="400" w:lineRule="exact"/>
              <w:textAlignment w:val="auto"/>
              <w:rPr>
                <w:highlight w:val="none"/>
              </w:rPr>
            </w:pPr>
            <w:r>
              <w:rPr>
                <w:rFonts w:hint="eastAsia" w:ascii="方正仿宋_GBK" w:hAnsi="方正仿宋_GBK" w:eastAsia="方正仿宋_GBK" w:cs="方正仿宋_GBK"/>
                <w:color w:val="000000"/>
                <w:kern w:val="0"/>
                <w:sz w:val="24"/>
                <w:szCs w:val="24"/>
              </w:rPr>
              <w:t>业务费=资料费+印刷出版费+知识产权费+会议费+差旅费+培训费等</w:t>
            </w:r>
          </w:p>
        </w:tc>
      </w:tr>
      <w:tr w14:paraId="5B8838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29" w:hRule="atLeast"/>
        </w:trPr>
        <w:tc>
          <w:tcPr>
            <w:tcW w:w="1494" w:type="dxa"/>
            <w:tcBorders>
              <w:top w:val="single" w:color="000008" w:sz="4" w:space="0"/>
              <w:left w:val="single" w:color="000008" w:sz="4" w:space="0"/>
              <w:bottom w:val="single" w:color="000008" w:sz="4" w:space="0"/>
              <w:right w:val="single" w:color="000008" w:sz="4" w:space="0"/>
            </w:tcBorders>
            <w:noWrap w:val="0"/>
            <w:tcMar>
              <w:left w:w="28" w:type="dxa"/>
              <w:right w:w="28" w:type="dxa"/>
            </w:tcMar>
            <w:vAlign w:val="center"/>
          </w:tcPr>
          <w:p w14:paraId="6F12884E">
            <w:pPr>
              <w:keepNext w:val="0"/>
              <w:keepLines w:val="0"/>
              <w:pageBreakBefore w:val="0"/>
              <w:widowControl/>
              <w:kinsoku/>
              <w:wordWrap/>
              <w:overflowPunct/>
              <w:topLinePunct w:val="0"/>
              <w:autoSpaceDE/>
              <w:autoSpaceDN/>
              <w:bidi w:val="0"/>
              <w:adjustRightInd/>
              <w:snapToGrid/>
              <w:spacing w:after="0" w:line="400" w:lineRule="exact"/>
              <w:textAlignment w:val="auto"/>
              <w:rPr>
                <w:highlight w:val="none"/>
              </w:rPr>
            </w:pPr>
            <w:r>
              <w:rPr>
                <w:rFonts w:hint="eastAsia" w:ascii="方正仿宋_GBK" w:hAnsi="方正仿宋_GBK" w:eastAsia="方正仿宋_GBK" w:cs="方正仿宋_GBK"/>
                <w:color w:val="000000"/>
                <w:kern w:val="0"/>
                <w:sz w:val="24"/>
                <w:szCs w:val="24"/>
              </w:rPr>
              <w:t>（1）资料费</w:t>
            </w:r>
          </w:p>
        </w:tc>
        <w:tc>
          <w:tcPr>
            <w:tcW w:w="721" w:type="dxa"/>
            <w:tcBorders>
              <w:top w:val="single" w:color="000008" w:sz="4" w:space="0"/>
              <w:left w:val="single" w:color="000008" w:sz="4" w:space="0"/>
              <w:bottom w:val="single" w:color="000008" w:sz="4" w:space="0"/>
              <w:right w:val="single" w:color="000008" w:sz="4" w:space="0"/>
            </w:tcBorders>
            <w:noWrap w:val="0"/>
            <w:tcMar>
              <w:left w:w="28" w:type="dxa"/>
              <w:right w:w="28" w:type="dxa"/>
            </w:tcMar>
            <w:vAlign w:val="center"/>
          </w:tcPr>
          <w:p w14:paraId="6A72C94B">
            <w:pPr>
              <w:keepNext w:val="0"/>
              <w:keepLines w:val="0"/>
              <w:pageBreakBefore w:val="0"/>
              <w:widowControl/>
              <w:kinsoku/>
              <w:wordWrap/>
              <w:overflowPunct/>
              <w:topLinePunct w:val="0"/>
              <w:autoSpaceDE/>
              <w:autoSpaceDN/>
              <w:bidi w:val="0"/>
              <w:adjustRightInd/>
              <w:snapToGrid/>
              <w:spacing w:after="0" w:line="400" w:lineRule="exact"/>
              <w:jc w:val="center"/>
              <w:textAlignment w:val="auto"/>
              <w:rPr>
                <w:highlight w:val="none"/>
              </w:rPr>
            </w:pPr>
            <w:r>
              <w:rPr>
                <w:rFonts w:hint="eastAsia" w:ascii="方正仿宋_GBK" w:hAnsi="方正仿宋_GBK" w:eastAsia="方正仿宋_GBK" w:cs="方正仿宋_GBK"/>
                <w:b/>
                <w:bCs/>
                <w:sz w:val="24"/>
                <w:szCs w:val="24"/>
                <w:lang w:val="en-US" w:eastAsia="zh-CN"/>
              </w:rPr>
              <w:t>0</w:t>
            </w:r>
          </w:p>
        </w:tc>
        <w:tc>
          <w:tcPr>
            <w:tcW w:w="7197" w:type="dxa"/>
            <w:tcBorders>
              <w:top w:val="single" w:color="000008" w:sz="4" w:space="0"/>
              <w:left w:val="single" w:color="000008" w:sz="4" w:space="0"/>
              <w:bottom w:val="single" w:color="000008" w:sz="4" w:space="0"/>
              <w:right w:val="single" w:color="000008" w:sz="4" w:space="0"/>
            </w:tcBorders>
            <w:noWrap w:val="0"/>
            <w:tcMar>
              <w:left w:w="28" w:type="dxa"/>
              <w:right w:w="28" w:type="dxa"/>
            </w:tcMar>
            <w:vAlign w:val="center"/>
          </w:tcPr>
          <w:p w14:paraId="3B4D61B7">
            <w:pPr>
              <w:keepNext w:val="0"/>
              <w:keepLines w:val="0"/>
              <w:pageBreakBefore w:val="0"/>
              <w:widowControl/>
              <w:kinsoku/>
              <w:wordWrap/>
              <w:overflowPunct/>
              <w:topLinePunct w:val="0"/>
              <w:autoSpaceDE/>
              <w:autoSpaceDN/>
              <w:bidi w:val="0"/>
              <w:adjustRightInd/>
              <w:snapToGrid/>
              <w:spacing w:after="0" w:line="400" w:lineRule="exact"/>
              <w:textAlignment w:val="auto"/>
              <w:rPr>
                <w:highlight w:val="none"/>
              </w:rPr>
            </w:pPr>
            <w:r>
              <w:rPr>
                <w:rFonts w:hint="eastAsia" w:ascii="方正仿宋_GBK" w:hAnsi="方正仿宋_GBK" w:eastAsia="方正仿宋_GBK" w:cs="方正仿宋_GBK"/>
                <w:color w:val="000000"/>
                <w:kern w:val="0"/>
                <w:sz w:val="24"/>
                <w:szCs w:val="24"/>
              </w:rPr>
              <w:t>原则上不超过15万元。</w:t>
            </w:r>
          </w:p>
        </w:tc>
      </w:tr>
      <w:tr w14:paraId="213ABE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00" w:hRule="atLeast"/>
        </w:trPr>
        <w:tc>
          <w:tcPr>
            <w:tcW w:w="1494" w:type="dxa"/>
            <w:tcBorders>
              <w:top w:val="single" w:color="000008" w:sz="4" w:space="0"/>
              <w:left w:val="single" w:color="000008" w:sz="4" w:space="0"/>
              <w:bottom w:val="single" w:color="000008" w:sz="4" w:space="0"/>
              <w:right w:val="single" w:color="000008" w:sz="4" w:space="0"/>
            </w:tcBorders>
            <w:noWrap w:val="0"/>
            <w:tcMar>
              <w:left w:w="28" w:type="dxa"/>
              <w:right w:w="28" w:type="dxa"/>
            </w:tcMar>
            <w:vAlign w:val="center"/>
          </w:tcPr>
          <w:p w14:paraId="6E0DF174">
            <w:pPr>
              <w:keepNext w:val="0"/>
              <w:keepLines w:val="0"/>
              <w:pageBreakBefore w:val="0"/>
              <w:widowControl/>
              <w:kinsoku/>
              <w:wordWrap/>
              <w:overflowPunct/>
              <w:topLinePunct w:val="0"/>
              <w:autoSpaceDE/>
              <w:autoSpaceDN/>
              <w:bidi w:val="0"/>
              <w:adjustRightInd/>
              <w:snapToGrid/>
              <w:spacing w:after="0" w:line="400" w:lineRule="exact"/>
              <w:textAlignment w:val="auto"/>
              <w:rPr>
                <w:highlight w:val="none"/>
              </w:rPr>
            </w:pPr>
            <w:r>
              <w:rPr>
                <w:rFonts w:hint="eastAsia" w:ascii="方正仿宋_GBK" w:hAnsi="方正仿宋_GBK" w:eastAsia="方正仿宋_GBK" w:cs="方正仿宋_GBK"/>
                <w:color w:val="000000"/>
                <w:kern w:val="0"/>
                <w:sz w:val="24"/>
                <w:szCs w:val="24"/>
              </w:rPr>
              <w:t>（2）印刷出版费</w:t>
            </w:r>
          </w:p>
        </w:tc>
        <w:tc>
          <w:tcPr>
            <w:tcW w:w="721" w:type="dxa"/>
            <w:tcBorders>
              <w:top w:val="single" w:color="000008" w:sz="4" w:space="0"/>
              <w:left w:val="single" w:color="000008" w:sz="4" w:space="0"/>
              <w:bottom w:val="single" w:color="000008" w:sz="4" w:space="0"/>
              <w:right w:val="single" w:color="000008" w:sz="4" w:space="0"/>
            </w:tcBorders>
            <w:noWrap w:val="0"/>
            <w:tcMar>
              <w:left w:w="28" w:type="dxa"/>
              <w:right w:w="28" w:type="dxa"/>
            </w:tcMar>
            <w:vAlign w:val="center"/>
          </w:tcPr>
          <w:p w14:paraId="1DBE3061">
            <w:pPr>
              <w:keepNext w:val="0"/>
              <w:keepLines w:val="0"/>
              <w:pageBreakBefore w:val="0"/>
              <w:widowControl/>
              <w:kinsoku/>
              <w:wordWrap/>
              <w:overflowPunct/>
              <w:topLinePunct w:val="0"/>
              <w:autoSpaceDE/>
              <w:autoSpaceDN/>
              <w:bidi w:val="0"/>
              <w:adjustRightInd/>
              <w:snapToGrid/>
              <w:spacing w:after="0" w:line="400" w:lineRule="exact"/>
              <w:jc w:val="center"/>
              <w:textAlignment w:val="auto"/>
              <w:rPr>
                <w:rFonts w:hint="default" w:eastAsia="宋体"/>
                <w:highlight w:val="none"/>
                <w:lang w:val="en-US" w:eastAsia="zh-CN"/>
              </w:rPr>
            </w:pPr>
            <w:r>
              <w:rPr>
                <w:rFonts w:hint="eastAsia" w:ascii="方正仿宋_GBK" w:hAnsi="方正仿宋_GBK" w:eastAsia="方正仿宋_GBK" w:cs="方正仿宋_GBK"/>
                <w:b/>
                <w:bCs/>
                <w:sz w:val="24"/>
                <w:szCs w:val="24"/>
                <w:lang w:val="en-US" w:eastAsia="zh-CN"/>
              </w:rPr>
              <w:t>0</w:t>
            </w:r>
          </w:p>
        </w:tc>
        <w:tc>
          <w:tcPr>
            <w:tcW w:w="7197" w:type="dxa"/>
            <w:tcBorders>
              <w:top w:val="single" w:color="000008" w:sz="4" w:space="0"/>
              <w:left w:val="single" w:color="000008" w:sz="4" w:space="0"/>
              <w:bottom w:val="single" w:color="000008" w:sz="4" w:space="0"/>
              <w:right w:val="single" w:color="000008" w:sz="4" w:space="0"/>
            </w:tcBorders>
            <w:noWrap w:val="0"/>
            <w:tcMar>
              <w:left w:w="28" w:type="dxa"/>
              <w:right w:w="28" w:type="dxa"/>
            </w:tcMar>
            <w:vAlign w:val="center"/>
          </w:tcPr>
          <w:p w14:paraId="19CB8518">
            <w:pPr>
              <w:keepNext w:val="0"/>
              <w:keepLines w:val="0"/>
              <w:pageBreakBefore w:val="0"/>
              <w:widowControl/>
              <w:kinsoku/>
              <w:wordWrap/>
              <w:overflowPunct/>
              <w:topLinePunct w:val="0"/>
              <w:autoSpaceDE/>
              <w:autoSpaceDN/>
              <w:bidi w:val="0"/>
              <w:adjustRightInd/>
              <w:snapToGrid/>
              <w:spacing w:after="0" w:line="400" w:lineRule="exact"/>
              <w:textAlignment w:val="auto"/>
              <w:rPr>
                <w:highlight w:val="none"/>
              </w:rPr>
            </w:pPr>
            <w:r>
              <w:rPr>
                <w:rFonts w:hint="eastAsia" w:ascii="方正仿宋_GBK" w:hAnsi="方正仿宋_GBK" w:eastAsia="方正仿宋_GBK" w:cs="方正仿宋_GBK"/>
                <w:color w:val="000000"/>
                <w:kern w:val="0"/>
                <w:sz w:val="24"/>
                <w:szCs w:val="24"/>
              </w:rPr>
              <w:t>原则上不超过10万元。</w:t>
            </w:r>
          </w:p>
        </w:tc>
      </w:tr>
      <w:tr w14:paraId="289F3D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00" w:hRule="atLeast"/>
        </w:trPr>
        <w:tc>
          <w:tcPr>
            <w:tcW w:w="1494" w:type="dxa"/>
            <w:tcBorders>
              <w:top w:val="single" w:color="000008" w:sz="4" w:space="0"/>
              <w:left w:val="single" w:color="000008" w:sz="4" w:space="0"/>
              <w:bottom w:val="single" w:color="000008" w:sz="4" w:space="0"/>
              <w:right w:val="single" w:color="000008" w:sz="4" w:space="0"/>
            </w:tcBorders>
            <w:noWrap w:val="0"/>
            <w:tcMar>
              <w:left w:w="28" w:type="dxa"/>
              <w:right w:w="28" w:type="dxa"/>
            </w:tcMar>
            <w:vAlign w:val="center"/>
          </w:tcPr>
          <w:p w14:paraId="678CC9EA">
            <w:pPr>
              <w:keepNext w:val="0"/>
              <w:keepLines w:val="0"/>
              <w:pageBreakBefore w:val="0"/>
              <w:widowControl/>
              <w:kinsoku/>
              <w:wordWrap/>
              <w:overflowPunct/>
              <w:topLinePunct w:val="0"/>
              <w:autoSpaceDE/>
              <w:autoSpaceDN/>
              <w:bidi w:val="0"/>
              <w:adjustRightInd/>
              <w:snapToGrid/>
              <w:spacing w:after="0" w:line="400" w:lineRule="exact"/>
              <w:textAlignment w:val="auto"/>
              <w:rPr>
                <w:highlight w:val="none"/>
              </w:rPr>
            </w:pPr>
            <w:r>
              <w:rPr>
                <w:rFonts w:hint="eastAsia" w:ascii="方正仿宋_GBK" w:hAnsi="方正仿宋_GBK" w:eastAsia="方正仿宋_GBK" w:cs="方正仿宋_GBK"/>
                <w:color w:val="000000"/>
                <w:kern w:val="0"/>
                <w:sz w:val="24"/>
                <w:szCs w:val="24"/>
              </w:rPr>
              <w:t>（3）知识产权费</w:t>
            </w:r>
          </w:p>
        </w:tc>
        <w:tc>
          <w:tcPr>
            <w:tcW w:w="721" w:type="dxa"/>
            <w:tcBorders>
              <w:top w:val="single" w:color="000008" w:sz="4" w:space="0"/>
              <w:left w:val="single" w:color="000008" w:sz="4" w:space="0"/>
              <w:bottom w:val="single" w:color="000008" w:sz="4" w:space="0"/>
              <w:right w:val="single" w:color="000008" w:sz="4" w:space="0"/>
            </w:tcBorders>
            <w:noWrap w:val="0"/>
            <w:tcMar>
              <w:left w:w="28" w:type="dxa"/>
              <w:right w:w="28" w:type="dxa"/>
            </w:tcMar>
            <w:vAlign w:val="center"/>
          </w:tcPr>
          <w:p w14:paraId="77B4D30B">
            <w:pPr>
              <w:keepNext w:val="0"/>
              <w:keepLines w:val="0"/>
              <w:pageBreakBefore w:val="0"/>
              <w:widowControl/>
              <w:kinsoku/>
              <w:wordWrap/>
              <w:overflowPunct/>
              <w:topLinePunct w:val="0"/>
              <w:autoSpaceDE/>
              <w:autoSpaceDN/>
              <w:bidi w:val="0"/>
              <w:adjustRightInd/>
              <w:snapToGrid/>
              <w:spacing w:after="0" w:line="400" w:lineRule="exact"/>
              <w:jc w:val="center"/>
              <w:textAlignment w:val="auto"/>
              <w:rPr>
                <w:highlight w:val="none"/>
              </w:rPr>
            </w:pPr>
            <w:r>
              <w:rPr>
                <w:rFonts w:hint="eastAsia" w:ascii="方正仿宋_GBK" w:hAnsi="方正仿宋_GBK" w:eastAsia="方正仿宋_GBK" w:cs="方正仿宋_GBK"/>
                <w:b/>
                <w:bCs/>
                <w:sz w:val="24"/>
                <w:szCs w:val="24"/>
                <w:lang w:val="en-US" w:eastAsia="zh-CN"/>
              </w:rPr>
              <w:t>3万元</w:t>
            </w:r>
          </w:p>
        </w:tc>
        <w:tc>
          <w:tcPr>
            <w:tcW w:w="7197" w:type="dxa"/>
            <w:tcBorders>
              <w:top w:val="single" w:color="000008" w:sz="4" w:space="0"/>
              <w:left w:val="single" w:color="000008" w:sz="4" w:space="0"/>
              <w:bottom w:val="single" w:color="000008" w:sz="4" w:space="0"/>
              <w:right w:val="single" w:color="000008" w:sz="4" w:space="0"/>
            </w:tcBorders>
            <w:noWrap w:val="0"/>
            <w:tcMar>
              <w:left w:w="28" w:type="dxa"/>
              <w:right w:w="28" w:type="dxa"/>
            </w:tcMar>
            <w:vAlign w:val="center"/>
          </w:tcPr>
          <w:p w14:paraId="126CAEA8">
            <w:pPr>
              <w:keepNext w:val="0"/>
              <w:keepLines w:val="0"/>
              <w:pageBreakBefore w:val="0"/>
              <w:widowControl/>
              <w:kinsoku/>
              <w:wordWrap/>
              <w:overflowPunct/>
              <w:topLinePunct w:val="0"/>
              <w:autoSpaceDE/>
              <w:autoSpaceDN/>
              <w:bidi w:val="0"/>
              <w:adjustRightInd/>
              <w:snapToGrid/>
              <w:spacing w:after="0" w:line="400" w:lineRule="exact"/>
              <w:textAlignment w:val="auto"/>
              <w:rPr>
                <w:highlight w:val="none"/>
              </w:rPr>
            </w:pPr>
            <w:r>
              <w:rPr>
                <w:rFonts w:hint="eastAsia" w:ascii="方正仿宋_GBK" w:hAnsi="方正仿宋_GBK" w:eastAsia="方正仿宋_GBK" w:cs="方正仿宋_GBK"/>
                <w:color w:val="000000"/>
                <w:kern w:val="0"/>
                <w:sz w:val="24"/>
                <w:szCs w:val="24"/>
              </w:rPr>
              <w:t>包括专利申请费、论文版面费、软件著作权登记费等。</w:t>
            </w:r>
          </w:p>
        </w:tc>
      </w:tr>
      <w:tr w14:paraId="144F18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40" w:hRule="atLeast"/>
        </w:trPr>
        <w:tc>
          <w:tcPr>
            <w:tcW w:w="1494" w:type="dxa"/>
            <w:tcBorders>
              <w:top w:val="single" w:color="000008" w:sz="4" w:space="0"/>
              <w:left w:val="single" w:color="000008" w:sz="4" w:space="0"/>
              <w:bottom w:val="single" w:color="000008" w:sz="4" w:space="0"/>
              <w:right w:val="single" w:color="000008" w:sz="4" w:space="0"/>
            </w:tcBorders>
            <w:noWrap w:val="0"/>
            <w:tcMar>
              <w:left w:w="28" w:type="dxa"/>
              <w:right w:w="28" w:type="dxa"/>
            </w:tcMar>
            <w:vAlign w:val="center"/>
          </w:tcPr>
          <w:p w14:paraId="3174A882">
            <w:pPr>
              <w:keepNext w:val="0"/>
              <w:keepLines w:val="0"/>
              <w:pageBreakBefore w:val="0"/>
              <w:widowControl/>
              <w:kinsoku/>
              <w:wordWrap/>
              <w:overflowPunct/>
              <w:topLinePunct w:val="0"/>
              <w:autoSpaceDE/>
              <w:autoSpaceDN/>
              <w:bidi w:val="0"/>
              <w:adjustRightInd/>
              <w:snapToGrid/>
              <w:spacing w:after="0" w:line="400" w:lineRule="exact"/>
              <w:textAlignment w:val="auto"/>
              <w:rPr>
                <w:highlight w:val="none"/>
              </w:rPr>
            </w:pPr>
            <w:r>
              <w:rPr>
                <w:rFonts w:hint="eastAsia" w:ascii="方正仿宋_GBK" w:hAnsi="方正仿宋_GBK" w:eastAsia="方正仿宋_GBK" w:cs="方正仿宋_GBK"/>
                <w:color w:val="000000"/>
                <w:kern w:val="0"/>
                <w:sz w:val="24"/>
                <w:szCs w:val="24"/>
              </w:rPr>
              <w:t>（4）会议费</w:t>
            </w:r>
          </w:p>
        </w:tc>
        <w:tc>
          <w:tcPr>
            <w:tcW w:w="721" w:type="dxa"/>
            <w:tcBorders>
              <w:top w:val="single" w:color="000008" w:sz="4" w:space="0"/>
              <w:left w:val="single" w:color="000008" w:sz="4" w:space="0"/>
              <w:bottom w:val="single" w:color="000008" w:sz="4" w:space="0"/>
              <w:right w:val="single" w:color="000008" w:sz="4" w:space="0"/>
            </w:tcBorders>
            <w:noWrap w:val="0"/>
            <w:tcMar>
              <w:left w:w="28" w:type="dxa"/>
              <w:right w:w="28" w:type="dxa"/>
            </w:tcMar>
            <w:vAlign w:val="center"/>
          </w:tcPr>
          <w:p w14:paraId="0AA3B3F6">
            <w:pPr>
              <w:keepNext w:val="0"/>
              <w:keepLines w:val="0"/>
              <w:pageBreakBefore w:val="0"/>
              <w:widowControl/>
              <w:kinsoku/>
              <w:wordWrap/>
              <w:overflowPunct/>
              <w:topLinePunct w:val="0"/>
              <w:autoSpaceDE/>
              <w:autoSpaceDN/>
              <w:bidi w:val="0"/>
              <w:adjustRightInd/>
              <w:snapToGrid/>
              <w:spacing w:after="0" w:line="400" w:lineRule="exact"/>
              <w:jc w:val="center"/>
              <w:textAlignment w:val="auto"/>
              <w:rPr>
                <w:highlight w:val="none"/>
              </w:rPr>
            </w:pPr>
            <w:r>
              <w:rPr>
                <w:rFonts w:hint="eastAsia" w:ascii="方正仿宋_GBK" w:hAnsi="方正仿宋_GBK" w:eastAsia="方正仿宋_GBK" w:cs="方正仿宋_GBK"/>
                <w:b/>
                <w:bCs/>
                <w:sz w:val="24"/>
                <w:szCs w:val="24"/>
                <w:lang w:val="en-US" w:eastAsia="zh-CN"/>
              </w:rPr>
              <w:t>0</w:t>
            </w:r>
          </w:p>
        </w:tc>
        <w:tc>
          <w:tcPr>
            <w:tcW w:w="7197" w:type="dxa"/>
            <w:tcBorders>
              <w:top w:val="single" w:color="000008" w:sz="4" w:space="0"/>
              <w:left w:val="single" w:color="000008" w:sz="4" w:space="0"/>
              <w:bottom w:val="single" w:color="000008" w:sz="4" w:space="0"/>
              <w:right w:val="single" w:color="000008" w:sz="4" w:space="0"/>
            </w:tcBorders>
            <w:noWrap w:val="0"/>
            <w:tcMar>
              <w:left w:w="28" w:type="dxa"/>
              <w:right w:w="28" w:type="dxa"/>
            </w:tcMar>
            <w:vAlign w:val="center"/>
          </w:tcPr>
          <w:p w14:paraId="46F896A9">
            <w:pPr>
              <w:keepNext w:val="0"/>
              <w:keepLines w:val="0"/>
              <w:pageBreakBefore w:val="0"/>
              <w:widowControl/>
              <w:kinsoku/>
              <w:wordWrap/>
              <w:overflowPunct/>
              <w:topLinePunct w:val="0"/>
              <w:autoSpaceDE/>
              <w:autoSpaceDN/>
              <w:bidi w:val="0"/>
              <w:adjustRightInd/>
              <w:snapToGrid/>
              <w:spacing w:after="0" w:line="400" w:lineRule="exact"/>
              <w:textAlignment w:val="auto"/>
              <w:rPr>
                <w:highlight w:val="none"/>
              </w:rPr>
            </w:pPr>
            <w:r>
              <w:rPr>
                <w:rFonts w:hint="eastAsia" w:ascii="方正仿宋_GBK" w:hAnsi="方正仿宋_GBK" w:eastAsia="方正仿宋_GBK" w:cs="方正仿宋_GBK"/>
                <w:color w:val="000000"/>
                <w:kern w:val="0"/>
                <w:sz w:val="24"/>
                <w:szCs w:val="24"/>
              </w:rPr>
              <w:t>按照公司相关标准执行，原则上会议次数不超过4次/年。</w:t>
            </w:r>
          </w:p>
        </w:tc>
      </w:tr>
      <w:tr w14:paraId="3955E0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40" w:hRule="atLeast"/>
        </w:trPr>
        <w:tc>
          <w:tcPr>
            <w:tcW w:w="1494" w:type="dxa"/>
            <w:tcBorders>
              <w:top w:val="single" w:color="000008" w:sz="4" w:space="0"/>
              <w:left w:val="single" w:color="000008" w:sz="4" w:space="0"/>
              <w:bottom w:val="single" w:color="000008" w:sz="4" w:space="0"/>
              <w:right w:val="single" w:color="000008" w:sz="4" w:space="0"/>
            </w:tcBorders>
            <w:noWrap w:val="0"/>
            <w:tcMar>
              <w:left w:w="28" w:type="dxa"/>
              <w:right w:w="28" w:type="dxa"/>
            </w:tcMar>
            <w:vAlign w:val="center"/>
          </w:tcPr>
          <w:p w14:paraId="0972786C">
            <w:pPr>
              <w:keepNext w:val="0"/>
              <w:keepLines w:val="0"/>
              <w:pageBreakBefore w:val="0"/>
              <w:widowControl/>
              <w:kinsoku/>
              <w:wordWrap/>
              <w:overflowPunct/>
              <w:topLinePunct w:val="0"/>
              <w:autoSpaceDE/>
              <w:autoSpaceDN/>
              <w:bidi w:val="0"/>
              <w:adjustRightInd/>
              <w:snapToGrid/>
              <w:spacing w:after="0" w:line="400" w:lineRule="exact"/>
              <w:textAlignment w:val="auto"/>
              <w:rPr>
                <w:highlight w:val="none"/>
              </w:rPr>
            </w:pPr>
            <w:r>
              <w:rPr>
                <w:rFonts w:hint="eastAsia" w:ascii="方正仿宋_GBK" w:hAnsi="方正仿宋_GBK" w:eastAsia="方正仿宋_GBK" w:cs="方正仿宋_GBK"/>
                <w:color w:val="000000"/>
                <w:kern w:val="0"/>
                <w:sz w:val="24"/>
                <w:szCs w:val="24"/>
              </w:rPr>
              <w:t>（5）差旅费</w:t>
            </w:r>
          </w:p>
        </w:tc>
        <w:tc>
          <w:tcPr>
            <w:tcW w:w="721" w:type="dxa"/>
            <w:tcBorders>
              <w:top w:val="single" w:color="000008" w:sz="4" w:space="0"/>
              <w:left w:val="single" w:color="000008" w:sz="4" w:space="0"/>
              <w:bottom w:val="single" w:color="000008" w:sz="4" w:space="0"/>
              <w:right w:val="single" w:color="000008" w:sz="4" w:space="0"/>
            </w:tcBorders>
            <w:noWrap w:val="0"/>
            <w:tcMar>
              <w:left w:w="28" w:type="dxa"/>
              <w:right w:w="28" w:type="dxa"/>
            </w:tcMar>
            <w:vAlign w:val="center"/>
          </w:tcPr>
          <w:p w14:paraId="6C4C0658">
            <w:pPr>
              <w:keepNext w:val="0"/>
              <w:keepLines w:val="0"/>
              <w:pageBreakBefore w:val="0"/>
              <w:widowControl/>
              <w:kinsoku/>
              <w:wordWrap/>
              <w:overflowPunct/>
              <w:topLinePunct w:val="0"/>
              <w:autoSpaceDE/>
              <w:autoSpaceDN/>
              <w:bidi w:val="0"/>
              <w:adjustRightInd/>
              <w:snapToGrid/>
              <w:spacing w:after="0" w:line="400" w:lineRule="exact"/>
              <w:jc w:val="center"/>
              <w:textAlignment w:val="auto"/>
              <w:rPr>
                <w:highlight w:val="none"/>
              </w:rPr>
            </w:pPr>
            <w:r>
              <w:rPr>
                <w:rFonts w:hint="eastAsia" w:ascii="方正仿宋_GBK" w:hAnsi="方正仿宋_GBK" w:eastAsia="方正仿宋_GBK" w:cs="方正仿宋_GBK"/>
                <w:b/>
                <w:bCs/>
                <w:sz w:val="24"/>
                <w:szCs w:val="24"/>
                <w:lang w:val="en-US" w:eastAsia="zh-CN"/>
              </w:rPr>
              <w:t>1万元</w:t>
            </w:r>
          </w:p>
        </w:tc>
        <w:tc>
          <w:tcPr>
            <w:tcW w:w="7197" w:type="dxa"/>
            <w:tcBorders>
              <w:top w:val="single" w:color="000008" w:sz="4" w:space="0"/>
              <w:left w:val="single" w:color="000008" w:sz="4" w:space="0"/>
              <w:bottom w:val="single" w:color="000008" w:sz="4" w:space="0"/>
              <w:right w:val="single" w:color="000008" w:sz="4" w:space="0"/>
            </w:tcBorders>
            <w:noWrap w:val="0"/>
            <w:tcMar>
              <w:left w:w="28" w:type="dxa"/>
              <w:right w:w="28" w:type="dxa"/>
            </w:tcMar>
            <w:vAlign w:val="center"/>
          </w:tcPr>
          <w:p w14:paraId="42B7090D">
            <w:pPr>
              <w:keepNext w:val="0"/>
              <w:keepLines w:val="0"/>
              <w:pageBreakBefore w:val="0"/>
              <w:widowControl/>
              <w:kinsoku/>
              <w:wordWrap/>
              <w:overflowPunct/>
              <w:topLinePunct w:val="0"/>
              <w:autoSpaceDE/>
              <w:autoSpaceDN/>
              <w:bidi w:val="0"/>
              <w:adjustRightInd/>
              <w:snapToGrid/>
              <w:spacing w:after="0" w:line="400" w:lineRule="exact"/>
              <w:textAlignment w:val="auto"/>
              <w:rPr>
                <w:highlight w:val="none"/>
              </w:rPr>
            </w:pPr>
            <w:r>
              <w:rPr>
                <w:rFonts w:hint="eastAsia" w:ascii="方正仿宋_GBK" w:hAnsi="方正仿宋_GBK" w:eastAsia="方正仿宋_GBK" w:cs="方正仿宋_GBK"/>
                <w:color w:val="000000"/>
                <w:kern w:val="0"/>
                <w:sz w:val="24"/>
                <w:szCs w:val="24"/>
              </w:rPr>
              <w:t>按照公司相关标准执行。</w:t>
            </w:r>
          </w:p>
        </w:tc>
      </w:tr>
      <w:tr w14:paraId="1532BE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00" w:hRule="atLeast"/>
        </w:trPr>
        <w:tc>
          <w:tcPr>
            <w:tcW w:w="1494" w:type="dxa"/>
            <w:tcBorders>
              <w:top w:val="single" w:color="000008" w:sz="4" w:space="0"/>
              <w:left w:val="single" w:color="000008" w:sz="4" w:space="0"/>
              <w:bottom w:val="single" w:color="000008" w:sz="4" w:space="0"/>
              <w:right w:val="single" w:color="000008" w:sz="4" w:space="0"/>
            </w:tcBorders>
            <w:noWrap w:val="0"/>
            <w:tcMar>
              <w:left w:w="28" w:type="dxa"/>
              <w:right w:w="28" w:type="dxa"/>
            </w:tcMar>
            <w:vAlign w:val="center"/>
          </w:tcPr>
          <w:p w14:paraId="0C47D356">
            <w:pPr>
              <w:keepNext w:val="0"/>
              <w:keepLines w:val="0"/>
              <w:pageBreakBefore w:val="0"/>
              <w:widowControl/>
              <w:kinsoku/>
              <w:wordWrap/>
              <w:overflowPunct/>
              <w:topLinePunct w:val="0"/>
              <w:autoSpaceDE/>
              <w:autoSpaceDN/>
              <w:bidi w:val="0"/>
              <w:adjustRightInd/>
              <w:snapToGrid/>
              <w:spacing w:after="0" w:line="400" w:lineRule="exact"/>
              <w:textAlignment w:val="auto"/>
              <w:rPr>
                <w:highlight w:val="none"/>
              </w:rPr>
            </w:pPr>
            <w:r>
              <w:rPr>
                <w:rFonts w:hint="eastAsia" w:ascii="方正仿宋_GBK" w:hAnsi="方正仿宋_GBK" w:eastAsia="方正仿宋_GBK" w:cs="方正仿宋_GBK"/>
                <w:color w:val="000000"/>
                <w:kern w:val="0"/>
                <w:sz w:val="24"/>
                <w:szCs w:val="24"/>
              </w:rPr>
              <w:t>（6）培训费</w:t>
            </w:r>
          </w:p>
        </w:tc>
        <w:tc>
          <w:tcPr>
            <w:tcW w:w="721" w:type="dxa"/>
            <w:tcBorders>
              <w:top w:val="single" w:color="000008" w:sz="4" w:space="0"/>
              <w:left w:val="single" w:color="000008" w:sz="4" w:space="0"/>
              <w:bottom w:val="single" w:color="000008" w:sz="4" w:space="0"/>
              <w:right w:val="single" w:color="000008" w:sz="4" w:space="0"/>
            </w:tcBorders>
            <w:noWrap w:val="0"/>
            <w:tcMar>
              <w:left w:w="28" w:type="dxa"/>
              <w:right w:w="28" w:type="dxa"/>
            </w:tcMar>
            <w:vAlign w:val="center"/>
          </w:tcPr>
          <w:p w14:paraId="4E2A596E">
            <w:pPr>
              <w:keepNext w:val="0"/>
              <w:keepLines w:val="0"/>
              <w:pageBreakBefore w:val="0"/>
              <w:widowControl/>
              <w:kinsoku/>
              <w:wordWrap/>
              <w:overflowPunct/>
              <w:topLinePunct w:val="0"/>
              <w:autoSpaceDE/>
              <w:autoSpaceDN/>
              <w:bidi w:val="0"/>
              <w:adjustRightInd/>
              <w:snapToGrid/>
              <w:spacing w:after="0" w:line="400" w:lineRule="exact"/>
              <w:jc w:val="center"/>
              <w:textAlignment w:val="auto"/>
              <w:rPr>
                <w:highlight w:val="none"/>
              </w:rPr>
            </w:pPr>
            <w:r>
              <w:rPr>
                <w:rFonts w:hint="eastAsia" w:ascii="方正仿宋_GBK" w:hAnsi="方正仿宋_GBK" w:eastAsia="方正仿宋_GBK" w:cs="方正仿宋_GBK"/>
                <w:b/>
                <w:bCs/>
                <w:sz w:val="24"/>
                <w:szCs w:val="24"/>
                <w:lang w:val="en-US" w:eastAsia="zh-CN"/>
              </w:rPr>
              <w:t>0</w:t>
            </w:r>
          </w:p>
        </w:tc>
        <w:tc>
          <w:tcPr>
            <w:tcW w:w="7197" w:type="dxa"/>
            <w:tcBorders>
              <w:top w:val="single" w:color="000008" w:sz="4" w:space="0"/>
              <w:left w:val="single" w:color="000008" w:sz="4" w:space="0"/>
              <w:bottom w:val="single" w:color="000008" w:sz="4" w:space="0"/>
              <w:right w:val="single" w:color="000008" w:sz="4" w:space="0"/>
            </w:tcBorders>
            <w:noWrap w:val="0"/>
            <w:tcMar>
              <w:left w:w="28" w:type="dxa"/>
              <w:right w:w="28" w:type="dxa"/>
            </w:tcMar>
            <w:vAlign w:val="center"/>
          </w:tcPr>
          <w:p w14:paraId="324CF8F0">
            <w:pPr>
              <w:keepNext w:val="0"/>
              <w:keepLines w:val="0"/>
              <w:pageBreakBefore w:val="0"/>
              <w:widowControl/>
              <w:kinsoku/>
              <w:wordWrap/>
              <w:overflowPunct/>
              <w:topLinePunct w:val="0"/>
              <w:autoSpaceDE/>
              <w:autoSpaceDN/>
              <w:bidi w:val="0"/>
              <w:adjustRightInd/>
              <w:snapToGrid/>
              <w:spacing w:after="0" w:line="400" w:lineRule="exact"/>
              <w:textAlignment w:val="auto"/>
              <w:rPr>
                <w:highlight w:val="none"/>
              </w:rPr>
            </w:pPr>
            <w:r>
              <w:rPr>
                <w:rFonts w:hint="eastAsia" w:ascii="方正仿宋_GBK" w:hAnsi="方正仿宋_GBK" w:eastAsia="方正仿宋_GBK" w:cs="方正仿宋_GBK"/>
                <w:color w:val="000000"/>
                <w:kern w:val="0"/>
                <w:sz w:val="24"/>
                <w:szCs w:val="24"/>
              </w:rPr>
              <w:t>培训费比例不得超过项目总费用的2%。</w:t>
            </w:r>
          </w:p>
        </w:tc>
      </w:tr>
      <w:tr w14:paraId="2C1FA8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40" w:hRule="atLeast"/>
        </w:trPr>
        <w:tc>
          <w:tcPr>
            <w:tcW w:w="1494" w:type="dxa"/>
            <w:tcBorders>
              <w:top w:val="single" w:color="000008" w:sz="4" w:space="0"/>
              <w:left w:val="single" w:color="000008" w:sz="4" w:space="0"/>
              <w:bottom w:val="single" w:color="000008" w:sz="4" w:space="0"/>
              <w:right w:val="single" w:color="000008" w:sz="4" w:space="0"/>
            </w:tcBorders>
            <w:noWrap w:val="0"/>
            <w:tcMar>
              <w:left w:w="28" w:type="dxa"/>
              <w:right w:w="28" w:type="dxa"/>
            </w:tcMar>
            <w:vAlign w:val="center"/>
          </w:tcPr>
          <w:p w14:paraId="5DBA94A8">
            <w:pPr>
              <w:keepNext w:val="0"/>
              <w:keepLines w:val="0"/>
              <w:pageBreakBefore w:val="0"/>
              <w:widowControl/>
              <w:kinsoku/>
              <w:wordWrap/>
              <w:overflowPunct/>
              <w:topLinePunct w:val="0"/>
              <w:autoSpaceDE/>
              <w:autoSpaceDN/>
              <w:bidi w:val="0"/>
              <w:adjustRightInd/>
              <w:snapToGrid/>
              <w:spacing w:after="0" w:line="400" w:lineRule="exact"/>
              <w:textAlignment w:val="auto"/>
              <w:rPr>
                <w:highlight w:val="none"/>
              </w:rPr>
            </w:pPr>
            <w:r>
              <w:rPr>
                <w:rFonts w:hint="eastAsia" w:ascii="方正仿宋_GBK" w:hAnsi="方正仿宋_GBK" w:eastAsia="方正仿宋_GBK" w:cs="方正仿宋_GBK"/>
                <w:color w:val="000000"/>
                <w:kern w:val="0"/>
                <w:sz w:val="24"/>
                <w:szCs w:val="24"/>
              </w:rPr>
              <w:t>4.场地使用费</w:t>
            </w:r>
          </w:p>
        </w:tc>
        <w:tc>
          <w:tcPr>
            <w:tcW w:w="721" w:type="dxa"/>
            <w:tcBorders>
              <w:top w:val="single" w:color="000008" w:sz="4" w:space="0"/>
              <w:left w:val="single" w:color="000008" w:sz="4" w:space="0"/>
              <w:bottom w:val="single" w:color="000008" w:sz="4" w:space="0"/>
              <w:right w:val="single" w:color="000008" w:sz="4" w:space="0"/>
            </w:tcBorders>
            <w:noWrap w:val="0"/>
            <w:tcMar>
              <w:left w:w="28" w:type="dxa"/>
              <w:right w:w="28" w:type="dxa"/>
            </w:tcMar>
            <w:vAlign w:val="center"/>
          </w:tcPr>
          <w:p w14:paraId="3AD0A131">
            <w:pPr>
              <w:keepNext w:val="0"/>
              <w:keepLines w:val="0"/>
              <w:pageBreakBefore w:val="0"/>
              <w:widowControl/>
              <w:kinsoku/>
              <w:wordWrap/>
              <w:overflowPunct/>
              <w:topLinePunct w:val="0"/>
              <w:autoSpaceDE/>
              <w:autoSpaceDN/>
              <w:bidi w:val="0"/>
              <w:adjustRightInd/>
              <w:snapToGrid/>
              <w:spacing w:after="0" w:line="400" w:lineRule="exact"/>
              <w:jc w:val="center"/>
              <w:textAlignment w:val="auto"/>
              <w:rPr>
                <w:rFonts w:hint="eastAsia" w:eastAsia="方正仿宋_GBK"/>
                <w:highlight w:val="none"/>
                <w:lang w:val="en-US" w:eastAsia="zh-CN"/>
              </w:rPr>
            </w:pPr>
            <w:r>
              <w:rPr>
                <w:rFonts w:hint="eastAsia" w:ascii="方正仿宋_GBK" w:hAnsi="方正仿宋_GBK" w:eastAsia="方正仿宋_GBK" w:cs="方正仿宋_GBK"/>
                <w:b/>
                <w:bCs/>
                <w:sz w:val="24"/>
                <w:szCs w:val="24"/>
                <w:lang w:val="en-US" w:eastAsia="zh-CN"/>
              </w:rPr>
              <w:t>0</w:t>
            </w:r>
          </w:p>
        </w:tc>
        <w:tc>
          <w:tcPr>
            <w:tcW w:w="7197" w:type="dxa"/>
            <w:tcBorders>
              <w:top w:val="single" w:color="000008" w:sz="4" w:space="0"/>
              <w:left w:val="single" w:color="000008" w:sz="4" w:space="0"/>
              <w:bottom w:val="single" w:color="000008" w:sz="4" w:space="0"/>
              <w:right w:val="single" w:color="000008" w:sz="4" w:space="0"/>
            </w:tcBorders>
            <w:noWrap w:val="0"/>
            <w:tcMar>
              <w:left w:w="28" w:type="dxa"/>
              <w:right w:w="28" w:type="dxa"/>
            </w:tcMar>
            <w:vAlign w:val="center"/>
          </w:tcPr>
          <w:p w14:paraId="57346760">
            <w:pPr>
              <w:keepNext w:val="0"/>
              <w:keepLines w:val="0"/>
              <w:pageBreakBefore w:val="0"/>
              <w:widowControl/>
              <w:kinsoku/>
              <w:wordWrap/>
              <w:overflowPunct/>
              <w:topLinePunct w:val="0"/>
              <w:autoSpaceDE/>
              <w:autoSpaceDN/>
              <w:bidi w:val="0"/>
              <w:adjustRightInd/>
              <w:snapToGrid/>
              <w:spacing w:after="0" w:line="400" w:lineRule="exact"/>
              <w:textAlignment w:val="auto"/>
              <w:rPr>
                <w:highlight w:val="none"/>
              </w:rPr>
            </w:pPr>
            <w:r>
              <w:rPr>
                <w:rFonts w:hint="eastAsia" w:ascii="方正仿宋_GBK" w:hAnsi="方正仿宋_GBK" w:eastAsia="方正仿宋_GBK" w:cs="方正仿宋_GBK"/>
                <w:color w:val="000000"/>
                <w:kern w:val="0"/>
                <w:sz w:val="24"/>
                <w:szCs w:val="24"/>
              </w:rPr>
              <w:t>不需要另行集中安排场所办公的不发生此项费用，确需安排的，按实际需求列支。</w:t>
            </w:r>
          </w:p>
        </w:tc>
      </w:tr>
      <w:tr w14:paraId="77EF30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40" w:hRule="atLeast"/>
        </w:trPr>
        <w:tc>
          <w:tcPr>
            <w:tcW w:w="1494" w:type="dxa"/>
            <w:tcBorders>
              <w:top w:val="single" w:color="000008" w:sz="4" w:space="0"/>
              <w:left w:val="single" w:color="000008" w:sz="4" w:space="0"/>
              <w:bottom w:val="single" w:color="000008" w:sz="4" w:space="0"/>
              <w:right w:val="single" w:color="000008" w:sz="4" w:space="0"/>
            </w:tcBorders>
            <w:noWrap w:val="0"/>
            <w:tcMar>
              <w:left w:w="28" w:type="dxa"/>
              <w:right w:w="28" w:type="dxa"/>
            </w:tcMar>
            <w:vAlign w:val="center"/>
          </w:tcPr>
          <w:p w14:paraId="23D3D123">
            <w:pPr>
              <w:keepNext w:val="0"/>
              <w:keepLines w:val="0"/>
              <w:pageBreakBefore w:val="0"/>
              <w:widowControl/>
              <w:kinsoku/>
              <w:wordWrap/>
              <w:overflowPunct/>
              <w:topLinePunct w:val="0"/>
              <w:autoSpaceDE/>
              <w:autoSpaceDN/>
              <w:bidi w:val="0"/>
              <w:adjustRightInd/>
              <w:snapToGrid/>
              <w:spacing w:after="0" w:line="400" w:lineRule="exact"/>
              <w:textAlignment w:val="auto"/>
              <w:rPr>
                <w:highlight w:val="none"/>
              </w:rPr>
            </w:pPr>
            <w:r>
              <w:rPr>
                <w:rFonts w:hint="eastAsia" w:ascii="方正仿宋_GBK" w:hAnsi="方正仿宋_GBK" w:eastAsia="方正仿宋_GBK" w:cs="方正仿宋_GBK"/>
                <w:color w:val="000000"/>
                <w:kern w:val="0"/>
                <w:sz w:val="24"/>
                <w:szCs w:val="24"/>
              </w:rPr>
              <w:t>5.专家咨询费</w:t>
            </w:r>
          </w:p>
        </w:tc>
        <w:tc>
          <w:tcPr>
            <w:tcW w:w="721" w:type="dxa"/>
            <w:tcBorders>
              <w:top w:val="single" w:color="000008" w:sz="4" w:space="0"/>
              <w:left w:val="single" w:color="000008" w:sz="4" w:space="0"/>
              <w:bottom w:val="single" w:color="000008" w:sz="4" w:space="0"/>
              <w:right w:val="single" w:color="000008" w:sz="4" w:space="0"/>
            </w:tcBorders>
            <w:noWrap w:val="0"/>
            <w:tcMar>
              <w:left w:w="28" w:type="dxa"/>
              <w:right w:w="28" w:type="dxa"/>
            </w:tcMar>
            <w:vAlign w:val="center"/>
          </w:tcPr>
          <w:p w14:paraId="597F2356">
            <w:pPr>
              <w:keepNext w:val="0"/>
              <w:keepLines w:val="0"/>
              <w:pageBreakBefore w:val="0"/>
              <w:widowControl/>
              <w:kinsoku/>
              <w:wordWrap/>
              <w:overflowPunct/>
              <w:topLinePunct w:val="0"/>
              <w:autoSpaceDE/>
              <w:autoSpaceDN/>
              <w:bidi w:val="0"/>
              <w:adjustRightInd/>
              <w:snapToGrid/>
              <w:spacing w:after="0" w:line="400" w:lineRule="exact"/>
              <w:jc w:val="center"/>
              <w:textAlignment w:val="auto"/>
              <w:rPr>
                <w:rFonts w:hint="eastAsia" w:eastAsia="方正仿宋_GBK"/>
                <w:highlight w:val="none"/>
                <w:lang w:val="en-US" w:eastAsia="zh-CN"/>
              </w:rPr>
            </w:pPr>
            <w:r>
              <w:rPr>
                <w:rFonts w:hint="eastAsia" w:ascii="方正仿宋_GBK" w:hAnsi="方正仿宋_GBK" w:eastAsia="方正仿宋_GBK" w:cs="方正仿宋_GBK"/>
                <w:b/>
                <w:bCs/>
                <w:sz w:val="24"/>
                <w:szCs w:val="24"/>
                <w:lang w:val="en-US" w:eastAsia="zh-CN"/>
              </w:rPr>
              <w:t>2万元</w:t>
            </w:r>
          </w:p>
        </w:tc>
        <w:tc>
          <w:tcPr>
            <w:tcW w:w="7197" w:type="dxa"/>
            <w:tcBorders>
              <w:top w:val="single" w:color="000008" w:sz="4" w:space="0"/>
              <w:left w:val="single" w:color="000008" w:sz="4" w:space="0"/>
              <w:bottom w:val="single" w:color="000008" w:sz="4" w:space="0"/>
              <w:right w:val="single" w:color="000008" w:sz="4" w:space="0"/>
            </w:tcBorders>
            <w:noWrap w:val="0"/>
            <w:tcMar>
              <w:left w:w="28" w:type="dxa"/>
              <w:right w:w="28" w:type="dxa"/>
            </w:tcMar>
            <w:vAlign w:val="center"/>
          </w:tcPr>
          <w:p w14:paraId="60A3FBB2">
            <w:pPr>
              <w:keepNext w:val="0"/>
              <w:keepLines w:val="0"/>
              <w:pageBreakBefore w:val="0"/>
              <w:widowControl/>
              <w:kinsoku/>
              <w:wordWrap/>
              <w:overflowPunct/>
              <w:topLinePunct w:val="0"/>
              <w:autoSpaceDE/>
              <w:autoSpaceDN/>
              <w:bidi w:val="0"/>
              <w:adjustRightInd/>
              <w:snapToGrid/>
              <w:spacing w:after="0" w:line="400" w:lineRule="exact"/>
              <w:textAlignment w:val="auto"/>
              <w:rPr>
                <w:highlight w:val="none"/>
              </w:rPr>
            </w:pPr>
            <w:r>
              <w:rPr>
                <w:rFonts w:hint="eastAsia" w:ascii="方正仿宋_GBK" w:hAnsi="方正仿宋_GBK" w:eastAsia="方正仿宋_GBK" w:cs="方正仿宋_GBK"/>
                <w:color w:val="000000"/>
                <w:kern w:val="0"/>
                <w:sz w:val="24"/>
                <w:szCs w:val="24"/>
              </w:rPr>
              <w:t>原则上标准为1000-1500元/人天，根据实际工作量具体确定。项目执行期在一年内的，总额原则上不超过15万元；每增加一年总额增加10万元。</w:t>
            </w:r>
          </w:p>
        </w:tc>
      </w:tr>
      <w:tr w14:paraId="006D64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00" w:hRule="atLeast"/>
        </w:trPr>
        <w:tc>
          <w:tcPr>
            <w:tcW w:w="1494" w:type="dxa"/>
            <w:tcBorders>
              <w:top w:val="single" w:color="000008" w:sz="4" w:space="0"/>
              <w:left w:val="single" w:color="000008" w:sz="4" w:space="0"/>
              <w:bottom w:val="single" w:color="000008" w:sz="4" w:space="0"/>
              <w:right w:val="single" w:color="000008" w:sz="4" w:space="0"/>
            </w:tcBorders>
            <w:noWrap w:val="0"/>
            <w:tcMar>
              <w:left w:w="28" w:type="dxa"/>
              <w:right w:w="28" w:type="dxa"/>
            </w:tcMar>
            <w:vAlign w:val="center"/>
          </w:tcPr>
          <w:p w14:paraId="475BF6BD">
            <w:pPr>
              <w:keepNext w:val="0"/>
              <w:keepLines w:val="0"/>
              <w:pageBreakBefore w:val="0"/>
              <w:widowControl/>
              <w:kinsoku/>
              <w:wordWrap/>
              <w:overflowPunct/>
              <w:topLinePunct w:val="0"/>
              <w:autoSpaceDE/>
              <w:autoSpaceDN/>
              <w:bidi w:val="0"/>
              <w:adjustRightInd/>
              <w:snapToGrid/>
              <w:spacing w:after="0" w:line="400" w:lineRule="exact"/>
              <w:textAlignment w:val="auto"/>
              <w:rPr>
                <w:highlight w:val="none"/>
              </w:rPr>
            </w:pPr>
            <w:r>
              <w:rPr>
                <w:rFonts w:hint="eastAsia" w:ascii="方正仿宋_GBK" w:hAnsi="方正仿宋_GBK" w:eastAsia="方正仿宋_GBK" w:cs="方正仿宋_GBK"/>
                <w:b/>
                <w:bCs/>
                <w:color w:val="000000"/>
                <w:kern w:val="0"/>
                <w:sz w:val="24"/>
                <w:szCs w:val="24"/>
              </w:rPr>
              <w:t>（二）间接费用</w:t>
            </w:r>
          </w:p>
        </w:tc>
        <w:tc>
          <w:tcPr>
            <w:tcW w:w="721" w:type="dxa"/>
            <w:tcBorders>
              <w:top w:val="single" w:color="000008" w:sz="4" w:space="0"/>
              <w:left w:val="single" w:color="000008" w:sz="4" w:space="0"/>
              <w:bottom w:val="single" w:color="000008" w:sz="4" w:space="0"/>
              <w:right w:val="single" w:color="000008" w:sz="4" w:space="0"/>
            </w:tcBorders>
            <w:noWrap w:val="0"/>
            <w:tcMar>
              <w:left w:w="28" w:type="dxa"/>
              <w:right w:w="28" w:type="dxa"/>
            </w:tcMar>
            <w:vAlign w:val="center"/>
          </w:tcPr>
          <w:p w14:paraId="6413916C">
            <w:pPr>
              <w:keepNext w:val="0"/>
              <w:keepLines w:val="0"/>
              <w:pageBreakBefore w:val="0"/>
              <w:widowControl/>
              <w:kinsoku/>
              <w:wordWrap/>
              <w:overflowPunct/>
              <w:topLinePunct w:val="0"/>
              <w:autoSpaceDE/>
              <w:autoSpaceDN/>
              <w:bidi w:val="0"/>
              <w:adjustRightInd/>
              <w:snapToGrid/>
              <w:spacing w:after="0" w:line="400" w:lineRule="exact"/>
              <w:jc w:val="center"/>
              <w:textAlignment w:val="auto"/>
              <w:rPr>
                <w:highlight w:val="none"/>
              </w:rPr>
            </w:pPr>
            <w:r>
              <w:rPr>
                <w:rFonts w:hint="eastAsia" w:ascii="方正仿宋_GBK" w:hAnsi="方正仿宋_GBK" w:eastAsia="方正仿宋_GBK" w:cs="方正仿宋_GBK"/>
                <w:b/>
                <w:bCs/>
                <w:sz w:val="24"/>
                <w:szCs w:val="24"/>
                <w:lang w:val="en-US" w:eastAsia="zh-CN"/>
              </w:rPr>
              <w:t>0</w:t>
            </w:r>
          </w:p>
        </w:tc>
        <w:tc>
          <w:tcPr>
            <w:tcW w:w="7197" w:type="dxa"/>
            <w:tcBorders>
              <w:top w:val="single" w:color="000008" w:sz="4" w:space="0"/>
              <w:left w:val="single" w:color="000008" w:sz="4" w:space="0"/>
              <w:bottom w:val="single" w:color="000008" w:sz="4" w:space="0"/>
              <w:right w:val="single" w:color="000008" w:sz="4" w:space="0"/>
            </w:tcBorders>
            <w:noWrap w:val="0"/>
            <w:tcMar>
              <w:left w:w="28" w:type="dxa"/>
              <w:right w:w="28" w:type="dxa"/>
            </w:tcMar>
            <w:vAlign w:val="center"/>
          </w:tcPr>
          <w:p w14:paraId="47D42597">
            <w:pPr>
              <w:keepNext w:val="0"/>
              <w:keepLines w:val="0"/>
              <w:pageBreakBefore w:val="0"/>
              <w:widowControl/>
              <w:kinsoku/>
              <w:wordWrap/>
              <w:overflowPunct/>
              <w:topLinePunct w:val="0"/>
              <w:autoSpaceDE/>
              <w:autoSpaceDN/>
              <w:bidi w:val="0"/>
              <w:adjustRightInd/>
              <w:snapToGrid/>
              <w:spacing w:after="0" w:line="400" w:lineRule="exact"/>
              <w:textAlignment w:val="auto"/>
              <w:rPr>
                <w:highlight w:val="none"/>
              </w:rPr>
            </w:pPr>
            <w:r>
              <w:rPr>
                <w:rFonts w:hint="eastAsia" w:ascii="方正仿宋_GBK" w:hAnsi="方正仿宋_GBK" w:eastAsia="方正仿宋_GBK" w:cs="方正仿宋_GBK"/>
                <w:b/>
                <w:bCs/>
                <w:color w:val="000000"/>
                <w:kern w:val="0"/>
                <w:sz w:val="24"/>
                <w:szCs w:val="24"/>
              </w:rPr>
              <w:t>间接费实行总额控制，不超过总费用的8%。</w:t>
            </w:r>
          </w:p>
        </w:tc>
      </w:tr>
      <w:tr w14:paraId="0E4680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40" w:hRule="atLeast"/>
        </w:trPr>
        <w:tc>
          <w:tcPr>
            <w:tcW w:w="1494" w:type="dxa"/>
            <w:tcBorders>
              <w:top w:val="single" w:color="000008" w:sz="4" w:space="0"/>
              <w:left w:val="single" w:color="000008" w:sz="4" w:space="0"/>
              <w:bottom w:val="single" w:color="000008" w:sz="4" w:space="0"/>
              <w:right w:val="single" w:color="000008" w:sz="4" w:space="0"/>
            </w:tcBorders>
            <w:noWrap w:val="0"/>
            <w:tcMar>
              <w:left w:w="28" w:type="dxa"/>
              <w:right w:w="28" w:type="dxa"/>
            </w:tcMar>
            <w:vAlign w:val="center"/>
          </w:tcPr>
          <w:p w14:paraId="0858A1AC">
            <w:pPr>
              <w:keepNext w:val="0"/>
              <w:keepLines w:val="0"/>
              <w:pageBreakBefore w:val="0"/>
              <w:widowControl/>
              <w:kinsoku/>
              <w:wordWrap/>
              <w:overflowPunct/>
              <w:topLinePunct w:val="0"/>
              <w:autoSpaceDE/>
              <w:autoSpaceDN/>
              <w:bidi w:val="0"/>
              <w:adjustRightInd/>
              <w:snapToGrid/>
              <w:spacing w:after="0" w:line="400" w:lineRule="exact"/>
              <w:textAlignment w:val="auto"/>
              <w:rPr>
                <w:highlight w:val="none"/>
              </w:rPr>
            </w:pPr>
            <w:r>
              <w:rPr>
                <w:rFonts w:hint="eastAsia" w:ascii="方正仿宋_GBK" w:hAnsi="方正仿宋_GBK" w:eastAsia="方正仿宋_GBK" w:cs="方正仿宋_GBK"/>
                <w:b/>
                <w:bCs/>
                <w:color w:val="000000"/>
                <w:kern w:val="0"/>
                <w:sz w:val="24"/>
                <w:szCs w:val="24"/>
              </w:rPr>
              <w:t>（三）税金</w:t>
            </w:r>
          </w:p>
        </w:tc>
        <w:tc>
          <w:tcPr>
            <w:tcW w:w="721" w:type="dxa"/>
            <w:tcBorders>
              <w:top w:val="single" w:color="000008" w:sz="4" w:space="0"/>
              <w:left w:val="single" w:color="000008" w:sz="4" w:space="0"/>
              <w:bottom w:val="single" w:color="000008" w:sz="4" w:space="0"/>
              <w:right w:val="single" w:color="000008" w:sz="4" w:space="0"/>
            </w:tcBorders>
            <w:noWrap w:val="0"/>
            <w:tcMar>
              <w:left w:w="28" w:type="dxa"/>
              <w:right w:w="28" w:type="dxa"/>
            </w:tcMar>
            <w:vAlign w:val="center"/>
          </w:tcPr>
          <w:p w14:paraId="7F1BB561">
            <w:pPr>
              <w:keepNext w:val="0"/>
              <w:keepLines w:val="0"/>
              <w:pageBreakBefore w:val="0"/>
              <w:widowControl/>
              <w:kinsoku/>
              <w:wordWrap/>
              <w:overflowPunct/>
              <w:topLinePunct w:val="0"/>
              <w:autoSpaceDE/>
              <w:autoSpaceDN/>
              <w:bidi w:val="0"/>
              <w:adjustRightInd/>
              <w:snapToGrid/>
              <w:spacing w:after="0" w:line="400" w:lineRule="exact"/>
              <w:jc w:val="center"/>
              <w:textAlignment w:val="auto"/>
              <w:rPr>
                <w:rFonts w:hint="eastAsia" w:eastAsia="宋体"/>
                <w:highlight w:val="none"/>
                <w:lang w:eastAsia="zh-CN"/>
              </w:rPr>
            </w:pPr>
            <w:r>
              <w:rPr>
                <w:rFonts w:hint="eastAsia" w:ascii="方正仿宋_GBK" w:hAnsi="方正仿宋_GBK" w:eastAsia="方正仿宋_GBK" w:cs="方正仿宋_GBK"/>
                <w:b/>
                <w:bCs/>
                <w:sz w:val="24"/>
                <w:szCs w:val="24"/>
                <w:lang w:val="en-US" w:eastAsia="zh-CN"/>
              </w:rPr>
              <w:t>4.02万元</w:t>
            </w:r>
          </w:p>
        </w:tc>
        <w:tc>
          <w:tcPr>
            <w:tcW w:w="7197" w:type="dxa"/>
            <w:tcBorders>
              <w:top w:val="single" w:color="000008" w:sz="4" w:space="0"/>
              <w:left w:val="single" w:color="000008" w:sz="4" w:space="0"/>
              <w:bottom w:val="single" w:color="000008" w:sz="4" w:space="0"/>
              <w:right w:val="single" w:color="000008" w:sz="4" w:space="0"/>
            </w:tcBorders>
            <w:noWrap w:val="0"/>
            <w:tcMar>
              <w:left w:w="28" w:type="dxa"/>
              <w:right w:w="28" w:type="dxa"/>
            </w:tcMar>
            <w:vAlign w:val="center"/>
          </w:tcPr>
          <w:p w14:paraId="65B6AA50">
            <w:pPr>
              <w:keepNext w:val="0"/>
              <w:keepLines w:val="0"/>
              <w:pageBreakBefore w:val="0"/>
              <w:widowControl/>
              <w:kinsoku/>
              <w:wordWrap/>
              <w:overflowPunct/>
              <w:topLinePunct w:val="0"/>
              <w:autoSpaceDE/>
              <w:autoSpaceDN/>
              <w:bidi w:val="0"/>
              <w:adjustRightInd/>
              <w:snapToGrid/>
              <w:spacing w:after="0" w:line="400" w:lineRule="exact"/>
              <w:textAlignment w:val="auto"/>
              <w:rPr>
                <w:highlight w:val="none"/>
              </w:rPr>
            </w:pPr>
            <w:r>
              <w:rPr>
                <w:rFonts w:hint="eastAsia" w:ascii="方正仿宋_GBK" w:hAnsi="方正仿宋_GBK" w:eastAsia="方正仿宋_GBK" w:cs="方正仿宋_GBK"/>
                <w:b/>
                <w:bCs/>
                <w:color w:val="000000"/>
                <w:kern w:val="0"/>
                <w:sz w:val="24"/>
                <w:szCs w:val="24"/>
              </w:rPr>
              <w:t>按照国税和地税相关规定执行。</w:t>
            </w:r>
          </w:p>
        </w:tc>
      </w:tr>
      <w:tr w14:paraId="2E0FD9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40" w:hRule="atLeast"/>
        </w:trPr>
        <w:tc>
          <w:tcPr>
            <w:tcW w:w="1494" w:type="dxa"/>
            <w:tcBorders>
              <w:top w:val="single" w:color="000008" w:sz="4" w:space="0"/>
              <w:left w:val="single" w:color="000008" w:sz="4" w:space="0"/>
              <w:bottom w:val="single" w:color="000008" w:sz="4" w:space="0"/>
              <w:right w:val="single" w:color="000008" w:sz="4" w:space="0"/>
            </w:tcBorders>
            <w:noWrap w:val="0"/>
            <w:tcMar>
              <w:left w:w="28" w:type="dxa"/>
              <w:right w:w="28" w:type="dxa"/>
            </w:tcMar>
            <w:vAlign w:val="center"/>
          </w:tcPr>
          <w:p w14:paraId="0EEAD8F0">
            <w:pPr>
              <w:keepNext w:val="0"/>
              <w:keepLines w:val="0"/>
              <w:pageBreakBefore w:val="0"/>
              <w:widowControl/>
              <w:kinsoku/>
              <w:wordWrap/>
              <w:overflowPunct/>
              <w:topLinePunct w:val="0"/>
              <w:autoSpaceDE/>
              <w:autoSpaceDN/>
              <w:bidi w:val="0"/>
              <w:adjustRightInd/>
              <w:snapToGrid/>
              <w:spacing w:after="0" w:line="400" w:lineRule="exact"/>
              <w:textAlignment w:val="auto"/>
              <w:rPr>
                <w:rFonts w:hint="eastAsia" w:ascii="方正仿宋_GBK" w:hAnsi="方正仿宋_GBK" w:eastAsia="方正仿宋_GBK" w:cs="方正仿宋_GBK"/>
                <w:b/>
                <w:bCs/>
                <w:color w:val="000000"/>
                <w:sz w:val="24"/>
                <w:szCs w:val="24"/>
                <w:highlight w:val="none"/>
              </w:rPr>
            </w:pPr>
            <w:r>
              <w:rPr>
                <w:rFonts w:hint="eastAsia" w:ascii="方正仿宋_GBK" w:hAnsi="方正仿宋_GBK" w:eastAsia="方正仿宋_GBK" w:cs="方正仿宋_GBK"/>
                <w:b/>
                <w:bCs/>
                <w:color w:val="000000"/>
                <w:kern w:val="0"/>
                <w:sz w:val="24"/>
                <w:szCs w:val="24"/>
              </w:rPr>
              <w:t>经费估算总额</w:t>
            </w:r>
            <w:r>
              <w:rPr>
                <w:rFonts w:hint="eastAsia" w:ascii="方正仿宋_GBK" w:hAnsi="方正仿宋_GBK" w:eastAsia="方正仿宋_GBK" w:cs="方正仿宋_GBK"/>
                <w:b/>
                <w:bCs/>
                <w:color w:val="000000"/>
                <w:kern w:val="0"/>
                <w:sz w:val="24"/>
                <w:szCs w:val="24"/>
                <w:lang w:eastAsia="zh-CN"/>
              </w:rPr>
              <w:t>（</w:t>
            </w:r>
            <w:r>
              <w:rPr>
                <w:rFonts w:hint="eastAsia" w:ascii="方正仿宋_GBK" w:hAnsi="方正仿宋_GBK" w:eastAsia="方正仿宋_GBK" w:cs="方正仿宋_GBK"/>
                <w:b/>
                <w:bCs/>
                <w:color w:val="000000"/>
                <w:kern w:val="0"/>
                <w:sz w:val="24"/>
                <w:szCs w:val="24"/>
                <w:lang w:val="en-US" w:eastAsia="zh-CN"/>
              </w:rPr>
              <w:t>含税</w:t>
            </w:r>
            <w:r>
              <w:rPr>
                <w:rFonts w:hint="eastAsia" w:ascii="方正仿宋_GBK" w:hAnsi="方正仿宋_GBK" w:eastAsia="方正仿宋_GBK" w:cs="方正仿宋_GBK"/>
                <w:b/>
                <w:bCs/>
                <w:color w:val="000000"/>
                <w:kern w:val="0"/>
                <w:sz w:val="24"/>
                <w:szCs w:val="24"/>
                <w:lang w:eastAsia="zh-CN"/>
              </w:rPr>
              <w:t>）</w:t>
            </w:r>
          </w:p>
        </w:tc>
        <w:tc>
          <w:tcPr>
            <w:tcW w:w="721" w:type="dxa"/>
            <w:tcBorders>
              <w:top w:val="single" w:color="000008" w:sz="4" w:space="0"/>
              <w:left w:val="single" w:color="000008" w:sz="4" w:space="0"/>
              <w:bottom w:val="single" w:color="000008" w:sz="4" w:space="0"/>
              <w:right w:val="single" w:color="000008" w:sz="4" w:space="0"/>
            </w:tcBorders>
            <w:noWrap w:val="0"/>
            <w:tcMar>
              <w:left w:w="28" w:type="dxa"/>
              <w:right w:w="28" w:type="dxa"/>
            </w:tcMar>
            <w:vAlign w:val="center"/>
          </w:tcPr>
          <w:p w14:paraId="6F61D5AD">
            <w:pPr>
              <w:keepNext w:val="0"/>
              <w:keepLines w:val="0"/>
              <w:pageBreakBefore w:val="0"/>
              <w:widowControl/>
              <w:kinsoku/>
              <w:wordWrap/>
              <w:overflowPunct/>
              <w:topLinePunct w:val="0"/>
              <w:autoSpaceDE/>
              <w:autoSpaceDN/>
              <w:bidi w:val="0"/>
              <w:adjustRightInd/>
              <w:snapToGrid/>
              <w:spacing w:after="0" w:line="400" w:lineRule="exact"/>
              <w:jc w:val="center"/>
              <w:textAlignment w:val="auto"/>
              <w:rPr>
                <w:rFonts w:hint="default" w:ascii="方正仿宋_GBK" w:hAnsi="方正仿宋_GBK" w:eastAsia="方正仿宋_GBK" w:cs="方正仿宋_GBK"/>
                <w:b/>
                <w:bCs/>
                <w:color w:val="000000"/>
                <w:sz w:val="24"/>
                <w:szCs w:val="24"/>
                <w:highlight w:val="none"/>
                <w:lang w:val="en-US" w:eastAsia="zh-CN"/>
              </w:rPr>
            </w:pPr>
            <w:r>
              <w:rPr>
                <w:rFonts w:hint="eastAsia" w:ascii="Times New Roman" w:hAnsi="Times New Roman" w:eastAsia="方正仿宋_GBK"/>
                <w:b/>
                <w:bCs w:val="0"/>
                <w:i w:val="0"/>
                <w:iCs w:val="0"/>
                <w:sz w:val="24"/>
                <w:szCs w:val="22"/>
                <w:lang w:val="en-US" w:eastAsia="zh-CN"/>
              </w:rPr>
              <w:t>71.02</w:t>
            </w:r>
            <w:r>
              <w:rPr>
                <w:rFonts w:hint="eastAsia" w:ascii="方正仿宋_GBK" w:hAnsi="方正仿宋_GBK" w:eastAsia="方正仿宋_GBK" w:cs="方正仿宋_GBK"/>
                <w:b/>
                <w:bCs/>
                <w:sz w:val="24"/>
                <w:szCs w:val="24"/>
                <w:lang w:val="en-US" w:eastAsia="zh-CN"/>
              </w:rPr>
              <w:t>万元</w:t>
            </w:r>
          </w:p>
        </w:tc>
        <w:tc>
          <w:tcPr>
            <w:tcW w:w="7197" w:type="dxa"/>
            <w:tcBorders>
              <w:top w:val="single" w:color="000008" w:sz="4" w:space="0"/>
              <w:left w:val="single" w:color="000008" w:sz="4" w:space="0"/>
              <w:bottom w:val="single" w:color="000008" w:sz="4" w:space="0"/>
              <w:right w:val="single" w:color="000008" w:sz="4" w:space="0"/>
            </w:tcBorders>
            <w:noWrap w:val="0"/>
            <w:tcMar>
              <w:left w:w="28" w:type="dxa"/>
              <w:right w:w="28" w:type="dxa"/>
            </w:tcMar>
            <w:vAlign w:val="center"/>
          </w:tcPr>
          <w:p w14:paraId="431C4F71">
            <w:pPr>
              <w:keepNext w:val="0"/>
              <w:keepLines w:val="0"/>
              <w:pageBreakBefore w:val="0"/>
              <w:widowControl/>
              <w:kinsoku/>
              <w:wordWrap/>
              <w:overflowPunct/>
              <w:topLinePunct w:val="0"/>
              <w:autoSpaceDE/>
              <w:autoSpaceDN/>
              <w:bidi w:val="0"/>
              <w:adjustRightInd/>
              <w:snapToGrid/>
              <w:spacing w:after="0" w:line="400" w:lineRule="exact"/>
              <w:textAlignment w:val="auto"/>
              <w:rPr>
                <w:rFonts w:hint="default" w:ascii="方正仿宋_GBK" w:hAnsi="方正仿宋_GBK" w:eastAsia="方正仿宋_GBK" w:cs="方正仿宋_GBK"/>
                <w:b/>
                <w:bCs/>
                <w:color w:val="000000"/>
                <w:sz w:val="24"/>
                <w:szCs w:val="24"/>
                <w:highlight w:val="none"/>
                <w:lang w:val="en-US" w:eastAsia="zh-CN"/>
              </w:rPr>
            </w:pPr>
            <w:r>
              <w:rPr>
                <w:rFonts w:hint="eastAsia" w:ascii="方正仿宋_GBK" w:hAnsi="方正仿宋_GBK" w:eastAsia="方正仿宋_GBK" w:cs="方正仿宋_GBK"/>
                <w:color w:val="000000"/>
                <w:kern w:val="0"/>
                <w:sz w:val="24"/>
                <w:szCs w:val="24"/>
              </w:rPr>
              <w:t>　</w:t>
            </w:r>
          </w:p>
        </w:tc>
      </w:tr>
    </w:tbl>
    <w:p w14:paraId="2340E927">
      <w:pPr>
        <w:tabs>
          <w:tab w:val="left" w:pos="0"/>
          <w:tab w:val="left" w:pos="9288"/>
        </w:tabs>
        <w:adjustRightInd w:val="0"/>
        <w:snapToGrid w:val="0"/>
        <w:spacing w:line="288" w:lineRule="auto"/>
        <w:ind w:firstLine="422" w:firstLineChars="200"/>
        <w:rPr>
          <w:rFonts w:eastAsia="仿宋_GB2312"/>
          <w:b/>
        </w:rPr>
      </w:pPr>
    </w:p>
    <w:p w14:paraId="32345764">
      <w:pPr>
        <w:tabs>
          <w:tab w:val="left" w:pos="0"/>
          <w:tab w:val="left" w:pos="9288"/>
        </w:tabs>
        <w:adjustRightInd w:val="0"/>
        <w:snapToGrid w:val="0"/>
        <w:spacing w:line="288" w:lineRule="auto"/>
        <w:ind w:firstLine="422" w:firstLineChars="200"/>
        <w:rPr>
          <w:rFonts w:eastAsia="仿宋_GB2312"/>
          <w:b/>
        </w:rPr>
      </w:pPr>
    </w:p>
    <w:p w14:paraId="6572C519">
      <w:pPr>
        <w:adjustRightInd w:val="0"/>
        <w:snapToGrid w:val="0"/>
        <w:spacing w:line="360" w:lineRule="auto"/>
        <w:rPr>
          <w:rFonts w:eastAsia="仿宋_GB2312"/>
        </w:rPr>
        <w:sectPr>
          <w:headerReference r:id="rId7" w:type="default"/>
          <w:footerReference r:id="rId8" w:type="default"/>
          <w:pgSz w:w="11907" w:h="16840"/>
          <w:pgMar w:top="1440" w:right="1247" w:bottom="1440" w:left="1304" w:header="851" w:footer="992" w:gutter="0"/>
          <w:cols w:space="720" w:num="1"/>
          <w:formProt w:val="0"/>
          <w:titlePg/>
          <w:docGrid w:linePitch="380" w:charSpace="0"/>
        </w:sectPr>
      </w:pPr>
    </w:p>
    <w:p w14:paraId="5B1E9317">
      <w:pPr>
        <w:adjustRightInd w:val="0"/>
        <w:snapToGrid w:val="0"/>
        <w:rPr>
          <w:rFonts w:hint="eastAsia"/>
        </w:rPr>
      </w:pPr>
    </w:p>
    <w:sectPr>
      <w:headerReference r:id="rId9" w:type="default"/>
      <w:footerReference r:id="rId10" w:type="default"/>
      <w:pgSz w:w="11907" w:h="16840"/>
      <w:pgMar w:top="1264" w:right="1797" w:bottom="1440" w:left="1287" w:header="851" w:footer="992" w:gutter="0"/>
      <w:cols w:space="720" w:num="1"/>
      <w:formProt w:val="0"/>
      <w:docGrid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Administrator" w:date="2015-06-19T10:58:00Z" w:initials="A">
    <w:p w14:paraId="350C1E4F">
      <w:pPr>
        <w:pStyle w:val="8"/>
        <w:rPr>
          <w:rFonts w:hint="eastAsia" w:ascii="仿宋" w:hAnsi="仿宋" w:eastAsia="仿宋"/>
        </w:rPr>
      </w:pPr>
      <w:r>
        <w:rPr>
          <w:rFonts w:hint="eastAsia" w:ascii="仿宋" w:hAnsi="仿宋" w:eastAsia="仿宋"/>
        </w:rPr>
        <w:t>1.考核目标</w:t>
      </w:r>
      <w:r>
        <w:rPr>
          <w:rFonts w:ascii="仿宋" w:hAnsi="仿宋" w:eastAsia="仿宋"/>
        </w:rPr>
        <w:t>应</w:t>
      </w:r>
      <w:r>
        <w:rPr>
          <w:rFonts w:hint="eastAsia" w:ascii="仿宋" w:hAnsi="仿宋" w:eastAsia="仿宋"/>
        </w:rPr>
        <w:t>可</w:t>
      </w:r>
      <w:r>
        <w:rPr>
          <w:rFonts w:ascii="仿宋" w:hAnsi="仿宋" w:eastAsia="仿宋"/>
        </w:rPr>
        <w:t>衡量。</w:t>
      </w:r>
    </w:p>
    <w:p w14:paraId="0C233B74">
      <w:pPr>
        <w:pStyle w:val="8"/>
        <w:rPr>
          <w:rFonts w:hint="eastAsia" w:ascii="仿宋" w:hAnsi="仿宋" w:eastAsia="仿宋"/>
        </w:rPr>
      </w:pPr>
      <w:r>
        <w:rPr>
          <w:rFonts w:hint="eastAsia" w:ascii="仿宋" w:hAnsi="仿宋" w:eastAsia="仿宋"/>
        </w:rPr>
        <w:t>2.如</w:t>
      </w:r>
      <w:r>
        <w:rPr>
          <w:rFonts w:ascii="仿宋" w:hAnsi="仿宋" w:eastAsia="仿宋"/>
        </w:rPr>
        <w:t>：</w:t>
      </w:r>
      <w:r>
        <w:rPr>
          <w:rFonts w:hint="eastAsia" w:ascii="仿宋" w:hAnsi="仿宋" w:eastAsia="仿宋"/>
        </w:rPr>
        <w:t>建立</w:t>
      </w:r>
      <w:r>
        <w:rPr>
          <w:rFonts w:ascii="仿宋" w:hAnsi="仿宋" w:eastAsia="仿宋"/>
        </w:rPr>
        <w:t>模型，</w:t>
      </w:r>
      <w:r>
        <w:rPr>
          <w:rFonts w:hint="eastAsia" w:ascii="仿宋" w:hAnsi="仿宋" w:eastAsia="仿宋"/>
        </w:rPr>
        <w:t>提出</w:t>
      </w:r>
      <w:r>
        <w:rPr>
          <w:rFonts w:ascii="仿宋" w:hAnsi="仿宋" w:eastAsia="仿宋"/>
        </w:rPr>
        <w:t>算法，完成报告</w:t>
      </w:r>
      <w:r>
        <w:rPr>
          <w:rFonts w:hint="eastAsia" w:ascii="仿宋" w:hAnsi="仿宋" w:eastAsia="仿宋"/>
        </w:rPr>
        <w:t>，</w:t>
      </w:r>
      <w:r>
        <w:rPr>
          <w:rFonts w:ascii="仿宋" w:hAnsi="仿宋" w:eastAsia="仿宋"/>
        </w:rPr>
        <w:t>论文</w:t>
      </w:r>
      <w:r>
        <w:rPr>
          <w:rFonts w:hint="eastAsia" w:ascii="仿宋" w:hAnsi="仿宋" w:eastAsia="仿宋"/>
        </w:rPr>
        <w:t>、</w:t>
      </w:r>
      <w:r>
        <w:rPr>
          <w:rFonts w:ascii="仿宋" w:hAnsi="仿宋" w:eastAsia="仿宋"/>
        </w:rPr>
        <w:t>专利</w:t>
      </w:r>
      <w:r>
        <w:rPr>
          <w:rFonts w:hint="eastAsia" w:ascii="仿宋" w:hAnsi="仿宋" w:eastAsia="仿宋"/>
        </w:rPr>
        <w:t>状态等</w:t>
      </w:r>
      <w:r>
        <w:rPr>
          <w:rFonts w:ascii="仿宋" w:hAnsi="仿宋" w:eastAsia="仿宋"/>
        </w:rPr>
        <w:t>。</w:t>
      </w:r>
    </w:p>
    <w:p w14:paraId="09610908">
      <w:pPr>
        <w:pStyle w:val="8"/>
        <w:rPr>
          <w:rFonts w:hint="eastAsia"/>
          <w:lang w:eastAsia="zh-CN"/>
        </w:rPr>
      </w:pPr>
      <w:r>
        <w:rPr>
          <w:rFonts w:ascii="仿宋" w:hAnsi="仿宋" w:eastAsia="仿宋"/>
        </w:rPr>
        <w:t>3.</w:t>
      </w:r>
      <w:r>
        <w:rPr>
          <w:rFonts w:hint="eastAsia" w:ascii="仿宋" w:hAnsi="仿宋" w:eastAsia="仿宋"/>
        </w:rPr>
        <w:t>论文、专利等成果性硬指标，请提前验收要求节点成投稿、申请，以确保验收时成果指标能够验收条件。</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9610908" w15:done="0"/>
</w15:commentsEx>
</file>

<file path=word/customizations.xml><?xml version="1.0" encoding="utf-8"?>
<wne:tcg xmlns:r="http://schemas.openxmlformats.org/officeDocument/2006/relationships" xmlns:wne="http://schemas.microsoft.com/office/word/2006/wordml">
  <wne:toolbars>
    <wne:toolbarData r:id="rId1"/>
  </wne:toolbar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88"/>
    <w:family w:val="roma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楷体">
    <w:panose1 w:val="02010609060101010101"/>
    <w:charset w:val="86"/>
    <w:family w:val="modern"/>
    <w:pitch w:val="default"/>
    <w:sig w:usb0="800002BF" w:usb1="38CF7CFA" w:usb2="00000016" w:usb3="00000000" w:csb0="00040001" w:csb1="00000000"/>
  </w:font>
  <w:font w:name="方正仿宋_GBK">
    <w:altName w:val="微软雅黑"/>
    <w:panose1 w:val="03000509000000000000"/>
    <w:charset w:val="86"/>
    <w:family w:val="script"/>
    <w:pitch w:val="default"/>
    <w:sig w:usb0="00000000" w:usb1="00000000" w:usb2="00000000" w:usb3="00000000" w:csb0="00040000" w:csb1="00000000"/>
  </w:font>
  <w:font w:name="Tahoma">
    <w:panose1 w:val="020B0604030504040204"/>
    <w:charset w:val="00"/>
    <w:family w:val="swiss"/>
    <w:pitch w:val="default"/>
    <w:sig w:usb0="E1002EFF" w:usb1="C000605B" w:usb2="00000029" w:usb3="00000000" w:csb0="200101FF" w:csb1="20280000"/>
  </w:font>
  <w:font w:name="Cambria Math">
    <w:panose1 w:val="02040503050406030204"/>
    <w:charset w:val="00"/>
    <w:family w:val="auto"/>
    <w:pitch w:val="default"/>
    <w:sig w:usb0="E00006FF" w:usb1="420024FF" w:usb2="02000000" w:usb3="00000000" w:csb0="2000019F" w:csb1="00000000"/>
  </w:font>
  <w:font w:name="仿宋">
    <w:panose1 w:val="02010609060101010101"/>
    <w:charset w:val="86"/>
    <w:family w:val="auto"/>
    <w:pitch w:val="default"/>
    <w:sig w:usb0="800002BF" w:usb1="38CF7CFA" w:usb2="00000016" w:usb3="00000000" w:csb0="00040001" w:csb1="00000000"/>
  </w:font>
  <w:font w:name="KSOFE4500885">
    <w:panose1 w:val="02010609060101010101"/>
    <w:charset w:val="86"/>
    <w:family w:val="auto"/>
    <w:pitch w:val="default"/>
    <w:sig w:usb0="00000001"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 w:name="KSOFDA5758CF">
    <w:panose1 w:val="020B0703020204020201"/>
    <w:charset w:val="86"/>
    <w:family w:val="auto"/>
    <w:pitch w:val="default"/>
    <w:sig w:usb0="00000001" w:usb1="00000000" w:usb2="00000000" w:usb3="00000000" w:csb0="00040001" w:csb1="00000000"/>
  </w:font>
  <w:font w:name="KSOFD8A28030">
    <w:panose1 w:val="020B0503020204020204"/>
    <w:charset w:val="86"/>
    <w:family w:val="auto"/>
    <w:pitch w:val="default"/>
    <w:sig w:usb0="00000001" w:usb1="00000000" w:usb2="00000000" w:usb3="00000000" w:csb0="00040001" w:csb1="00000000"/>
  </w:font>
  <w:font w:name="仿宋_GB2312">
    <w:altName w:val="仿宋"/>
    <w:panose1 w:val="00000000000000000000"/>
    <w:charset w:val="00"/>
    <w:family w:val="auto"/>
    <w:pitch w:val="default"/>
    <w:sig w:usb0="00000000" w:usb1="00000000" w:usb2="00000000" w:usb3="00000000" w:csb0="00000000" w:csb1="00000000"/>
  </w:font>
  <w:font w:name="KSOFE44F9426">
    <w:panose1 w:val="02010609060101010101"/>
    <w:charset w:val="86"/>
    <w:family w:val="auto"/>
    <w:pitch w:val="default"/>
    <w:sig w:usb0="00000001" w:usb1="00000000" w:usb2="00000000" w:usb3="00000000" w:csb0="00040001"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784573">
    <w:pPr>
      <w:pStyle w:val="13"/>
      <w:jc w:val="center"/>
      <w:rPr>
        <w:rFonts w:hint="eastAsia"/>
      </w:rPr>
    </w:pPr>
    <w:r>
      <w:fldChar w:fldCharType="begin"/>
    </w:r>
    <w:r>
      <w:rPr>
        <w:rStyle w:val="24"/>
      </w:rPr>
      <w:instrText xml:space="preserve"> PAGE </w:instrText>
    </w:r>
    <w:r>
      <w:fldChar w:fldCharType="separate"/>
    </w:r>
    <w:r>
      <w:rPr>
        <w:rStyle w:val="24"/>
      </w:rPr>
      <w:t>23</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83E786">
    <w:pPr>
      <w:pStyle w:val="13"/>
      <w:jc w:val="center"/>
      <w:rPr>
        <w:rFonts w:hint="eastAsia"/>
      </w:rPr>
    </w:pPr>
    <w:r>
      <w:fldChar w:fldCharType="begin"/>
    </w:r>
    <w:r>
      <w:rPr>
        <w:rStyle w:val="24"/>
      </w:rPr>
      <w:instrText xml:space="preserve"> PAGE </w:instrText>
    </w:r>
    <w:r>
      <w:fldChar w:fldCharType="separate"/>
    </w:r>
    <w:r>
      <w:rPr>
        <w:rStyle w:val="24"/>
      </w:rPr>
      <w:t>23</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A22168">
    <w:pPr>
      <w:pStyle w:val="13"/>
      <w:jc w:val="center"/>
    </w:pPr>
    <w:r>
      <w:fldChar w:fldCharType="begin"/>
    </w:r>
    <w:r>
      <w:rPr>
        <w:rStyle w:val="24"/>
      </w:rPr>
      <w:instrText xml:space="preserve"> PAGE </w:instrText>
    </w:r>
    <w:r>
      <w:fldChar w:fldCharType="separate"/>
    </w:r>
    <w:r>
      <w:rPr>
        <w:rStyle w:val="24"/>
      </w:rPr>
      <w:t>24</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1CC4AE">
    <w:pPr>
      <w:pStyle w:val="68"/>
      <w:rPr>
        <w:rFonts w:hint="eastAs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4D8860">
    <w:pPr>
      <w:pStyle w:val="68"/>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862D24">
    <w:pPr>
      <w:pStyle w:val="14"/>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3AB924"/>
    <w:multiLevelType w:val="singleLevel"/>
    <w:tmpl w:val="893AB924"/>
    <w:lvl w:ilvl="0" w:tentative="0">
      <w:start w:val="1"/>
      <w:numFmt w:val="bullet"/>
      <w:lvlText w:val=""/>
      <w:lvlJc w:val="left"/>
      <w:pPr>
        <w:ind w:left="420" w:hanging="420"/>
      </w:pPr>
      <w:rPr>
        <w:rFonts w:hint="default" w:ascii="Wingdings" w:hAnsi="Wingdings"/>
      </w:rPr>
    </w:lvl>
  </w:abstractNum>
  <w:abstractNum w:abstractNumId="1">
    <w:nsid w:val="946867F7"/>
    <w:multiLevelType w:val="singleLevel"/>
    <w:tmpl w:val="946867F7"/>
    <w:lvl w:ilvl="0" w:tentative="0">
      <w:start w:val="1"/>
      <w:numFmt w:val="lowerLetter"/>
      <w:lvlText w:val="%1)"/>
      <w:lvlJc w:val="left"/>
      <w:pPr>
        <w:tabs>
          <w:tab w:val="left" w:pos="312"/>
        </w:tabs>
      </w:pPr>
    </w:lvl>
  </w:abstractNum>
  <w:abstractNum w:abstractNumId="2">
    <w:nsid w:val="C9289C87"/>
    <w:multiLevelType w:val="singleLevel"/>
    <w:tmpl w:val="C9289C87"/>
    <w:lvl w:ilvl="0" w:tentative="0">
      <w:start w:val="1"/>
      <w:numFmt w:val="decimal"/>
      <w:suff w:val="space"/>
      <w:lvlText w:val="(%1)"/>
      <w:lvlJc w:val="left"/>
    </w:lvl>
  </w:abstractNum>
  <w:abstractNum w:abstractNumId="3">
    <w:nsid w:val="EA0E5A02"/>
    <w:multiLevelType w:val="singleLevel"/>
    <w:tmpl w:val="EA0E5A02"/>
    <w:lvl w:ilvl="0" w:tentative="0">
      <w:start w:val="1"/>
      <w:numFmt w:val="decimal"/>
      <w:lvlText w:val="(%1)"/>
      <w:lvlJc w:val="left"/>
      <w:pPr>
        <w:tabs>
          <w:tab w:val="left" w:pos="312"/>
        </w:tabs>
      </w:pPr>
    </w:lvl>
  </w:abstractNum>
  <w:abstractNum w:abstractNumId="4">
    <w:nsid w:val="EB0F73BA"/>
    <w:multiLevelType w:val="singleLevel"/>
    <w:tmpl w:val="EB0F73BA"/>
    <w:lvl w:ilvl="0" w:tentative="0">
      <w:start w:val="1"/>
      <w:numFmt w:val="decimal"/>
      <w:lvlText w:val="(%1)"/>
      <w:lvlJc w:val="left"/>
      <w:pPr>
        <w:tabs>
          <w:tab w:val="left" w:pos="312"/>
        </w:tabs>
      </w:pPr>
    </w:lvl>
  </w:abstractNum>
  <w:abstractNum w:abstractNumId="5">
    <w:nsid w:val="F4AD8433"/>
    <w:multiLevelType w:val="singleLevel"/>
    <w:tmpl w:val="F4AD8433"/>
    <w:lvl w:ilvl="0" w:tentative="0">
      <w:start w:val="8"/>
      <w:numFmt w:val="chineseCounting"/>
      <w:suff w:val="nothing"/>
      <w:lvlText w:val="%1、"/>
      <w:lvlJc w:val="left"/>
      <w:rPr>
        <w:rFonts w:hint="eastAsia"/>
      </w:rPr>
    </w:lvl>
  </w:abstractNum>
  <w:abstractNum w:abstractNumId="6">
    <w:nsid w:val="00000010"/>
    <w:multiLevelType w:val="multilevel"/>
    <w:tmpl w:val="00000010"/>
    <w:lvl w:ilvl="0" w:tentative="0">
      <w:start w:val="1"/>
      <w:numFmt w:val="chineseCountingThousand"/>
      <w:pStyle w:val="3"/>
      <w:lvlText w:val="第%1章 "/>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0A4AACE6"/>
    <w:multiLevelType w:val="singleLevel"/>
    <w:tmpl w:val="0A4AACE6"/>
    <w:lvl w:ilvl="0" w:tentative="0">
      <w:start w:val="1"/>
      <w:numFmt w:val="decimal"/>
      <w:lvlText w:val="(%1)"/>
      <w:lvlJc w:val="left"/>
      <w:pPr>
        <w:tabs>
          <w:tab w:val="left" w:pos="312"/>
        </w:tabs>
      </w:pPr>
      <w:rPr>
        <w:rFonts w:hint="default"/>
        <w:b w:val="0"/>
        <w:bCs w:val="0"/>
      </w:rPr>
    </w:lvl>
  </w:abstractNum>
  <w:abstractNum w:abstractNumId="8">
    <w:nsid w:val="1FC91163"/>
    <w:multiLevelType w:val="multilevel"/>
    <w:tmpl w:val="1FC91163"/>
    <w:lvl w:ilvl="0" w:tentative="0">
      <w:start w:val="1"/>
      <w:numFmt w:val="decimal"/>
      <w:pStyle w:val="52"/>
      <w:suff w:val="nothing"/>
      <w:lvlText w:val="%1　"/>
      <w:lvlJc w:val="left"/>
      <w:pPr>
        <w:ind w:left="0" w:firstLine="0"/>
      </w:pPr>
      <w:rPr>
        <w:rFonts w:hint="eastAsia" w:ascii="黑体" w:hAnsi="Times New Roman" w:eastAsia="黑体"/>
        <w:b w:val="0"/>
        <w:i w:val="0"/>
        <w:sz w:val="21"/>
        <w:szCs w:val="21"/>
      </w:rPr>
    </w:lvl>
    <w:lvl w:ilvl="1" w:tentative="0">
      <w:start w:val="1"/>
      <w:numFmt w:val="decimal"/>
      <w:pStyle w:val="48"/>
      <w:suff w:val="nothing"/>
      <w:lvlText w:val="%1.%2　"/>
      <w:lvlJc w:val="left"/>
      <w:pPr>
        <w:ind w:left="210" w:firstLine="0"/>
      </w:pPr>
      <w:rPr>
        <w:rFonts w:hint="eastAsia" w:ascii="黑体" w:hAnsi="Times New Roman" w:eastAsia="黑体" w:cs="Times New Roman"/>
        <w:b w:val="0"/>
        <w:bCs w:val="0"/>
        <w:i w:val="0"/>
        <w:iCs w:val="0"/>
        <w:caps w:val="0"/>
        <w:strike w:val="0"/>
        <w:dstrike w:val="0"/>
        <w:outline w:val="0"/>
        <w:shadow w:val="0"/>
        <w:emboss w:val="0"/>
        <w:imprint w:val="0"/>
        <w:vanish w:val="0"/>
        <w:spacing w:val="0"/>
        <w:kern w:val="0"/>
        <w:position w:val="0"/>
        <w:sz w:val="21"/>
        <w:szCs w:val="21"/>
        <w:u w:val="none"/>
        <w:vertAlign w:val="baseline"/>
      </w:rPr>
    </w:lvl>
    <w:lvl w:ilvl="2" w:tentative="0">
      <w:start w:val="1"/>
      <w:numFmt w:val="decimal"/>
      <w:pStyle w:val="47"/>
      <w:suff w:val="nothing"/>
      <w:lvlText w:val="%1.%2.%3　"/>
      <w:lvlJc w:val="left"/>
      <w:pPr>
        <w:ind w:left="0" w:firstLine="0"/>
      </w:pPr>
      <w:rPr>
        <w:rFonts w:hint="eastAsia" w:ascii="黑体" w:hAnsi="Times New Roman" w:eastAsia="黑体"/>
        <w:b w:val="0"/>
        <w:i w:val="0"/>
        <w:sz w:val="21"/>
      </w:rPr>
    </w:lvl>
    <w:lvl w:ilvl="3" w:tentative="0">
      <w:start w:val="1"/>
      <w:numFmt w:val="decimal"/>
      <w:pStyle w:val="51"/>
      <w:suff w:val="nothing"/>
      <w:lvlText w:val="%1.%2.%3.%4　"/>
      <w:lvlJc w:val="left"/>
      <w:pPr>
        <w:ind w:left="0" w:firstLine="0"/>
      </w:pPr>
      <w:rPr>
        <w:rFonts w:hint="eastAsia" w:ascii="黑体" w:hAnsi="Times New Roman" w:eastAsia="黑体"/>
        <w:b w:val="0"/>
        <w:i w:val="0"/>
        <w:color w:val="auto"/>
        <w:sz w:val="21"/>
      </w:rPr>
    </w:lvl>
    <w:lvl w:ilvl="4" w:tentative="0">
      <w:start w:val="1"/>
      <w:numFmt w:val="decimal"/>
      <w:pStyle w:val="50"/>
      <w:suff w:val="nothing"/>
      <w:lvlText w:val="%1.%2.%3.%4.%5　"/>
      <w:lvlJc w:val="left"/>
      <w:pPr>
        <w:ind w:left="0" w:firstLine="0"/>
      </w:pPr>
      <w:rPr>
        <w:rFonts w:hint="eastAsia" w:ascii="黑体" w:hAnsi="Times New Roman" w:eastAsia="黑体"/>
        <w:b w:val="0"/>
        <w:i w:val="0"/>
        <w:sz w:val="21"/>
      </w:rPr>
    </w:lvl>
    <w:lvl w:ilvl="5" w:tentative="0">
      <w:start w:val="1"/>
      <w:numFmt w:val="decimal"/>
      <w:pStyle w:val="61"/>
      <w:suff w:val="nothing"/>
      <w:lvlText w:val="%1.%2.%3.%4.%5.%6　"/>
      <w:lvlJc w:val="left"/>
      <w:pPr>
        <w:ind w:left="0" w:firstLine="0"/>
      </w:pPr>
      <w:rPr>
        <w:rFonts w:hint="eastAsia" w:ascii="黑体" w:hAnsi="Times New Roman" w:eastAsia="黑体"/>
        <w:b w:val="0"/>
        <w:i w:val="0"/>
        <w:sz w:val="21"/>
      </w:rPr>
    </w:lvl>
    <w:lvl w:ilvl="6" w:tentative="0">
      <w:start w:val="1"/>
      <w:numFmt w:val="decimal"/>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9">
    <w:nsid w:val="2A8F7113"/>
    <w:multiLevelType w:val="multilevel"/>
    <w:tmpl w:val="2A8F7113"/>
    <w:lvl w:ilvl="0" w:tentative="0">
      <w:start w:val="1"/>
      <w:numFmt w:val="upperLetter"/>
      <w:pStyle w:val="56"/>
      <w:suff w:val="space"/>
      <w:lvlText w:val="%1"/>
      <w:lvlJc w:val="left"/>
      <w:pPr>
        <w:ind w:left="623" w:hanging="425"/>
      </w:pPr>
      <w:rPr>
        <w:rFonts w:hint="eastAsia"/>
      </w:rPr>
    </w:lvl>
    <w:lvl w:ilvl="1" w:tentative="0">
      <w:start w:val="1"/>
      <w:numFmt w:val="decimal"/>
      <w:pStyle w:val="53"/>
      <w:suff w:val="nothing"/>
      <w:lvlText w:val="图%1.%2　"/>
      <w:lvlJc w:val="left"/>
      <w:pPr>
        <w:ind w:left="3612" w:hanging="567"/>
      </w:pPr>
      <w:rPr>
        <w:rFonts w:hint="eastAsia"/>
      </w:rPr>
    </w:lvl>
    <w:lvl w:ilvl="2" w:tentative="0">
      <w:start w:val="1"/>
      <w:numFmt w:val="decimal"/>
      <w:lvlText w:val="%1.%2.%3"/>
      <w:lvlJc w:val="left"/>
      <w:pPr>
        <w:tabs>
          <w:tab w:val="left" w:pos="1616"/>
        </w:tabs>
        <w:ind w:left="1616" w:hanging="567"/>
      </w:pPr>
      <w:rPr>
        <w:rFonts w:hint="eastAsia"/>
      </w:rPr>
    </w:lvl>
    <w:lvl w:ilvl="3" w:tentative="0">
      <w:start w:val="1"/>
      <w:numFmt w:val="decimal"/>
      <w:lvlText w:val="%1.%2.%3.%4"/>
      <w:lvlJc w:val="left"/>
      <w:pPr>
        <w:tabs>
          <w:tab w:val="left" w:pos="2914"/>
        </w:tabs>
        <w:ind w:left="2182" w:hanging="708"/>
      </w:pPr>
      <w:rPr>
        <w:rFonts w:hint="eastAsia"/>
      </w:rPr>
    </w:lvl>
    <w:lvl w:ilvl="4" w:tentative="0">
      <w:start w:val="1"/>
      <w:numFmt w:val="decimal"/>
      <w:lvlText w:val="%1.%2.%3.%4.%5"/>
      <w:lvlJc w:val="left"/>
      <w:pPr>
        <w:tabs>
          <w:tab w:val="left" w:pos="3699"/>
        </w:tabs>
        <w:ind w:left="2749" w:hanging="850"/>
      </w:pPr>
      <w:rPr>
        <w:rFonts w:hint="eastAsia"/>
      </w:rPr>
    </w:lvl>
    <w:lvl w:ilvl="5" w:tentative="0">
      <w:start w:val="1"/>
      <w:numFmt w:val="decimal"/>
      <w:lvlText w:val="%1.%2.%3.%4.%5.%6"/>
      <w:lvlJc w:val="left"/>
      <w:pPr>
        <w:tabs>
          <w:tab w:val="left" w:pos="4484"/>
        </w:tabs>
        <w:ind w:left="3458" w:hanging="1134"/>
      </w:pPr>
      <w:rPr>
        <w:rFonts w:hint="eastAsia"/>
      </w:rPr>
    </w:lvl>
    <w:lvl w:ilvl="6" w:tentative="0">
      <w:start w:val="1"/>
      <w:numFmt w:val="decimal"/>
      <w:lvlText w:val="%1.%2.%3.%4.%5.%6.%7"/>
      <w:lvlJc w:val="left"/>
      <w:pPr>
        <w:tabs>
          <w:tab w:val="left" w:pos="5269"/>
        </w:tabs>
        <w:ind w:left="4025" w:hanging="1276"/>
      </w:pPr>
      <w:rPr>
        <w:rFonts w:hint="eastAsia"/>
      </w:rPr>
    </w:lvl>
    <w:lvl w:ilvl="7" w:tentative="0">
      <w:start w:val="1"/>
      <w:numFmt w:val="decimal"/>
      <w:lvlText w:val="%1.%2.%3.%4.%5.%6.%7.%8"/>
      <w:lvlJc w:val="left"/>
      <w:pPr>
        <w:tabs>
          <w:tab w:val="left" w:pos="6054"/>
        </w:tabs>
        <w:ind w:left="4592" w:hanging="1418"/>
      </w:pPr>
      <w:rPr>
        <w:rFonts w:hint="eastAsia"/>
      </w:rPr>
    </w:lvl>
    <w:lvl w:ilvl="8" w:tentative="0">
      <w:start w:val="1"/>
      <w:numFmt w:val="decimal"/>
      <w:lvlText w:val="%1.%2.%3.%4.%5.%6.%7.%8.%9"/>
      <w:lvlJc w:val="left"/>
      <w:pPr>
        <w:tabs>
          <w:tab w:val="left" w:pos="6840"/>
        </w:tabs>
        <w:ind w:left="5300" w:hanging="1700"/>
      </w:pPr>
      <w:rPr>
        <w:rFonts w:hint="eastAsia"/>
      </w:rPr>
    </w:lvl>
  </w:abstractNum>
  <w:abstractNum w:abstractNumId="10">
    <w:nsid w:val="2C5917C3"/>
    <w:multiLevelType w:val="multilevel"/>
    <w:tmpl w:val="2C5917C3"/>
    <w:lvl w:ilvl="0" w:tentative="0">
      <w:start w:val="1"/>
      <w:numFmt w:val="none"/>
      <w:pStyle w:val="64"/>
      <w:suff w:val="nothing"/>
      <w:lvlText w:val="%1——"/>
      <w:lvlJc w:val="left"/>
      <w:pPr>
        <w:ind w:left="408" w:hanging="408"/>
      </w:pPr>
      <w:rPr>
        <w:rFonts w:hint="eastAsia"/>
      </w:rPr>
    </w:lvl>
    <w:lvl w:ilvl="1" w:tentative="0">
      <w:start w:val="1"/>
      <w:numFmt w:val="bullet"/>
      <w:pStyle w:val="67"/>
      <w:lvlText w:val=""/>
      <w:lvlJc w:val="left"/>
      <w:pPr>
        <w:tabs>
          <w:tab w:val="left" w:pos="335"/>
        </w:tabs>
        <w:ind w:left="839" w:hanging="413"/>
      </w:pPr>
      <w:rPr>
        <w:rFonts w:hint="default" w:ascii="Symbol" w:hAnsi="Symbol"/>
        <w:color w:val="auto"/>
      </w:rPr>
    </w:lvl>
    <w:lvl w:ilvl="2" w:tentative="0">
      <w:start w:val="1"/>
      <w:numFmt w:val="bullet"/>
      <w:pStyle w:val="49"/>
      <w:lvlText w:val=""/>
      <w:lvlJc w:val="left"/>
      <w:pPr>
        <w:tabs>
          <w:tab w:val="left" w:pos="1253"/>
        </w:tabs>
        <w:ind w:left="1253" w:hanging="414"/>
      </w:pPr>
      <w:rPr>
        <w:rFonts w:hint="default" w:ascii="Symbol" w:hAnsi="Symbol"/>
        <w:color w:val="auto"/>
      </w:rPr>
    </w:lvl>
    <w:lvl w:ilvl="3" w:tentative="0">
      <w:start w:val="1"/>
      <w:numFmt w:val="decimal"/>
      <w:lvlText w:val="%4."/>
      <w:lvlJc w:val="left"/>
      <w:pPr>
        <w:tabs>
          <w:tab w:val="left" w:pos="1646"/>
        </w:tabs>
        <w:ind w:left="1459" w:hanging="528"/>
      </w:pPr>
      <w:rPr>
        <w:rFonts w:hint="eastAsia"/>
      </w:rPr>
    </w:lvl>
    <w:lvl w:ilvl="4" w:tentative="0">
      <w:start w:val="1"/>
      <w:numFmt w:val="lowerLetter"/>
      <w:lvlText w:val="%5)"/>
      <w:lvlJc w:val="left"/>
      <w:pPr>
        <w:tabs>
          <w:tab w:val="left" w:pos="1958"/>
        </w:tabs>
        <w:ind w:left="1771" w:hanging="528"/>
      </w:pPr>
      <w:rPr>
        <w:rFonts w:hint="eastAsia"/>
      </w:rPr>
    </w:lvl>
    <w:lvl w:ilvl="5" w:tentative="0">
      <w:start w:val="1"/>
      <w:numFmt w:val="lowerRoman"/>
      <w:lvlText w:val="%6."/>
      <w:lvlJc w:val="right"/>
      <w:pPr>
        <w:tabs>
          <w:tab w:val="left" w:pos="2270"/>
        </w:tabs>
        <w:ind w:left="2083" w:hanging="528"/>
      </w:pPr>
      <w:rPr>
        <w:rFonts w:hint="eastAsia"/>
      </w:rPr>
    </w:lvl>
    <w:lvl w:ilvl="6" w:tentative="0">
      <w:start w:val="1"/>
      <w:numFmt w:val="decimal"/>
      <w:lvlText w:val="%7."/>
      <w:lvlJc w:val="left"/>
      <w:pPr>
        <w:tabs>
          <w:tab w:val="left" w:pos="2582"/>
        </w:tabs>
        <w:ind w:left="2395" w:hanging="528"/>
      </w:pPr>
      <w:rPr>
        <w:rFonts w:hint="eastAsia"/>
      </w:rPr>
    </w:lvl>
    <w:lvl w:ilvl="7" w:tentative="0">
      <w:start w:val="1"/>
      <w:numFmt w:val="lowerLetter"/>
      <w:lvlText w:val="%8)"/>
      <w:lvlJc w:val="left"/>
      <w:pPr>
        <w:tabs>
          <w:tab w:val="left" w:pos="2894"/>
        </w:tabs>
        <w:ind w:left="2707" w:hanging="528"/>
      </w:pPr>
      <w:rPr>
        <w:rFonts w:hint="eastAsia"/>
      </w:rPr>
    </w:lvl>
    <w:lvl w:ilvl="8" w:tentative="0">
      <w:start w:val="1"/>
      <w:numFmt w:val="lowerRoman"/>
      <w:lvlText w:val="%9."/>
      <w:lvlJc w:val="right"/>
      <w:pPr>
        <w:tabs>
          <w:tab w:val="left" w:pos="3206"/>
        </w:tabs>
        <w:ind w:left="3019" w:hanging="528"/>
      </w:pPr>
      <w:rPr>
        <w:rFonts w:hint="eastAsia"/>
      </w:rPr>
    </w:lvl>
  </w:abstractNum>
  <w:abstractNum w:abstractNumId="11">
    <w:nsid w:val="70C46AA4"/>
    <w:multiLevelType w:val="singleLevel"/>
    <w:tmpl w:val="70C46AA4"/>
    <w:lvl w:ilvl="0" w:tentative="0">
      <w:start w:val="1"/>
      <w:numFmt w:val="japaneseCounting"/>
      <w:lvlText w:val="%1、"/>
      <w:lvlJc w:val="left"/>
      <w:pPr>
        <w:tabs>
          <w:tab w:val="left" w:pos="1005"/>
        </w:tabs>
        <w:ind w:left="1005" w:hanging="480"/>
      </w:pPr>
      <w:rPr>
        <w:rFonts w:hint="eastAsia"/>
      </w:rPr>
    </w:lvl>
  </w:abstractNum>
  <w:abstractNum w:abstractNumId="12">
    <w:nsid w:val="7C10477C"/>
    <w:multiLevelType w:val="singleLevel"/>
    <w:tmpl w:val="7C10477C"/>
    <w:lvl w:ilvl="0" w:tentative="0">
      <w:start w:val="1"/>
      <w:numFmt w:val="decimal"/>
      <w:lvlText w:val="(%1)"/>
      <w:lvlJc w:val="left"/>
      <w:pPr>
        <w:tabs>
          <w:tab w:val="left" w:pos="312"/>
        </w:tabs>
      </w:pPr>
      <w:rPr>
        <w:rFonts w:hint="default"/>
        <w:b w:val="0"/>
        <w:bCs w:val="0"/>
      </w:rPr>
    </w:lvl>
  </w:abstractNum>
  <w:num w:numId="1">
    <w:abstractNumId w:val="6"/>
  </w:num>
  <w:num w:numId="2">
    <w:abstractNumId w:val="8"/>
  </w:num>
  <w:num w:numId="3">
    <w:abstractNumId w:val="10"/>
  </w:num>
  <w:num w:numId="4">
    <w:abstractNumId w:val="9"/>
  </w:num>
  <w:num w:numId="5">
    <w:abstractNumId w:val="11"/>
  </w:num>
  <w:num w:numId="6">
    <w:abstractNumId w:val="1"/>
  </w:num>
  <w:num w:numId="7">
    <w:abstractNumId w:val="0"/>
  </w:num>
  <w:num w:numId="8">
    <w:abstractNumId w:val="2"/>
  </w:num>
  <w:num w:numId="9">
    <w:abstractNumId w:val="12"/>
  </w:num>
  <w:num w:numId="10">
    <w:abstractNumId w:val="4"/>
  </w:num>
  <w:num w:numId="11">
    <w:abstractNumId w:val="7"/>
  </w:num>
  <w:num w:numId="12">
    <w:abstractNumId w:val="3"/>
  </w:num>
  <w:num w:numId="13">
    <w:abstractNumId w:val="5"/>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Administrator">
    <w15:presenceInfo w15:providerId="None" w15:userId="Administrat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12630"/>
    <w:rsid w:val="0000058B"/>
    <w:rsid w:val="000006ED"/>
    <w:rsid w:val="00001BF3"/>
    <w:rsid w:val="00002AF2"/>
    <w:rsid w:val="0000309F"/>
    <w:rsid w:val="000058E1"/>
    <w:rsid w:val="0000629A"/>
    <w:rsid w:val="0000651A"/>
    <w:rsid w:val="000075E4"/>
    <w:rsid w:val="00007AC6"/>
    <w:rsid w:val="00007B29"/>
    <w:rsid w:val="00007D76"/>
    <w:rsid w:val="0001167B"/>
    <w:rsid w:val="00013433"/>
    <w:rsid w:val="000143EA"/>
    <w:rsid w:val="0001509C"/>
    <w:rsid w:val="000158D7"/>
    <w:rsid w:val="00015C0B"/>
    <w:rsid w:val="000163C6"/>
    <w:rsid w:val="00016A11"/>
    <w:rsid w:val="00017E83"/>
    <w:rsid w:val="00020370"/>
    <w:rsid w:val="00022005"/>
    <w:rsid w:val="00022C19"/>
    <w:rsid w:val="00022D08"/>
    <w:rsid w:val="0002344A"/>
    <w:rsid w:val="00024CB0"/>
    <w:rsid w:val="000253FC"/>
    <w:rsid w:val="0002673D"/>
    <w:rsid w:val="0002703B"/>
    <w:rsid w:val="00027378"/>
    <w:rsid w:val="00027A67"/>
    <w:rsid w:val="00030431"/>
    <w:rsid w:val="00030645"/>
    <w:rsid w:val="00030A1E"/>
    <w:rsid w:val="00032A37"/>
    <w:rsid w:val="000348C4"/>
    <w:rsid w:val="0003623F"/>
    <w:rsid w:val="00036C6B"/>
    <w:rsid w:val="000376D2"/>
    <w:rsid w:val="00037C39"/>
    <w:rsid w:val="00040084"/>
    <w:rsid w:val="00040588"/>
    <w:rsid w:val="00040843"/>
    <w:rsid w:val="00041DD0"/>
    <w:rsid w:val="00042262"/>
    <w:rsid w:val="0004256C"/>
    <w:rsid w:val="00042B21"/>
    <w:rsid w:val="00042FDB"/>
    <w:rsid w:val="00043E60"/>
    <w:rsid w:val="00043EA2"/>
    <w:rsid w:val="00043FBA"/>
    <w:rsid w:val="00044045"/>
    <w:rsid w:val="000443DE"/>
    <w:rsid w:val="000450EB"/>
    <w:rsid w:val="00046D00"/>
    <w:rsid w:val="00046E6D"/>
    <w:rsid w:val="000471E6"/>
    <w:rsid w:val="00047337"/>
    <w:rsid w:val="0004736A"/>
    <w:rsid w:val="00050424"/>
    <w:rsid w:val="00050626"/>
    <w:rsid w:val="000515BC"/>
    <w:rsid w:val="00053C05"/>
    <w:rsid w:val="00053D7F"/>
    <w:rsid w:val="00054196"/>
    <w:rsid w:val="000542EC"/>
    <w:rsid w:val="00054D3E"/>
    <w:rsid w:val="000574BA"/>
    <w:rsid w:val="00057E9B"/>
    <w:rsid w:val="00060190"/>
    <w:rsid w:val="00060545"/>
    <w:rsid w:val="000614D3"/>
    <w:rsid w:val="0006219A"/>
    <w:rsid w:val="00062240"/>
    <w:rsid w:val="0006286F"/>
    <w:rsid w:val="00063A57"/>
    <w:rsid w:val="00063CB4"/>
    <w:rsid w:val="00064E8B"/>
    <w:rsid w:val="00065660"/>
    <w:rsid w:val="000658D8"/>
    <w:rsid w:val="0006755B"/>
    <w:rsid w:val="0006796D"/>
    <w:rsid w:val="00067AD8"/>
    <w:rsid w:val="0007066D"/>
    <w:rsid w:val="000708EE"/>
    <w:rsid w:val="000711C9"/>
    <w:rsid w:val="00073812"/>
    <w:rsid w:val="00073D9F"/>
    <w:rsid w:val="0007425D"/>
    <w:rsid w:val="000743DF"/>
    <w:rsid w:val="000745A1"/>
    <w:rsid w:val="00074DE7"/>
    <w:rsid w:val="00076229"/>
    <w:rsid w:val="000762B1"/>
    <w:rsid w:val="00077C20"/>
    <w:rsid w:val="00080320"/>
    <w:rsid w:val="000803A3"/>
    <w:rsid w:val="000803DE"/>
    <w:rsid w:val="00080954"/>
    <w:rsid w:val="00082153"/>
    <w:rsid w:val="00083BC8"/>
    <w:rsid w:val="00085284"/>
    <w:rsid w:val="00085BF5"/>
    <w:rsid w:val="000868EF"/>
    <w:rsid w:val="000872EE"/>
    <w:rsid w:val="00091512"/>
    <w:rsid w:val="000936F5"/>
    <w:rsid w:val="0009412B"/>
    <w:rsid w:val="00094E05"/>
    <w:rsid w:val="000959E2"/>
    <w:rsid w:val="00095A18"/>
    <w:rsid w:val="00095FDB"/>
    <w:rsid w:val="00097D18"/>
    <w:rsid w:val="00097DCB"/>
    <w:rsid w:val="000A01ED"/>
    <w:rsid w:val="000A0806"/>
    <w:rsid w:val="000A0941"/>
    <w:rsid w:val="000A22C7"/>
    <w:rsid w:val="000A3821"/>
    <w:rsid w:val="000A49AA"/>
    <w:rsid w:val="000A4E7E"/>
    <w:rsid w:val="000A5DF6"/>
    <w:rsid w:val="000A728C"/>
    <w:rsid w:val="000B0C10"/>
    <w:rsid w:val="000B14AF"/>
    <w:rsid w:val="000B26E3"/>
    <w:rsid w:val="000B2AB6"/>
    <w:rsid w:val="000B2E06"/>
    <w:rsid w:val="000B3576"/>
    <w:rsid w:val="000B44B1"/>
    <w:rsid w:val="000B48CD"/>
    <w:rsid w:val="000B4EBC"/>
    <w:rsid w:val="000B592A"/>
    <w:rsid w:val="000B5F47"/>
    <w:rsid w:val="000B695A"/>
    <w:rsid w:val="000B73AC"/>
    <w:rsid w:val="000B7927"/>
    <w:rsid w:val="000B7BC0"/>
    <w:rsid w:val="000B7BE3"/>
    <w:rsid w:val="000C09A2"/>
    <w:rsid w:val="000C0BBD"/>
    <w:rsid w:val="000C1152"/>
    <w:rsid w:val="000C124C"/>
    <w:rsid w:val="000C1B65"/>
    <w:rsid w:val="000C2312"/>
    <w:rsid w:val="000C2B3D"/>
    <w:rsid w:val="000C33AF"/>
    <w:rsid w:val="000C3756"/>
    <w:rsid w:val="000C4026"/>
    <w:rsid w:val="000C5491"/>
    <w:rsid w:val="000C6A9B"/>
    <w:rsid w:val="000C6B6D"/>
    <w:rsid w:val="000C6CD2"/>
    <w:rsid w:val="000C7858"/>
    <w:rsid w:val="000C788B"/>
    <w:rsid w:val="000D007E"/>
    <w:rsid w:val="000D07B8"/>
    <w:rsid w:val="000D0A4A"/>
    <w:rsid w:val="000D1593"/>
    <w:rsid w:val="000D19B0"/>
    <w:rsid w:val="000D3349"/>
    <w:rsid w:val="000D485C"/>
    <w:rsid w:val="000D48B0"/>
    <w:rsid w:val="000D62B2"/>
    <w:rsid w:val="000D682A"/>
    <w:rsid w:val="000E0124"/>
    <w:rsid w:val="000E02AA"/>
    <w:rsid w:val="000E0AE3"/>
    <w:rsid w:val="000E0D55"/>
    <w:rsid w:val="000E25AD"/>
    <w:rsid w:val="000E5C60"/>
    <w:rsid w:val="000E5F68"/>
    <w:rsid w:val="000E6398"/>
    <w:rsid w:val="000E64EC"/>
    <w:rsid w:val="000E720B"/>
    <w:rsid w:val="000E7392"/>
    <w:rsid w:val="000E755C"/>
    <w:rsid w:val="000E76D5"/>
    <w:rsid w:val="000F0228"/>
    <w:rsid w:val="000F0EB3"/>
    <w:rsid w:val="000F147C"/>
    <w:rsid w:val="000F2594"/>
    <w:rsid w:val="000F3074"/>
    <w:rsid w:val="000F3BD8"/>
    <w:rsid w:val="000F57D3"/>
    <w:rsid w:val="000F644E"/>
    <w:rsid w:val="000F6A35"/>
    <w:rsid w:val="000F7495"/>
    <w:rsid w:val="000F74FA"/>
    <w:rsid w:val="000F7A84"/>
    <w:rsid w:val="0010286E"/>
    <w:rsid w:val="00103055"/>
    <w:rsid w:val="0010325C"/>
    <w:rsid w:val="0010496E"/>
    <w:rsid w:val="001056FB"/>
    <w:rsid w:val="001061CC"/>
    <w:rsid w:val="00107F8D"/>
    <w:rsid w:val="001103DD"/>
    <w:rsid w:val="0011109D"/>
    <w:rsid w:val="00112595"/>
    <w:rsid w:val="00112E22"/>
    <w:rsid w:val="00113374"/>
    <w:rsid w:val="001157FD"/>
    <w:rsid w:val="001211FA"/>
    <w:rsid w:val="001218A7"/>
    <w:rsid w:val="00121E50"/>
    <w:rsid w:val="0012245E"/>
    <w:rsid w:val="00122E51"/>
    <w:rsid w:val="00123404"/>
    <w:rsid w:val="00124752"/>
    <w:rsid w:val="00125828"/>
    <w:rsid w:val="001262C5"/>
    <w:rsid w:val="001275C4"/>
    <w:rsid w:val="00130E4E"/>
    <w:rsid w:val="001333ED"/>
    <w:rsid w:val="00135861"/>
    <w:rsid w:val="00140168"/>
    <w:rsid w:val="001401DF"/>
    <w:rsid w:val="0014058F"/>
    <w:rsid w:val="001405EC"/>
    <w:rsid w:val="00143936"/>
    <w:rsid w:val="00145346"/>
    <w:rsid w:val="001457B1"/>
    <w:rsid w:val="0014673D"/>
    <w:rsid w:val="00147645"/>
    <w:rsid w:val="00147F6E"/>
    <w:rsid w:val="001516A2"/>
    <w:rsid w:val="00153052"/>
    <w:rsid w:val="00153303"/>
    <w:rsid w:val="00153515"/>
    <w:rsid w:val="001539A4"/>
    <w:rsid w:val="00154309"/>
    <w:rsid w:val="00154513"/>
    <w:rsid w:val="001554DB"/>
    <w:rsid w:val="00156E9A"/>
    <w:rsid w:val="0015700B"/>
    <w:rsid w:val="0015739C"/>
    <w:rsid w:val="00160064"/>
    <w:rsid w:val="001600C2"/>
    <w:rsid w:val="00160848"/>
    <w:rsid w:val="0016093D"/>
    <w:rsid w:val="0016147A"/>
    <w:rsid w:val="001616D1"/>
    <w:rsid w:val="0016335B"/>
    <w:rsid w:val="00164116"/>
    <w:rsid w:val="00165900"/>
    <w:rsid w:val="00166E5D"/>
    <w:rsid w:val="00167C91"/>
    <w:rsid w:val="001700E0"/>
    <w:rsid w:val="00170A8D"/>
    <w:rsid w:val="0017164E"/>
    <w:rsid w:val="00171AEE"/>
    <w:rsid w:val="00172A20"/>
    <w:rsid w:val="00172CF0"/>
    <w:rsid w:val="00174064"/>
    <w:rsid w:val="0017487C"/>
    <w:rsid w:val="001748D5"/>
    <w:rsid w:val="001751EC"/>
    <w:rsid w:val="00176551"/>
    <w:rsid w:val="00180466"/>
    <w:rsid w:val="0018073B"/>
    <w:rsid w:val="0018148C"/>
    <w:rsid w:val="00183141"/>
    <w:rsid w:val="001832CB"/>
    <w:rsid w:val="00183FB8"/>
    <w:rsid w:val="001857A8"/>
    <w:rsid w:val="00186041"/>
    <w:rsid w:val="001868B3"/>
    <w:rsid w:val="0018726A"/>
    <w:rsid w:val="00187C43"/>
    <w:rsid w:val="00187E42"/>
    <w:rsid w:val="001904CD"/>
    <w:rsid w:val="001909F1"/>
    <w:rsid w:val="00190AA4"/>
    <w:rsid w:val="001912C6"/>
    <w:rsid w:val="00191AB0"/>
    <w:rsid w:val="00191E89"/>
    <w:rsid w:val="00192484"/>
    <w:rsid w:val="001928C2"/>
    <w:rsid w:val="00193780"/>
    <w:rsid w:val="001943EA"/>
    <w:rsid w:val="00194B91"/>
    <w:rsid w:val="001A15AB"/>
    <w:rsid w:val="001A1EA7"/>
    <w:rsid w:val="001A2D2B"/>
    <w:rsid w:val="001A32AB"/>
    <w:rsid w:val="001A3805"/>
    <w:rsid w:val="001A4041"/>
    <w:rsid w:val="001A41C2"/>
    <w:rsid w:val="001A4385"/>
    <w:rsid w:val="001A47A8"/>
    <w:rsid w:val="001A4BDD"/>
    <w:rsid w:val="001A521B"/>
    <w:rsid w:val="001A5443"/>
    <w:rsid w:val="001A679B"/>
    <w:rsid w:val="001A719C"/>
    <w:rsid w:val="001A7ABD"/>
    <w:rsid w:val="001A7CCD"/>
    <w:rsid w:val="001B0BC8"/>
    <w:rsid w:val="001B117A"/>
    <w:rsid w:val="001B11F4"/>
    <w:rsid w:val="001B14F5"/>
    <w:rsid w:val="001B1B25"/>
    <w:rsid w:val="001B2128"/>
    <w:rsid w:val="001B231C"/>
    <w:rsid w:val="001B37D5"/>
    <w:rsid w:val="001B4451"/>
    <w:rsid w:val="001B460A"/>
    <w:rsid w:val="001B5B27"/>
    <w:rsid w:val="001B617F"/>
    <w:rsid w:val="001B72C2"/>
    <w:rsid w:val="001B7F8F"/>
    <w:rsid w:val="001C165B"/>
    <w:rsid w:val="001C1BC3"/>
    <w:rsid w:val="001C4888"/>
    <w:rsid w:val="001C49EB"/>
    <w:rsid w:val="001C6AE9"/>
    <w:rsid w:val="001C6E7C"/>
    <w:rsid w:val="001D0EB1"/>
    <w:rsid w:val="001D0EEA"/>
    <w:rsid w:val="001D1A85"/>
    <w:rsid w:val="001D2362"/>
    <w:rsid w:val="001D323C"/>
    <w:rsid w:val="001D4AB9"/>
    <w:rsid w:val="001D6597"/>
    <w:rsid w:val="001D7CE4"/>
    <w:rsid w:val="001D7E4D"/>
    <w:rsid w:val="001E05B4"/>
    <w:rsid w:val="001E0D87"/>
    <w:rsid w:val="001E184E"/>
    <w:rsid w:val="001E20E0"/>
    <w:rsid w:val="001E28BE"/>
    <w:rsid w:val="001E338A"/>
    <w:rsid w:val="001E3701"/>
    <w:rsid w:val="001E3BE6"/>
    <w:rsid w:val="001E4783"/>
    <w:rsid w:val="001E5382"/>
    <w:rsid w:val="001E6149"/>
    <w:rsid w:val="001E7767"/>
    <w:rsid w:val="001E7AE6"/>
    <w:rsid w:val="001E7FC7"/>
    <w:rsid w:val="001F00F3"/>
    <w:rsid w:val="001F12ED"/>
    <w:rsid w:val="001F1FC5"/>
    <w:rsid w:val="001F2076"/>
    <w:rsid w:val="001F21AD"/>
    <w:rsid w:val="001F2905"/>
    <w:rsid w:val="001F5388"/>
    <w:rsid w:val="001F5B64"/>
    <w:rsid w:val="001F6345"/>
    <w:rsid w:val="001F674A"/>
    <w:rsid w:val="001F742D"/>
    <w:rsid w:val="001F7561"/>
    <w:rsid w:val="001F7A02"/>
    <w:rsid w:val="002001F7"/>
    <w:rsid w:val="002009FD"/>
    <w:rsid w:val="00201C6C"/>
    <w:rsid w:val="00202AD3"/>
    <w:rsid w:val="00203600"/>
    <w:rsid w:val="00203845"/>
    <w:rsid w:val="00204B33"/>
    <w:rsid w:val="00210919"/>
    <w:rsid w:val="00212630"/>
    <w:rsid w:val="00213046"/>
    <w:rsid w:val="00214160"/>
    <w:rsid w:val="00215899"/>
    <w:rsid w:val="002159D7"/>
    <w:rsid w:val="00216478"/>
    <w:rsid w:val="00216E96"/>
    <w:rsid w:val="0022003C"/>
    <w:rsid w:val="002206A7"/>
    <w:rsid w:val="00221E82"/>
    <w:rsid w:val="002239AD"/>
    <w:rsid w:val="00225EEC"/>
    <w:rsid w:val="00226400"/>
    <w:rsid w:val="00227B5E"/>
    <w:rsid w:val="002309DB"/>
    <w:rsid w:val="002319D0"/>
    <w:rsid w:val="00232889"/>
    <w:rsid w:val="00232D26"/>
    <w:rsid w:val="00233542"/>
    <w:rsid w:val="00234B19"/>
    <w:rsid w:val="00235126"/>
    <w:rsid w:val="00237459"/>
    <w:rsid w:val="002406AD"/>
    <w:rsid w:val="00241418"/>
    <w:rsid w:val="00241554"/>
    <w:rsid w:val="00241556"/>
    <w:rsid w:val="00241B7D"/>
    <w:rsid w:val="00242799"/>
    <w:rsid w:val="00243C0C"/>
    <w:rsid w:val="00244829"/>
    <w:rsid w:val="0024620F"/>
    <w:rsid w:val="00246CE2"/>
    <w:rsid w:val="002473F6"/>
    <w:rsid w:val="002507F2"/>
    <w:rsid w:val="00252C81"/>
    <w:rsid w:val="00253E94"/>
    <w:rsid w:val="00254518"/>
    <w:rsid w:val="00254A38"/>
    <w:rsid w:val="0026011B"/>
    <w:rsid w:val="00260772"/>
    <w:rsid w:val="00260975"/>
    <w:rsid w:val="00260C76"/>
    <w:rsid w:val="00260EBC"/>
    <w:rsid w:val="002620FC"/>
    <w:rsid w:val="00262735"/>
    <w:rsid w:val="002627C9"/>
    <w:rsid w:val="00263008"/>
    <w:rsid w:val="00265502"/>
    <w:rsid w:val="00266AFA"/>
    <w:rsid w:val="00266C95"/>
    <w:rsid w:val="00267990"/>
    <w:rsid w:val="00267D67"/>
    <w:rsid w:val="00270BDE"/>
    <w:rsid w:val="00272BC4"/>
    <w:rsid w:val="0027351A"/>
    <w:rsid w:val="0027473A"/>
    <w:rsid w:val="002756C4"/>
    <w:rsid w:val="0027679F"/>
    <w:rsid w:val="00276A66"/>
    <w:rsid w:val="00280142"/>
    <w:rsid w:val="0028026E"/>
    <w:rsid w:val="00280587"/>
    <w:rsid w:val="0028120A"/>
    <w:rsid w:val="002812A6"/>
    <w:rsid w:val="002815B1"/>
    <w:rsid w:val="00281F65"/>
    <w:rsid w:val="00281FA5"/>
    <w:rsid w:val="002826DC"/>
    <w:rsid w:val="00283D61"/>
    <w:rsid w:val="002842D0"/>
    <w:rsid w:val="002858F4"/>
    <w:rsid w:val="0028665B"/>
    <w:rsid w:val="00287393"/>
    <w:rsid w:val="00287766"/>
    <w:rsid w:val="002878F4"/>
    <w:rsid w:val="002879E9"/>
    <w:rsid w:val="00287B86"/>
    <w:rsid w:val="00291399"/>
    <w:rsid w:val="0029193D"/>
    <w:rsid w:val="002929F9"/>
    <w:rsid w:val="00293FBB"/>
    <w:rsid w:val="002957FB"/>
    <w:rsid w:val="00295EEF"/>
    <w:rsid w:val="002964E8"/>
    <w:rsid w:val="002970FD"/>
    <w:rsid w:val="00297979"/>
    <w:rsid w:val="002A2923"/>
    <w:rsid w:val="002A353E"/>
    <w:rsid w:val="002A555A"/>
    <w:rsid w:val="002A5EDB"/>
    <w:rsid w:val="002A6063"/>
    <w:rsid w:val="002A6F03"/>
    <w:rsid w:val="002A7471"/>
    <w:rsid w:val="002A7A1E"/>
    <w:rsid w:val="002B1BB2"/>
    <w:rsid w:val="002B441D"/>
    <w:rsid w:val="002B4B0E"/>
    <w:rsid w:val="002B4D98"/>
    <w:rsid w:val="002B7D3F"/>
    <w:rsid w:val="002C0386"/>
    <w:rsid w:val="002C2CCC"/>
    <w:rsid w:val="002C2E9C"/>
    <w:rsid w:val="002C4514"/>
    <w:rsid w:val="002C5E30"/>
    <w:rsid w:val="002C681C"/>
    <w:rsid w:val="002C6C7C"/>
    <w:rsid w:val="002D04CB"/>
    <w:rsid w:val="002D1318"/>
    <w:rsid w:val="002D1380"/>
    <w:rsid w:val="002D1485"/>
    <w:rsid w:val="002D1682"/>
    <w:rsid w:val="002D2B2D"/>
    <w:rsid w:val="002D38B7"/>
    <w:rsid w:val="002D3A7D"/>
    <w:rsid w:val="002D49B2"/>
    <w:rsid w:val="002D4B06"/>
    <w:rsid w:val="002D4D74"/>
    <w:rsid w:val="002D6234"/>
    <w:rsid w:val="002D7153"/>
    <w:rsid w:val="002E009B"/>
    <w:rsid w:val="002E0BE1"/>
    <w:rsid w:val="002E2373"/>
    <w:rsid w:val="002E3634"/>
    <w:rsid w:val="002E425A"/>
    <w:rsid w:val="002E4DCF"/>
    <w:rsid w:val="002E4EC7"/>
    <w:rsid w:val="002E56D7"/>
    <w:rsid w:val="002E606C"/>
    <w:rsid w:val="002E7EB2"/>
    <w:rsid w:val="002F0A0B"/>
    <w:rsid w:val="002F0CBF"/>
    <w:rsid w:val="002F19F8"/>
    <w:rsid w:val="002F26A1"/>
    <w:rsid w:val="002F2A6A"/>
    <w:rsid w:val="002F35B1"/>
    <w:rsid w:val="002F381F"/>
    <w:rsid w:val="002F6369"/>
    <w:rsid w:val="003008C7"/>
    <w:rsid w:val="003020CF"/>
    <w:rsid w:val="003021B3"/>
    <w:rsid w:val="00302418"/>
    <w:rsid w:val="00303745"/>
    <w:rsid w:val="003037C1"/>
    <w:rsid w:val="00304343"/>
    <w:rsid w:val="00304E6D"/>
    <w:rsid w:val="00307733"/>
    <w:rsid w:val="003105B1"/>
    <w:rsid w:val="00311A3B"/>
    <w:rsid w:val="00311E57"/>
    <w:rsid w:val="00311F30"/>
    <w:rsid w:val="00313765"/>
    <w:rsid w:val="00313F95"/>
    <w:rsid w:val="003145EF"/>
    <w:rsid w:val="00314C79"/>
    <w:rsid w:val="003155DF"/>
    <w:rsid w:val="0031679B"/>
    <w:rsid w:val="00316C88"/>
    <w:rsid w:val="00317C87"/>
    <w:rsid w:val="00321979"/>
    <w:rsid w:val="00323064"/>
    <w:rsid w:val="00323473"/>
    <w:rsid w:val="003243C4"/>
    <w:rsid w:val="00324EE6"/>
    <w:rsid w:val="00325622"/>
    <w:rsid w:val="0032571E"/>
    <w:rsid w:val="003271C8"/>
    <w:rsid w:val="00327F16"/>
    <w:rsid w:val="0033221F"/>
    <w:rsid w:val="00332707"/>
    <w:rsid w:val="0033289E"/>
    <w:rsid w:val="00332E3B"/>
    <w:rsid w:val="00332F0D"/>
    <w:rsid w:val="00333CC9"/>
    <w:rsid w:val="003347A1"/>
    <w:rsid w:val="0033595A"/>
    <w:rsid w:val="0034082E"/>
    <w:rsid w:val="00342A4E"/>
    <w:rsid w:val="00342C66"/>
    <w:rsid w:val="00342D25"/>
    <w:rsid w:val="00342E54"/>
    <w:rsid w:val="003433EC"/>
    <w:rsid w:val="00343CD8"/>
    <w:rsid w:val="00344084"/>
    <w:rsid w:val="00344955"/>
    <w:rsid w:val="00346044"/>
    <w:rsid w:val="00346401"/>
    <w:rsid w:val="003464BD"/>
    <w:rsid w:val="003466E2"/>
    <w:rsid w:val="0034678D"/>
    <w:rsid w:val="00346E7E"/>
    <w:rsid w:val="003475BE"/>
    <w:rsid w:val="00350857"/>
    <w:rsid w:val="003509D8"/>
    <w:rsid w:val="00350B89"/>
    <w:rsid w:val="003516E6"/>
    <w:rsid w:val="00351E4D"/>
    <w:rsid w:val="0035251F"/>
    <w:rsid w:val="0035255E"/>
    <w:rsid w:val="00352DE5"/>
    <w:rsid w:val="00352FF3"/>
    <w:rsid w:val="0035624B"/>
    <w:rsid w:val="003563FD"/>
    <w:rsid w:val="003564B0"/>
    <w:rsid w:val="00360099"/>
    <w:rsid w:val="003615EE"/>
    <w:rsid w:val="0036302D"/>
    <w:rsid w:val="00363844"/>
    <w:rsid w:val="00363E67"/>
    <w:rsid w:val="003652C5"/>
    <w:rsid w:val="0036749E"/>
    <w:rsid w:val="003722AA"/>
    <w:rsid w:val="003725E1"/>
    <w:rsid w:val="00374682"/>
    <w:rsid w:val="003747A0"/>
    <w:rsid w:val="003748ED"/>
    <w:rsid w:val="003753A9"/>
    <w:rsid w:val="00375F8C"/>
    <w:rsid w:val="0037600E"/>
    <w:rsid w:val="00377324"/>
    <w:rsid w:val="00380627"/>
    <w:rsid w:val="00380D8A"/>
    <w:rsid w:val="003819C5"/>
    <w:rsid w:val="003819E0"/>
    <w:rsid w:val="00384544"/>
    <w:rsid w:val="003846B3"/>
    <w:rsid w:val="0038547A"/>
    <w:rsid w:val="00386E32"/>
    <w:rsid w:val="0038778A"/>
    <w:rsid w:val="00390E74"/>
    <w:rsid w:val="003917BE"/>
    <w:rsid w:val="00392591"/>
    <w:rsid w:val="0039260C"/>
    <w:rsid w:val="0039298E"/>
    <w:rsid w:val="00392EEE"/>
    <w:rsid w:val="00393E39"/>
    <w:rsid w:val="003962D1"/>
    <w:rsid w:val="00396686"/>
    <w:rsid w:val="003A12F9"/>
    <w:rsid w:val="003A1605"/>
    <w:rsid w:val="003A2245"/>
    <w:rsid w:val="003A325A"/>
    <w:rsid w:val="003A32CD"/>
    <w:rsid w:val="003A3490"/>
    <w:rsid w:val="003A38F3"/>
    <w:rsid w:val="003A51F5"/>
    <w:rsid w:val="003A72D4"/>
    <w:rsid w:val="003A7E23"/>
    <w:rsid w:val="003B2A44"/>
    <w:rsid w:val="003B3186"/>
    <w:rsid w:val="003B34D9"/>
    <w:rsid w:val="003B3E20"/>
    <w:rsid w:val="003B45A6"/>
    <w:rsid w:val="003B4E90"/>
    <w:rsid w:val="003B5339"/>
    <w:rsid w:val="003B5A49"/>
    <w:rsid w:val="003B6DF2"/>
    <w:rsid w:val="003C1B83"/>
    <w:rsid w:val="003C1F26"/>
    <w:rsid w:val="003C28FC"/>
    <w:rsid w:val="003C417A"/>
    <w:rsid w:val="003C536F"/>
    <w:rsid w:val="003C55EA"/>
    <w:rsid w:val="003C6110"/>
    <w:rsid w:val="003C62BF"/>
    <w:rsid w:val="003C685C"/>
    <w:rsid w:val="003D07B6"/>
    <w:rsid w:val="003D20C5"/>
    <w:rsid w:val="003D21C8"/>
    <w:rsid w:val="003D34DC"/>
    <w:rsid w:val="003D3A27"/>
    <w:rsid w:val="003D47A2"/>
    <w:rsid w:val="003D535F"/>
    <w:rsid w:val="003D5D83"/>
    <w:rsid w:val="003D616E"/>
    <w:rsid w:val="003D7BBA"/>
    <w:rsid w:val="003E0ECD"/>
    <w:rsid w:val="003E2862"/>
    <w:rsid w:val="003E28EB"/>
    <w:rsid w:val="003E2E9C"/>
    <w:rsid w:val="003E2F79"/>
    <w:rsid w:val="003E3258"/>
    <w:rsid w:val="003E43BE"/>
    <w:rsid w:val="003E4826"/>
    <w:rsid w:val="003E487B"/>
    <w:rsid w:val="003E495B"/>
    <w:rsid w:val="003E4FC7"/>
    <w:rsid w:val="003E531C"/>
    <w:rsid w:val="003E53F2"/>
    <w:rsid w:val="003E55D4"/>
    <w:rsid w:val="003E5C49"/>
    <w:rsid w:val="003E60ED"/>
    <w:rsid w:val="003E6475"/>
    <w:rsid w:val="003E75DC"/>
    <w:rsid w:val="003E7C88"/>
    <w:rsid w:val="003F10D3"/>
    <w:rsid w:val="003F1EB0"/>
    <w:rsid w:val="003F2006"/>
    <w:rsid w:val="003F36E4"/>
    <w:rsid w:val="003F3B04"/>
    <w:rsid w:val="003F5387"/>
    <w:rsid w:val="003F5A1B"/>
    <w:rsid w:val="003F732E"/>
    <w:rsid w:val="00400072"/>
    <w:rsid w:val="00400A86"/>
    <w:rsid w:val="00401141"/>
    <w:rsid w:val="00403428"/>
    <w:rsid w:val="00403640"/>
    <w:rsid w:val="00403B18"/>
    <w:rsid w:val="00404CB5"/>
    <w:rsid w:val="004054B6"/>
    <w:rsid w:val="004063CD"/>
    <w:rsid w:val="004068A6"/>
    <w:rsid w:val="00407A13"/>
    <w:rsid w:val="00407D0D"/>
    <w:rsid w:val="0041059D"/>
    <w:rsid w:val="00414EBA"/>
    <w:rsid w:val="004159DF"/>
    <w:rsid w:val="00417D98"/>
    <w:rsid w:val="00420159"/>
    <w:rsid w:val="00421BAB"/>
    <w:rsid w:val="00422B6E"/>
    <w:rsid w:val="00422EAB"/>
    <w:rsid w:val="00423335"/>
    <w:rsid w:val="00424210"/>
    <w:rsid w:val="004243F0"/>
    <w:rsid w:val="004252F3"/>
    <w:rsid w:val="00425825"/>
    <w:rsid w:val="0042593D"/>
    <w:rsid w:val="00426EDF"/>
    <w:rsid w:val="00427232"/>
    <w:rsid w:val="00427B6A"/>
    <w:rsid w:val="00431C6C"/>
    <w:rsid w:val="00432900"/>
    <w:rsid w:val="0043316E"/>
    <w:rsid w:val="004333FE"/>
    <w:rsid w:val="00433766"/>
    <w:rsid w:val="00434011"/>
    <w:rsid w:val="00434E25"/>
    <w:rsid w:val="004352D1"/>
    <w:rsid w:val="004355EE"/>
    <w:rsid w:val="00436C72"/>
    <w:rsid w:val="00440F2D"/>
    <w:rsid w:val="004425D5"/>
    <w:rsid w:val="00442983"/>
    <w:rsid w:val="004430C5"/>
    <w:rsid w:val="004434DD"/>
    <w:rsid w:val="00443714"/>
    <w:rsid w:val="004437C9"/>
    <w:rsid w:val="00443A97"/>
    <w:rsid w:val="00444141"/>
    <w:rsid w:val="0044479D"/>
    <w:rsid w:val="00444C01"/>
    <w:rsid w:val="0044535E"/>
    <w:rsid w:val="004461F7"/>
    <w:rsid w:val="00450821"/>
    <w:rsid w:val="00453413"/>
    <w:rsid w:val="004546D8"/>
    <w:rsid w:val="00456E3A"/>
    <w:rsid w:val="00457259"/>
    <w:rsid w:val="0045781E"/>
    <w:rsid w:val="00461558"/>
    <w:rsid w:val="00462E31"/>
    <w:rsid w:val="004636ED"/>
    <w:rsid w:val="0046540B"/>
    <w:rsid w:val="0046620A"/>
    <w:rsid w:val="00467103"/>
    <w:rsid w:val="004671D2"/>
    <w:rsid w:val="004704DE"/>
    <w:rsid w:val="00470987"/>
    <w:rsid w:val="0047212A"/>
    <w:rsid w:val="0047248D"/>
    <w:rsid w:val="00472A98"/>
    <w:rsid w:val="00472BA9"/>
    <w:rsid w:val="00472E36"/>
    <w:rsid w:val="00473B69"/>
    <w:rsid w:val="00473E9A"/>
    <w:rsid w:val="00474145"/>
    <w:rsid w:val="00476317"/>
    <w:rsid w:val="0047690B"/>
    <w:rsid w:val="004810D6"/>
    <w:rsid w:val="0048233A"/>
    <w:rsid w:val="00482B90"/>
    <w:rsid w:val="00482C2C"/>
    <w:rsid w:val="00482C76"/>
    <w:rsid w:val="004830B9"/>
    <w:rsid w:val="0048530C"/>
    <w:rsid w:val="00486180"/>
    <w:rsid w:val="00487C51"/>
    <w:rsid w:val="00487F24"/>
    <w:rsid w:val="00491925"/>
    <w:rsid w:val="00491944"/>
    <w:rsid w:val="004923FB"/>
    <w:rsid w:val="0049321F"/>
    <w:rsid w:val="00493667"/>
    <w:rsid w:val="00493E68"/>
    <w:rsid w:val="00495932"/>
    <w:rsid w:val="00496313"/>
    <w:rsid w:val="00496D6C"/>
    <w:rsid w:val="004A1E75"/>
    <w:rsid w:val="004A2152"/>
    <w:rsid w:val="004A28EF"/>
    <w:rsid w:val="004A50D2"/>
    <w:rsid w:val="004A6CC8"/>
    <w:rsid w:val="004A70B0"/>
    <w:rsid w:val="004B0A7E"/>
    <w:rsid w:val="004B10BB"/>
    <w:rsid w:val="004B173D"/>
    <w:rsid w:val="004B1B7E"/>
    <w:rsid w:val="004B5A06"/>
    <w:rsid w:val="004B5D53"/>
    <w:rsid w:val="004B5D74"/>
    <w:rsid w:val="004B67C2"/>
    <w:rsid w:val="004B7517"/>
    <w:rsid w:val="004B7BF5"/>
    <w:rsid w:val="004C1535"/>
    <w:rsid w:val="004C153A"/>
    <w:rsid w:val="004C1F90"/>
    <w:rsid w:val="004C2FFE"/>
    <w:rsid w:val="004C3EE4"/>
    <w:rsid w:val="004C453E"/>
    <w:rsid w:val="004C499D"/>
    <w:rsid w:val="004C5D2E"/>
    <w:rsid w:val="004C5EA3"/>
    <w:rsid w:val="004C6956"/>
    <w:rsid w:val="004C6BB3"/>
    <w:rsid w:val="004C6F00"/>
    <w:rsid w:val="004C7721"/>
    <w:rsid w:val="004C7AD1"/>
    <w:rsid w:val="004C7E2B"/>
    <w:rsid w:val="004D05E3"/>
    <w:rsid w:val="004D08DA"/>
    <w:rsid w:val="004D0BF7"/>
    <w:rsid w:val="004D19C5"/>
    <w:rsid w:val="004D2A3C"/>
    <w:rsid w:val="004D353B"/>
    <w:rsid w:val="004D3F44"/>
    <w:rsid w:val="004D4ECB"/>
    <w:rsid w:val="004D4FF6"/>
    <w:rsid w:val="004D51A5"/>
    <w:rsid w:val="004D5345"/>
    <w:rsid w:val="004D6A7D"/>
    <w:rsid w:val="004D78A1"/>
    <w:rsid w:val="004D7FD3"/>
    <w:rsid w:val="004E076F"/>
    <w:rsid w:val="004E17DA"/>
    <w:rsid w:val="004E1C7D"/>
    <w:rsid w:val="004E2157"/>
    <w:rsid w:val="004E28F3"/>
    <w:rsid w:val="004E29AE"/>
    <w:rsid w:val="004E5CE1"/>
    <w:rsid w:val="004E6713"/>
    <w:rsid w:val="004E70C1"/>
    <w:rsid w:val="004F0C58"/>
    <w:rsid w:val="004F26DE"/>
    <w:rsid w:val="004F2700"/>
    <w:rsid w:val="004F2E30"/>
    <w:rsid w:val="004F46D9"/>
    <w:rsid w:val="004F4C43"/>
    <w:rsid w:val="004F4C6F"/>
    <w:rsid w:val="004F6816"/>
    <w:rsid w:val="004F6B40"/>
    <w:rsid w:val="005013CD"/>
    <w:rsid w:val="00501C87"/>
    <w:rsid w:val="005025A8"/>
    <w:rsid w:val="0050299A"/>
    <w:rsid w:val="00504F87"/>
    <w:rsid w:val="0050511B"/>
    <w:rsid w:val="00506088"/>
    <w:rsid w:val="00506281"/>
    <w:rsid w:val="00506C55"/>
    <w:rsid w:val="00506DC8"/>
    <w:rsid w:val="005101A8"/>
    <w:rsid w:val="00510415"/>
    <w:rsid w:val="00511200"/>
    <w:rsid w:val="0051344F"/>
    <w:rsid w:val="00516C28"/>
    <w:rsid w:val="00522233"/>
    <w:rsid w:val="005224F0"/>
    <w:rsid w:val="00522EED"/>
    <w:rsid w:val="005233B8"/>
    <w:rsid w:val="00524D0E"/>
    <w:rsid w:val="00530654"/>
    <w:rsid w:val="00530FF2"/>
    <w:rsid w:val="00531B0A"/>
    <w:rsid w:val="0053201C"/>
    <w:rsid w:val="00535634"/>
    <w:rsid w:val="00535712"/>
    <w:rsid w:val="00535975"/>
    <w:rsid w:val="00536107"/>
    <w:rsid w:val="0053710E"/>
    <w:rsid w:val="005375F8"/>
    <w:rsid w:val="005378F8"/>
    <w:rsid w:val="005410A6"/>
    <w:rsid w:val="005415DE"/>
    <w:rsid w:val="00541A7E"/>
    <w:rsid w:val="005435F1"/>
    <w:rsid w:val="00543EA3"/>
    <w:rsid w:val="00544568"/>
    <w:rsid w:val="005445DE"/>
    <w:rsid w:val="00544916"/>
    <w:rsid w:val="00545132"/>
    <w:rsid w:val="00546410"/>
    <w:rsid w:val="005466DE"/>
    <w:rsid w:val="00546A82"/>
    <w:rsid w:val="005473AC"/>
    <w:rsid w:val="005478C7"/>
    <w:rsid w:val="00547DFC"/>
    <w:rsid w:val="005504C5"/>
    <w:rsid w:val="00550549"/>
    <w:rsid w:val="0055121C"/>
    <w:rsid w:val="00551E94"/>
    <w:rsid w:val="00552058"/>
    <w:rsid w:val="005530BF"/>
    <w:rsid w:val="0055375F"/>
    <w:rsid w:val="00553A9A"/>
    <w:rsid w:val="0055403D"/>
    <w:rsid w:val="00554A9A"/>
    <w:rsid w:val="005574AC"/>
    <w:rsid w:val="00560350"/>
    <w:rsid w:val="0056137E"/>
    <w:rsid w:val="00564118"/>
    <w:rsid w:val="00564492"/>
    <w:rsid w:val="0056472A"/>
    <w:rsid w:val="00564BE8"/>
    <w:rsid w:val="005654D2"/>
    <w:rsid w:val="00565E8F"/>
    <w:rsid w:val="005667C6"/>
    <w:rsid w:val="00566CE0"/>
    <w:rsid w:val="00567529"/>
    <w:rsid w:val="005679B4"/>
    <w:rsid w:val="0057065F"/>
    <w:rsid w:val="005735C1"/>
    <w:rsid w:val="00574404"/>
    <w:rsid w:val="00575F8C"/>
    <w:rsid w:val="005770AB"/>
    <w:rsid w:val="005808CB"/>
    <w:rsid w:val="00580F44"/>
    <w:rsid w:val="00581AD7"/>
    <w:rsid w:val="00581D72"/>
    <w:rsid w:val="005827B8"/>
    <w:rsid w:val="00582BA8"/>
    <w:rsid w:val="0058310D"/>
    <w:rsid w:val="0058320F"/>
    <w:rsid w:val="00583FC8"/>
    <w:rsid w:val="00584120"/>
    <w:rsid w:val="005848B3"/>
    <w:rsid w:val="0058680F"/>
    <w:rsid w:val="00590715"/>
    <w:rsid w:val="00590B9A"/>
    <w:rsid w:val="00590DBB"/>
    <w:rsid w:val="005917CE"/>
    <w:rsid w:val="00591D2B"/>
    <w:rsid w:val="00592357"/>
    <w:rsid w:val="00593C1D"/>
    <w:rsid w:val="005970D8"/>
    <w:rsid w:val="005A136D"/>
    <w:rsid w:val="005A1854"/>
    <w:rsid w:val="005A2360"/>
    <w:rsid w:val="005A2CDC"/>
    <w:rsid w:val="005A2F3C"/>
    <w:rsid w:val="005A69F3"/>
    <w:rsid w:val="005A7FF5"/>
    <w:rsid w:val="005B3C81"/>
    <w:rsid w:val="005B506A"/>
    <w:rsid w:val="005B52BD"/>
    <w:rsid w:val="005B5717"/>
    <w:rsid w:val="005B63A1"/>
    <w:rsid w:val="005B70AC"/>
    <w:rsid w:val="005B774F"/>
    <w:rsid w:val="005B782F"/>
    <w:rsid w:val="005C0026"/>
    <w:rsid w:val="005C2506"/>
    <w:rsid w:val="005C2AB8"/>
    <w:rsid w:val="005C2F44"/>
    <w:rsid w:val="005C3302"/>
    <w:rsid w:val="005C4725"/>
    <w:rsid w:val="005C48CA"/>
    <w:rsid w:val="005C5053"/>
    <w:rsid w:val="005C6483"/>
    <w:rsid w:val="005C7B2F"/>
    <w:rsid w:val="005D0758"/>
    <w:rsid w:val="005D0967"/>
    <w:rsid w:val="005D0A89"/>
    <w:rsid w:val="005D1174"/>
    <w:rsid w:val="005D19E4"/>
    <w:rsid w:val="005D293B"/>
    <w:rsid w:val="005D2AD8"/>
    <w:rsid w:val="005D3093"/>
    <w:rsid w:val="005D309C"/>
    <w:rsid w:val="005D35FA"/>
    <w:rsid w:val="005D37D0"/>
    <w:rsid w:val="005D3F5C"/>
    <w:rsid w:val="005D438A"/>
    <w:rsid w:val="005D470C"/>
    <w:rsid w:val="005D50A2"/>
    <w:rsid w:val="005D5487"/>
    <w:rsid w:val="005D5E45"/>
    <w:rsid w:val="005D63CC"/>
    <w:rsid w:val="005D6409"/>
    <w:rsid w:val="005D690D"/>
    <w:rsid w:val="005D6F66"/>
    <w:rsid w:val="005D6F86"/>
    <w:rsid w:val="005D7262"/>
    <w:rsid w:val="005D73EA"/>
    <w:rsid w:val="005D7F06"/>
    <w:rsid w:val="005E07C2"/>
    <w:rsid w:val="005E0EE2"/>
    <w:rsid w:val="005E16BA"/>
    <w:rsid w:val="005E2381"/>
    <w:rsid w:val="005E33BA"/>
    <w:rsid w:val="005E3859"/>
    <w:rsid w:val="005E3E0C"/>
    <w:rsid w:val="005E5025"/>
    <w:rsid w:val="005F100E"/>
    <w:rsid w:val="005F1B54"/>
    <w:rsid w:val="005F2E65"/>
    <w:rsid w:val="005F4766"/>
    <w:rsid w:val="005F518B"/>
    <w:rsid w:val="005F51B7"/>
    <w:rsid w:val="005F51C4"/>
    <w:rsid w:val="005F56C8"/>
    <w:rsid w:val="005F61F8"/>
    <w:rsid w:val="005F6B55"/>
    <w:rsid w:val="005F6CAE"/>
    <w:rsid w:val="005F7041"/>
    <w:rsid w:val="005F73C4"/>
    <w:rsid w:val="006004B8"/>
    <w:rsid w:val="00600DB1"/>
    <w:rsid w:val="00601518"/>
    <w:rsid w:val="0060261C"/>
    <w:rsid w:val="006027CD"/>
    <w:rsid w:val="00602879"/>
    <w:rsid w:val="0060288B"/>
    <w:rsid w:val="00602CDE"/>
    <w:rsid w:val="00603504"/>
    <w:rsid w:val="0060575F"/>
    <w:rsid w:val="00606530"/>
    <w:rsid w:val="00606A86"/>
    <w:rsid w:val="00607CBE"/>
    <w:rsid w:val="00610DA6"/>
    <w:rsid w:val="00611999"/>
    <w:rsid w:val="0061251A"/>
    <w:rsid w:val="00612A39"/>
    <w:rsid w:val="00613C81"/>
    <w:rsid w:val="00616355"/>
    <w:rsid w:val="00616408"/>
    <w:rsid w:val="00616537"/>
    <w:rsid w:val="00616A7A"/>
    <w:rsid w:val="00616BB3"/>
    <w:rsid w:val="006173A5"/>
    <w:rsid w:val="00617D5E"/>
    <w:rsid w:val="00622341"/>
    <w:rsid w:val="00622413"/>
    <w:rsid w:val="00622C66"/>
    <w:rsid w:val="00622D94"/>
    <w:rsid w:val="00623656"/>
    <w:rsid w:val="00623844"/>
    <w:rsid w:val="00623DB8"/>
    <w:rsid w:val="00624F08"/>
    <w:rsid w:val="006252B2"/>
    <w:rsid w:val="00626087"/>
    <w:rsid w:val="00626355"/>
    <w:rsid w:val="006263E7"/>
    <w:rsid w:val="00626B92"/>
    <w:rsid w:val="00626EC5"/>
    <w:rsid w:val="006273E3"/>
    <w:rsid w:val="00630DC5"/>
    <w:rsid w:val="00633EFA"/>
    <w:rsid w:val="006360C6"/>
    <w:rsid w:val="00636367"/>
    <w:rsid w:val="00636B66"/>
    <w:rsid w:val="00640DEE"/>
    <w:rsid w:val="00642192"/>
    <w:rsid w:val="006439B1"/>
    <w:rsid w:val="00643F2D"/>
    <w:rsid w:val="00644655"/>
    <w:rsid w:val="00645655"/>
    <w:rsid w:val="00646730"/>
    <w:rsid w:val="00652B48"/>
    <w:rsid w:val="00653154"/>
    <w:rsid w:val="00653308"/>
    <w:rsid w:val="00653491"/>
    <w:rsid w:val="006535B8"/>
    <w:rsid w:val="006539ED"/>
    <w:rsid w:val="006541B0"/>
    <w:rsid w:val="00654560"/>
    <w:rsid w:val="0065594C"/>
    <w:rsid w:val="00656394"/>
    <w:rsid w:val="00660898"/>
    <w:rsid w:val="0066223E"/>
    <w:rsid w:val="00662DCD"/>
    <w:rsid w:val="0066331F"/>
    <w:rsid w:val="00664045"/>
    <w:rsid w:val="006648FB"/>
    <w:rsid w:val="00664BE4"/>
    <w:rsid w:val="00666C36"/>
    <w:rsid w:val="00666ED8"/>
    <w:rsid w:val="006670EC"/>
    <w:rsid w:val="0067068F"/>
    <w:rsid w:val="00670C2E"/>
    <w:rsid w:val="00671493"/>
    <w:rsid w:val="00672B6E"/>
    <w:rsid w:val="0067306D"/>
    <w:rsid w:val="006736BE"/>
    <w:rsid w:val="0067519A"/>
    <w:rsid w:val="006765AE"/>
    <w:rsid w:val="006801B1"/>
    <w:rsid w:val="00681315"/>
    <w:rsid w:val="006827E6"/>
    <w:rsid w:val="006830F3"/>
    <w:rsid w:val="0068329F"/>
    <w:rsid w:val="00684472"/>
    <w:rsid w:val="0068456B"/>
    <w:rsid w:val="00684B51"/>
    <w:rsid w:val="00684EC5"/>
    <w:rsid w:val="006859A6"/>
    <w:rsid w:val="0068646C"/>
    <w:rsid w:val="006873C9"/>
    <w:rsid w:val="006917EE"/>
    <w:rsid w:val="00691917"/>
    <w:rsid w:val="006931FB"/>
    <w:rsid w:val="006937DC"/>
    <w:rsid w:val="00694FA0"/>
    <w:rsid w:val="006957EE"/>
    <w:rsid w:val="00695B75"/>
    <w:rsid w:val="00697CA2"/>
    <w:rsid w:val="006A0164"/>
    <w:rsid w:val="006A06C5"/>
    <w:rsid w:val="006A0857"/>
    <w:rsid w:val="006A098A"/>
    <w:rsid w:val="006A104D"/>
    <w:rsid w:val="006A150E"/>
    <w:rsid w:val="006A2A97"/>
    <w:rsid w:val="006A37BC"/>
    <w:rsid w:val="006A3DA1"/>
    <w:rsid w:val="006A457B"/>
    <w:rsid w:val="006A499D"/>
    <w:rsid w:val="006A56B4"/>
    <w:rsid w:val="006A7A73"/>
    <w:rsid w:val="006A7D60"/>
    <w:rsid w:val="006A7FFC"/>
    <w:rsid w:val="006B012D"/>
    <w:rsid w:val="006B031B"/>
    <w:rsid w:val="006B12BF"/>
    <w:rsid w:val="006B1841"/>
    <w:rsid w:val="006B2125"/>
    <w:rsid w:val="006B252D"/>
    <w:rsid w:val="006B2F2C"/>
    <w:rsid w:val="006B3095"/>
    <w:rsid w:val="006B5FA6"/>
    <w:rsid w:val="006B684F"/>
    <w:rsid w:val="006B7276"/>
    <w:rsid w:val="006C0146"/>
    <w:rsid w:val="006C18CD"/>
    <w:rsid w:val="006C3FDC"/>
    <w:rsid w:val="006C4194"/>
    <w:rsid w:val="006C4249"/>
    <w:rsid w:val="006C4B7F"/>
    <w:rsid w:val="006C547D"/>
    <w:rsid w:val="006D0233"/>
    <w:rsid w:val="006D1ADC"/>
    <w:rsid w:val="006D2753"/>
    <w:rsid w:val="006D4CF5"/>
    <w:rsid w:val="006D6F30"/>
    <w:rsid w:val="006D755F"/>
    <w:rsid w:val="006E1110"/>
    <w:rsid w:val="006E132C"/>
    <w:rsid w:val="006E1698"/>
    <w:rsid w:val="006E4E3C"/>
    <w:rsid w:val="006E5F33"/>
    <w:rsid w:val="006E6DC3"/>
    <w:rsid w:val="006E6E23"/>
    <w:rsid w:val="006E70BA"/>
    <w:rsid w:val="006E7366"/>
    <w:rsid w:val="006E7732"/>
    <w:rsid w:val="006E7F22"/>
    <w:rsid w:val="006F0948"/>
    <w:rsid w:val="006F0B5C"/>
    <w:rsid w:val="006F0BA6"/>
    <w:rsid w:val="006F10D4"/>
    <w:rsid w:val="006F13CF"/>
    <w:rsid w:val="006F17CD"/>
    <w:rsid w:val="006F3607"/>
    <w:rsid w:val="006F3DAB"/>
    <w:rsid w:val="006F3F16"/>
    <w:rsid w:val="006F4086"/>
    <w:rsid w:val="006F4C1A"/>
    <w:rsid w:val="006F4C8C"/>
    <w:rsid w:val="006F5A4A"/>
    <w:rsid w:val="006F6A63"/>
    <w:rsid w:val="006F70FB"/>
    <w:rsid w:val="006F754C"/>
    <w:rsid w:val="006F79AE"/>
    <w:rsid w:val="00700BB6"/>
    <w:rsid w:val="007018A6"/>
    <w:rsid w:val="00701E50"/>
    <w:rsid w:val="00704C27"/>
    <w:rsid w:val="00704D5A"/>
    <w:rsid w:val="00705D6C"/>
    <w:rsid w:val="00705DE3"/>
    <w:rsid w:val="00706151"/>
    <w:rsid w:val="00706273"/>
    <w:rsid w:val="00707364"/>
    <w:rsid w:val="00707E69"/>
    <w:rsid w:val="00707F6C"/>
    <w:rsid w:val="00710139"/>
    <w:rsid w:val="0071049E"/>
    <w:rsid w:val="0071076C"/>
    <w:rsid w:val="007108CA"/>
    <w:rsid w:val="007123E3"/>
    <w:rsid w:val="007146A6"/>
    <w:rsid w:val="00716AD8"/>
    <w:rsid w:val="00720A52"/>
    <w:rsid w:val="00721940"/>
    <w:rsid w:val="00721C34"/>
    <w:rsid w:val="00721FB0"/>
    <w:rsid w:val="007228BF"/>
    <w:rsid w:val="007237A6"/>
    <w:rsid w:val="00723D95"/>
    <w:rsid w:val="00724B36"/>
    <w:rsid w:val="00726415"/>
    <w:rsid w:val="00726E91"/>
    <w:rsid w:val="00727F3A"/>
    <w:rsid w:val="007313A9"/>
    <w:rsid w:val="00732CA9"/>
    <w:rsid w:val="007330B9"/>
    <w:rsid w:val="0073552B"/>
    <w:rsid w:val="007356B1"/>
    <w:rsid w:val="00736304"/>
    <w:rsid w:val="00736990"/>
    <w:rsid w:val="007369C2"/>
    <w:rsid w:val="00736EC3"/>
    <w:rsid w:val="007375C9"/>
    <w:rsid w:val="0074043A"/>
    <w:rsid w:val="0074191D"/>
    <w:rsid w:val="00742645"/>
    <w:rsid w:val="00742DB9"/>
    <w:rsid w:val="007439A4"/>
    <w:rsid w:val="00743F67"/>
    <w:rsid w:val="00744072"/>
    <w:rsid w:val="00751B54"/>
    <w:rsid w:val="007522EA"/>
    <w:rsid w:val="00752F18"/>
    <w:rsid w:val="00753457"/>
    <w:rsid w:val="00754467"/>
    <w:rsid w:val="0075532E"/>
    <w:rsid w:val="007553CA"/>
    <w:rsid w:val="00755CC0"/>
    <w:rsid w:val="0075718A"/>
    <w:rsid w:val="0076063A"/>
    <w:rsid w:val="00760992"/>
    <w:rsid w:val="00763601"/>
    <w:rsid w:val="007658E1"/>
    <w:rsid w:val="00765A4F"/>
    <w:rsid w:val="00766908"/>
    <w:rsid w:val="00767A6B"/>
    <w:rsid w:val="00770821"/>
    <w:rsid w:val="007710CE"/>
    <w:rsid w:val="0077276A"/>
    <w:rsid w:val="007727B1"/>
    <w:rsid w:val="00773069"/>
    <w:rsid w:val="00773D77"/>
    <w:rsid w:val="00773DDF"/>
    <w:rsid w:val="007744EF"/>
    <w:rsid w:val="00774BAA"/>
    <w:rsid w:val="00774D9C"/>
    <w:rsid w:val="0077548F"/>
    <w:rsid w:val="007760C8"/>
    <w:rsid w:val="007762F6"/>
    <w:rsid w:val="00776C99"/>
    <w:rsid w:val="007775E4"/>
    <w:rsid w:val="0078096E"/>
    <w:rsid w:val="0078121C"/>
    <w:rsid w:val="00781679"/>
    <w:rsid w:val="007827F8"/>
    <w:rsid w:val="00782AC7"/>
    <w:rsid w:val="00783E3A"/>
    <w:rsid w:val="00784384"/>
    <w:rsid w:val="00785B9E"/>
    <w:rsid w:val="00787595"/>
    <w:rsid w:val="00787C23"/>
    <w:rsid w:val="00790D9F"/>
    <w:rsid w:val="007915F5"/>
    <w:rsid w:val="00791B40"/>
    <w:rsid w:val="007931A2"/>
    <w:rsid w:val="007932DE"/>
    <w:rsid w:val="007934BB"/>
    <w:rsid w:val="00794129"/>
    <w:rsid w:val="00794D67"/>
    <w:rsid w:val="007969E1"/>
    <w:rsid w:val="0079744D"/>
    <w:rsid w:val="00797DB8"/>
    <w:rsid w:val="007A02EA"/>
    <w:rsid w:val="007A206A"/>
    <w:rsid w:val="007A293D"/>
    <w:rsid w:val="007A3917"/>
    <w:rsid w:val="007A3B53"/>
    <w:rsid w:val="007A5A74"/>
    <w:rsid w:val="007A5AF5"/>
    <w:rsid w:val="007A7C3D"/>
    <w:rsid w:val="007A7FF8"/>
    <w:rsid w:val="007B00B9"/>
    <w:rsid w:val="007B0F23"/>
    <w:rsid w:val="007B0FC3"/>
    <w:rsid w:val="007B192B"/>
    <w:rsid w:val="007B2252"/>
    <w:rsid w:val="007B35D0"/>
    <w:rsid w:val="007B4D3A"/>
    <w:rsid w:val="007B5062"/>
    <w:rsid w:val="007B61BC"/>
    <w:rsid w:val="007B63AA"/>
    <w:rsid w:val="007B67FF"/>
    <w:rsid w:val="007B76B5"/>
    <w:rsid w:val="007C00FC"/>
    <w:rsid w:val="007C0926"/>
    <w:rsid w:val="007C0A1D"/>
    <w:rsid w:val="007C1482"/>
    <w:rsid w:val="007C1CDC"/>
    <w:rsid w:val="007C21F4"/>
    <w:rsid w:val="007C32C2"/>
    <w:rsid w:val="007C3B81"/>
    <w:rsid w:val="007C4134"/>
    <w:rsid w:val="007C5335"/>
    <w:rsid w:val="007C53CD"/>
    <w:rsid w:val="007C6286"/>
    <w:rsid w:val="007C642E"/>
    <w:rsid w:val="007C6931"/>
    <w:rsid w:val="007C6EC0"/>
    <w:rsid w:val="007D0E5A"/>
    <w:rsid w:val="007D0E7A"/>
    <w:rsid w:val="007D0F1E"/>
    <w:rsid w:val="007D1A72"/>
    <w:rsid w:val="007D1BF0"/>
    <w:rsid w:val="007D2FFF"/>
    <w:rsid w:val="007D3BDF"/>
    <w:rsid w:val="007D441B"/>
    <w:rsid w:val="007D4DCF"/>
    <w:rsid w:val="007D56C7"/>
    <w:rsid w:val="007D6195"/>
    <w:rsid w:val="007D7FC7"/>
    <w:rsid w:val="007E0183"/>
    <w:rsid w:val="007E02C1"/>
    <w:rsid w:val="007E19EF"/>
    <w:rsid w:val="007E308C"/>
    <w:rsid w:val="007E3A95"/>
    <w:rsid w:val="007E45D9"/>
    <w:rsid w:val="007E6613"/>
    <w:rsid w:val="007E6C07"/>
    <w:rsid w:val="007E6CEF"/>
    <w:rsid w:val="007E76AA"/>
    <w:rsid w:val="007F0035"/>
    <w:rsid w:val="007F342A"/>
    <w:rsid w:val="007F3950"/>
    <w:rsid w:val="007F3FD4"/>
    <w:rsid w:val="007F4477"/>
    <w:rsid w:val="007F4F45"/>
    <w:rsid w:val="007F56EE"/>
    <w:rsid w:val="007F5DBC"/>
    <w:rsid w:val="007F5DC6"/>
    <w:rsid w:val="007F6C2A"/>
    <w:rsid w:val="00800349"/>
    <w:rsid w:val="00800F8B"/>
    <w:rsid w:val="0080190F"/>
    <w:rsid w:val="00802A7E"/>
    <w:rsid w:val="00804CF1"/>
    <w:rsid w:val="00805D51"/>
    <w:rsid w:val="00806147"/>
    <w:rsid w:val="008065A8"/>
    <w:rsid w:val="00806662"/>
    <w:rsid w:val="0080798B"/>
    <w:rsid w:val="00811304"/>
    <w:rsid w:val="008136EC"/>
    <w:rsid w:val="00813F43"/>
    <w:rsid w:val="008143EC"/>
    <w:rsid w:val="00814949"/>
    <w:rsid w:val="008155FA"/>
    <w:rsid w:val="00815BF2"/>
    <w:rsid w:val="00816151"/>
    <w:rsid w:val="0081724D"/>
    <w:rsid w:val="00817CCD"/>
    <w:rsid w:val="00821253"/>
    <w:rsid w:val="008217E0"/>
    <w:rsid w:val="00821A77"/>
    <w:rsid w:val="0082296A"/>
    <w:rsid w:val="00822D6F"/>
    <w:rsid w:val="00824AC4"/>
    <w:rsid w:val="00825C8D"/>
    <w:rsid w:val="008264AC"/>
    <w:rsid w:val="008265F8"/>
    <w:rsid w:val="008271AA"/>
    <w:rsid w:val="00827BB4"/>
    <w:rsid w:val="00827ECA"/>
    <w:rsid w:val="00831A4D"/>
    <w:rsid w:val="00832C5B"/>
    <w:rsid w:val="00833645"/>
    <w:rsid w:val="00833893"/>
    <w:rsid w:val="00833E02"/>
    <w:rsid w:val="00833E65"/>
    <w:rsid w:val="008349A4"/>
    <w:rsid w:val="00834CF2"/>
    <w:rsid w:val="008357DD"/>
    <w:rsid w:val="008363DB"/>
    <w:rsid w:val="00836775"/>
    <w:rsid w:val="00836DC7"/>
    <w:rsid w:val="0083714F"/>
    <w:rsid w:val="008374C1"/>
    <w:rsid w:val="00837C73"/>
    <w:rsid w:val="00837CD4"/>
    <w:rsid w:val="00841F08"/>
    <w:rsid w:val="00842B67"/>
    <w:rsid w:val="00842C63"/>
    <w:rsid w:val="00842FC0"/>
    <w:rsid w:val="0084331F"/>
    <w:rsid w:val="00843452"/>
    <w:rsid w:val="0084391A"/>
    <w:rsid w:val="00843ABA"/>
    <w:rsid w:val="00843D56"/>
    <w:rsid w:val="00843F5B"/>
    <w:rsid w:val="0084403A"/>
    <w:rsid w:val="00844A1F"/>
    <w:rsid w:val="008451FA"/>
    <w:rsid w:val="00847185"/>
    <w:rsid w:val="008473DA"/>
    <w:rsid w:val="00847AB5"/>
    <w:rsid w:val="00847ADD"/>
    <w:rsid w:val="00847E47"/>
    <w:rsid w:val="00850880"/>
    <w:rsid w:val="00851201"/>
    <w:rsid w:val="00852611"/>
    <w:rsid w:val="00852E68"/>
    <w:rsid w:val="00853053"/>
    <w:rsid w:val="00853616"/>
    <w:rsid w:val="008536B9"/>
    <w:rsid w:val="00854CA8"/>
    <w:rsid w:val="0085545A"/>
    <w:rsid w:val="00857CB4"/>
    <w:rsid w:val="00860ADC"/>
    <w:rsid w:val="00860EF2"/>
    <w:rsid w:val="00863DCC"/>
    <w:rsid w:val="00863E21"/>
    <w:rsid w:val="0086439C"/>
    <w:rsid w:val="008653B6"/>
    <w:rsid w:val="00866707"/>
    <w:rsid w:val="00866A41"/>
    <w:rsid w:val="00866AE9"/>
    <w:rsid w:val="00866C25"/>
    <w:rsid w:val="00867862"/>
    <w:rsid w:val="00867F2B"/>
    <w:rsid w:val="0087038E"/>
    <w:rsid w:val="0087068F"/>
    <w:rsid w:val="00870E64"/>
    <w:rsid w:val="00871450"/>
    <w:rsid w:val="0087156E"/>
    <w:rsid w:val="00872531"/>
    <w:rsid w:val="00872B8D"/>
    <w:rsid w:val="0087309A"/>
    <w:rsid w:val="0087387A"/>
    <w:rsid w:val="00873E39"/>
    <w:rsid w:val="00874076"/>
    <w:rsid w:val="0087639C"/>
    <w:rsid w:val="00876E16"/>
    <w:rsid w:val="008771A6"/>
    <w:rsid w:val="00880040"/>
    <w:rsid w:val="00881122"/>
    <w:rsid w:val="00881B71"/>
    <w:rsid w:val="008823E3"/>
    <w:rsid w:val="008823ED"/>
    <w:rsid w:val="00883955"/>
    <w:rsid w:val="00883A4C"/>
    <w:rsid w:val="00883FDB"/>
    <w:rsid w:val="00885A1F"/>
    <w:rsid w:val="00885EF4"/>
    <w:rsid w:val="00885F5F"/>
    <w:rsid w:val="00886188"/>
    <w:rsid w:val="00886671"/>
    <w:rsid w:val="00890EBF"/>
    <w:rsid w:val="00891025"/>
    <w:rsid w:val="0089107A"/>
    <w:rsid w:val="00891398"/>
    <w:rsid w:val="008930CC"/>
    <w:rsid w:val="00893BFF"/>
    <w:rsid w:val="00895033"/>
    <w:rsid w:val="0089548D"/>
    <w:rsid w:val="00895A62"/>
    <w:rsid w:val="00896246"/>
    <w:rsid w:val="008964A7"/>
    <w:rsid w:val="0089679C"/>
    <w:rsid w:val="0089698F"/>
    <w:rsid w:val="00896EA1"/>
    <w:rsid w:val="00897352"/>
    <w:rsid w:val="008A0292"/>
    <w:rsid w:val="008A0925"/>
    <w:rsid w:val="008A0C7E"/>
    <w:rsid w:val="008A199D"/>
    <w:rsid w:val="008A1E2B"/>
    <w:rsid w:val="008A1F1F"/>
    <w:rsid w:val="008A280D"/>
    <w:rsid w:val="008A320F"/>
    <w:rsid w:val="008A571D"/>
    <w:rsid w:val="008A5C44"/>
    <w:rsid w:val="008A7AD9"/>
    <w:rsid w:val="008B189A"/>
    <w:rsid w:val="008B25F0"/>
    <w:rsid w:val="008B3275"/>
    <w:rsid w:val="008B3B93"/>
    <w:rsid w:val="008B456D"/>
    <w:rsid w:val="008B5369"/>
    <w:rsid w:val="008B626E"/>
    <w:rsid w:val="008B74C5"/>
    <w:rsid w:val="008B7CF8"/>
    <w:rsid w:val="008B7E79"/>
    <w:rsid w:val="008C06BF"/>
    <w:rsid w:val="008C17D5"/>
    <w:rsid w:val="008C233C"/>
    <w:rsid w:val="008C2876"/>
    <w:rsid w:val="008C3057"/>
    <w:rsid w:val="008C307C"/>
    <w:rsid w:val="008C53B4"/>
    <w:rsid w:val="008C699F"/>
    <w:rsid w:val="008C6C08"/>
    <w:rsid w:val="008C726E"/>
    <w:rsid w:val="008C7B2D"/>
    <w:rsid w:val="008C7F62"/>
    <w:rsid w:val="008D16F6"/>
    <w:rsid w:val="008D191C"/>
    <w:rsid w:val="008D23F4"/>
    <w:rsid w:val="008D28E7"/>
    <w:rsid w:val="008D52AF"/>
    <w:rsid w:val="008D746B"/>
    <w:rsid w:val="008D7A30"/>
    <w:rsid w:val="008E0802"/>
    <w:rsid w:val="008E17B1"/>
    <w:rsid w:val="008E29E2"/>
    <w:rsid w:val="008E2E48"/>
    <w:rsid w:val="008E3268"/>
    <w:rsid w:val="008E3C86"/>
    <w:rsid w:val="008E4382"/>
    <w:rsid w:val="008E7E0A"/>
    <w:rsid w:val="008F0539"/>
    <w:rsid w:val="008F1301"/>
    <w:rsid w:val="008F1C29"/>
    <w:rsid w:val="008F27F1"/>
    <w:rsid w:val="008F2BB5"/>
    <w:rsid w:val="008F2D66"/>
    <w:rsid w:val="008F4C36"/>
    <w:rsid w:val="008F5997"/>
    <w:rsid w:val="008F5B13"/>
    <w:rsid w:val="009005C4"/>
    <w:rsid w:val="0090242F"/>
    <w:rsid w:val="00903D31"/>
    <w:rsid w:val="00904B38"/>
    <w:rsid w:val="00904C87"/>
    <w:rsid w:val="0090528E"/>
    <w:rsid w:val="00906954"/>
    <w:rsid w:val="00906DDD"/>
    <w:rsid w:val="0091039A"/>
    <w:rsid w:val="00913C04"/>
    <w:rsid w:val="00914D05"/>
    <w:rsid w:val="009158C5"/>
    <w:rsid w:val="00916C99"/>
    <w:rsid w:val="00920EF1"/>
    <w:rsid w:val="0092150D"/>
    <w:rsid w:val="009218DC"/>
    <w:rsid w:val="0092357C"/>
    <w:rsid w:val="00923B02"/>
    <w:rsid w:val="00925B67"/>
    <w:rsid w:val="00927696"/>
    <w:rsid w:val="009278B2"/>
    <w:rsid w:val="00927936"/>
    <w:rsid w:val="0093030F"/>
    <w:rsid w:val="009305E5"/>
    <w:rsid w:val="00930872"/>
    <w:rsid w:val="00930E60"/>
    <w:rsid w:val="00930E70"/>
    <w:rsid w:val="00931A9C"/>
    <w:rsid w:val="00931D5A"/>
    <w:rsid w:val="0093298A"/>
    <w:rsid w:val="009330F6"/>
    <w:rsid w:val="009337CF"/>
    <w:rsid w:val="00933C8D"/>
    <w:rsid w:val="00933E43"/>
    <w:rsid w:val="00934027"/>
    <w:rsid w:val="00934BF3"/>
    <w:rsid w:val="00934CEA"/>
    <w:rsid w:val="00934F11"/>
    <w:rsid w:val="009356C7"/>
    <w:rsid w:val="00935883"/>
    <w:rsid w:val="00935E75"/>
    <w:rsid w:val="00936C6A"/>
    <w:rsid w:val="009411CC"/>
    <w:rsid w:val="00942954"/>
    <w:rsid w:val="00944203"/>
    <w:rsid w:val="00944DA3"/>
    <w:rsid w:val="009455AF"/>
    <w:rsid w:val="009463D8"/>
    <w:rsid w:val="00946753"/>
    <w:rsid w:val="00947E77"/>
    <w:rsid w:val="00950209"/>
    <w:rsid w:val="00950479"/>
    <w:rsid w:val="009527D7"/>
    <w:rsid w:val="00953925"/>
    <w:rsid w:val="009539C6"/>
    <w:rsid w:val="00953C7B"/>
    <w:rsid w:val="00954B33"/>
    <w:rsid w:val="00955FC5"/>
    <w:rsid w:val="00956730"/>
    <w:rsid w:val="00960341"/>
    <w:rsid w:val="009617C7"/>
    <w:rsid w:val="00962373"/>
    <w:rsid w:val="00962D50"/>
    <w:rsid w:val="009665B1"/>
    <w:rsid w:val="00966AF4"/>
    <w:rsid w:val="00966C9D"/>
    <w:rsid w:val="009719E5"/>
    <w:rsid w:val="00974859"/>
    <w:rsid w:val="00975164"/>
    <w:rsid w:val="00975472"/>
    <w:rsid w:val="009754E9"/>
    <w:rsid w:val="00975F0B"/>
    <w:rsid w:val="00977E37"/>
    <w:rsid w:val="00980B42"/>
    <w:rsid w:val="00981447"/>
    <w:rsid w:val="00981826"/>
    <w:rsid w:val="00982DD9"/>
    <w:rsid w:val="00982FA0"/>
    <w:rsid w:val="00985D11"/>
    <w:rsid w:val="00986266"/>
    <w:rsid w:val="009869F1"/>
    <w:rsid w:val="00990055"/>
    <w:rsid w:val="00990F5E"/>
    <w:rsid w:val="009911FE"/>
    <w:rsid w:val="00991354"/>
    <w:rsid w:val="0099350D"/>
    <w:rsid w:val="009937A8"/>
    <w:rsid w:val="009938FE"/>
    <w:rsid w:val="009939C4"/>
    <w:rsid w:val="009941FE"/>
    <w:rsid w:val="0099670A"/>
    <w:rsid w:val="00997351"/>
    <w:rsid w:val="00997FF8"/>
    <w:rsid w:val="009A039B"/>
    <w:rsid w:val="009A0C96"/>
    <w:rsid w:val="009A0CAF"/>
    <w:rsid w:val="009A1ABE"/>
    <w:rsid w:val="009A1C77"/>
    <w:rsid w:val="009A3BB6"/>
    <w:rsid w:val="009A4643"/>
    <w:rsid w:val="009A4747"/>
    <w:rsid w:val="009A4C62"/>
    <w:rsid w:val="009A4DFF"/>
    <w:rsid w:val="009A5F54"/>
    <w:rsid w:val="009A67B6"/>
    <w:rsid w:val="009A6C9C"/>
    <w:rsid w:val="009A6F4D"/>
    <w:rsid w:val="009B0099"/>
    <w:rsid w:val="009B095E"/>
    <w:rsid w:val="009B1612"/>
    <w:rsid w:val="009B2351"/>
    <w:rsid w:val="009B23DE"/>
    <w:rsid w:val="009B509C"/>
    <w:rsid w:val="009B671E"/>
    <w:rsid w:val="009B79E0"/>
    <w:rsid w:val="009C139D"/>
    <w:rsid w:val="009C1735"/>
    <w:rsid w:val="009C1977"/>
    <w:rsid w:val="009C2E0B"/>
    <w:rsid w:val="009C475D"/>
    <w:rsid w:val="009C5860"/>
    <w:rsid w:val="009C7D03"/>
    <w:rsid w:val="009D05DB"/>
    <w:rsid w:val="009D07EF"/>
    <w:rsid w:val="009D19B1"/>
    <w:rsid w:val="009D4360"/>
    <w:rsid w:val="009D545D"/>
    <w:rsid w:val="009D5694"/>
    <w:rsid w:val="009D58ED"/>
    <w:rsid w:val="009D637C"/>
    <w:rsid w:val="009D72C1"/>
    <w:rsid w:val="009E0161"/>
    <w:rsid w:val="009E17E7"/>
    <w:rsid w:val="009E2563"/>
    <w:rsid w:val="009E262A"/>
    <w:rsid w:val="009E37F1"/>
    <w:rsid w:val="009E3CCA"/>
    <w:rsid w:val="009E4EA0"/>
    <w:rsid w:val="009E5490"/>
    <w:rsid w:val="009E58B0"/>
    <w:rsid w:val="009E647A"/>
    <w:rsid w:val="009E6D67"/>
    <w:rsid w:val="009E7574"/>
    <w:rsid w:val="009E7FB8"/>
    <w:rsid w:val="009F0D9C"/>
    <w:rsid w:val="009F0DD6"/>
    <w:rsid w:val="009F1580"/>
    <w:rsid w:val="009F1D37"/>
    <w:rsid w:val="009F2082"/>
    <w:rsid w:val="009F2CD5"/>
    <w:rsid w:val="009F3B5C"/>
    <w:rsid w:val="009F438C"/>
    <w:rsid w:val="009F4B2C"/>
    <w:rsid w:val="009F4D94"/>
    <w:rsid w:val="009F4E8C"/>
    <w:rsid w:val="009F5286"/>
    <w:rsid w:val="009F5BA1"/>
    <w:rsid w:val="009F619F"/>
    <w:rsid w:val="009F6344"/>
    <w:rsid w:val="009F644E"/>
    <w:rsid w:val="009F7688"/>
    <w:rsid w:val="009F7B5A"/>
    <w:rsid w:val="00A00436"/>
    <w:rsid w:val="00A007B1"/>
    <w:rsid w:val="00A013F1"/>
    <w:rsid w:val="00A03557"/>
    <w:rsid w:val="00A0459C"/>
    <w:rsid w:val="00A04BC5"/>
    <w:rsid w:val="00A04D47"/>
    <w:rsid w:val="00A0565F"/>
    <w:rsid w:val="00A05C07"/>
    <w:rsid w:val="00A05F63"/>
    <w:rsid w:val="00A0770A"/>
    <w:rsid w:val="00A10095"/>
    <w:rsid w:val="00A125F5"/>
    <w:rsid w:val="00A14070"/>
    <w:rsid w:val="00A1423B"/>
    <w:rsid w:val="00A144B0"/>
    <w:rsid w:val="00A15FC3"/>
    <w:rsid w:val="00A1696F"/>
    <w:rsid w:val="00A175E4"/>
    <w:rsid w:val="00A22547"/>
    <w:rsid w:val="00A23CBE"/>
    <w:rsid w:val="00A25B0E"/>
    <w:rsid w:val="00A2628B"/>
    <w:rsid w:val="00A26417"/>
    <w:rsid w:val="00A30B5A"/>
    <w:rsid w:val="00A318C1"/>
    <w:rsid w:val="00A3298E"/>
    <w:rsid w:val="00A32A19"/>
    <w:rsid w:val="00A33AD5"/>
    <w:rsid w:val="00A33B9E"/>
    <w:rsid w:val="00A34230"/>
    <w:rsid w:val="00A34E67"/>
    <w:rsid w:val="00A35CEC"/>
    <w:rsid w:val="00A35F8C"/>
    <w:rsid w:val="00A36592"/>
    <w:rsid w:val="00A36D4E"/>
    <w:rsid w:val="00A36DAF"/>
    <w:rsid w:val="00A36EE4"/>
    <w:rsid w:val="00A4050C"/>
    <w:rsid w:val="00A41068"/>
    <w:rsid w:val="00A4181D"/>
    <w:rsid w:val="00A41A14"/>
    <w:rsid w:val="00A4208F"/>
    <w:rsid w:val="00A421A9"/>
    <w:rsid w:val="00A427A5"/>
    <w:rsid w:val="00A439AD"/>
    <w:rsid w:val="00A47BA1"/>
    <w:rsid w:val="00A5137E"/>
    <w:rsid w:val="00A5162A"/>
    <w:rsid w:val="00A517B0"/>
    <w:rsid w:val="00A5182E"/>
    <w:rsid w:val="00A5435A"/>
    <w:rsid w:val="00A54C87"/>
    <w:rsid w:val="00A55015"/>
    <w:rsid w:val="00A557A8"/>
    <w:rsid w:val="00A56D40"/>
    <w:rsid w:val="00A56D7A"/>
    <w:rsid w:val="00A57CCE"/>
    <w:rsid w:val="00A57DEA"/>
    <w:rsid w:val="00A600EC"/>
    <w:rsid w:val="00A60718"/>
    <w:rsid w:val="00A60D8A"/>
    <w:rsid w:val="00A618AD"/>
    <w:rsid w:val="00A62D59"/>
    <w:rsid w:val="00A63591"/>
    <w:rsid w:val="00A63F75"/>
    <w:rsid w:val="00A65D9B"/>
    <w:rsid w:val="00A65DF1"/>
    <w:rsid w:val="00A66C55"/>
    <w:rsid w:val="00A673F9"/>
    <w:rsid w:val="00A70FF7"/>
    <w:rsid w:val="00A710AD"/>
    <w:rsid w:val="00A73077"/>
    <w:rsid w:val="00A739B8"/>
    <w:rsid w:val="00A74AAF"/>
    <w:rsid w:val="00A75B15"/>
    <w:rsid w:val="00A75C13"/>
    <w:rsid w:val="00A75EC6"/>
    <w:rsid w:val="00A760B2"/>
    <w:rsid w:val="00A76136"/>
    <w:rsid w:val="00A763DA"/>
    <w:rsid w:val="00A776B2"/>
    <w:rsid w:val="00A77843"/>
    <w:rsid w:val="00A80D9D"/>
    <w:rsid w:val="00A8181D"/>
    <w:rsid w:val="00A81D6E"/>
    <w:rsid w:val="00A820BD"/>
    <w:rsid w:val="00A826E0"/>
    <w:rsid w:val="00A826EF"/>
    <w:rsid w:val="00A82D7B"/>
    <w:rsid w:val="00A82F88"/>
    <w:rsid w:val="00A84640"/>
    <w:rsid w:val="00A8486C"/>
    <w:rsid w:val="00A851A4"/>
    <w:rsid w:val="00A85EFE"/>
    <w:rsid w:val="00A8603E"/>
    <w:rsid w:val="00A86638"/>
    <w:rsid w:val="00A872C7"/>
    <w:rsid w:val="00A87D26"/>
    <w:rsid w:val="00A87E0B"/>
    <w:rsid w:val="00A90965"/>
    <w:rsid w:val="00A91246"/>
    <w:rsid w:val="00A9168E"/>
    <w:rsid w:val="00A91C61"/>
    <w:rsid w:val="00A92837"/>
    <w:rsid w:val="00A93CB4"/>
    <w:rsid w:val="00A9411D"/>
    <w:rsid w:val="00A9446F"/>
    <w:rsid w:val="00A94DF1"/>
    <w:rsid w:val="00A95458"/>
    <w:rsid w:val="00A95555"/>
    <w:rsid w:val="00A95782"/>
    <w:rsid w:val="00A958F9"/>
    <w:rsid w:val="00A95A2E"/>
    <w:rsid w:val="00A95C7B"/>
    <w:rsid w:val="00A95EC1"/>
    <w:rsid w:val="00AA03AC"/>
    <w:rsid w:val="00AA0D96"/>
    <w:rsid w:val="00AA152A"/>
    <w:rsid w:val="00AA2C12"/>
    <w:rsid w:val="00AA31EA"/>
    <w:rsid w:val="00AA31FF"/>
    <w:rsid w:val="00AA4F2A"/>
    <w:rsid w:val="00AA53B3"/>
    <w:rsid w:val="00AA5C2C"/>
    <w:rsid w:val="00AA7A83"/>
    <w:rsid w:val="00AA7FE7"/>
    <w:rsid w:val="00AB06DB"/>
    <w:rsid w:val="00AB0A0D"/>
    <w:rsid w:val="00AB1240"/>
    <w:rsid w:val="00AB20C2"/>
    <w:rsid w:val="00AB226A"/>
    <w:rsid w:val="00AB2368"/>
    <w:rsid w:val="00AB2747"/>
    <w:rsid w:val="00AB2D46"/>
    <w:rsid w:val="00AB3AFD"/>
    <w:rsid w:val="00AB4061"/>
    <w:rsid w:val="00AB5324"/>
    <w:rsid w:val="00AB5FC4"/>
    <w:rsid w:val="00AB7458"/>
    <w:rsid w:val="00AC04F8"/>
    <w:rsid w:val="00AC0898"/>
    <w:rsid w:val="00AC0A76"/>
    <w:rsid w:val="00AC0EEC"/>
    <w:rsid w:val="00AC109C"/>
    <w:rsid w:val="00AC1870"/>
    <w:rsid w:val="00AC292F"/>
    <w:rsid w:val="00AC49DA"/>
    <w:rsid w:val="00AC4ABF"/>
    <w:rsid w:val="00AC639F"/>
    <w:rsid w:val="00AC63DC"/>
    <w:rsid w:val="00AC6B5B"/>
    <w:rsid w:val="00AC7510"/>
    <w:rsid w:val="00AC7E34"/>
    <w:rsid w:val="00AC7FF9"/>
    <w:rsid w:val="00AD005B"/>
    <w:rsid w:val="00AD0143"/>
    <w:rsid w:val="00AD03C1"/>
    <w:rsid w:val="00AD1208"/>
    <w:rsid w:val="00AD1C36"/>
    <w:rsid w:val="00AD39EB"/>
    <w:rsid w:val="00AD3A1A"/>
    <w:rsid w:val="00AD3A93"/>
    <w:rsid w:val="00AD40B0"/>
    <w:rsid w:val="00AD7208"/>
    <w:rsid w:val="00AD7D52"/>
    <w:rsid w:val="00AE0EFC"/>
    <w:rsid w:val="00AE1299"/>
    <w:rsid w:val="00AE1E13"/>
    <w:rsid w:val="00AE24C7"/>
    <w:rsid w:val="00AE2F52"/>
    <w:rsid w:val="00AE3DE4"/>
    <w:rsid w:val="00AE47B3"/>
    <w:rsid w:val="00AF09F4"/>
    <w:rsid w:val="00AF111E"/>
    <w:rsid w:val="00AF13A4"/>
    <w:rsid w:val="00AF1741"/>
    <w:rsid w:val="00AF1E34"/>
    <w:rsid w:val="00AF1E6E"/>
    <w:rsid w:val="00AF2238"/>
    <w:rsid w:val="00AF2346"/>
    <w:rsid w:val="00AF2853"/>
    <w:rsid w:val="00AF2D48"/>
    <w:rsid w:val="00AF34D7"/>
    <w:rsid w:val="00AF37A1"/>
    <w:rsid w:val="00AF4777"/>
    <w:rsid w:val="00AF49B6"/>
    <w:rsid w:val="00AF49F3"/>
    <w:rsid w:val="00AF5012"/>
    <w:rsid w:val="00AF5424"/>
    <w:rsid w:val="00AF5B66"/>
    <w:rsid w:val="00AF645D"/>
    <w:rsid w:val="00AF6DAD"/>
    <w:rsid w:val="00AF6F76"/>
    <w:rsid w:val="00AF7326"/>
    <w:rsid w:val="00AF7546"/>
    <w:rsid w:val="00B00FFC"/>
    <w:rsid w:val="00B011E6"/>
    <w:rsid w:val="00B03774"/>
    <w:rsid w:val="00B03B25"/>
    <w:rsid w:val="00B0494C"/>
    <w:rsid w:val="00B04A06"/>
    <w:rsid w:val="00B06440"/>
    <w:rsid w:val="00B06A2B"/>
    <w:rsid w:val="00B112E9"/>
    <w:rsid w:val="00B11572"/>
    <w:rsid w:val="00B11C7C"/>
    <w:rsid w:val="00B12550"/>
    <w:rsid w:val="00B1275A"/>
    <w:rsid w:val="00B1299D"/>
    <w:rsid w:val="00B12F99"/>
    <w:rsid w:val="00B135C8"/>
    <w:rsid w:val="00B1578F"/>
    <w:rsid w:val="00B157BA"/>
    <w:rsid w:val="00B15C76"/>
    <w:rsid w:val="00B164B5"/>
    <w:rsid w:val="00B1698F"/>
    <w:rsid w:val="00B16F6E"/>
    <w:rsid w:val="00B1719A"/>
    <w:rsid w:val="00B17A07"/>
    <w:rsid w:val="00B17DD3"/>
    <w:rsid w:val="00B17FBB"/>
    <w:rsid w:val="00B201F4"/>
    <w:rsid w:val="00B20567"/>
    <w:rsid w:val="00B21389"/>
    <w:rsid w:val="00B22643"/>
    <w:rsid w:val="00B23C85"/>
    <w:rsid w:val="00B24360"/>
    <w:rsid w:val="00B273FD"/>
    <w:rsid w:val="00B3044D"/>
    <w:rsid w:val="00B30665"/>
    <w:rsid w:val="00B30B36"/>
    <w:rsid w:val="00B312E6"/>
    <w:rsid w:val="00B32379"/>
    <w:rsid w:val="00B32AAC"/>
    <w:rsid w:val="00B33266"/>
    <w:rsid w:val="00B33378"/>
    <w:rsid w:val="00B337F7"/>
    <w:rsid w:val="00B33919"/>
    <w:rsid w:val="00B35E71"/>
    <w:rsid w:val="00B371B5"/>
    <w:rsid w:val="00B41493"/>
    <w:rsid w:val="00B414D0"/>
    <w:rsid w:val="00B41D75"/>
    <w:rsid w:val="00B41FAD"/>
    <w:rsid w:val="00B425F5"/>
    <w:rsid w:val="00B42620"/>
    <w:rsid w:val="00B43024"/>
    <w:rsid w:val="00B43428"/>
    <w:rsid w:val="00B45CA3"/>
    <w:rsid w:val="00B47016"/>
    <w:rsid w:val="00B50332"/>
    <w:rsid w:val="00B50882"/>
    <w:rsid w:val="00B51594"/>
    <w:rsid w:val="00B51F97"/>
    <w:rsid w:val="00B52495"/>
    <w:rsid w:val="00B526AC"/>
    <w:rsid w:val="00B53E2E"/>
    <w:rsid w:val="00B55B92"/>
    <w:rsid w:val="00B560CB"/>
    <w:rsid w:val="00B56D55"/>
    <w:rsid w:val="00B570B9"/>
    <w:rsid w:val="00B6200A"/>
    <w:rsid w:val="00B6297E"/>
    <w:rsid w:val="00B6351B"/>
    <w:rsid w:val="00B64434"/>
    <w:rsid w:val="00B65B1B"/>
    <w:rsid w:val="00B6613E"/>
    <w:rsid w:val="00B663ED"/>
    <w:rsid w:val="00B66684"/>
    <w:rsid w:val="00B66A33"/>
    <w:rsid w:val="00B670D5"/>
    <w:rsid w:val="00B70468"/>
    <w:rsid w:val="00B718FD"/>
    <w:rsid w:val="00B71CA3"/>
    <w:rsid w:val="00B729C8"/>
    <w:rsid w:val="00B73B49"/>
    <w:rsid w:val="00B73E40"/>
    <w:rsid w:val="00B74973"/>
    <w:rsid w:val="00B758C5"/>
    <w:rsid w:val="00B76799"/>
    <w:rsid w:val="00B770D9"/>
    <w:rsid w:val="00B7724D"/>
    <w:rsid w:val="00B77613"/>
    <w:rsid w:val="00B7790B"/>
    <w:rsid w:val="00B77E3B"/>
    <w:rsid w:val="00B804C4"/>
    <w:rsid w:val="00B81CA7"/>
    <w:rsid w:val="00B81FA4"/>
    <w:rsid w:val="00B81FEB"/>
    <w:rsid w:val="00B8227B"/>
    <w:rsid w:val="00B83969"/>
    <w:rsid w:val="00B84635"/>
    <w:rsid w:val="00B84FC3"/>
    <w:rsid w:val="00B861DB"/>
    <w:rsid w:val="00B86F5F"/>
    <w:rsid w:val="00B870A8"/>
    <w:rsid w:val="00B877AB"/>
    <w:rsid w:val="00B90625"/>
    <w:rsid w:val="00B90875"/>
    <w:rsid w:val="00B90B15"/>
    <w:rsid w:val="00B91069"/>
    <w:rsid w:val="00B9115F"/>
    <w:rsid w:val="00B911B3"/>
    <w:rsid w:val="00B91FB4"/>
    <w:rsid w:val="00B92001"/>
    <w:rsid w:val="00B9249B"/>
    <w:rsid w:val="00B93913"/>
    <w:rsid w:val="00B94C83"/>
    <w:rsid w:val="00B9538F"/>
    <w:rsid w:val="00B958DE"/>
    <w:rsid w:val="00B95C0A"/>
    <w:rsid w:val="00B974B4"/>
    <w:rsid w:val="00BA061C"/>
    <w:rsid w:val="00BA1152"/>
    <w:rsid w:val="00BA13E9"/>
    <w:rsid w:val="00BA2C3E"/>
    <w:rsid w:val="00BA4AE1"/>
    <w:rsid w:val="00BA4CF6"/>
    <w:rsid w:val="00BA5AC5"/>
    <w:rsid w:val="00BA5E55"/>
    <w:rsid w:val="00BA60AB"/>
    <w:rsid w:val="00BA6AF7"/>
    <w:rsid w:val="00BA6FB9"/>
    <w:rsid w:val="00BB1737"/>
    <w:rsid w:val="00BB3906"/>
    <w:rsid w:val="00BB54A0"/>
    <w:rsid w:val="00BB57ED"/>
    <w:rsid w:val="00BB5ECB"/>
    <w:rsid w:val="00BB7B3D"/>
    <w:rsid w:val="00BC1483"/>
    <w:rsid w:val="00BC2E91"/>
    <w:rsid w:val="00BC3905"/>
    <w:rsid w:val="00BC3D69"/>
    <w:rsid w:val="00BC4452"/>
    <w:rsid w:val="00BC5B56"/>
    <w:rsid w:val="00BC6459"/>
    <w:rsid w:val="00BC6C16"/>
    <w:rsid w:val="00BC7C16"/>
    <w:rsid w:val="00BD01D2"/>
    <w:rsid w:val="00BD030D"/>
    <w:rsid w:val="00BD1122"/>
    <w:rsid w:val="00BD1B90"/>
    <w:rsid w:val="00BD1CDD"/>
    <w:rsid w:val="00BD2867"/>
    <w:rsid w:val="00BD44FF"/>
    <w:rsid w:val="00BD5B5F"/>
    <w:rsid w:val="00BD68B6"/>
    <w:rsid w:val="00BD726E"/>
    <w:rsid w:val="00BD7391"/>
    <w:rsid w:val="00BD7781"/>
    <w:rsid w:val="00BE1C9F"/>
    <w:rsid w:val="00BE3F78"/>
    <w:rsid w:val="00BE5A0F"/>
    <w:rsid w:val="00BE5A1C"/>
    <w:rsid w:val="00BE6194"/>
    <w:rsid w:val="00BE69D6"/>
    <w:rsid w:val="00BE6AE2"/>
    <w:rsid w:val="00BE6BD9"/>
    <w:rsid w:val="00BF2350"/>
    <w:rsid w:val="00BF24E5"/>
    <w:rsid w:val="00BF28D0"/>
    <w:rsid w:val="00BF2EDF"/>
    <w:rsid w:val="00BF5662"/>
    <w:rsid w:val="00BF5753"/>
    <w:rsid w:val="00BF5B87"/>
    <w:rsid w:val="00BF60FE"/>
    <w:rsid w:val="00BF64E7"/>
    <w:rsid w:val="00BF75E4"/>
    <w:rsid w:val="00BF75EC"/>
    <w:rsid w:val="00BF7893"/>
    <w:rsid w:val="00BF7B1A"/>
    <w:rsid w:val="00BF7EB2"/>
    <w:rsid w:val="00C0094C"/>
    <w:rsid w:val="00C00F36"/>
    <w:rsid w:val="00C00F7F"/>
    <w:rsid w:val="00C01701"/>
    <w:rsid w:val="00C02774"/>
    <w:rsid w:val="00C03EFF"/>
    <w:rsid w:val="00C05CAD"/>
    <w:rsid w:val="00C065CD"/>
    <w:rsid w:val="00C07F34"/>
    <w:rsid w:val="00C11230"/>
    <w:rsid w:val="00C128C0"/>
    <w:rsid w:val="00C137B5"/>
    <w:rsid w:val="00C141E1"/>
    <w:rsid w:val="00C15A6E"/>
    <w:rsid w:val="00C161DA"/>
    <w:rsid w:val="00C23DA6"/>
    <w:rsid w:val="00C23DDB"/>
    <w:rsid w:val="00C24E7A"/>
    <w:rsid w:val="00C25137"/>
    <w:rsid w:val="00C253EA"/>
    <w:rsid w:val="00C26412"/>
    <w:rsid w:val="00C30F2E"/>
    <w:rsid w:val="00C316D9"/>
    <w:rsid w:val="00C31EF6"/>
    <w:rsid w:val="00C32864"/>
    <w:rsid w:val="00C33EE5"/>
    <w:rsid w:val="00C34AA3"/>
    <w:rsid w:val="00C35854"/>
    <w:rsid w:val="00C35B6E"/>
    <w:rsid w:val="00C37B3C"/>
    <w:rsid w:val="00C40341"/>
    <w:rsid w:val="00C4036C"/>
    <w:rsid w:val="00C409FD"/>
    <w:rsid w:val="00C410B5"/>
    <w:rsid w:val="00C42609"/>
    <w:rsid w:val="00C435F3"/>
    <w:rsid w:val="00C43E69"/>
    <w:rsid w:val="00C444B8"/>
    <w:rsid w:val="00C445D9"/>
    <w:rsid w:val="00C4604C"/>
    <w:rsid w:val="00C467EC"/>
    <w:rsid w:val="00C469BE"/>
    <w:rsid w:val="00C46DAA"/>
    <w:rsid w:val="00C471AD"/>
    <w:rsid w:val="00C47D4E"/>
    <w:rsid w:val="00C47F20"/>
    <w:rsid w:val="00C500EA"/>
    <w:rsid w:val="00C50801"/>
    <w:rsid w:val="00C50D22"/>
    <w:rsid w:val="00C52A6F"/>
    <w:rsid w:val="00C52ADA"/>
    <w:rsid w:val="00C52EC4"/>
    <w:rsid w:val="00C52EDB"/>
    <w:rsid w:val="00C53342"/>
    <w:rsid w:val="00C546E6"/>
    <w:rsid w:val="00C552D2"/>
    <w:rsid w:val="00C559BB"/>
    <w:rsid w:val="00C56043"/>
    <w:rsid w:val="00C56F89"/>
    <w:rsid w:val="00C57BEA"/>
    <w:rsid w:val="00C612F0"/>
    <w:rsid w:val="00C61D37"/>
    <w:rsid w:val="00C62238"/>
    <w:rsid w:val="00C62329"/>
    <w:rsid w:val="00C62D57"/>
    <w:rsid w:val="00C63317"/>
    <w:rsid w:val="00C63B09"/>
    <w:rsid w:val="00C63BE7"/>
    <w:rsid w:val="00C65461"/>
    <w:rsid w:val="00C65F83"/>
    <w:rsid w:val="00C667D2"/>
    <w:rsid w:val="00C70E2A"/>
    <w:rsid w:val="00C71711"/>
    <w:rsid w:val="00C71ABA"/>
    <w:rsid w:val="00C72891"/>
    <w:rsid w:val="00C72B0D"/>
    <w:rsid w:val="00C7348B"/>
    <w:rsid w:val="00C7364A"/>
    <w:rsid w:val="00C75436"/>
    <w:rsid w:val="00C764DE"/>
    <w:rsid w:val="00C77BDC"/>
    <w:rsid w:val="00C8005F"/>
    <w:rsid w:val="00C8173D"/>
    <w:rsid w:val="00C829AD"/>
    <w:rsid w:val="00C82CD6"/>
    <w:rsid w:val="00C8308F"/>
    <w:rsid w:val="00C850A4"/>
    <w:rsid w:val="00C85B30"/>
    <w:rsid w:val="00C868C1"/>
    <w:rsid w:val="00C87E8A"/>
    <w:rsid w:val="00C91BD9"/>
    <w:rsid w:val="00C91E60"/>
    <w:rsid w:val="00C9540E"/>
    <w:rsid w:val="00C957F4"/>
    <w:rsid w:val="00C95871"/>
    <w:rsid w:val="00C95A23"/>
    <w:rsid w:val="00C9683A"/>
    <w:rsid w:val="00C96BFA"/>
    <w:rsid w:val="00C96D48"/>
    <w:rsid w:val="00C96EC2"/>
    <w:rsid w:val="00C97898"/>
    <w:rsid w:val="00CA1321"/>
    <w:rsid w:val="00CA232B"/>
    <w:rsid w:val="00CA2871"/>
    <w:rsid w:val="00CA3394"/>
    <w:rsid w:val="00CA3AC6"/>
    <w:rsid w:val="00CA68CC"/>
    <w:rsid w:val="00CB24BE"/>
    <w:rsid w:val="00CB2514"/>
    <w:rsid w:val="00CB3081"/>
    <w:rsid w:val="00CB3D6A"/>
    <w:rsid w:val="00CB55D9"/>
    <w:rsid w:val="00CB69A9"/>
    <w:rsid w:val="00CB7894"/>
    <w:rsid w:val="00CC05B9"/>
    <w:rsid w:val="00CC0DA5"/>
    <w:rsid w:val="00CC2145"/>
    <w:rsid w:val="00CC2A29"/>
    <w:rsid w:val="00CC2DBE"/>
    <w:rsid w:val="00CC5148"/>
    <w:rsid w:val="00CC68A4"/>
    <w:rsid w:val="00CD270C"/>
    <w:rsid w:val="00CD2E73"/>
    <w:rsid w:val="00CD3699"/>
    <w:rsid w:val="00CD4697"/>
    <w:rsid w:val="00CD4FDE"/>
    <w:rsid w:val="00CD59FC"/>
    <w:rsid w:val="00CD5BF4"/>
    <w:rsid w:val="00CD5E9E"/>
    <w:rsid w:val="00CD61C3"/>
    <w:rsid w:val="00CD6472"/>
    <w:rsid w:val="00CD720C"/>
    <w:rsid w:val="00CD7E36"/>
    <w:rsid w:val="00CE04DA"/>
    <w:rsid w:val="00CE0596"/>
    <w:rsid w:val="00CE0B43"/>
    <w:rsid w:val="00CE112E"/>
    <w:rsid w:val="00CE13A4"/>
    <w:rsid w:val="00CE1881"/>
    <w:rsid w:val="00CE189E"/>
    <w:rsid w:val="00CE255E"/>
    <w:rsid w:val="00CE3914"/>
    <w:rsid w:val="00CE3EAF"/>
    <w:rsid w:val="00CE3EB5"/>
    <w:rsid w:val="00CE4600"/>
    <w:rsid w:val="00CE5E19"/>
    <w:rsid w:val="00CE6633"/>
    <w:rsid w:val="00CE6BC9"/>
    <w:rsid w:val="00CE727D"/>
    <w:rsid w:val="00CE7E50"/>
    <w:rsid w:val="00CF1401"/>
    <w:rsid w:val="00CF15AF"/>
    <w:rsid w:val="00CF2130"/>
    <w:rsid w:val="00CF3155"/>
    <w:rsid w:val="00CF4A07"/>
    <w:rsid w:val="00CF6153"/>
    <w:rsid w:val="00CF63FB"/>
    <w:rsid w:val="00CF66C4"/>
    <w:rsid w:val="00CF7304"/>
    <w:rsid w:val="00CF776C"/>
    <w:rsid w:val="00D02129"/>
    <w:rsid w:val="00D029A8"/>
    <w:rsid w:val="00D02B28"/>
    <w:rsid w:val="00D03E46"/>
    <w:rsid w:val="00D04D2D"/>
    <w:rsid w:val="00D05DE5"/>
    <w:rsid w:val="00D0700E"/>
    <w:rsid w:val="00D11D21"/>
    <w:rsid w:val="00D137AA"/>
    <w:rsid w:val="00D143FE"/>
    <w:rsid w:val="00D17483"/>
    <w:rsid w:val="00D17A89"/>
    <w:rsid w:val="00D20059"/>
    <w:rsid w:val="00D2098A"/>
    <w:rsid w:val="00D2121D"/>
    <w:rsid w:val="00D213E2"/>
    <w:rsid w:val="00D215EC"/>
    <w:rsid w:val="00D2160B"/>
    <w:rsid w:val="00D216B0"/>
    <w:rsid w:val="00D21A50"/>
    <w:rsid w:val="00D23784"/>
    <w:rsid w:val="00D23DA0"/>
    <w:rsid w:val="00D25C6D"/>
    <w:rsid w:val="00D26BA5"/>
    <w:rsid w:val="00D3046F"/>
    <w:rsid w:val="00D31475"/>
    <w:rsid w:val="00D315A0"/>
    <w:rsid w:val="00D33531"/>
    <w:rsid w:val="00D3413B"/>
    <w:rsid w:val="00D34348"/>
    <w:rsid w:val="00D347C3"/>
    <w:rsid w:val="00D34ACC"/>
    <w:rsid w:val="00D351B6"/>
    <w:rsid w:val="00D36F7A"/>
    <w:rsid w:val="00D40742"/>
    <w:rsid w:val="00D407AE"/>
    <w:rsid w:val="00D41168"/>
    <w:rsid w:val="00D41B5B"/>
    <w:rsid w:val="00D41FE4"/>
    <w:rsid w:val="00D42717"/>
    <w:rsid w:val="00D4352F"/>
    <w:rsid w:val="00D43FA6"/>
    <w:rsid w:val="00D4518B"/>
    <w:rsid w:val="00D453A2"/>
    <w:rsid w:val="00D45EF9"/>
    <w:rsid w:val="00D4602D"/>
    <w:rsid w:val="00D4653A"/>
    <w:rsid w:val="00D46A53"/>
    <w:rsid w:val="00D46E17"/>
    <w:rsid w:val="00D472B1"/>
    <w:rsid w:val="00D505B6"/>
    <w:rsid w:val="00D50854"/>
    <w:rsid w:val="00D515B7"/>
    <w:rsid w:val="00D51FEF"/>
    <w:rsid w:val="00D52DF2"/>
    <w:rsid w:val="00D54A36"/>
    <w:rsid w:val="00D54F6B"/>
    <w:rsid w:val="00D5748C"/>
    <w:rsid w:val="00D60A91"/>
    <w:rsid w:val="00D6200D"/>
    <w:rsid w:val="00D62270"/>
    <w:rsid w:val="00D62913"/>
    <w:rsid w:val="00D63473"/>
    <w:rsid w:val="00D63D12"/>
    <w:rsid w:val="00D63DF6"/>
    <w:rsid w:val="00D65474"/>
    <w:rsid w:val="00D65865"/>
    <w:rsid w:val="00D662E9"/>
    <w:rsid w:val="00D66835"/>
    <w:rsid w:val="00D67080"/>
    <w:rsid w:val="00D6747E"/>
    <w:rsid w:val="00D67EBD"/>
    <w:rsid w:val="00D700B8"/>
    <w:rsid w:val="00D7053A"/>
    <w:rsid w:val="00D709B3"/>
    <w:rsid w:val="00D71502"/>
    <w:rsid w:val="00D7278E"/>
    <w:rsid w:val="00D727D0"/>
    <w:rsid w:val="00D72D9B"/>
    <w:rsid w:val="00D7302D"/>
    <w:rsid w:val="00D74604"/>
    <w:rsid w:val="00D75CA8"/>
    <w:rsid w:val="00D7606F"/>
    <w:rsid w:val="00D762F3"/>
    <w:rsid w:val="00D77B21"/>
    <w:rsid w:val="00D77C06"/>
    <w:rsid w:val="00D80A28"/>
    <w:rsid w:val="00D810E2"/>
    <w:rsid w:val="00D81A9C"/>
    <w:rsid w:val="00D81AFF"/>
    <w:rsid w:val="00D8477F"/>
    <w:rsid w:val="00D85057"/>
    <w:rsid w:val="00D850E8"/>
    <w:rsid w:val="00D913ED"/>
    <w:rsid w:val="00D926BE"/>
    <w:rsid w:val="00D92DA1"/>
    <w:rsid w:val="00D94D9D"/>
    <w:rsid w:val="00D95693"/>
    <w:rsid w:val="00D95A09"/>
    <w:rsid w:val="00D95ACE"/>
    <w:rsid w:val="00D95ED9"/>
    <w:rsid w:val="00D963DE"/>
    <w:rsid w:val="00D9676E"/>
    <w:rsid w:val="00D975F6"/>
    <w:rsid w:val="00DA1BA6"/>
    <w:rsid w:val="00DA2AA5"/>
    <w:rsid w:val="00DA313B"/>
    <w:rsid w:val="00DA3318"/>
    <w:rsid w:val="00DA335F"/>
    <w:rsid w:val="00DA60A2"/>
    <w:rsid w:val="00DA61F1"/>
    <w:rsid w:val="00DA6279"/>
    <w:rsid w:val="00DA67D4"/>
    <w:rsid w:val="00DA6E32"/>
    <w:rsid w:val="00DA795C"/>
    <w:rsid w:val="00DA7A84"/>
    <w:rsid w:val="00DB1695"/>
    <w:rsid w:val="00DB18A2"/>
    <w:rsid w:val="00DB1EFD"/>
    <w:rsid w:val="00DB2BCA"/>
    <w:rsid w:val="00DB2CB1"/>
    <w:rsid w:val="00DB33EC"/>
    <w:rsid w:val="00DB55F4"/>
    <w:rsid w:val="00DB5E1E"/>
    <w:rsid w:val="00DC06A7"/>
    <w:rsid w:val="00DC1428"/>
    <w:rsid w:val="00DC18DD"/>
    <w:rsid w:val="00DC2F34"/>
    <w:rsid w:val="00DC3438"/>
    <w:rsid w:val="00DC50A3"/>
    <w:rsid w:val="00DC5CC4"/>
    <w:rsid w:val="00DC6BB0"/>
    <w:rsid w:val="00DC6BB3"/>
    <w:rsid w:val="00DC6DFB"/>
    <w:rsid w:val="00DC7061"/>
    <w:rsid w:val="00DC77F8"/>
    <w:rsid w:val="00DD0298"/>
    <w:rsid w:val="00DD0A99"/>
    <w:rsid w:val="00DD276A"/>
    <w:rsid w:val="00DD2F9B"/>
    <w:rsid w:val="00DD3B30"/>
    <w:rsid w:val="00DD458A"/>
    <w:rsid w:val="00DD50DA"/>
    <w:rsid w:val="00DD56D7"/>
    <w:rsid w:val="00DD7158"/>
    <w:rsid w:val="00DD754C"/>
    <w:rsid w:val="00DE1265"/>
    <w:rsid w:val="00DE1672"/>
    <w:rsid w:val="00DE16A9"/>
    <w:rsid w:val="00DE2E88"/>
    <w:rsid w:val="00DE55DF"/>
    <w:rsid w:val="00DE5789"/>
    <w:rsid w:val="00DE693E"/>
    <w:rsid w:val="00DE7140"/>
    <w:rsid w:val="00DE7C58"/>
    <w:rsid w:val="00DF2890"/>
    <w:rsid w:val="00DF362C"/>
    <w:rsid w:val="00DF4198"/>
    <w:rsid w:val="00DF464F"/>
    <w:rsid w:val="00DF5A18"/>
    <w:rsid w:val="00DF63A5"/>
    <w:rsid w:val="00DF6424"/>
    <w:rsid w:val="00DF6D8C"/>
    <w:rsid w:val="00E00A01"/>
    <w:rsid w:val="00E01495"/>
    <w:rsid w:val="00E01545"/>
    <w:rsid w:val="00E0187D"/>
    <w:rsid w:val="00E018C2"/>
    <w:rsid w:val="00E01F24"/>
    <w:rsid w:val="00E02FFA"/>
    <w:rsid w:val="00E03830"/>
    <w:rsid w:val="00E03B02"/>
    <w:rsid w:val="00E0432F"/>
    <w:rsid w:val="00E046BC"/>
    <w:rsid w:val="00E05C22"/>
    <w:rsid w:val="00E06193"/>
    <w:rsid w:val="00E065CA"/>
    <w:rsid w:val="00E075CA"/>
    <w:rsid w:val="00E0776D"/>
    <w:rsid w:val="00E10A52"/>
    <w:rsid w:val="00E1179C"/>
    <w:rsid w:val="00E11F85"/>
    <w:rsid w:val="00E12666"/>
    <w:rsid w:val="00E13B63"/>
    <w:rsid w:val="00E1507A"/>
    <w:rsid w:val="00E157CF"/>
    <w:rsid w:val="00E172ED"/>
    <w:rsid w:val="00E174CC"/>
    <w:rsid w:val="00E176AD"/>
    <w:rsid w:val="00E2176D"/>
    <w:rsid w:val="00E2487A"/>
    <w:rsid w:val="00E256FB"/>
    <w:rsid w:val="00E25744"/>
    <w:rsid w:val="00E27C4A"/>
    <w:rsid w:val="00E27E22"/>
    <w:rsid w:val="00E34A8F"/>
    <w:rsid w:val="00E35217"/>
    <w:rsid w:val="00E35286"/>
    <w:rsid w:val="00E354E0"/>
    <w:rsid w:val="00E361DC"/>
    <w:rsid w:val="00E3633D"/>
    <w:rsid w:val="00E36EAB"/>
    <w:rsid w:val="00E4036F"/>
    <w:rsid w:val="00E40FB1"/>
    <w:rsid w:val="00E41121"/>
    <w:rsid w:val="00E423B8"/>
    <w:rsid w:val="00E428CE"/>
    <w:rsid w:val="00E43F32"/>
    <w:rsid w:val="00E45316"/>
    <w:rsid w:val="00E4532F"/>
    <w:rsid w:val="00E46690"/>
    <w:rsid w:val="00E46EDF"/>
    <w:rsid w:val="00E47A4B"/>
    <w:rsid w:val="00E50440"/>
    <w:rsid w:val="00E504D6"/>
    <w:rsid w:val="00E50DC3"/>
    <w:rsid w:val="00E5133E"/>
    <w:rsid w:val="00E51717"/>
    <w:rsid w:val="00E5297B"/>
    <w:rsid w:val="00E54A63"/>
    <w:rsid w:val="00E55769"/>
    <w:rsid w:val="00E569E4"/>
    <w:rsid w:val="00E61583"/>
    <w:rsid w:val="00E61D0C"/>
    <w:rsid w:val="00E62604"/>
    <w:rsid w:val="00E63545"/>
    <w:rsid w:val="00E65097"/>
    <w:rsid w:val="00E65119"/>
    <w:rsid w:val="00E6521D"/>
    <w:rsid w:val="00E67CF0"/>
    <w:rsid w:val="00E7019E"/>
    <w:rsid w:val="00E705C7"/>
    <w:rsid w:val="00E70972"/>
    <w:rsid w:val="00E713E5"/>
    <w:rsid w:val="00E72CAC"/>
    <w:rsid w:val="00E7463A"/>
    <w:rsid w:val="00E77136"/>
    <w:rsid w:val="00E77B92"/>
    <w:rsid w:val="00E81869"/>
    <w:rsid w:val="00E819EB"/>
    <w:rsid w:val="00E82FDD"/>
    <w:rsid w:val="00E83E30"/>
    <w:rsid w:val="00E8412B"/>
    <w:rsid w:val="00E84307"/>
    <w:rsid w:val="00E8723C"/>
    <w:rsid w:val="00E87484"/>
    <w:rsid w:val="00E9016D"/>
    <w:rsid w:val="00E90613"/>
    <w:rsid w:val="00E90C67"/>
    <w:rsid w:val="00E91022"/>
    <w:rsid w:val="00E911FE"/>
    <w:rsid w:val="00E914B0"/>
    <w:rsid w:val="00E91516"/>
    <w:rsid w:val="00E91859"/>
    <w:rsid w:val="00E92045"/>
    <w:rsid w:val="00E92125"/>
    <w:rsid w:val="00E92C2E"/>
    <w:rsid w:val="00E9392C"/>
    <w:rsid w:val="00E947DE"/>
    <w:rsid w:val="00E96651"/>
    <w:rsid w:val="00E979A2"/>
    <w:rsid w:val="00E97F90"/>
    <w:rsid w:val="00EA1C60"/>
    <w:rsid w:val="00EA246D"/>
    <w:rsid w:val="00EA2BAA"/>
    <w:rsid w:val="00EA400B"/>
    <w:rsid w:val="00EA4245"/>
    <w:rsid w:val="00EA4400"/>
    <w:rsid w:val="00EA461F"/>
    <w:rsid w:val="00EA4D2C"/>
    <w:rsid w:val="00EA5C6B"/>
    <w:rsid w:val="00EA6127"/>
    <w:rsid w:val="00EA64A1"/>
    <w:rsid w:val="00EA6EC7"/>
    <w:rsid w:val="00EA7BC4"/>
    <w:rsid w:val="00EB06E9"/>
    <w:rsid w:val="00EB0971"/>
    <w:rsid w:val="00EB21E4"/>
    <w:rsid w:val="00EB242F"/>
    <w:rsid w:val="00EB3598"/>
    <w:rsid w:val="00EB37E8"/>
    <w:rsid w:val="00EC03CC"/>
    <w:rsid w:val="00EC0D33"/>
    <w:rsid w:val="00EC2303"/>
    <w:rsid w:val="00EC276D"/>
    <w:rsid w:val="00EC4631"/>
    <w:rsid w:val="00EC4AF9"/>
    <w:rsid w:val="00EC5105"/>
    <w:rsid w:val="00EC58E0"/>
    <w:rsid w:val="00EC7B02"/>
    <w:rsid w:val="00EC7CB3"/>
    <w:rsid w:val="00EC7F6D"/>
    <w:rsid w:val="00ED037F"/>
    <w:rsid w:val="00ED2FB3"/>
    <w:rsid w:val="00ED38CD"/>
    <w:rsid w:val="00ED3C77"/>
    <w:rsid w:val="00ED5633"/>
    <w:rsid w:val="00ED61B9"/>
    <w:rsid w:val="00ED6697"/>
    <w:rsid w:val="00ED7595"/>
    <w:rsid w:val="00EE022A"/>
    <w:rsid w:val="00EE179E"/>
    <w:rsid w:val="00EE233B"/>
    <w:rsid w:val="00EE2C7C"/>
    <w:rsid w:val="00EE3F40"/>
    <w:rsid w:val="00EE459E"/>
    <w:rsid w:val="00EE47CB"/>
    <w:rsid w:val="00EE5743"/>
    <w:rsid w:val="00EE6B64"/>
    <w:rsid w:val="00EE7C9A"/>
    <w:rsid w:val="00EF0123"/>
    <w:rsid w:val="00EF0B7B"/>
    <w:rsid w:val="00EF0EC0"/>
    <w:rsid w:val="00EF0F3C"/>
    <w:rsid w:val="00EF3C1B"/>
    <w:rsid w:val="00EF4733"/>
    <w:rsid w:val="00EF4740"/>
    <w:rsid w:val="00EF4CDF"/>
    <w:rsid w:val="00EF5FF4"/>
    <w:rsid w:val="00EF62CA"/>
    <w:rsid w:val="00EF6DCF"/>
    <w:rsid w:val="00F00A10"/>
    <w:rsid w:val="00F00D08"/>
    <w:rsid w:val="00F04954"/>
    <w:rsid w:val="00F052B9"/>
    <w:rsid w:val="00F05954"/>
    <w:rsid w:val="00F05D25"/>
    <w:rsid w:val="00F0604A"/>
    <w:rsid w:val="00F06BB3"/>
    <w:rsid w:val="00F0746E"/>
    <w:rsid w:val="00F07FB2"/>
    <w:rsid w:val="00F10720"/>
    <w:rsid w:val="00F10D55"/>
    <w:rsid w:val="00F10E5D"/>
    <w:rsid w:val="00F11279"/>
    <w:rsid w:val="00F114AF"/>
    <w:rsid w:val="00F1268C"/>
    <w:rsid w:val="00F13887"/>
    <w:rsid w:val="00F1390B"/>
    <w:rsid w:val="00F13F13"/>
    <w:rsid w:val="00F15C73"/>
    <w:rsid w:val="00F163BD"/>
    <w:rsid w:val="00F16D14"/>
    <w:rsid w:val="00F16DAF"/>
    <w:rsid w:val="00F2088C"/>
    <w:rsid w:val="00F209C2"/>
    <w:rsid w:val="00F21029"/>
    <w:rsid w:val="00F213E6"/>
    <w:rsid w:val="00F21C9E"/>
    <w:rsid w:val="00F22E50"/>
    <w:rsid w:val="00F2319B"/>
    <w:rsid w:val="00F23578"/>
    <w:rsid w:val="00F235BB"/>
    <w:rsid w:val="00F2385E"/>
    <w:rsid w:val="00F238A9"/>
    <w:rsid w:val="00F24839"/>
    <w:rsid w:val="00F25286"/>
    <w:rsid w:val="00F26EF5"/>
    <w:rsid w:val="00F27CBA"/>
    <w:rsid w:val="00F31214"/>
    <w:rsid w:val="00F32502"/>
    <w:rsid w:val="00F32C81"/>
    <w:rsid w:val="00F33061"/>
    <w:rsid w:val="00F347E3"/>
    <w:rsid w:val="00F353D5"/>
    <w:rsid w:val="00F35712"/>
    <w:rsid w:val="00F406EA"/>
    <w:rsid w:val="00F40899"/>
    <w:rsid w:val="00F413EE"/>
    <w:rsid w:val="00F41432"/>
    <w:rsid w:val="00F41757"/>
    <w:rsid w:val="00F4224B"/>
    <w:rsid w:val="00F422A0"/>
    <w:rsid w:val="00F43892"/>
    <w:rsid w:val="00F43DE3"/>
    <w:rsid w:val="00F44BCF"/>
    <w:rsid w:val="00F44F33"/>
    <w:rsid w:val="00F45B05"/>
    <w:rsid w:val="00F46F8C"/>
    <w:rsid w:val="00F46FDD"/>
    <w:rsid w:val="00F4770D"/>
    <w:rsid w:val="00F503F1"/>
    <w:rsid w:val="00F50F72"/>
    <w:rsid w:val="00F519F6"/>
    <w:rsid w:val="00F53997"/>
    <w:rsid w:val="00F53B05"/>
    <w:rsid w:val="00F54155"/>
    <w:rsid w:val="00F54B45"/>
    <w:rsid w:val="00F556AF"/>
    <w:rsid w:val="00F56330"/>
    <w:rsid w:val="00F567F3"/>
    <w:rsid w:val="00F614B5"/>
    <w:rsid w:val="00F6189C"/>
    <w:rsid w:val="00F61EBB"/>
    <w:rsid w:val="00F62DE6"/>
    <w:rsid w:val="00F62FFD"/>
    <w:rsid w:val="00F6447A"/>
    <w:rsid w:val="00F64606"/>
    <w:rsid w:val="00F655D1"/>
    <w:rsid w:val="00F65B72"/>
    <w:rsid w:val="00F66476"/>
    <w:rsid w:val="00F66585"/>
    <w:rsid w:val="00F66A09"/>
    <w:rsid w:val="00F7097B"/>
    <w:rsid w:val="00F71191"/>
    <w:rsid w:val="00F71D15"/>
    <w:rsid w:val="00F7260A"/>
    <w:rsid w:val="00F7331F"/>
    <w:rsid w:val="00F75F34"/>
    <w:rsid w:val="00F77161"/>
    <w:rsid w:val="00F77462"/>
    <w:rsid w:val="00F806FC"/>
    <w:rsid w:val="00F81521"/>
    <w:rsid w:val="00F81A81"/>
    <w:rsid w:val="00F81E53"/>
    <w:rsid w:val="00F83331"/>
    <w:rsid w:val="00F83626"/>
    <w:rsid w:val="00F858B4"/>
    <w:rsid w:val="00F85F20"/>
    <w:rsid w:val="00F87ABF"/>
    <w:rsid w:val="00F87F2C"/>
    <w:rsid w:val="00F90088"/>
    <w:rsid w:val="00F90CC7"/>
    <w:rsid w:val="00F9109A"/>
    <w:rsid w:val="00F911CF"/>
    <w:rsid w:val="00F91575"/>
    <w:rsid w:val="00F92026"/>
    <w:rsid w:val="00F92080"/>
    <w:rsid w:val="00F92405"/>
    <w:rsid w:val="00F9282B"/>
    <w:rsid w:val="00F92F45"/>
    <w:rsid w:val="00F92FCB"/>
    <w:rsid w:val="00F93449"/>
    <w:rsid w:val="00F9429C"/>
    <w:rsid w:val="00F95167"/>
    <w:rsid w:val="00F951F7"/>
    <w:rsid w:val="00F95921"/>
    <w:rsid w:val="00FA06C8"/>
    <w:rsid w:val="00FA15E5"/>
    <w:rsid w:val="00FA17F6"/>
    <w:rsid w:val="00FA3190"/>
    <w:rsid w:val="00FA35FA"/>
    <w:rsid w:val="00FA4483"/>
    <w:rsid w:val="00FA6123"/>
    <w:rsid w:val="00FA7D09"/>
    <w:rsid w:val="00FB1472"/>
    <w:rsid w:val="00FB3410"/>
    <w:rsid w:val="00FB4B64"/>
    <w:rsid w:val="00FB5EF2"/>
    <w:rsid w:val="00FB7642"/>
    <w:rsid w:val="00FB7FBB"/>
    <w:rsid w:val="00FC18E8"/>
    <w:rsid w:val="00FC1AD1"/>
    <w:rsid w:val="00FC20F0"/>
    <w:rsid w:val="00FC26EA"/>
    <w:rsid w:val="00FC2C6B"/>
    <w:rsid w:val="00FC368E"/>
    <w:rsid w:val="00FC44F8"/>
    <w:rsid w:val="00FC5329"/>
    <w:rsid w:val="00FC5856"/>
    <w:rsid w:val="00FC596B"/>
    <w:rsid w:val="00FC5A51"/>
    <w:rsid w:val="00FC5DFD"/>
    <w:rsid w:val="00FC6E76"/>
    <w:rsid w:val="00FC7A8F"/>
    <w:rsid w:val="00FD06BF"/>
    <w:rsid w:val="00FD08E0"/>
    <w:rsid w:val="00FD167A"/>
    <w:rsid w:val="00FD1A45"/>
    <w:rsid w:val="00FD2308"/>
    <w:rsid w:val="00FD38E0"/>
    <w:rsid w:val="00FD785E"/>
    <w:rsid w:val="00FE0B2F"/>
    <w:rsid w:val="00FE11BA"/>
    <w:rsid w:val="00FE21C7"/>
    <w:rsid w:val="00FE3378"/>
    <w:rsid w:val="00FE4B6B"/>
    <w:rsid w:val="00FE4BE9"/>
    <w:rsid w:val="00FE4EEC"/>
    <w:rsid w:val="00FE57C2"/>
    <w:rsid w:val="00FE743A"/>
    <w:rsid w:val="00FF0816"/>
    <w:rsid w:val="00FF0B8E"/>
    <w:rsid w:val="00FF106C"/>
    <w:rsid w:val="00FF1F91"/>
    <w:rsid w:val="00FF58DF"/>
    <w:rsid w:val="00FF593C"/>
    <w:rsid w:val="00FF596E"/>
    <w:rsid w:val="00FF796E"/>
    <w:rsid w:val="02323BAA"/>
    <w:rsid w:val="02E36378"/>
    <w:rsid w:val="0B6149B5"/>
    <w:rsid w:val="14627637"/>
    <w:rsid w:val="18FC4A0C"/>
    <w:rsid w:val="1D47216D"/>
    <w:rsid w:val="21DE1A84"/>
    <w:rsid w:val="220550BF"/>
    <w:rsid w:val="282000CC"/>
    <w:rsid w:val="28365E72"/>
    <w:rsid w:val="299D769A"/>
    <w:rsid w:val="2DDA18A8"/>
    <w:rsid w:val="2E235863"/>
    <w:rsid w:val="2E932E48"/>
    <w:rsid w:val="356A0331"/>
    <w:rsid w:val="36A614B5"/>
    <w:rsid w:val="3C57516A"/>
    <w:rsid w:val="3CA35CC2"/>
    <w:rsid w:val="42160A8B"/>
    <w:rsid w:val="47C9392B"/>
    <w:rsid w:val="489108BA"/>
    <w:rsid w:val="4B977B4C"/>
    <w:rsid w:val="4C07152B"/>
    <w:rsid w:val="4C811C53"/>
    <w:rsid w:val="4DE55F3C"/>
    <w:rsid w:val="50A40E99"/>
    <w:rsid w:val="511F4F95"/>
    <w:rsid w:val="530162F6"/>
    <w:rsid w:val="5B4F263B"/>
    <w:rsid w:val="5D0C3296"/>
    <w:rsid w:val="5D983322"/>
    <w:rsid w:val="60D50CFF"/>
    <w:rsid w:val="74F054A4"/>
    <w:rsid w:val="767B2934"/>
    <w:rsid w:val="769121B8"/>
    <w:rsid w:val="776E0CB4"/>
    <w:rsid w:val="79B94B4D"/>
    <w:rsid w:val="7A0B0FB5"/>
    <w:rsid w:val="7A6E0BFA"/>
    <w:rsid w:val="7E2E44C9"/>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0" w:semiHidden="0" w:name="heading 2"/>
    <w:lsdException w:qFormat="1" w:uiPriority="0" w:name="heading 3"/>
    <w:lsdException w:qFormat="1" w:unhideWhenUsed="0" w:uiPriority="9" w:semiHidden="0" w:name="heading 4"/>
    <w:lsdException w:qFormat="1" w:unhideWhenUsed="0" w:uiPriority="9"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99"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99"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99"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99" w:semiHidden="0" w:name="FollowedHyperlink"/>
    <w:lsdException w:qFormat="1" w:unhideWhenUsed="0" w:uiPriority="0" w:semiHidden="0" w:name="Strong"/>
    <w:lsdException w:qFormat="1" w:unhideWhenUsed="0" w:uiPriority="0" w:semiHidden="0" w:name="Emphasis"/>
    <w:lsdException w:qFormat="1" w:unhideWhenUsed="0" w:uiPriority="99"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99"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
    <w:name w:val="heading 1"/>
    <w:basedOn w:val="1"/>
    <w:next w:val="1"/>
    <w:link w:val="28"/>
    <w:qFormat/>
    <w:uiPriority w:val="99"/>
    <w:pPr>
      <w:keepNext/>
      <w:keepLines/>
      <w:numPr>
        <w:ilvl w:val="0"/>
        <w:numId w:val="1"/>
      </w:numPr>
      <w:adjustRightInd w:val="0"/>
      <w:snapToGrid w:val="0"/>
      <w:spacing w:before="156" w:beforeLines="50" w:after="156" w:afterLines="50" w:line="300" w:lineRule="auto"/>
      <w:jc w:val="center"/>
      <w:outlineLvl w:val="0"/>
    </w:pPr>
    <w:rPr>
      <w:rFonts w:ascii="仿宋_GB2312" w:hAnsi="楷体" w:eastAsia="仿宋_GB2312"/>
      <w:b/>
      <w:bCs/>
      <w:kern w:val="44"/>
      <w:sz w:val="36"/>
      <w:szCs w:val="36"/>
    </w:rPr>
  </w:style>
  <w:style w:type="paragraph" w:styleId="4">
    <w:name w:val="heading 2"/>
    <w:basedOn w:val="1"/>
    <w:next w:val="1"/>
    <w:link w:val="69"/>
    <w:unhideWhenUsed/>
    <w:qFormat/>
    <w:uiPriority w:val="0"/>
    <w:pPr>
      <w:keepNext/>
      <w:keepLines/>
      <w:spacing w:before="50" w:beforeLines="50" w:beforeAutospacing="0" w:after="50" w:afterLines="50" w:afterAutospacing="0" w:line="400" w:lineRule="exact"/>
      <w:outlineLvl w:val="1"/>
    </w:pPr>
    <w:rPr>
      <w:rFonts w:ascii="Arial" w:hAnsi="Arial" w:eastAsia="黑体"/>
      <w:b/>
      <w:sz w:val="30"/>
    </w:rPr>
  </w:style>
  <w:style w:type="paragraph" w:styleId="5">
    <w:name w:val="heading 4"/>
    <w:basedOn w:val="1"/>
    <w:next w:val="1"/>
    <w:qFormat/>
    <w:uiPriority w:val="9"/>
    <w:pPr>
      <w:keepNext/>
      <w:keepLines/>
      <w:adjustRightInd w:val="0"/>
      <w:spacing w:line="560" w:lineRule="exact"/>
      <w:ind w:firstLine="880" w:firstLineChars="200"/>
      <w:outlineLvl w:val="3"/>
    </w:pPr>
    <w:rPr>
      <w:rFonts w:eastAsia="方正仿宋_GBK" w:cs="Times New Roman"/>
      <w:b/>
      <w:sz w:val="32"/>
    </w:rPr>
  </w:style>
  <w:style w:type="paragraph" w:styleId="6">
    <w:name w:val="heading 5"/>
    <w:basedOn w:val="1"/>
    <w:next w:val="1"/>
    <w:qFormat/>
    <w:uiPriority w:val="9"/>
    <w:pPr>
      <w:keepNext/>
      <w:keepLines/>
      <w:spacing w:line="377" w:lineRule="auto"/>
      <w:outlineLvl w:val="4"/>
    </w:pPr>
    <w:rPr>
      <w:rFonts w:eastAsia="仿宋"/>
      <w:b/>
      <w:bCs/>
      <w:sz w:val="24"/>
      <w:szCs w:val="28"/>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2">
    <w:name w:val="Normal Indent"/>
    <w:basedOn w:val="1"/>
    <w:next w:val="1"/>
    <w:qFormat/>
    <w:uiPriority w:val="0"/>
    <w:pPr>
      <w:ind w:firstLine="420"/>
    </w:pPr>
    <w:rPr>
      <w:kern w:val="0"/>
      <w:sz w:val="20"/>
    </w:rPr>
  </w:style>
  <w:style w:type="paragraph" w:styleId="7">
    <w:name w:val="Document Map"/>
    <w:basedOn w:val="1"/>
    <w:link w:val="29"/>
    <w:qFormat/>
    <w:uiPriority w:val="99"/>
    <w:pPr>
      <w:shd w:val="clear" w:color="auto" w:fill="000080"/>
    </w:pPr>
  </w:style>
  <w:style w:type="paragraph" w:styleId="8">
    <w:name w:val="annotation text"/>
    <w:basedOn w:val="1"/>
    <w:link w:val="30"/>
    <w:qFormat/>
    <w:uiPriority w:val="0"/>
    <w:pPr>
      <w:jc w:val="left"/>
    </w:pPr>
  </w:style>
  <w:style w:type="paragraph" w:styleId="9">
    <w:name w:val="Body Text"/>
    <w:basedOn w:val="1"/>
    <w:link w:val="31"/>
    <w:qFormat/>
    <w:uiPriority w:val="99"/>
    <w:pPr>
      <w:spacing w:after="120"/>
    </w:pPr>
    <w:rPr>
      <w:szCs w:val="20"/>
    </w:rPr>
  </w:style>
  <w:style w:type="paragraph" w:styleId="10">
    <w:name w:val="Body Text Indent"/>
    <w:basedOn w:val="1"/>
    <w:link w:val="32"/>
    <w:qFormat/>
    <w:uiPriority w:val="0"/>
    <w:pPr>
      <w:spacing w:after="120"/>
      <w:ind w:left="420" w:leftChars="200"/>
    </w:pPr>
  </w:style>
  <w:style w:type="paragraph" w:styleId="11">
    <w:name w:val="Body Text Indent 2"/>
    <w:basedOn w:val="1"/>
    <w:link w:val="33"/>
    <w:qFormat/>
    <w:uiPriority w:val="0"/>
    <w:pPr>
      <w:spacing w:after="120" w:line="480" w:lineRule="auto"/>
      <w:ind w:left="420" w:leftChars="200"/>
    </w:pPr>
  </w:style>
  <w:style w:type="paragraph" w:styleId="12">
    <w:name w:val="Balloon Text"/>
    <w:basedOn w:val="1"/>
    <w:link w:val="34"/>
    <w:qFormat/>
    <w:uiPriority w:val="99"/>
    <w:rPr>
      <w:sz w:val="18"/>
      <w:szCs w:val="18"/>
    </w:rPr>
  </w:style>
  <w:style w:type="paragraph" w:styleId="13">
    <w:name w:val="footer"/>
    <w:basedOn w:val="1"/>
    <w:link w:val="35"/>
    <w:qFormat/>
    <w:uiPriority w:val="0"/>
    <w:pPr>
      <w:snapToGrid w:val="0"/>
      <w:ind w:right="210" w:rightChars="100"/>
      <w:jc w:val="right"/>
    </w:pPr>
    <w:rPr>
      <w:sz w:val="18"/>
      <w:szCs w:val="18"/>
    </w:rPr>
  </w:style>
  <w:style w:type="paragraph" w:styleId="14">
    <w:name w:val="header"/>
    <w:basedOn w:val="1"/>
    <w:link w:val="36"/>
    <w:qFormat/>
    <w:uiPriority w:val="0"/>
    <w:pPr>
      <w:snapToGrid w:val="0"/>
      <w:jc w:val="left"/>
    </w:pPr>
    <w:rPr>
      <w:sz w:val="18"/>
      <w:szCs w:val="18"/>
    </w:rPr>
  </w:style>
  <w:style w:type="paragraph" w:styleId="15">
    <w:name w:val="toc 1"/>
    <w:basedOn w:val="1"/>
    <w:next w:val="1"/>
    <w:qFormat/>
    <w:uiPriority w:val="99"/>
    <w:pPr>
      <w:tabs>
        <w:tab w:val="left" w:pos="1050"/>
        <w:tab w:val="right" w:leader="dot" w:pos="8302"/>
        <w:tab w:val="right" w:leader="dot" w:pos="8813"/>
      </w:tabs>
    </w:pPr>
  </w:style>
  <w:style w:type="paragraph" w:styleId="16">
    <w:name w:val="Normal (Web)"/>
    <w:basedOn w:val="1"/>
    <w:qFormat/>
    <w:uiPriority w:val="99"/>
    <w:pPr>
      <w:widowControl/>
      <w:spacing w:before="100" w:beforeAutospacing="1" w:after="100" w:afterAutospacing="1"/>
      <w:jc w:val="left"/>
    </w:pPr>
    <w:rPr>
      <w:rFonts w:ascii="宋体" w:hAnsi="宋体" w:cs="宋体"/>
      <w:kern w:val="0"/>
      <w:sz w:val="24"/>
    </w:rPr>
  </w:style>
  <w:style w:type="paragraph" w:styleId="17">
    <w:name w:val="Title"/>
    <w:basedOn w:val="1"/>
    <w:next w:val="1"/>
    <w:link w:val="37"/>
    <w:qFormat/>
    <w:uiPriority w:val="0"/>
    <w:pPr>
      <w:adjustRightInd w:val="0"/>
      <w:snapToGrid w:val="0"/>
      <w:spacing w:line="288" w:lineRule="auto"/>
    </w:pPr>
    <w:rPr>
      <w:rFonts w:eastAsia="仿宋_GB2312"/>
      <w:b/>
      <w:sz w:val="24"/>
    </w:rPr>
  </w:style>
  <w:style w:type="paragraph" w:styleId="18">
    <w:name w:val="annotation subject"/>
    <w:basedOn w:val="8"/>
    <w:next w:val="8"/>
    <w:link w:val="38"/>
    <w:qFormat/>
    <w:uiPriority w:val="0"/>
    <w:rPr>
      <w:b/>
      <w:bCs/>
    </w:rPr>
  </w:style>
  <w:style w:type="paragraph" w:styleId="19">
    <w:name w:val="Body Text First Indent"/>
    <w:basedOn w:val="9"/>
    <w:link w:val="39"/>
    <w:qFormat/>
    <w:uiPriority w:val="99"/>
    <w:pPr>
      <w:ind w:firstLine="420" w:firstLineChars="100"/>
    </w:p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character" w:styleId="24">
    <w:name w:val="page number"/>
    <w:qFormat/>
    <w:uiPriority w:val="0"/>
    <w:rPr>
      <w:rFonts w:ascii="Times New Roman" w:hAnsi="Times New Roman" w:eastAsia="宋体"/>
      <w:sz w:val="18"/>
    </w:rPr>
  </w:style>
  <w:style w:type="character" w:styleId="25">
    <w:name w:val="FollowedHyperlink"/>
    <w:qFormat/>
    <w:uiPriority w:val="99"/>
    <w:rPr>
      <w:color w:val="800080"/>
      <w:u w:val="single"/>
    </w:rPr>
  </w:style>
  <w:style w:type="character" w:styleId="26">
    <w:name w:val="Hyperlink"/>
    <w:qFormat/>
    <w:uiPriority w:val="99"/>
    <w:rPr>
      <w:color w:val="0000FF"/>
      <w:u w:val="single"/>
    </w:rPr>
  </w:style>
  <w:style w:type="character" w:styleId="27">
    <w:name w:val="annotation reference"/>
    <w:qFormat/>
    <w:uiPriority w:val="0"/>
    <w:rPr>
      <w:sz w:val="21"/>
      <w:szCs w:val="21"/>
    </w:rPr>
  </w:style>
  <w:style w:type="character" w:customStyle="1" w:styleId="28">
    <w:name w:val="标题 1 Char1"/>
    <w:link w:val="3"/>
    <w:qFormat/>
    <w:uiPriority w:val="99"/>
    <w:rPr>
      <w:rFonts w:ascii="仿宋_GB2312" w:hAnsi="楷体" w:eastAsia="仿宋_GB2312"/>
      <w:b/>
      <w:bCs/>
      <w:kern w:val="44"/>
      <w:sz w:val="36"/>
      <w:szCs w:val="36"/>
    </w:rPr>
  </w:style>
  <w:style w:type="character" w:customStyle="1" w:styleId="29">
    <w:name w:val="文档结构图 Char"/>
    <w:link w:val="7"/>
    <w:qFormat/>
    <w:uiPriority w:val="99"/>
    <w:rPr>
      <w:kern w:val="2"/>
      <w:sz w:val="21"/>
      <w:szCs w:val="24"/>
      <w:shd w:val="clear" w:color="auto" w:fill="000080"/>
    </w:rPr>
  </w:style>
  <w:style w:type="character" w:customStyle="1" w:styleId="30">
    <w:name w:val="批注文字 Char"/>
    <w:link w:val="8"/>
    <w:qFormat/>
    <w:uiPriority w:val="0"/>
    <w:rPr>
      <w:kern w:val="2"/>
      <w:sz w:val="21"/>
      <w:szCs w:val="24"/>
    </w:rPr>
  </w:style>
  <w:style w:type="character" w:customStyle="1" w:styleId="31">
    <w:name w:val="正文文本 Char"/>
    <w:link w:val="9"/>
    <w:qFormat/>
    <w:uiPriority w:val="99"/>
    <w:rPr>
      <w:kern w:val="2"/>
      <w:sz w:val="21"/>
    </w:rPr>
  </w:style>
  <w:style w:type="character" w:customStyle="1" w:styleId="32">
    <w:name w:val="正文文本缩进 Char"/>
    <w:link w:val="10"/>
    <w:qFormat/>
    <w:uiPriority w:val="0"/>
    <w:rPr>
      <w:kern w:val="2"/>
      <w:sz w:val="21"/>
      <w:szCs w:val="24"/>
    </w:rPr>
  </w:style>
  <w:style w:type="character" w:customStyle="1" w:styleId="33">
    <w:name w:val="正文文本缩进 2 Char"/>
    <w:link w:val="11"/>
    <w:qFormat/>
    <w:uiPriority w:val="0"/>
    <w:rPr>
      <w:kern w:val="2"/>
      <w:sz w:val="21"/>
      <w:szCs w:val="24"/>
    </w:rPr>
  </w:style>
  <w:style w:type="character" w:customStyle="1" w:styleId="34">
    <w:name w:val="批注框文本 Char"/>
    <w:link w:val="12"/>
    <w:qFormat/>
    <w:uiPriority w:val="99"/>
    <w:rPr>
      <w:kern w:val="2"/>
      <w:sz w:val="18"/>
      <w:szCs w:val="18"/>
    </w:rPr>
  </w:style>
  <w:style w:type="character" w:customStyle="1" w:styleId="35">
    <w:name w:val="页脚 Char"/>
    <w:link w:val="13"/>
    <w:qFormat/>
    <w:uiPriority w:val="0"/>
    <w:rPr>
      <w:rFonts w:eastAsia="宋体"/>
      <w:kern w:val="2"/>
      <w:sz w:val="18"/>
      <w:szCs w:val="18"/>
      <w:lang w:val="en-US" w:eastAsia="zh-CN" w:bidi="ar-SA"/>
    </w:rPr>
  </w:style>
  <w:style w:type="character" w:customStyle="1" w:styleId="36">
    <w:name w:val="页眉 Char"/>
    <w:link w:val="14"/>
    <w:qFormat/>
    <w:uiPriority w:val="0"/>
    <w:rPr>
      <w:rFonts w:eastAsia="宋体"/>
      <w:kern w:val="2"/>
      <w:sz w:val="18"/>
      <w:szCs w:val="18"/>
      <w:lang w:val="en-US" w:eastAsia="zh-CN" w:bidi="ar-SA"/>
    </w:rPr>
  </w:style>
  <w:style w:type="character" w:customStyle="1" w:styleId="37">
    <w:name w:val="标题 Char"/>
    <w:link w:val="17"/>
    <w:qFormat/>
    <w:uiPriority w:val="0"/>
    <w:rPr>
      <w:rFonts w:eastAsia="仿宋_GB2312"/>
      <w:b/>
      <w:kern w:val="2"/>
      <w:sz w:val="24"/>
      <w:szCs w:val="24"/>
    </w:rPr>
  </w:style>
  <w:style w:type="character" w:customStyle="1" w:styleId="38">
    <w:name w:val="批注主题 Char"/>
    <w:link w:val="18"/>
    <w:qFormat/>
    <w:uiPriority w:val="0"/>
    <w:rPr>
      <w:b/>
      <w:bCs/>
      <w:kern w:val="2"/>
      <w:sz w:val="21"/>
      <w:szCs w:val="24"/>
    </w:rPr>
  </w:style>
  <w:style w:type="character" w:customStyle="1" w:styleId="39">
    <w:name w:val="正文首行缩进 Char"/>
    <w:basedOn w:val="31"/>
    <w:link w:val="19"/>
    <w:qFormat/>
    <w:uiPriority w:val="99"/>
  </w:style>
  <w:style w:type="character" w:customStyle="1" w:styleId="40">
    <w:name w:val="页眉 Char1"/>
    <w:semiHidden/>
    <w:qFormat/>
    <w:locked/>
    <w:uiPriority w:val="99"/>
    <w:rPr>
      <w:rFonts w:cs="Times New Roman"/>
      <w:sz w:val="18"/>
    </w:rPr>
  </w:style>
  <w:style w:type="character" w:customStyle="1" w:styleId="41">
    <w:name w:val="标题 1 Char"/>
    <w:qFormat/>
    <w:uiPriority w:val="99"/>
    <w:rPr>
      <w:rFonts w:ascii="黑体" w:eastAsia="黑体"/>
      <w:b/>
      <w:kern w:val="44"/>
      <w:sz w:val="28"/>
      <w:lang w:val="en-US" w:eastAsia="zh-CN" w:bidi="ar-SA"/>
    </w:rPr>
  </w:style>
  <w:style w:type="character" w:customStyle="1" w:styleId="42">
    <w:name w:val="论文正文 Char"/>
    <w:link w:val="43"/>
    <w:qFormat/>
    <w:uiPriority w:val="0"/>
    <w:rPr>
      <w:kern w:val="2"/>
      <w:sz w:val="24"/>
      <w:szCs w:val="24"/>
    </w:rPr>
  </w:style>
  <w:style w:type="paragraph" w:customStyle="1" w:styleId="43">
    <w:name w:val="论文正文"/>
    <w:basedOn w:val="1"/>
    <w:link w:val="42"/>
    <w:qFormat/>
    <w:uiPriority w:val="0"/>
    <w:pPr>
      <w:topLinePunct/>
      <w:ind w:firstLine="200" w:firstLineChars="200"/>
    </w:pPr>
    <w:rPr>
      <w:sz w:val="24"/>
    </w:rPr>
  </w:style>
  <w:style w:type="character" w:customStyle="1" w:styleId="44">
    <w:name w:val="large"/>
    <w:qFormat/>
    <w:uiPriority w:val="99"/>
  </w:style>
  <w:style w:type="paragraph" w:customStyle="1" w:styleId="45">
    <w:name w:val="p0"/>
    <w:basedOn w:val="1"/>
    <w:qFormat/>
    <w:uiPriority w:val="99"/>
    <w:pPr>
      <w:widowControl/>
      <w:spacing w:line="240" w:lineRule="atLeast"/>
    </w:pPr>
    <w:rPr>
      <w:spacing w:val="-6"/>
      <w:kern w:val="0"/>
      <w:sz w:val="32"/>
      <w:szCs w:val="20"/>
    </w:rPr>
  </w:style>
  <w:style w:type="paragraph" w:customStyle="1" w:styleId="46">
    <w:name w:val="Char"/>
    <w:basedOn w:val="1"/>
    <w:qFormat/>
    <w:uiPriority w:val="99"/>
    <w:pPr>
      <w:keepNext/>
      <w:widowControl/>
      <w:tabs>
        <w:tab w:val="left" w:pos="425"/>
      </w:tabs>
      <w:autoSpaceDE w:val="0"/>
      <w:autoSpaceDN w:val="0"/>
      <w:adjustRightInd w:val="0"/>
      <w:spacing w:before="80" w:after="80"/>
      <w:ind w:hanging="425"/>
    </w:pPr>
    <w:rPr>
      <w:rFonts w:ascii="Arial" w:hAnsi="Arial"/>
      <w:sz w:val="20"/>
      <w:szCs w:val="20"/>
    </w:rPr>
  </w:style>
  <w:style w:type="paragraph" w:customStyle="1" w:styleId="47">
    <w:name w:val="二级条标题"/>
    <w:basedOn w:val="48"/>
    <w:next w:val="1"/>
    <w:qFormat/>
    <w:uiPriority w:val="99"/>
    <w:pPr>
      <w:numPr>
        <w:ilvl w:val="2"/>
        <w:numId w:val="2"/>
      </w:numPr>
      <w:spacing w:before="50" w:after="50"/>
      <w:outlineLvl w:val="3"/>
    </w:pPr>
  </w:style>
  <w:style w:type="paragraph" w:customStyle="1" w:styleId="48">
    <w:name w:val="一级条标题"/>
    <w:next w:val="1"/>
    <w:qFormat/>
    <w:uiPriority w:val="99"/>
    <w:pPr>
      <w:numPr>
        <w:ilvl w:val="1"/>
        <w:numId w:val="2"/>
      </w:numPr>
      <w:spacing w:before="156" w:beforeLines="50" w:after="156" w:afterLines="50"/>
      <w:outlineLvl w:val="2"/>
    </w:pPr>
    <w:rPr>
      <w:rFonts w:ascii="黑体" w:hAnsi="Times New Roman" w:eastAsia="黑体" w:cs="Times New Roman"/>
      <w:sz w:val="21"/>
      <w:szCs w:val="21"/>
      <w:lang w:val="en-US" w:eastAsia="zh-CN" w:bidi="ar-SA"/>
    </w:rPr>
  </w:style>
  <w:style w:type="paragraph" w:customStyle="1" w:styleId="49">
    <w:name w:val="列项◆（三级）"/>
    <w:basedOn w:val="1"/>
    <w:qFormat/>
    <w:uiPriority w:val="99"/>
    <w:pPr>
      <w:numPr>
        <w:ilvl w:val="2"/>
        <w:numId w:val="3"/>
      </w:numPr>
    </w:pPr>
    <w:rPr>
      <w:rFonts w:ascii="宋体"/>
      <w:szCs w:val="21"/>
    </w:rPr>
  </w:style>
  <w:style w:type="paragraph" w:customStyle="1" w:styleId="50">
    <w:name w:val="四级条标题"/>
    <w:basedOn w:val="51"/>
    <w:next w:val="1"/>
    <w:qFormat/>
    <w:uiPriority w:val="99"/>
    <w:pPr>
      <w:numPr>
        <w:ilvl w:val="4"/>
        <w:numId w:val="2"/>
      </w:numPr>
      <w:outlineLvl w:val="5"/>
    </w:pPr>
  </w:style>
  <w:style w:type="paragraph" w:customStyle="1" w:styleId="51">
    <w:name w:val="三级条标题"/>
    <w:basedOn w:val="47"/>
    <w:next w:val="1"/>
    <w:qFormat/>
    <w:uiPriority w:val="99"/>
    <w:pPr>
      <w:numPr>
        <w:ilvl w:val="3"/>
        <w:numId w:val="2"/>
      </w:numPr>
      <w:ind w:left="1890"/>
      <w:outlineLvl w:val="4"/>
    </w:pPr>
  </w:style>
  <w:style w:type="paragraph" w:customStyle="1" w:styleId="52">
    <w:name w:val="章标题"/>
    <w:next w:val="1"/>
    <w:qFormat/>
    <w:uiPriority w:val="99"/>
    <w:pPr>
      <w:numPr>
        <w:ilvl w:val="0"/>
        <w:numId w:val="2"/>
      </w:numPr>
      <w:spacing w:before="312" w:beforeLines="100" w:after="312" w:afterLines="100"/>
      <w:jc w:val="both"/>
      <w:outlineLvl w:val="1"/>
    </w:pPr>
    <w:rPr>
      <w:rFonts w:ascii="黑体" w:hAnsi="Times New Roman" w:eastAsia="黑体" w:cs="Times New Roman"/>
      <w:sz w:val="21"/>
      <w:lang w:val="en-US" w:eastAsia="zh-CN" w:bidi="ar-SA"/>
    </w:rPr>
  </w:style>
  <w:style w:type="paragraph" w:customStyle="1" w:styleId="53">
    <w:name w:val="附录图标题"/>
    <w:basedOn w:val="1"/>
    <w:next w:val="1"/>
    <w:qFormat/>
    <w:uiPriority w:val="99"/>
    <w:pPr>
      <w:numPr>
        <w:ilvl w:val="1"/>
        <w:numId w:val="4"/>
      </w:numPr>
      <w:tabs>
        <w:tab w:val="left" w:pos="363"/>
      </w:tabs>
      <w:spacing w:before="50" w:beforeLines="50" w:after="50" w:afterLines="50"/>
      <w:ind w:left="0" w:firstLine="0"/>
      <w:jc w:val="center"/>
    </w:pPr>
    <w:rPr>
      <w:rFonts w:ascii="黑体" w:eastAsia="黑体"/>
      <w:szCs w:val="21"/>
    </w:rPr>
  </w:style>
  <w:style w:type="paragraph" w:customStyle="1" w:styleId="54">
    <w:name w:val="无间距"/>
    <w:qFormat/>
    <w:uiPriority w:val="1"/>
    <w:pPr>
      <w:widowControl w:val="0"/>
      <w:jc w:val="both"/>
    </w:pPr>
    <w:rPr>
      <w:rFonts w:ascii="Times New Roman" w:hAnsi="Times New Roman" w:eastAsia="宋体" w:cs="Times New Roman"/>
      <w:kern w:val="2"/>
      <w:sz w:val="21"/>
      <w:lang w:val="en-US" w:eastAsia="zh-CN" w:bidi="ar-SA"/>
    </w:rPr>
  </w:style>
  <w:style w:type="paragraph" w:customStyle="1" w:styleId="55">
    <w:name w:val="三级无"/>
    <w:basedOn w:val="51"/>
    <w:qFormat/>
    <w:uiPriority w:val="99"/>
    <w:pPr>
      <w:spacing w:before="0" w:beforeLines="0" w:after="0" w:afterLines="0"/>
    </w:pPr>
    <w:rPr>
      <w:rFonts w:ascii="宋体" w:eastAsia="宋体"/>
    </w:rPr>
  </w:style>
  <w:style w:type="paragraph" w:customStyle="1" w:styleId="56">
    <w:name w:val="附录图标号"/>
    <w:basedOn w:val="1"/>
    <w:qFormat/>
    <w:uiPriority w:val="99"/>
    <w:pPr>
      <w:keepNext/>
      <w:pageBreakBefore/>
      <w:widowControl/>
      <w:numPr>
        <w:ilvl w:val="0"/>
        <w:numId w:val="4"/>
      </w:numPr>
      <w:spacing w:line="14" w:lineRule="exact"/>
      <w:ind w:left="0" w:firstLine="363"/>
      <w:jc w:val="center"/>
      <w:outlineLvl w:val="0"/>
    </w:pPr>
    <w:rPr>
      <w:color w:val="FFFFFF"/>
    </w:rPr>
  </w:style>
  <w:style w:type="paragraph" w:customStyle="1" w:styleId="57">
    <w:name w:val=" Char"/>
    <w:basedOn w:val="1"/>
    <w:qFormat/>
    <w:uiPriority w:val="0"/>
    <w:pPr>
      <w:keepNext/>
      <w:widowControl/>
      <w:tabs>
        <w:tab w:val="left" w:pos="425"/>
      </w:tabs>
      <w:autoSpaceDE w:val="0"/>
      <w:autoSpaceDN w:val="0"/>
      <w:adjustRightInd w:val="0"/>
      <w:spacing w:before="80" w:after="80"/>
      <w:ind w:hanging="425"/>
    </w:pPr>
    <w:rPr>
      <w:rFonts w:ascii="Arial" w:hAnsi="Arial" w:cs="Arial"/>
      <w:sz w:val="20"/>
      <w:szCs w:val="20"/>
    </w:rPr>
  </w:style>
  <w:style w:type="paragraph" w:customStyle="1" w:styleId="58">
    <w:name w:val="Char Char Char Char Char Char1 Char"/>
    <w:basedOn w:val="1"/>
    <w:qFormat/>
    <w:uiPriority w:val="99"/>
    <w:pPr>
      <w:spacing w:line="560" w:lineRule="exact"/>
      <w:ind w:firstLine="200" w:firstLineChars="200"/>
    </w:pPr>
    <w:rPr>
      <w:rFonts w:ascii="Tahoma" w:hAnsi="Tahoma"/>
      <w:b/>
      <w:sz w:val="28"/>
      <w:szCs w:val="28"/>
    </w:rPr>
  </w:style>
  <w:style w:type="paragraph" w:customStyle="1" w:styleId="59">
    <w:name w:val=" Char1"/>
    <w:basedOn w:val="1"/>
    <w:qFormat/>
    <w:uiPriority w:val="0"/>
    <w:pPr>
      <w:keepNext/>
      <w:widowControl/>
      <w:tabs>
        <w:tab w:val="left" w:pos="425"/>
      </w:tabs>
      <w:autoSpaceDE w:val="0"/>
      <w:autoSpaceDN w:val="0"/>
      <w:adjustRightInd w:val="0"/>
      <w:spacing w:before="80" w:after="80"/>
      <w:ind w:hanging="425"/>
    </w:pPr>
    <w:rPr>
      <w:szCs w:val="20"/>
    </w:rPr>
  </w:style>
  <w:style w:type="paragraph" w:styleId="60">
    <w:name w:val="List Paragraph"/>
    <w:basedOn w:val="1"/>
    <w:qFormat/>
    <w:uiPriority w:val="34"/>
    <w:pPr>
      <w:ind w:firstLine="420" w:firstLineChars="200"/>
    </w:pPr>
    <w:rPr>
      <w:rFonts w:ascii="Calibri" w:hAnsi="Calibri" w:eastAsia="宋体" w:cs="Times New Roman"/>
      <w:szCs w:val="22"/>
    </w:rPr>
  </w:style>
  <w:style w:type="paragraph" w:customStyle="1" w:styleId="61">
    <w:name w:val="五级条标题"/>
    <w:basedOn w:val="50"/>
    <w:next w:val="1"/>
    <w:qFormat/>
    <w:uiPriority w:val="99"/>
    <w:pPr>
      <w:numPr>
        <w:ilvl w:val="5"/>
        <w:numId w:val="2"/>
      </w:numPr>
      <w:outlineLvl w:val="6"/>
    </w:pPr>
  </w:style>
  <w:style w:type="paragraph" w:customStyle="1" w:styleId="62">
    <w:name w:val="p17"/>
    <w:basedOn w:val="1"/>
    <w:qFormat/>
    <w:uiPriority w:val="99"/>
    <w:pPr>
      <w:widowControl/>
    </w:pPr>
    <w:rPr>
      <w:kern w:val="0"/>
      <w:szCs w:val="21"/>
    </w:rPr>
  </w:style>
  <w:style w:type="paragraph" w:customStyle="1" w:styleId="63">
    <w:name w:val="Char Char Char Char Char Char Char Char Char Char Char Char Char Char Char Char"/>
    <w:basedOn w:val="1"/>
    <w:qFormat/>
    <w:uiPriority w:val="99"/>
    <w:pPr>
      <w:spacing w:line="240" w:lineRule="atLeast"/>
      <w:ind w:left="420" w:firstLine="420"/>
    </w:pPr>
    <w:rPr>
      <w:szCs w:val="20"/>
    </w:rPr>
  </w:style>
  <w:style w:type="paragraph" w:customStyle="1" w:styleId="64">
    <w:name w:val="列项——（一级）"/>
    <w:qFormat/>
    <w:uiPriority w:val="99"/>
    <w:pPr>
      <w:widowControl w:val="0"/>
      <w:numPr>
        <w:ilvl w:val="0"/>
        <w:numId w:val="3"/>
      </w:numPr>
      <w:jc w:val="both"/>
    </w:pPr>
    <w:rPr>
      <w:rFonts w:ascii="宋体" w:hAnsi="Times New Roman" w:eastAsia="宋体" w:cs="Times New Roman"/>
      <w:sz w:val="21"/>
      <w:lang w:val="en-US" w:eastAsia="zh-CN" w:bidi="ar-SA"/>
    </w:rPr>
  </w:style>
  <w:style w:type="paragraph" w:customStyle="1" w:styleId="65">
    <w:name w:val="Char1"/>
    <w:basedOn w:val="1"/>
    <w:qFormat/>
    <w:uiPriority w:val="99"/>
    <w:pPr>
      <w:keepNext/>
      <w:widowControl/>
      <w:tabs>
        <w:tab w:val="left" w:pos="425"/>
      </w:tabs>
      <w:autoSpaceDE w:val="0"/>
      <w:autoSpaceDN w:val="0"/>
      <w:adjustRightInd w:val="0"/>
      <w:spacing w:before="80" w:after="80"/>
      <w:ind w:hanging="425"/>
    </w:pPr>
    <w:rPr>
      <w:szCs w:val="20"/>
    </w:rPr>
  </w:style>
  <w:style w:type="paragraph" w:customStyle="1" w:styleId="66">
    <w:name w:val="彩色列表 - 强调文字颜色 11"/>
    <w:basedOn w:val="1"/>
    <w:qFormat/>
    <w:uiPriority w:val="34"/>
    <w:pPr>
      <w:ind w:firstLine="420" w:firstLineChars="200"/>
    </w:pPr>
    <w:rPr>
      <w:rFonts w:ascii="Calibri" w:hAnsi="Calibri"/>
      <w:szCs w:val="20"/>
    </w:rPr>
  </w:style>
  <w:style w:type="paragraph" w:customStyle="1" w:styleId="67">
    <w:name w:val="列项●（二级）"/>
    <w:qFormat/>
    <w:uiPriority w:val="99"/>
    <w:pPr>
      <w:numPr>
        <w:ilvl w:val="1"/>
        <w:numId w:val="3"/>
      </w:numPr>
      <w:tabs>
        <w:tab w:val="left" w:pos="840"/>
      </w:tabs>
      <w:jc w:val="both"/>
    </w:pPr>
    <w:rPr>
      <w:rFonts w:ascii="宋体" w:hAnsi="Times New Roman" w:eastAsia="宋体" w:cs="Times New Roman"/>
      <w:sz w:val="21"/>
      <w:lang w:val="en-US" w:eastAsia="zh-CN" w:bidi="ar-SA"/>
    </w:rPr>
  </w:style>
  <w:style w:type="paragraph" w:customStyle="1" w:styleId="68">
    <w:name w:val="标准书眉_奇数页"/>
    <w:next w:val="1"/>
    <w:qFormat/>
    <w:uiPriority w:val="99"/>
    <w:pPr>
      <w:tabs>
        <w:tab w:val="center" w:pos="4154"/>
        <w:tab w:val="right" w:pos="8306"/>
      </w:tabs>
      <w:spacing w:after="220"/>
      <w:jc w:val="right"/>
    </w:pPr>
    <w:rPr>
      <w:rFonts w:ascii="黑体" w:hAnsi="Times New Roman" w:eastAsia="黑体" w:cs="Times New Roman"/>
      <w:sz w:val="21"/>
      <w:szCs w:val="21"/>
      <w:lang w:val="en-US" w:eastAsia="zh-CN" w:bidi="ar-SA"/>
    </w:rPr>
  </w:style>
  <w:style w:type="character" w:customStyle="1" w:styleId="69">
    <w:name w:val="标题 2 Char1"/>
    <w:link w:val="4"/>
    <w:qFormat/>
    <w:uiPriority w:val="0"/>
    <w:rPr>
      <w:rFonts w:ascii="Arial" w:hAnsi="Arial" w:eastAsia="黑体"/>
      <w:b/>
      <w:sz w:val="30"/>
    </w:rPr>
  </w:style>
</w:style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5" Type="http://schemas.microsoft.com/office/2011/relationships/people" Target="people.xml"/><Relationship Id="rId14" Type="http://schemas.openxmlformats.org/officeDocument/2006/relationships/fontTable" Target="fontTable.xml"/><Relationship Id="rId13" Type="http://schemas.microsoft.com/office/2006/relationships/keyMapCustomizations" Target="customizations.xml"/><Relationship Id="rId12" Type="http://schemas.openxmlformats.org/officeDocument/2006/relationships/numbering" Target="numbering.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gd</Company>
  <Pages>10</Pages>
  <Words>1490</Words>
  <Characters>1605</Characters>
  <Lines>59</Lines>
  <Paragraphs>16</Paragraphs>
  <TotalTime>105</TotalTime>
  <ScaleCrop>false</ScaleCrop>
  <LinksUpToDate>false</LinksUpToDate>
  <CharactersWithSpaces>1639</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2010-11-08T07:06:00Z</dcterms:created>
  <dc:creator>李静</dc:creator>
  <cp:lastModifiedBy>白日梦想家</cp:lastModifiedBy>
  <cp:lastPrinted>2012-01-05T08:49:00Z</cp:lastPrinted>
  <dcterms:modified xsi:type="dcterms:W3CDTF">2026-01-10T13:49:56Z</dcterms:modified>
  <cp:revision>1261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0C69BF73D1EF4CB7ACC8E2C4A5E6F532_13</vt:lpwstr>
  </property>
  <property fmtid="{D5CDD505-2E9C-101B-9397-08002B2CF9AE}" pid="4" name="KSOTemplateDocerSaveRecord">
    <vt:lpwstr>eyJoZGlkIjoiMTQ4MWU1NTU0NTQ2NzUzN2I1ODY1MTZhZGRjYmRmYjIiLCJ1c2VySWQiOiIyMzM5MTEwMTkifQ==</vt:lpwstr>
  </property>
</Properties>
</file>