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4D21F7">
      <w:pPr>
        <w:pStyle w:val="2"/>
        <w:widowControl/>
        <w:rPr>
          <w:rFonts w:hint="default" w:ascii="Calibri" w:hAnsi="Calibri" w:eastAsia="宋体" w:cs="Times New Roman"/>
          <w:b/>
          <w:bCs/>
          <w:color w:val="4F81BD"/>
          <w:sz w:val="32"/>
          <w:szCs w:val="32"/>
        </w:rPr>
      </w:pPr>
      <w:r>
        <w:rPr>
          <w:rFonts w:hint="default" w:ascii="Calibri" w:hAnsi="Calibri" w:eastAsia="宋体" w:cs="Times New Roman"/>
          <w:b/>
          <w:bCs/>
          <w:color w:val="4F81BD"/>
          <w:sz w:val="32"/>
          <w:szCs w:val="32"/>
        </w:rPr>
        <w:t>B</w:t>
      </w:r>
      <w:r>
        <w:rPr>
          <w:rFonts w:hint="eastAsia" w:ascii="宋体" w:hAnsi="宋体" w:eastAsia="宋体" w:cs="宋体"/>
          <w:b/>
          <w:bCs/>
          <w:color w:val="4F81BD"/>
          <w:sz w:val="32"/>
          <w:szCs w:val="32"/>
        </w:rPr>
        <w:t xml:space="preserve">组：模型构建与定量分析 </w:t>
      </w:r>
      <w:r>
        <w:rPr>
          <w:rFonts w:hint="default" w:ascii="Calibri" w:hAnsi="Calibri" w:eastAsia="宋体" w:cs="Calibri"/>
          <w:b/>
          <w:bCs/>
          <w:color w:val="4F81BD"/>
          <w:sz w:val="32"/>
          <w:szCs w:val="32"/>
        </w:rPr>
        <w:t xml:space="preserve">– </w:t>
      </w:r>
      <w:r>
        <w:rPr>
          <w:rFonts w:hint="eastAsia" w:ascii="宋体" w:hAnsi="宋体" w:eastAsia="宋体" w:cs="宋体"/>
          <w:b/>
          <w:bCs/>
          <w:color w:val="4F81BD"/>
          <w:sz w:val="32"/>
          <w:szCs w:val="32"/>
        </w:rPr>
        <w:t>外委承接方工作规划报告</w:t>
      </w:r>
    </w:p>
    <w:p w14:paraId="5F598064">
      <w:pPr>
        <w:pStyle w:val="6"/>
        <w:keepNext w:val="0"/>
        <w:keepLines w:val="0"/>
        <w:widowControl/>
        <w:suppressLineNumbers w:val="0"/>
        <w:rPr>
          <w:rFonts w:hint="default" w:ascii="Cambria" w:hAnsi="Cambria" w:eastAsia="宋体" w:cs="Times New Roma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本报告仅覆盖我方（外委承接方）承担的工作内容，不涉及甲方（省发展部</w:t>
      </w:r>
      <w:r>
        <w:rPr>
          <w:rFonts w:hint="default" w:ascii="Cambria" w:hAnsi="Cambria" w:eastAsia="宋体" w:cs="Times New Roman"/>
          <w:sz w:val="24"/>
          <w:szCs w:val="24"/>
        </w:rPr>
        <w:t>/</w:t>
      </w:r>
      <w:r>
        <w:rPr>
          <w:rFonts w:hint="eastAsia" w:ascii="宋体" w:hAnsi="宋体" w:eastAsia="宋体" w:cs="宋体"/>
          <w:sz w:val="24"/>
          <w:szCs w:val="24"/>
        </w:rPr>
        <w:t>地市供电公司）自行完成的收资协调、招投标、启动会组织、验收组织等工作。</w:t>
      </w:r>
    </w:p>
    <w:p w14:paraId="49D71E41">
      <w:pPr>
        <w:pStyle w:val="6"/>
        <w:keepNext w:val="0"/>
        <w:keepLines w:val="0"/>
        <w:widowControl/>
        <w:suppressLineNumbers w:val="0"/>
        <w:rPr>
          <w:rFonts w:hint="default" w:ascii="Cambria" w:hAnsi="Cambria" w:eastAsia="宋体" w:cs="Times New Roman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涵盖课题：</w:t>
      </w:r>
      <w:r>
        <w:rPr>
          <w:rFonts w:hint="default" w:ascii="Cambria" w:hAnsi="Cambria" w:eastAsia="宋体" w:cs="Times New Roman"/>
          <w:sz w:val="24"/>
          <w:szCs w:val="24"/>
        </w:rPr>
        <w:t xml:space="preserve"> - </w:t>
      </w:r>
      <w:r>
        <w:rPr>
          <w:rFonts w:hint="eastAsia" w:ascii="宋体" w:hAnsi="宋体" w:eastAsia="宋体" w:cs="宋体"/>
          <w:sz w:val="24"/>
          <w:szCs w:val="24"/>
        </w:rPr>
        <w:t xml:space="preserve">课题 </w:t>
      </w:r>
      <w:r>
        <w:rPr>
          <w:rFonts w:hint="default" w:ascii="Cambria" w:hAnsi="Cambria" w:eastAsia="Cambria" w:cs="Cambria"/>
          <w:sz w:val="24"/>
          <w:szCs w:val="24"/>
        </w:rPr>
        <w:t xml:space="preserve">#1 </w:t>
      </w:r>
      <w:r>
        <w:rPr>
          <w:rFonts w:hint="eastAsia" w:ascii="宋体" w:hAnsi="宋体" w:eastAsia="宋体" w:cs="宋体"/>
          <w:sz w:val="24"/>
          <w:szCs w:val="24"/>
        </w:rPr>
        <w:t xml:space="preserve">徐州容载比（甲方负责人：许彦） </w:t>
      </w:r>
      <w:r>
        <w:rPr>
          <w:rFonts w:hint="default" w:ascii="Cambria" w:hAnsi="Cambria" w:eastAsia="Cambria" w:cs="Cambria"/>
          <w:sz w:val="24"/>
          <w:szCs w:val="24"/>
        </w:rPr>
        <w:t xml:space="preserve">- </w:t>
      </w:r>
      <w:r>
        <w:rPr>
          <w:rFonts w:hint="eastAsia" w:ascii="宋体" w:hAnsi="宋体" w:eastAsia="宋体" w:cs="宋体"/>
          <w:sz w:val="24"/>
          <w:szCs w:val="24"/>
        </w:rPr>
        <w:t xml:space="preserve">课题 </w:t>
      </w:r>
      <w:r>
        <w:rPr>
          <w:rFonts w:hint="default" w:ascii="Cambria" w:hAnsi="Cambria" w:eastAsia="Cambria" w:cs="Cambria"/>
          <w:sz w:val="24"/>
          <w:szCs w:val="24"/>
        </w:rPr>
        <w:t xml:space="preserve">#6 </w:t>
      </w:r>
      <w:r>
        <w:rPr>
          <w:rFonts w:hint="eastAsia" w:ascii="宋体" w:hAnsi="宋体" w:eastAsia="宋体" w:cs="宋体"/>
          <w:sz w:val="24"/>
          <w:szCs w:val="24"/>
        </w:rPr>
        <w:t>徐州配网（甲方负责人：黄子越）</w:t>
      </w:r>
    </w:p>
    <w:p w14:paraId="10DA2D43">
      <w:pPr>
        <w:keepNext w:val="0"/>
        <w:keepLines w:val="0"/>
        <w:widowControl/>
        <w:suppressLineNumbers w:val="0"/>
        <w:spacing w:before="0" w:beforeAutospacing="1" w:after="200" w:afterAutospacing="0"/>
        <w:ind w:left="0" w:right="0"/>
        <w:jc w:val="left"/>
        <w:rPr>
          <w:rFonts w:hint="default" w:ascii="Cambria" w:hAnsi="Cambria" w:eastAsia="宋体" w:cs="Times New Roman"/>
          <w:sz w:val="24"/>
          <w:szCs w:val="24"/>
        </w:rPr>
      </w:pPr>
      <w:r>
        <w:rPr>
          <w:rFonts w:hint="default" w:ascii="Cambria" w:hAnsi="Cambria" w:eastAsia="宋体" w:cs="Times New Roma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71135" cy="25400"/>
            <wp:effectExtent l="0" t="0" r="1905" b="508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5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A929279">
      <w:pPr>
        <w:pStyle w:val="4"/>
        <w:widowControl/>
        <w:rPr>
          <w:rFonts w:hint="default" w:ascii="Calibri" w:hAnsi="Calibri" w:eastAsia="宋体" w:cs="Times New Roman"/>
          <w:b/>
          <w:bCs/>
          <w:color w:val="4F81BD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color w:val="4F81BD"/>
          <w:sz w:val="28"/>
          <w:szCs w:val="28"/>
        </w:rPr>
        <w:t>一、外委任务概述</w:t>
      </w:r>
    </w:p>
    <w:p w14:paraId="36C2D725">
      <w:pPr>
        <w:pStyle w:val="5"/>
        <w:widowControl/>
        <w:rPr>
          <w:rFonts w:hint="default" w:ascii="Calibri" w:hAnsi="Calibri" w:eastAsia="宋体" w:cs="Times New Roman"/>
          <w:b/>
          <w:bCs/>
          <w:color w:val="4F81BD"/>
          <w:sz w:val="24"/>
          <w:szCs w:val="24"/>
        </w:rPr>
      </w:pPr>
      <w:r>
        <w:rPr>
          <w:rFonts w:hint="default" w:ascii="Calibri" w:hAnsi="Calibri" w:eastAsia="宋体" w:cs="Times New Roman"/>
          <w:b/>
          <w:bCs/>
          <w:color w:val="4F81BD"/>
          <w:sz w:val="24"/>
          <w:szCs w:val="24"/>
        </w:rPr>
        <w:t xml:space="preserve">1.1 </w:t>
      </w:r>
      <w:r>
        <w:rPr>
          <w:rFonts w:hint="eastAsia" w:ascii="宋体" w:hAnsi="宋体" w:eastAsia="宋体" w:cs="宋体"/>
          <w:b/>
          <w:bCs/>
          <w:color w:val="4F81BD"/>
          <w:sz w:val="24"/>
          <w:szCs w:val="24"/>
        </w:rPr>
        <w:t xml:space="preserve">课题 </w:t>
      </w:r>
      <w:r>
        <w:rPr>
          <w:rFonts w:hint="default" w:ascii="Calibri" w:hAnsi="Calibri" w:eastAsia="宋体" w:cs="Calibri"/>
          <w:b/>
          <w:bCs/>
          <w:color w:val="4F81BD"/>
          <w:sz w:val="24"/>
          <w:szCs w:val="24"/>
        </w:rPr>
        <w:t xml:space="preserve">#1 </w:t>
      </w:r>
      <w:r>
        <w:rPr>
          <w:rFonts w:hint="eastAsia" w:ascii="宋体" w:hAnsi="宋体" w:eastAsia="宋体" w:cs="宋体"/>
          <w:b/>
          <w:bCs/>
          <w:color w:val="4F81BD"/>
          <w:sz w:val="24"/>
          <w:szCs w:val="24"/>
        </w:rPr>
        <w:t xml:space="preserve">徐州容载比 </w:t>
      </w:r>
      <w:r>
        <w:rPr>
          <w:rFonts w:hint="default" w:ascii="Calibri" w:hAnsi="Calibri" w:eastAsia="宋体" w:cs="Calibri"/>
          <w:b/>
          <w:bCs/>
          <w:color w:val="4F81BD"/>
          <w:sz w:val="24"/>
          <w:szCs w:val="24"/>
        </w:rPr>
        <w:t xml:space="preserve">– </w:t>
      </w:r>
      <w:r>
        <w:rPr>
          <w:rFonts w:hint="eastAsia" w:ascii="宋体" w:hAnsi="宋体" w:eastAsia="宋体" w:cs="宋体"/>
          <w:b/>
          <w:bCs/>
          <w:color w:val="4F81BD"/>
          <w:sz w:val="24"/>
          <w:szCs w:val="24"/>
        </w:rPr>
        <w:t>外委任务</w:t>
      </w:r>
    </w:p>
    <w:p w14:paraId="74719015">
      <w:pPr>
        <w:pStyle w:val="9"/>
        <w:keepNext w:val="0"/>
        <w:keepLines w:val="0"/>
        <w:widowControl/>
        <w:suppressLineNumbers w:val="0"/>
        <w:ind w:left="0" w:right="0"/>
        <w:rPr>
          <w:rFonts w:hint="default" w:ascii="Cambria" w:hAnsi="Cambria" w:eastAsia="宋体" w:cs="Times New Roman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甲方课题全称</w:t>
      </w:r>
      <w:r>
        <w:rPr>
          <w:rFonts w:hint="eastAsia" w:ascii="宋体" w:hAnsi="宋体" w:eastAsia="宋体" w:cs="宋体"/>
          <w:sz w:val="24"/>
          <w:szCs w:val="24"/>
        </w:rPr>
        <w:t>：徐州地区分布式新能源高渗透率地区</w:t>
      </w:r>
      <w:r>
        <w:rPr>
          <w:rFonts w:hint="default" w:ascii="Cambria" w:hAnsi="Cambria" w:eastAsia="宋体" w:cs="Times New Roman"/>
          <w:sz w:val="24"/>
          <w:szCs w:val="24"/>
        </w:rPr>
        <w:t>110kV</w:t>
      </w:r>
      <w:r>
        <w:rPr>
          <w:rFonts w:hint="eastAsia" w:ascii="宋体" w:hAnsi="宋体" w:eastAsia="宋体" w:cs="宋体"/>
          <w:sz w:val="24"/>
          <w:szCs w:val="24"/>
        </w:rPr>
        <w:t>电网容载比弹性指标优化研究</w:t>
      </w:r>
    </w:p>
    <w:p w14:paraId="0E7C8A1A">
      <w:pPr>
        <w:pStyle w:val="3"/>
        <w:keepNext w:val="0"/>
        <w:keepLines w:val="0"/>
        <w:widowControl/>
        <w:suppressLineNumbers w:val="0"/>
        <w:ind w:left="0" w:right="0"/>
        <w:rPr>
          <w:rFonts w:hint="default" w:ascii="Cambria" w:hAnsi="Cambria" w:eastAsia="宋体" w:cs="Times New Roman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甲方研究背景</w:t>
      </w:r>
      <w:r>
        <w:rPr>
          <w:rFonts w:hint="eastAsia" w:ascii="宋体" w:hAnsi="宋体" w:eastAsia="宋体" w:cs="宋体"/>
          <w:sz w:val="24"/>
          <w:szCs w:val="24"/>
        </w:rPr>
        <w:t>：随着徐州地区分布式光伏装机快速增长，部分</w:t>
      </w:r>
      <w:r>
        <w:rPr>
          <w:rFonts w:hint="default" w:ascii="Cambria" w:hAnsi="Cambria" w:eastAsia="宋体" w:cs="Times New Roman"/>
          <w:sz w:val="24"/>
          <w:szCs w:val="24"/>
        </w:rPr>
        <w:t>110kV</w:t>
      </w:r>
      <w:r>
        <w:rPr>
          <w:rFonts w:hint="eastAsia" w:ascii="宋体" w:hAnsi="宋体" w:eastAsia="宋体" w:cs="宋体"/>
          <w:sz w:val="24"/>
          <w:szCs w:val="24"/>
        </w:rPr>
        <w:t>及</w:t>
      </w:r>
      <w:r>
        <w:rPr>
          <w:rFonts w:hint="default" w:ascii="Cambria" w:hAnsi="Cambria" w:eastAsia="Cambria" w:cs="Cambria"/>
          <w:sz w:val="24"/>
          <w:szCs w:val="24"/>
        </w:rPr>
        <w:t>35kV</w:t>
      </w:r>
      <w:r>
        <w:rPr>
          <w:rFonts w:hint="eastAsia" w:ascii="宋体" w:hAnsi="宋体" w:eastAsia="宋体" w:cs="宋体"/>
          <w:sz w:val="24"/>
          <w:szCs w:val="24"/>
        </w:rPr>
        <w:t>变电站供区新能源渗透率显著提高。传统容载比指标（通常要求不超过</w:t>
      </w:r>
      <w:r>
        <w:rPr>
          <w:rFonts w:hint="default" w:ascii="Cambria" w:hAnsi="Cambria" w:eastAsia="Cambria" w:cs="Cambria"/>
          <w:sz w:val="24"/>
          <w:szCs w:val="24"/>
        </w:rPr>
        <w:t>2.0</w:t>
      </w:r>
      <w:r>
        <w:rPr>
          <w:rFonts w:hint="eastAsia" w:ascii="宋体" w:hAnsi="宋体" w:eastAsia="宋体" w:cs="宋体"/>
          <w:sz w:val="24"/>
          <w:szCs w:val="24"/>
        </w:rPr>
        <w:t>）在高渗透率场景下是否仍然适用、是否需要弹性调整，是当前电网规划亟待回答的问题。</w:t>
      </w:r>
    </w:p>
    <w:p w14:paraId="0D101994">
      <w:pPr>
        <w:pStyle w:val="3"/>
        <w:keepNext w:val="0"/>
        <w:keepLines w:val="0"/>
        <w:widowControl/>
        <w:suppressLineNumbers w:val="0"/>
        <w:ind w:left="0" w:right="0"/>
        <w:rPr>
          <w:rFonts w:hint="default" w:ascii="Cambria" w:hAnsi="Cambria" w:eastAsia="宋体" w:cs="Times New Roman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三层理论框架</w:t>
      </w:r>
      <w:r>
        <w:rPr>
          <w:rFonts w:hint="eastAsia" w:ascii="宋体" w:hAnsi="宋体" w:eastAsia="宋体" w:cs="宋体"/>
          <w:sz w:val="24"/>
          <w:szCs w:val="24"/>
        </w:rPr>
        <w:t>：</w:t>
      </w:r>
    </w:p>
    <w:p w14:paraId="5EAC3C0C">
      <w:pPr>
        <w:pStyle w:val="3"/>
        <w:keepNext w:val="0"/>
        <w:keepLines w:val="0"/>
        <w:widowControl/>
        <w:suppressLineNumbers w:val="0"/>
        <w:ind w:left="0" w:right="0"/>
        <w:rPr>
          <w:rFonts w:hint="default" w:ascii="Cambria" w:hAnsi="Cambria" w:eastAsia="宋体" w:cs="Times New Roma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本课题的核心理论基础由三个层次构成：</w:t>
      </w:r>
    </w:p>
    <w:p w14:paraId="672659AE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720" w:right="0" w:hanging="480"/>
        <w:rPr>
          <w:rFonts w:hint="default" w:ascii="Cambria" w:hAnsi="Cambria" w:eastAsia="宋体" w:cs="Times New Roman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第一层：容载比与成本的非线性关系</w:t>
      </w:r>
      <w:r>
        <w:rPr>
          <w:rFonts w:hint="eastAsia" w:ascii="宋体" w:hAnsi="宋体" w:eastAsia="宋体" w:cs="宋体"/>
          <w:sz w:val="24"/>
          <w:szCs w:val="24"/>
        </w:rPr>
        <w:t>。容载比并非越高或越低越好：过低则供电能力不足、需频繁</w:t>
      </w:r>
      <w:bookmarkStart w:id="0" w:name="OLE_LINK20"/>
      <w:r>
        <w:rPr>
          <w:rFonts w:hint="eastAsia" w:ascii="宋体" w:hAnsi="宋体" w:eastAsia="宋体" w:cs="宋体"/>
          <w:sz w:val="24"/>
          <w:szCs w:val="24"/>
        </w:rPr>
        <w:t>扩容、应急成本高；过高则投资浪费、资金利用效率低。两端成本均偏高，中间存在经济最优区间。本课题的核心任务之一即量化这一非线性关系，找到经济最优容载比区间。</w:t>
      </w:r>
      <w:bookmarkEnd w:id="0"/>
    </w:p>
    <w:p w14:paraId="7C13FC95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720" w:right="0" w:hanging="480"/>
        <w:rPr>
          <w:rFonts w:hint="default" w:ascii="Cambria" w:hAnsi="Cambria" w:eastAsia="宋体" w:cs="Times New Roman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第二层：下级配电网联络度决定上级容载比弹性空间</w:t>
      </w:r>
      <w:r>
        <w:rPr>
          <w:rFonts w:hint="eastAsia" w:ascii="宋体" w:hAnsi="宋体" w:eastAsia="宋体" w:cs="宋体"/>
          <w:sz w:val="24"/>
          <w:szCs w:val="24"/>
        </w:rPr>
        <w:t>。下级中压配电网的联络度（转供能力）越高，变电站之间互济能力越强，上级</w:t>
      </w:r>
      <w:r>
        <w:rPr>
          <w:rFonts w:hint="default" w:ascii="Cambria" w:hAnsi="Cambria" w:eastAsia="宋体" w:cs="Times New Roman"/>
          <w:sz w:val="24"/>
          <w:szCs w:val="24"/>
        </w:rPr>
        <w:t>110kV</w:t>
      </w:r>
      <w:r>
        <w:rPr>
          <w:rFonts w:hint="eastAsia" w:ascii="宋体" w:hAnsi="宋体" w:eastAsia="宋体" w:cs="宋体"/>
          <w:sz w:val="24"/>
          <w:szCs w:val="24"/>
        </w:rPr>
        <w:t>电网的容载比可以适当降低而不影响供电可靠性。该理论引用肖峻</w:t>
      </w:r>
      <w:r>
        <w:rPr>
          <w:rFonts w:hint="default" w:ascii="Cambria" w:hAnsi="Cambria" w:eastAsia="Cambria" w:cs="Cambria"/>
          <w:sz w:val="24"/>
          <w:szCs w:val="24"/>
        </w:rPr>
        <w:t>(2015)</w:t>
      </w:r>
      <w:r>
        <w:rPr>
          <w:rFonts w:hint="eastAsia" w:ascii="宋体" w:hAnsi="宋体" w:eastAsia="宋体" w:cs="宋体"/>
          <w:sz w:val="24"/>
          <w:szCs w:val="24"/>
        </w:rPr>
        <w:t>基于</w:t>
      </w:r>
      <w:r>
        <w:rPr>
          <w:rFonts w:hint="default" w:ascii="Cambria" w:hAnsi="Cambria" w:eastAsia="Cambria" w:cs="Cambria"/>
          <w:sz w:val="24"/>
          <w:szCs w:val="24"/>
        </w:rPr>
        <w:t>TSC</w:t>
      </w:r>
      <w:r>
        <w:rPr>
          <w:rFonts w:hint="eastAsia" w:ascii="宋体" w:hAnsi="宋体" w:eastAsia="宋体" w:cs="宋体"/>
          <w:sz w:val="24"/>
          <w:szCs w:val="24"/>
        </w:rPr>
        <w:t>（最大供电能力）理论的研究成果，量化了变电容载比与下级中压配网联络度的定量关系。</w:t>
      </w:r>
    </w:p>
    <w:p w14:paraId="43EE9AB3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720" w:right="0" w:hanging="480"/>
        <w:rPr>
          <w:rFonts w:hint="default" w:ascii="Cambria" w:hAnsi="Cambria" w:eastAsia="宋体" w:cs="Times New Roman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第三层：全寿命周期成本比较法</w:t>
      </w:r>
      <w:r>
        <w:rPr>
          <w:rFonts w:hint="eastAsia" w:ascii="宋体" w:hAnsi="宋体" w:eastAsia="宋体" w:cs="宋体"/>
          <w:sz w:val="24"/>
          <w:szCs w:val="24"/>
        </w:rPr>
        <w:t>。针对同一规划区域的两种容载比策略</w:t>
      </w:r>
      <w:r>
        <w:rPr>
          <w:rFonts w:hint="default" w:ascii="Cambria" w:hAnsi="Cambria" w:eastAsia="Cambria" w:cs="Cambria"/>
          <w:sz w:val="24"/>
          <w:szCs w:val="24"/>
        </w:rPr>
        <w:t>——</w:t>
      </w:r>
      <w:r>
        <w:rPr>
          <w:rFonts w:hint="eastAsia" w:ascii="宋体" w:hAnsi="宋体" w:eastAsia="宋体" w:cs="宋体"/>
          <w:sz w:val="24"/>
          <w:szCs w:val="24"/>
        </w:rPr>
        <w:t>方案</w:t>
      </w:r>
      <w:r>
        <w:rPr>
          <w:rFonts w:hint="default" w:ascii="Cambria" w:hAnsi="Cambria" w:eastAsia="Cambria" w:cs="Cambria"/>
          <w:sz w:val="24"/>
          <w:szCs w:val="24"/>
        </w:rPr>
        <w:t>A</w:t>
      </w:r>
      <w:r>
        <w:rPr>
          <w:rFonts w:hint="eastAsia" w:ascii="宋体" w:hAnsi="宋体" w:eastAsia="宋体" w:cs="宋体"/>
          <w:sz w:val="24"/>
          <w:szCs w:val="24"/>
        </w:rPr>
        <w:t>（严格执行</w:t>
      </w:r>
      <w:r>
        <w:rPr>
          <w:rFonts w:hint="default" w:ascii="Cambria" w:hAnsi="Cambria" w:eastAsia="Cambria" w:cs="Cambria"/>
          <w:sz w:val="24"/>
          <w:szCs w:val="24"/>
        </w:rPr>
        <w:t>+</w:t>
      </w:r>
      <w:r>
        <w:rPr>
          <w:rFonts w:hint="eastAsia" w:ascii="宋体" w:hAnsi="宋体" w:eastAsia="宋体" w:cs="宋体"/>
          <w:sz w:val="24"/>
          <w:szCs w:val="24"/>
        </w:rPr>
        <w:t>配储）与方案</w:t>
      </w:r>
      <w:r>
        <w:rPr>
          <w:rFonts w:hint="default" w:ascii="Cambria" w:hAnsi="Cambria" w:eastAsia="Cambria" w:cs="Cambria"/>
          <w:sz w:val="24"/>
          <w:szCs w:val="24"/>
        </w:rPr>
        <w:t>B</w:t>
      </w:r>
      <w:r>
        <w:rPr>
          <w:rFonts w:hint="eastAsia" w:ascii="宋体" w:hAnsi="宋体" w:eastAsia="宋体" w:cs="宋体"/>
          <w:sz w:val="24"/>
          <w:szCs w:val="24"/>
        </w:rPr>
        <w:t>（弹性放宽</w:t>
      </w:r>
      <w:r>
        <w:rPr>
          <w:rFonts w:hint="default" w:ascii="Cambria" w:hAnsi="Cambria" w:eastAsia="Cambria" w:cs="Cambria"/>
          <w:sz w:val="24"/>
          <w:szCs w:val="24"/>
        </w:rPr>
        <w:t>+</w:t>
      </w:r>
      <w:r>
        <w:rPr>
          <w:rFonts w:hint="eastAsia" w:ascii="宋体" w:hAnsi="宋体" w:eastAsia="宋体" w:cs="宋体"/>
          <w:sz w:val="24"/>
          <w:szCs w:val="24"/>
        </w:rPr>
        <w:t>增容），通过</w:t>
      </w:r>
      <w:r>
        <w:rPr>
          <w:rFonts w:hint="default" w:ascii="Cambria" w:hAnsi="Cambria" w:eastAsia="Cambria" w:cs="Cambria"/>
          <w:sz w:val="24"/>
          <w:szCs w:val="24"/>
        </w:rPr>
        <w:t>Z1</w:t>
      </w:r>
      <w:r>
        <w:rPr>
          <w:rFonts w:hint="eastAsia" w:ascii="宋体" w:hAnsi="宋体" w:eastAsia="宋体" w:cs="宋体"/>
          <w:sz w:val="24"/>
          <w:szCs w:val="24"/>
        </w:rPr>
        <w:t>至</w:t>
      </w:r>
      <w:r>
        <w:rPr>
          <w:rFonts w:hint="default" w:ascii="Cambria" w:hAnsi="Cambria" w:eastAsia="Cambria" w:cs="Cambria"/>
          <w:sz w:val="24"/>
          <w:szCs w:val="24"/>
        </w:rPr>
        <w:t>Z5</w:t>
      </w:r>
      <w:r>
        <w:rPr>
          <w:rFonts w:hint="eastAsia" w:ascii="宋体" w:hAnsi="宋体" w:eastAsia="宋体" w:cs="宋体"/>
          <w:sz w:val="24"/>
          <w:szCs w:val="24"/>
        </w:rPr>
        <w:t>五项成本的系统性</w:t>
      </w:r>
      <w:r>
        <w:rPr>
          <w:rFonts w:hint="default" w:ascii="Cambria" w:hAnsi="Cambria" w:eastAsia="Cambria" w:cs="Cambria"/>
          <w:sz w:val="24"/>
          <w:szCs w:val="24"/>
        </w:rPr>
        <w:t>LCC</w:t>
      </w:r>
      <w:r>
        <w:rPr>
          <w:rFonts w:hint="eastAsia" w:ascii="宋体" w:hAnsi="宋体" w:eastAsia="宋体" w:cs="宋体"/>
          <w:sz w:val="24"/>
          <w:szCs w:val="24"/>
        </w:rPr>
        <w:t>对比，确定技术经济最优方案。</w:t>
      </w:r>
    </w:p>
    <w:p w14:paraId="25042B09">
      <w:pPr>
        <w:pStyle w:val="9"/>
        <w:keepNext w:val="0"/>
        <w:keepLines w:val="0"/>
        <w:widowControl/>
        <w:suppressLineNumbers w:val="0"/>
        <w:ind w:left="0" w:right="0"/>
        <w:rPr>
          <w:rFonts w:hint="default" w:ascii="Cambria" w:hAnsi="Cambria" w:eastAsia="宋体" w:cs="Times New Roman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甲方与我方的分工</w:t>
      </w:r>
      <w:r>
        <w:rPr>
          <w:rFonts w:hint="eastAsia" w:ascii="宋体" w:hAnsi="宋体" w:eastAsia="宋体" w:cs="宋体"/>
          <w:sz w:val="24"/>
          <w:szCs w:val="24"/>
        </w:rPr>
        <w:t>：</w:t>
      </w:r>
    </w:p>
    <w:tbl>
      <w:tblPr>
        <w:tblStyle w:val="11"/>
        <w:tblW w:w="0" w:type="pct"/>
        <w:tblInd w:w="0" w:type="dxa"/>
        <w:tblBorders>
          <w:top w:val="single" w:color="95B3D7" w:sz="2" w:space="0"/>
          <w:left w:val="none" w:color="auto" w:sz="6" w:space="0"/>
          <w:bottom w:val="single" w:color="95B3D7" w:sz="2" w:space="0"/>
          <w:right w:val="none" w:color="auto" w:sz="6" w:space="0"/>
          <w:insideH w:val="single" w:color="95B3D7" w:sz="2" w:space="0"/>
          <w:insideV w:val="single" w:color="95B3D7" w:sz="2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2"/>
        <w:gridCol w:w="2428"/>
        <w:gridCol w:w="4652"/>
      </w:tblGrid>
      <w:tr w14:paraId="75E7B549">
        <w:tblPrEx>
          <w:tblBorders>
            <w:top w:val="single" w:color="95B3D7" w:sz="2" w:space="0"/>
            <w:left w:val="none" w:color="auto" w:sz="6" w:space="0"/>
            <w:bottom w:val="single" w:color="95B3D7" w:sz="2" w:space="0"/>
            <w:right w:val="none" w:color="auto" w:sz="6" w:space="0"/>
            <w:insideH w:val="single" w:color="95B3D7" w:sz="2" w:space="0"/>
            <w:insideV w:val="single" w:color="95B3D7" w:sz="2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95B3D7" w:sz="12" w:space="0"/>
              <w:right w:val="nil"/>
            </w:tcBorders>
            <w:shd w:val="clear" w:color="auto" w:fill="FFFFFF"/>
            <w:vAlign w:val="top"/>
          </w:tcPr>
          <w:p w14:paraId="7365D514">
            <w:pPr>
              <w:pStyle w:val="10"/>
              <w:keepNext w:val="0"/>
              <w:keepLines w:val="0"/>
              <w:widowControl/>
              <w:suppressLineNumbers w:val="0"/>
              <w:ind w:left="0" w:right="0"/>
              <w:rPr>
                <w:rFonts w:hint="default" w:ascii="Cambria" w:hAnsi="Cambria" w:eastAsia="宋体" w:cs="Times New Roman"/>
                <w:b/>
                <w:bCs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bdr w:val="none" w:color="auto" w:sz="0" w:space="0"/>
              </w:rPr>
              <w:t>职责领域</w:t>
            </w:r>
          </w:p>
        </w:tc>
        <w:tc>
          <w:tcPr>
            <w:tcW w:w="0" w:type="auto"/>
            <w:tcBorders>
              <w:top w:val="nil"/>
              <w:left w:val="single" w:color="95B3D7" w:sz="2" w:space="0"/>
              <w:bottom w:val="single" w:color="95B3D7" w:sz="12" w:space="0"/>
              <w:right w:val="nil"/>
            </w:tcBorders>
            <w:shd w:val="clear" w:color="auto" w:fill="FFFFFF"/>
            <w:vAlign w:val="top"/>
          </w:tcPr>
          <w:p w14:paraId="68C7EB54">
            <w:pPr>
              <w:pStyle w:val="10"/>
              <w:keepNext w:val="0"/>
              <w:keepLines w:val="0"/>
              <w:widowControl/>
              <w:suppressLineNumbers w:val="0"/>
              <w:ind w:left="0" w:right="0"/>
              <w:rPr>
                <w:rFonts w:hint="default" w:ascii="Cambria" w:hAnsi="Cambria" w:eastAsia="宋体" w:cs="Times New Roman"/>
                <w:b/>
                <w:bCs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bdr w:val="none" w:color="auto" w:sz="0" w:space="0"/>
              </w:rPr>
              <w:t>甲方承担</w:t>
            </w:r>
          </w:p>
        </w:tc>
        <w:tc>
          <w:tcPr>
            <w:tcW w:w="0" w:type="auto"/>
            <w:tcBorders>
              <w:top w:val="nil"/>
              <w:left w:val="single" w:color="95B3D7" w:sz="2" w:space="0"/>
              <w:bottom w:val="single" w:color="95B3D7" w:sz="12" w:space="0"/>
              <w:right w:val="nil"/>
            </w:tcBorders>
            <w:shd w:val="clear" w:color="auto" w:fill="FFFFFF"/>
            <w:vAlign w:val="top"/>
          </w:tcPr>
          <w:p w14:paraId="43EBB99A">
            <w:pPr>
              <w:pStyle w:val="10"/>
              <w:keepNext w:val="0"/>
              <w:keepLines w:val="0"/>
              <w:widowControl/>
              <w:suppressLineNumbers w:val="0"/>
              <w:ind w:left="0" w:right="0"/>
              <w:rPr>
                <w:rFonts w:hint="default" w:ascii="Cambria" w:hAnsi="Cambria" w:eastAsia="宋体" w:cs="Times New Roman"/>
                <w:b/>
                <w:bCs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bdr w:val="none" w:color="auto" w:sz="0" w:space="0"/>
              </w:rPr>
              <w:t>我方</w:t>
            </w:r>
            <w:bookmarkStart w:id="1" w:name="OLE_LINK18"/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bdr w:val="none" w:color="auto" w:sz="0" w:space="0"/>
              </w:rPr>
              <w:t>配合</w:t>
            </w:r>
            <w:bookmarkEnd w:id="1"/>
          </w:p>
        </w:tc>
      </w:tr>
      <w:tr w14:paraId="5228D4D9">
        <w:tblPrEx>
          <w:tblBorders>
            <w:top w:val="single" w:color="95B3D7" w:sz="2" w:space="0"/>
            <w:left w:val="none" w:color="auto" w:sz="6" w:space="0"/>
            <w:bottom w:val="single" w:color="95B3D7" w:sz="2" w:space="0"/>
            <w:right w:val="none" w:color="auto" w:sz="6" w:space="0"/>
            <w:insideH w:val="single" w:color="95B3D7" w:sz="2" w:space="0"/>
            <w:insideV w:val="single" w:color="95B3D7" w:sz="2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95B3D7" w:sz="2" w:space="0"/>
              <w:left w:val="nil"/>
              <w:bottom w:val="single" w:color="95B3D7" w:sz="2" w:space="0"/>
              <w:right w:val="single" w:color="95B3D7" w:sz="2" w:space="0"/>
            </w:tcBorders>
            <w:shd w:val="clear" w:color="auto" w:fill="DBE5F1"/>
            <w:vAlign w:val="top"/>
          </w:tcPr>
          <w:p w14:paraId="43A271AB">
            <w:pPr>
              <w:pStyle w:val="10"/>
              <w:keepNext w:val="0"/>
              <w:keepLines w:val="0"/>
              <w:widowControl/>
              <w:suppressLineNumbers w:val="0"/>
              <w:ind w:left="0" w:right="0"/>
              <w:rPr>
                <w:rFonts w:hint="default" w:ascii="Cambria" w:hAnsi="Cambria" w:eastAsia="宋体" w:cs="Times New Roman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数据收资</w:t>
            </w:r>
          </w:p>
        </w:tc>
        <w:tc>
          <w:tcPr>
            <w:tcW w:w="0" w:type="auto"/>
            <w:tcBorders>
              <w:top w:val="single" w:color="95B3D7" w:sz="2" w:space="0"/>
              <w:left w:val="single" w:color="95B3D7" w:sz="2" w:space="0"/>
              <w:bottom w:val="single" w:color="95B3D7" w:sz="2" w:space="0"/>
              <w:right w:val="single" w:color="95B3D7" w:sz="2" w:space="0"/>
            </w:tcBorders>
            <w:shd w:val="clear" w:color="auto" w:fill="DBE5F1"/>
            <w:vAlign w:val="top"/>
          </w:tcPr>
          <w:p w14:paraId="76BFC017">
            <w:pPr>
              <w:pStyle w:val="10"/>
              <w:keepNext w:val="0"/>
              <w:keepLines w:val="0"/>
              <w:widowControl/>
              <w:suppressLineNumbers w:val="0"/>
              <w:ind w:left="0" w:right="0"/>
              <w:rPr>
                <w:rFonts w:hint="default" w:ascii="Cambria" w:hAnsi="Cambria" w:eastAsia="宋体" w:cs="Times New Roman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负责向地市公司收集原始数据</w:t>
            </w:r>
          </w:p>
        </w:tc>
        <w:tc>
          <w:tcPr>
            <w:tcW w:w="0" w:type="auto"/>
            <w:tcBorders>
              <w:top w:val="single" w:color="95B3D7" w:sz="2" w:space="0"/>
              <w:left w:val="single" w:color="95B3D7" w:sz="2" w:space="0"/>
              <w:bottom w:val="single" w:color="95B3D7" w:sz="2" w:space="0"/>
              <w:right w:val="nil"/>
            </w:tcBorders>
            <w:shd w:val="clear" w:color="auto" w:fill="DBE5F1"/>
            <w:vAlign w:val="top"/>
          </w:tcPr>
          <w:p w14:paraId="03F65C67">
            <w:pPr>
              <w:pStyle w:val="10"/>
              <w:keepNext w:val="0"/>
              <w:keepLines w:val="0"/>
              <w:widowControl/>
              <w:suppressLineNumbers w:val="0"/>
              <w:ind w:left="0" w:right="0"/>
              <w:rPr>
                <w:rFonts w:hint="default" w:ascii="Cambria" w:hAnsi="Cambria" w:eastAsia="宋体" w:cs="Times New Roman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接收甲方提供的数据</w:t>
            </w:r>
          </w:p>
        </w:tc>
      </w:tr>
      <w:tr w14:paraId="5AC92E17">
        <w:tblPrEx>
          <w:tblBorders>
            <w:top w:val="single" w:color="95B3D7" w:sz="2" w:space="0"/>
            <w:left w:val="none" w:color="auto" w:sz="6" w:space="0"/>
            <w:bottom w:val="single" w:color="95B3D7" w:sz="2" w:space="0"/>
            <w:right w:val="none" w:color="auto" w:sz="6" w:space="0"/>
            <w:insideH w:val="single" w:color="95B3D7" w:sz="2" w:space="0"/>
            <w:insideV w:val="single" w:color="95B3D7" w:sz="2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95B3D7" w:sz="2" w:space="0"/>
              <w:left w:val="nil"/>
              <w:bottom w:val="single" w:color="95B3D7" w:sz="2" w:space="0"/>
              <w:right w:val="single" w:color="95B3D7" w:sz="2" w:space="0"/>
            </w:tcBorders>
            <w:shd w:val="clear" w:color="auto" w:fill="DBE5F1"/>
            <w:vAlign w:val="top"/>
          </w:tcPr>
          <w:p w14:paraId="0FA9B30A">
            <w:pPr>
              <w:pStyle w:val="10"/>
              <w:keepNext w:val="0"/>
              <w:keepLines w:val="0"/>
              <w:widowControl/>
              <w:suppressLineNumbers w:val="0"/>
              <w:ind w:left="0" w:right="0"/>
              <w:rPr>
                <w:rFonts w:hint="default" w:ascii="Cambria" w:hAnsi="Cambria" w:eastAsia="宋体" w:cs="Times New Roman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现场调研</w:t>
            </w:r>
          </w:p>
        </w:tc>
        <w:tc>
          <w:tcPr>
            <w:tcW w:w="0" w:type="auto"/>
            <w:tcBorders>
              <w:top w:val="single" w:color="95B3D7" w:sz="2" w:space="0"/>
              <w:left w:val="single" w:color="95B3D7" w:sz="2" w:space="0"/>
              <w:bottom w:val="single" w:color="95B3D7" w:sz="2" w:space="0"/>
              <w:right w:val="single" w:color="95B3D7" w:sz="2" w:space="0"/>
            </w:tcBorders>
            <w:shd w:val="clear"/>
            <w:vAlign w:val="top"/>
          </w:tcPr>
          <w:p w14:paraId="2EEC9DB3">
            <w:pPr>
              <w:pStyle w:val="10"/>
              <w:keepNext w:val="0"/>
              <w:keepLines w:val="0"/>
              <w:widowControl/>
              <w:suppressLineNumbers w:val="0"/>
              <w:ind w:left="0" w:right="0"/>
              <w:rPr>
                <w:rFonts w:hint="default" w:ascii="Cambria" w:hAnsi="Cambria" w:eastAsia="宋体" w:cs="Times New Roman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负责组织实地调研</w:t>
            </w:r>
          </w:p>
        </w:tc>
        <w:tc>
          <w:tcPr>
            <w:tcW w:w="0" w:type="auto"/>
            <w:tcBorders>
              <w:top w:val="single" w:color="95B3D7" w:sz="2" w:space="0"/>
              <w:left w:val="single" w:color="95B3D7" w:sz="2" w:space="0"/>
              <w:bottom w:val="single" w:color="95B3D7" w:sz="2" w:space="0"/>
              <w:right w:val="nil"/>
            </w:tcBorders>
            <w:shd w:val="clear" w:color="auto" w:fill="DBE5F1"/>
            <w:vAlign w:val="top"/>
          </w:tcPr>
          <w:p w14:paraId="5DA538E1">
            <w:pPr>
              <w:pStyle w:val="10"/>
              <w:keepNext w:val="0"/>
              <w:keepLines w:val="0"/>
              <w:widowControl/>
              <w:suppressLineNumbers w:val="0"/>
              <w:ind w:left="0" w:right="0"/>
              <w:rPr>
                <w:rFonts w:hint="default" w:ascii="Cambria" w:hAnsi="Cambria" w:eastAsia="宋体" w:cs="Times New Roman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不涉及</w:t>
            </w:r>
          </w:p>
        </w:tc>
      </w:tr>
      <w:tr w14:paraId="4ACD5CB5">
        <w:tblPrEx>
          <w:tblBorders>
            <w:top w:val="single" w:color="95B3D7" w:sz="2" w:space="0"/>
            <w:left w:val="none" w:color="auto" w:sz="6" w:space="0"/>
            <w:bottom w:val="single" w:color="95B3D7" w:sz="2" w:space="0"/>
            <w:right w:val="none" w:color="auto" w:sz="6" w:space="0"/>
            <w:insideH w:val="single" w:color="95B3D7" w:sz="2" w:space="0"/>
            <w:insideV w:val="single" w:color="95B3D7" w:sz="2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95B3D7" w:sz="2" w:space="0"/>
              <w:left w:val="nil"/>
              <w:bottom w:val="single" w:color="95B3D7" w:sz="2" w:space="0"/>
              <w:right w:val="single" w:color="95B3D7" w:sz="2" w:space="0"/>
            </w:tcBorders>
            <w:shd w:val="clear" w:color="auto" w:fill="DBE5F1"/>
            <w:vAlign w:val="top"/>
          </w:tcPr>
          <w:p w14:paraId="4DA2E15F">
            <w:pPr>
              <w:pStyle w:val="10"/>
              <w:keepNext w:val="0"/>
              <w:keepLines w:val="0"/>
              <w:widowControl/>
              <w:suppressLineNumbers w:val="0"/>
              <w:ind w:left="0" w:right="0"/>
              <w:rPr>
                <w:rFonts w:hint="default" w:ascii="Cambria" w:hAnsi="Cambria" w:eastAsia="宋体" w:cs="Times New Roman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成本模型</w:t>
            </w:r>
          </w:p>
        </w:tc>
        <w:tc>
          <w:tcPr>
            <w:tcW w:w="0" w:type="auto"/>
            <w:tcBorders>
              <w:top w:val="single" w:color="95B3D7" w:sz="2" w:space="0"/>
              <w:left w:val="single" w:color="95B3D7" w:sz="2" w:space="0"/>
              <w:bottom w:val="single" w:color="95B3D7" w:sz="2" w:space="0"/>
              <w:right w:val="single" w:color="95B3D7" w:sz="2" w:space="0"/>
            </w:tcBorders>
            <w:shd w:val="clear" w:color="auto" w:fill="DBE5F1"/>
            <w:vAlign w:val="top"/>
          </w:tcPr>
          <w:p w14:paraId="30EFC541">
            <w:pPr>
              <w:pStyle w:val="10"/>
              <w:keepNext w:val="0"/>
              <w:keepLines w:val="0"/>
              <w:widowControl/>
              <w:suppressLineNumbers w:val="0"/>
              <w:ind w:left="0" w:right="0"/>
              <w:rPr>
                <w:rFonts w:hint="default" w:ascii="Cambria" w:hAnsi="Cambria" w:eastAsia="宋体" w:cs="Times New Roman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提供投资案例原始数据</w:t>
            </w:r>
          </w:p>
        </w:tc>
        <w:tc>
          <w:tcPr>
            <w:tcW w:w="0" w:type="auto"/>
            <w:tcBorders>
              <w:top w:val="single" w:color="95B3D7" w:sz="2" w:space="0"/>
              <w:left w:val="single" w:color="95B3D7" w:sz="2" w:space="0"/>
              <w:bottom w:val="single" w:color="95B3D7" w:sz="2" w:space="0"/>
              <w:right w:val="nil"/>
            </w:tcBorders>
            <w:shd w:val="clear" w:color="auto" w:fill="DBE5F1"/>
            <w:vAlign w:val="top"/>
          </w:tcPr>
          <w:p w14:paraId="083EC884">
            <w:pPr>
              <w:pStyle w:val="10"/>
              <w:keepNext w:val="0"/>
              <w:keepLines w:val="0"/>
              <w:widowControl/>
              <w:suppressLineNumbers w:val="0"/>
              <w:ind w:left="0" w:right="0"/>
              <w:rPr>
                <w:rFonts w:hint="default" w:ascii="Cambria" w:hAnsi="Cambria" w:eastAsia="宋体" w:cs="Times New Roman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bdr w:val="none" w:color="auto" w:sz="0" w:space="0"/>
              </w:rPr>
              <w:t>协助建立电网建设成本模型（回归分析）</w:t>
            </w:r>
          </w:p>
        </w:tc>
      </w:tr>
      <w:tr w14:paraId="1948B9D3">
        <w:tblPrEx>
          <w:tblBorders>
            <w:top w:val="single" w:color="95B3D7" w:sz="2" w:space="0"/>
            <w:left w:val="none" w:color="auto" w:sz="6" w:space="0"/>
            <w:bottom w:val="single" w:color="95B3D7" w:sz="2" w:space="0"/>
            <w:right w:val="none" w:color="auto" w:sz="6" w:space="0"/>
            <w:insideH w:val="single" w:color="95B3D7" w:sz="2" w:space="0"/>
            <w:insideV w:val="single" w:color="95B3D7" w:sz="2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95B3D7" w:sz="2" w:space="0"/>
              <w:left w:val="nil"/>
              <w:bottom w:val="single" w:color="95B3D7" w:sz="2" w:space="0"/>
              <w:right w:val="single" w:color="95B3D7" w:sz="2" w:space="0"/>
            </w:tcBorders>
            <w:shd w:val="clear" w:color="auto" w:fill="DBE5F1"/>
            <w:vAlign w:val="top"/>
          </w:tcPr>
          <w:p w14:paraId="43F3ABFB">
            <w:pPr>
              <w:pStyle w:val="10"/>
              <w:keepNext w:val="0"/>
              <w:keepLines w:val="0"/>
              <w:widowControl/>
              <w:suppressLineNumbers w:val="0"/>
              <w:ind w:left="0" w:right="0"/>
              <w:rPr>
                <w:rFonts w:hint="default" w:ascii="Cambria" w:hAnsi="Cambria" w:eastAsia="宋体" w:cs="Times New Roman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决策模型</w:t>
            </w:r>
          </w:p>
        </w:tc>
        <w:tc>
          <w:tcPr>
            <w:tcW w:w="0" w:type="auto"/>
            <w:tcBorders>
              <w:top w:val="single" w:color="95B3D7" w:sz="2" w:space="0"/>
              <w:left w:val="single" w:color="95B3D7" w:sz="2" w:space="0"/>
              <w:bottom w:val="single" w:color="95B3D7" w:sz="2" w:space="0"/>
              <w:right w:val="single" w:color="95B3D7" w:sz="2" w:space="0"/>
            </w:tcBorders>
            <w:shd w:val="clear"/>
            <w:vAlign w:val="top"/>
          </w:tcPr>
          <w:p w14:paraId="495B91E8">
            <w:pPr>
              <w:pStyle w:val="10"/>
              <w:keepNext w:val="0"/>
              <w:keepLines w:val="0"/>
              <w:widowControl/>
              <w:suppressLineNumbers w:val="0"/>
              <w:ind w:left="0" w:right="0"/>
              <w:rPr>
                <w:rFonts w:hint="default" w:ascii="Cambria" w:hAnsi="Cambria" w:eastAsia="宋体" w:cs="Times New Roman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提供工程经验判断</w:t>
            </w:r>
          </w:p>
        </w:tc>
        <w:tc>
          <w:tcPr>
            <w:tcW w:w="0" w:type="auto"/>
            <w:tcBorders>
              <w:top w:val="single" w:color="95B3D7" w:sz="2" w:space="0"/>
              <w:left w:val="single" w:color="95B3D7" w:sz="2" w:space="0"/>
              <w:bottom w:val="single" w:color="95B3D7" w:sz="2" w:space="0"/>
              <w:right w:val="nil"/>
            </w:tcBorders>
            <w:shd w:val="clear" w:color="auto" w:fill="DBE5F1"/>
            <w:vAlign w:val="top"/>
          </w:tcPr>
          <w:p w14:paraId="46798641">
            <w:pPr>
              <w:pStyle w:val="10"/>
              <w:keepNext w:val="0"/>
              <w:keepLines w:val="0"/>
              <w:widowControl/>
              <w:suppressLineNumbers w:val="0"/>
              <w:ind w:left="0" w:right="0"/>
              <w:rPr>
                <w:rFonts w:hint="default" w:ascii="Cambria" w:hAnsi="Cambria" w:eastAsia="宋体" w:cs="Times New Roman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bdr w:val="none" w:color="auto" w:sz="0" w:space="0"/>
              </w:rPr>
              <w:t>协助建立容载比决策模型（</w:t>
            </w:r>
            <w:r>
              <w:rPr>
                <w:rFonts w:hint="default" w:ascii="Cambria" w:hAnsi="Cambria" w:eastAsia="宋体" w:cs="Times New Roman"/>
                <w:b/>
                <w:bCs/>
                <w:sz w:val="24"/>
                <w:szCs w:val="24"/>
                <w:bdr w:val="none" w:color="auto" w:sz="0" w:space="0"/>
              </w:rPr>
              <w:t>AHP+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bdr w:val="none" w:color="auto" w:sz="0" w:space="0"/>
              </w:rPr>
              <w:t>等百分位法</w:t>
            </w:r>
            <w:r>
              <w:rPr>
                <w:rFonts w:hint="default" w:ascii="Cambria" w:hAnsi="Cambria" w:eastAsia="Cambria" w:cs="Cambria"/>
                <w:b/>
                <w:bCs/>
                <w:sz w:val="24"/>
                <w:szCs w:val="24"/>
                <w:bdr w:val="none" w:color="auto" w:sz="0" w:space="0"/>
              </w:rPr>
              <w:t>+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bdr w:val="none" w:color="auto" w:sz="0" w:space="0"/>
              </w:rPr>
              <w:t>决策矩阵）</w:t>
            </w:r>
          </w:p>
        </w:tc>
      </w:tr>
      <w:tr w14:paraId="69B771D6">
        <w:tblPrEx>
          <w:tblBorders>
            <w:top w:val="single" w:color="95B3D7" w:sz="2" w:space="0"/>
            <w:left w:val="none" w:color="auto" w:sz="6" w:space="0"/>
            <w:bottom w:val="single" w:color="95B3D7" w:sz="2" w:space="0"/>
            <w:right w:val="none" w:color="auto" w:sz="6" w:space="0"/>
            <w:insideH w:val="single" w:color="95B3D7" w:sz="2" w:space="0"/>
            <w:insideV w:val="single" w:color="95B3D7" w:sz="2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95B3D7" w:sz="2" w:space="0"/>
              <w:left w:val="nil"/>
              <w:bottom w:val="single" w:color="95B3D7" w:sz="2" w:space="0"/>
              <w:right w:val="single" w:color="95B3D7" w:sz="2" w:space="0"/>
            </w:tcBorders>
            <w:shd w:val="clear" w:color="auto" w:fill="DBE5F1"/>
            <w:vAlign w:val="top"/>
          </w:tcPr>
          <w:p w14:paraId="55C7258E">
            <w:pPr>
              <w:pStyle w:val="10"/>
              <w:keepNext w:val="0"/>
              <w:keepLines w:val="0"/>
              <w:widowControl/>
              <w:suppressLineNumbers w:val="0"/>
              <w:ind w:left="0" w:right="0"/>
              <w:rPr>
                <w:rFonts w:hint="default" w:ascii="Cambria" w:hAnsi="Cambria" w:eastAsia="宋体" w:cs="Times New Roman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全寿命周期对比</w:t>
            </w:r>
          </w:p>
        </w:tc>
        <w:tc>
          <w:tcPr>
            <w:tcW w:w="0" w:type="auto"/>
            <w:tcBorders>
              <w:top w:val="single" w:color="95B3D7" w:sz="2" w:space="0"/>
              <w:left w:val="single" w:color="95B3D7" w:sz="2" w:space="0"/>
              <w:bottom w:val="single" w:color="95B3D7" w:sz="2" w:space="0"/>
              <w:right w:val="single" w:color="95B3D7" w:sz="2" w:space="0"/>
            </w:tcBorders>
            <w:shd w:val="clear" w:color="auto" w:fill="DBE5F1"/>
            <w:vAlign w:val="top"/>
          </w:tcPr>
          <w:p w14:paraId="2239A6CE">
            <w:pPr>
              <w:pStyle w:val="10"/>
              <w:keepNext w:val="0"/>
              <w:keepLines w:val="0"/>
              <w:widowControl/>
              <w:suppressLineNumbers w:val="0"/>
              <w:ind w:left="0" w:right="0"/>
              <w:rPr>
                <w:rFonts w:hint="default" w:ascii="Cambria" w:hAnsi="Cambria" w:eastAsia="宋体" w:cs="Times New Roman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审核对比结论的工程合理性</w:t>
            </w:r>
          </w:p>
        </w:tc>
        <w:tc>
          <w:tcPr>
            <w:tcW w:w="0" w:type="auto"/>
            <w:tcBorders>
              <w:top w:val="single" w:color="95B3D7" w:sz="2" w:space="0"/>
              <w:left w:val="single" w:color="95B3D7" w:sz="2" w:space="0"/>
              <w:bottom w:val="single" w:color="95B3D7" w:sz="2" w:space="0"/>
              <w:right w:val="nil"/>
            </w:tcBorders>
            <w:shd w:val="clear" w:color="auto" w:fill="DBE5F1"/>
            <w:vAlign w:val="top"/>
          </w:tcPr>
          <w:p w14:paraId="43F95396">
            <w:pPr>
              <w:pStyle w:val="10"/>
              <w:keepNext w:val="0"/>
              <w:keepLines w:val="0"/>
              <w:widowControl/>
              <w:suppressLineNumbers w:val="0"/>
              <w:ind w:left="0" w:right="0"/>
              <w:rPr>
                <w:rFonts w:hint="default" w:ascii="Cambria" w:hAnsi="Cambria" w:eastAsia="宋体" w:cs="Times New Roman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bdr w:val="none" w:color="auto" w:sz="0" w:space="0"/>
              </w:rPr>
              <w:t>协助完成方案</w:t>
            </w:r>
            <w:r>
              <w:rPr>
                <w:rFonts w:hint="default" w:ascii="Cambria" w:hAnsi="Cambria" w:eastAsia="宋体" w:cs="Times New Roman"/>
                <w:b/>
                <w:bCs/>
                <w:sz w:val="24"/>
                <w:szCs w:val="24"/>
                <w:bdr w:val="none" w:color="auto" w:sz="0" w:space="0"/>
              </w:rPr>
              <w:t xml:space="preserve">A vs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bdr w:val="none" w:color="auto" w:sz="0" w:space="0"/>
              </w:rPr>
              <w:t>方案</w:t>
            </w:r>
            <w:r>
              <w:rPr>
                <w:rFonts w:hint="default" w:ascii="Cambria" w:hAnsi="Cambria" w:eastAsia="Cambria" w:cs="Cambria"/>
                <w:b/>
                <w:bCs/>
                <w:sz w:val="24"/>
                <w:szCs w:val="24"/>
                <w:bdr w:val="none" w:color="auto" w:sz="0" w:space="0"/>
              </w:rPr>
              <w:t>B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bdr w:val="none" w:color="auto" w:sz="0" w:space="0"/>
              </w:rPr>
              <w:t>的</w:t>
            </w:r>
            <w:r>
              <w:rPr>
                <w:rFonts w:hint="default" w:ascii="Cambria" w:hAnsi="Cambria" w:eastAsia="Cambria" w:cs="Cambria"/>
                <w:b/>
                <w:bCs/>
                <w:sz w:val="24"/>
                <w:szCs w:val="24"/>
                <w:bdr w:val="none" w:color="auto" w:sz="0" w:space="0"/>
              </w:rPr>
              <w:t>LCC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bdr w:val="none" w:color="auto" w:sz="0" w:space="0"/>
              </w:rPr>
              <w:t>对比（</w:t>
            </w:r>
            <w:r>
              <w:rPr>
                <w:rFonts w:hint="default" w:ascii="Cambria" w:hAnsi="Cambria" w:eastAsia="Cambria" w:cs="Cambria"/>
                <w:b/>
                <w:bCs/>
                <w:sz w:val="24"/>
                <w:szCs w:val="24"/>
                <w:bdr w:val="none" w:color="auto" w:sz="0" w:space="0"/>
              </w:rPr>
              <w:t>Z1-Z5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bdr w:val="none" w:color="auto" w:sz="0" w:space="0"/>
              </w:rPr>
              <w:t>五项成本）</w:t>
            </w:r>
          </w:p>
        </w:tc>
      </w:tr>
      <w:tr w14:paraId="6466B8D2">
        <w:tblPrEx>
          <w:tblBorders>
            <w:top w:val="single" w:color="95B3D7" w:sz="2" w:space="0"/>
            <w:left w:val="none" w:color="auto" w:sz="6" w:space="0"/>
            <w:bottom w:val="single" w:color="95B3D7" w:sz="2" w:space="0"/>
            <w:right w:val="none" w:color="auto" w:sz="6" w:space="0"/>
            <w:insideH w:val="single" w:color="95B3D7" w:sz="2" w:space="0"/>
            <w:insideV w:val="single" w:color="95B3D7" w:sz="2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95B3D7" w:sz="2" w:space="0"/>
              <w:left w:val="nil"/>
              <w:bottom w:val="single" w:color="95B3D7" w:sz="2" w:space="0"/>
              <w:right w:val="single" w:color="95B3D7" w:sz="2" w:space="0"/>
            </w:tcBorders>
            <w:shd w:val="clear" w:color="auto" w:fill="DBE5F1"/>
            <w:vAlign w:val="top"/>
          </w:tcPr>
          <w:p w14:paraId="0E995E0B">
            <w:pPr>
              <w:pStyle w:val="10"/>
              <w:keepNext w:val="0"/>
              <w:keepLines w:val="0"/>
              <w:widowControl/>
              <w:suppressLineNumbers w:val="0"/>
              <w:ind w:left="0" w:right="0"/>
              <w:rPr>
                <w:rFonts w:hint="default" w:ascii="Cambria" w:hAnsi="Cambria" w:eastAsia="宋体" w:cs="Times New Roman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弹性规划建议</w:t>
            </w:r>
          </w:p>
        </w:tc>
        <w:tc>
          <w:tcPr>
            <w:tcW w:w="0" w:type="auto"/>
            <w:tcBorders>
              <w:top w:val="single" w:color="95B3D7" w:sz="2" w:space="0"/>
              <w:left w:val="single" w:color="95B3D7" w:sz="2" w:space="0"/>
              <w:bottom w:val="single" w:color="95B3D7" w:sz="2" w:space="0"/>
              <w:right w:val="single" w:color="95B3D7" w:sz="2" w:space="0"/>
            </w:tcBorders>
            <w:shd w:val="clear"/>
            <w:vAlign w:val="top"/>
          </w:tcPr>
          <w:p w14:paraId="2AB9FCEC">
            <w:pPr>
              <w:pStyle w:val="10"/>
              <w:keepNext w:val="0"/>
              <w:keepLines w:val="0"/>
              <w:widowControl/>
              <w:suppressLineNumbers w:val="0"/>
              <w:ind w:left="0" w:right="0"/>
              <w:rPr>
                <w:rFonts w:hint="default" w:ascii="Cambria" w:hAnsi="Cambria" w:eastAsia="宋体" w:cs="Times New Roman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负责工程适用性审查</w:t>
            </w:r>
          </w:p>
        </w:tc>
        <w:tc>
          <w:tcPr>
            <w:tcW w:w="0" w:type="auto"/>
            <w:tcBorders>
              <w:top w:val="single" w:color="95B3D7" w:sz="2" w:space="0"/>
              <w:left w:val="single" w:color="95B3D7" w:sz="2" w:space="0"/>
              <w:bottom w:val="single" w:color="95B3D7" w:sz="2" w:space="0"/>
              <w:right w:val="nil"/>
            </w:tcBorders>
            <w:shd w:val="clear" w:color="auto" w:fill="DBE5F1"/>
            <w:vAlign w:val="top"/>
          </w:tcPr>
          <w:p w14:paraId="5CAA5352">
            <w:pPr>
              <w:pStyle w:val="10"/>
              <w:keepNext w:val="0"/>
              <w:keepLines w:val="0"/>
              <w:widowControl/>
              <w:suppressLineNumbers w:val="0"/>
              <w:ind w:left="0" w:right="0"/>
              <w:rPr>
                <w:rFonts w:hint="default" w:ascii="Cambria" w:hAnsi="Cambria" w:eastAsia="宋体" w:cs="Times New Roman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提供</w:t>
            </w:r>
            <w:r>
              <w:rPr>
                <w:rFonts w:hint="default" w:ascii="Cambria" w:hAnsi="Cambria" w:eastAsia="Cambria" w:cs="Cambria"/>
                <w:sz w:val="24"/>
                <w:szCs w:val="24"/>
                <w:bdr w:val="none" w:color="auto" w:sz="0" w:space="0"/>
              </w:rPr>
              <w:t>“</w:t>
            </w:r>
            <w:r>
              <w:rPr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一片一策</w:t>
            </w:r>
            <w:r>
              <w:rPr>
                <w:rFonts w:hint="default" w:ascii="Cambria" w:hAnsi="Cambria" w:eastAsia="Cambria" w:cs="Cambria"/>
                <w:sz w:val="24"/>
                <w:szCs w:val="24"/>
                <w:bdr w:val="none" w:color="auto" w:sz="0" w:space="0"/>
              </w:rPr>
              <w:t>”</w:t>
            </w:r>
            <w:r>
              <w:rPr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弹性容载比规划建议表</w:t>
            </w:r>
          </w:p>
        </w:tc>
      </w:tr>
      <w:tr w14:paraId="1B68EF65">
        <w:tblPrEx>
          <w:tblBorders>
            <w:top w:val="single" w:color="95B3D7" w:sz="2" w:space="0"/>
            <w:left w:val="none" w:color="auto" w:sz="6" w:space="0"/>
            <w:bottom w:val="single" w:color="95B3D7" w:sz="2" w:space="0"/>
            <w:right w:val="none" w:color="auto" w:sz="6" w:space="0"/>
            <w:insideH w:val="single" w:color="95B3D7" w:sz="2" w:space="0"/>
            <w:insideV w:val="single" w:color="95B3D7" w:sz="2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95B3D7" w:sz="2" w:space="0"/>
              <w:left w:val="nil"/>
              <w:bottom w:val="single" w:color="95B3D7" w:sz="2" w:space="0"/>
              <w:right w:val="single" w:color="95B3D7" w:sz="2" w:space="0"/>
            </w:tcBorders>
            <w:shd w:val="clear" w:color="auto" w:fill="DBE5F1"/>
            <w:vAlign w:val="top"/>
          </w:tcPr>
          <w:p w14:paraId="716C1821">
            <w:pPr>
              <w:pStyle w:val="10"/>
              <w:keepNext w:val="0"/>
              <w:keepLines w:val="0"/>
              <w:widowControl/>
              <w:suppressLineNumbers w:val="0"/>
              <w:ind w:left="0" w:right="0"/>
              <w:rPr>
                <w:rFonts w:hint="default" w:ascii="Cambria" w:hAnsi="Cambria" w:eastAsia="宋体" w:cs="Times New Roman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论文</w:t>
            </w:r>
          </w:p>
        </w:tc>
        <w:tc>
          <w:tcPr>
            <w:tcW w:w="0" w:type="auto"/>
            <w:tcBorders>
              <w:top w:val="single" w:color="95B3D7" w:sz="2" w:space="0"/>
              <w:left w:val="single" w:color="95B3D7" w:sz="2" w:space="0"/>
              <w:bottom w:val="single" w:color="95B3D7" w:sz="2" w:space="0"/>
              <w:right w:val="single" w:color="95B3D7" w:sz="2" w:space="0"/>
            </w:tcBorders>
            <w:shd w:val="clear" w:color="auto" w:fill="DBE5F1"/>
            <w:vAlign w:val="top"/>
          </w:tcPr>
          <w:p w14:paraId="7E6786BE">
            <w:pPr>
              <w:pStyle w:val="10"/>
              <w:keepNext w:val="0"/>
              <w:keepLines w:val="0"/>
              <w:widowControl/>
              <w:suppressLineNumbers w:val="0"/>
              <w:ind w:left="0" w:right="0"/>
              <w:rPr>
                <w:rFonts w:hint="default" w:ascii="Cambria" w:hAnsi="Cambria" w:eastAsia="宋体" w:cs="Times New Roman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审核与署名</w:t>
            </w:r>
          </w:p>
        </w:tc>
        <w:tc>
          <w:tcPr>
            <w:tcW w:w="0" w:type="auto"/>
            <w:tcBorders>
              <w:top w:val="single" w:color="95B3D7" w:sz="2" w:space="0"/>
              <w:left w:val="single" w:color="95B3D7" w:sz="2" w:space="0"/>
              <w:bottom w:val="single" w:color="95B3D7" w:sz="2" w:space="0"/>
              <w:right w:val="nil"/>
            </w:tcBorders>
            <w:shd w:val="clear" w:color="auto" w:fill="DBE5F1"/>
            <w:vAlign w:val="top"/>
          </w:tcPr>
          <w:p w14:paraId="30AB21D6">
            <w:pPr>
              <w:pStyle w:val="10"/>
              <w:keepNext w:val="0"/>
              <w:keepLines w:val="0"/>
              <w:widowControl/>
              <w:suppressLineNumbers w:val="0"/>
              <w:ind w:left="0" w:right="0"/>
              <w:rPr>
                <w:rFonts w:hint="default" w:ascii="Cambria" w:hAnsi="Cambria" w:eastAsia="宋体" w:cs="Times New Roman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bdr w:val="none" w:color="auto" w:sz="0" w:space="0"/>
              </w:rPr>
              <w:t>撰写论文</w:t>
            </w:r>
            <w:r>
              <w:rPr>
                <w:rFonts w:hint="default" w:ascii="Cambria" w:hAnsi="Cambria" w:eastAsia="宋体" w:cs="Times New Roman"/>
                <w:b/>
                <w:bCs/>
                <w:sz w:val="24"/>
                <w:szCs w:val="24"/>
                <w:bdr w:val="none" w:color="auto" w:sz="0" w:space="0"/>
              </w:rPr>
              <w:t>1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bdr w:val="none" w:color="auto" w:sz="0" w:space="0"/>
              </w:rPr>
              <w:t>篇</w:t>
            </w:r>
          </w:p>
        </w:tc>
      </w:tr>
    </w:tbl>
    <w:p w14:paraId="150C3A36">
      <w:pPr>
        <w:pStyle w:val="3"/>
        <w:keepNext w:val="0"/>
        <w:keepLines w:val="0"/>
        <w:widowControl/>
        <w:suppressLineNumbers w:val="0"/>
        <w:ind w:left="0" w:right="0"/>
        <w:rPr>
          <w:rFonts w:hint="default" w:ascii="Cambria" w:hAnsi="Cambria" w:eastAsia="宋体" w:cs="Times New Roman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我方外委内容（约定）</w:t>
      </w:r>
      <w:r>
        <w:rPr>
          <w:rFonts w:hint="eastAsia" w:ascii="宋体" w:hAnsi="宋体" w:eastAsia="宋体" w:cs="宋体"/>
          <w:sz w:val="24"/>
          <w:szCs w:val="24"/>
        </w:rPr>
        <w:t>：</w:t>
      </w:r>
      <w:r>
        <w:rPr>
          <w:rFonts w:hint="default" w:ascii="Cambria" w:hAnsi="Cambria" w:eastAsia="宋体" w:cs="Times New Roman"/>
          <w:sz w:val="24"/>
          <w:szCs w:val="24"/>
        </w:rPr>
        <w:t xml:space="preserve"> 1. </w:t>
      </w:r>
      <w:r>
        <w:rPr>
          <w:rFonts w:hint="eastAsia" w:ascii="宋体" w:hAnsi="宋体" w:eastAsia="宋体" w:cs="宋体"/>
          <w:sz w:val="24"/>
          <w:szCs w:val="24"/>
        </w:rPr>
        <w:t xml:space="preserve">建立电网建设成本模型和容载比决策模型（含等百分位法与决策矩阵） </w:t>
      </w:r>
      <w:r>
        <w:rPr>
          <w:rFonts w:hint="default" w:ascii="Cambria" w:hAnsi="Cambria" w:eastAsia="Cambria" w:cs="Cambria"/>
          <w:sz w:val="24"/>
          <w:szCs w:val="24"/>
        </w:rPr>
        <w:t xml:space="preserve">2. </w:t>
      </w:r>
      <w:r>
        <w:rPr>
          <w:rFonts w:hint="eastAsia" w:ascii="宋体" w:hAnsi="宋体" w:eastAsia="宋体" w:cs="宋体"/>
          <w:sz w:val="24"/>
          <w:szCs w:val="24"/>
        </w:rPr>
        <w:t>论文</w:t>
      </w:r>
      <w:r>
        <w:rPr>
          <w:rFonts w:hint="default" w:ascii="Cambria" w:hAnsi="Cambria" w:eastAsia="Cambria" w:cs="Cambria"/>
          <w:sz w:val="24"/>
          <w:szCs w:val="24"/>
        </w:rPr>
        <w:t>1</w:t>
      </w:r>
      <w:r>
        <w:rPr>
          <w:rFonts w:hint="eastAsia" w:ascii="宋体" w:hAnsi="宋体" w:eastAsia="宋体" w:cs="宋体"/>
          <w:sz w:val="24"/>
          <w:szCs w:val="24"/>
        </w:rPr>
        <w:t>篇</w:t>
      </w:r>
    </w:p>
    <w:p w14:paraId="3E09EA42">
      <w:pPr>
        <w:pStyle w:val="3"/>
        <w:keepNext w:val="0"/>
        <w:keepLines w:val="0"/>
        <w:widowControl/>
        <w:suppressLineNumbers w:val="0"/>
        <w:ind w:left="0" w:right="0"/>
        <w:rPr>
          <w:rFonts w:hint="default" w:ascii="Cambria" w:hAnsi="Cambria" w:eastAsia="宋体" w:cs="Times New Roman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我方交付物清单</w:t>
      </w:r>
      <w:r>
        <w:rPr>
          <w:rFonts w:hint="eastAsia" w:ascii="宋体" w:hAnsi="宋体" w:eastAsia="宋体" w:cs="宋体"/>
          <w:sz w:val="24"/>
          <w:szCs w:val="24"/>
        </w:rPr>
        <w:t>：</w:t>
      </w:r>
    </w:p>
    <w:tbl>
      <w:tblPr>
        <w:tblStyle w:val="11"/>
        <w:tblW w:w="0" w:type="pct"/>
        <w:tblInd w:w="0" w:type="dxa"/>
        <w:tblBorders>
          <w:top w:val="single" w:color="95B3D7" w:sz="2" w:space="0"/>
          <w:left w:val="none" w:color="auto" w:sz="6" w:space="0"/>
          <w:bottom w:val="single" w:color="95B3D7" w:sz="2" w:space="0"/>
          <w:right w:val="none" w:color="auto" w:sz="6" w:space="0"/>
          <w:insideH w:val="single" w:color="95B3D7" w:sz="2" w:space="0"/>
          <w:insideV w:val="single" w:color="95B3D7" w:sz="2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4"/>
        <w:gridCol w:w="3037"/>
        <w:gridCol w:w="1482"/>
        <w:gridCol w:w="3369"/>
      </w:tblGrid>
      <w:tr w14:paraId="394DFC40">
        <w:tblPrEx>
          <w:tblBorders>
            <w:top w:val="single" w:color="95B3D7" w:sz="2" w:space="0"/>
            <w:left w:val="none" w:color="auto" w:sz="6" w:space="0"/>
            <w:bottom w:val="single" w:color="95B3D7" w:sz="2" w:space="0"/>
            <w:right w:val="none" w:color="auto" w:sz="6" w:space="0"/>
            <w:insideH w:val="single" w:color="95B3D7" w:sz="2" w:space="0"/>
            <w:insideV w:val="single" w:color="95B3D7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95B3D7" w:sz="12" w:space="0"/>
              <w:right w:val="nil"/>
            </w:tcBorders>
            <w:shd w:val="clear" w:color="auto" w:fill="FFFFFF"/>
            <w:vAlign w:val="top"/>
          </w:tcPr>
          <w:p w14:paraId="29096C0E">
            <w:pPr>
              <w:pStyle w:val="10"/>
              <w:keepNext w:val="0"/>
              <w:keepLines w:val="0"/>
              <w:widowControl/>
              <w:suppressLineNumbers w:val="0"/>
              <w:ind w:left="0" w:right="0"/>
              <w:rPr>
                <w:rFonts w:hint="default" w:ascii="Cambria" w:hAnsi="Cambria" w:eastAsia="宋体" w:cs="Times New Roman"/>
                <w:b/>
                <w:bCs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bdr w:val="none" w:color="auto" w:sz="0" w:space="0"/>
              </w:rPr>
              <w:t>序号</w:t>
            </w:r>
          </w:p>
        </w:tc>
        <w:tc>
          <w:tcPr>
            <w:tcW w:w="0" w:type="auto"/>
            <w:tcBorders>
              <w:top w:val="nil"/>
              <w:left w:val="single" w:color="95B3D7" w:sz="2" w:space="0"/>
              <w:bottom w:val="single" w:color="95B3D7" w:sz="12" w:space="0"/>
              <w:right w:val="nil"/>
            </w:tcBorders>
            <w:shd w:val="clear" w:color="auto" w:fill="FFFFFF"/>
            <w:vAlign w:val="top"/>
          </w:tcPr>
          <w:p w14:paraId="6720F18D">
            <w:pPr>
              <w:pStyle w:val="10"/>
              <w:keepNext w:val="0"/>
              <w:keepLines w:val="0"/>
              <w:widowControl/>
              <w:suppressLineNumbers w:val="0"/>
              <w:ind w:left="0" w:right="0"/>
              <w:rPr>
                <w:rFonts w:hint="default" w:ascii="Cambria" w:hAnsi="Cambria" w:eastAsia="宋体" w:cs="Times New Roman"/>
                <w:b/>
                <w:bCs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bdr w:val="none" w:color="auto" w:sz="0" w:space="0"/>
              </w:rPr>
              <w:t>交付物</w:t>
            </w:r>
          </w:p>
        </w:tc>
        <w:tc>
          <w:tcPr>
            <w:tcW w:w="0" w:type="auto"/>
            <w:tcBorders>
              <w:top w:val="nil"/>
              <w:left w:val="single" w:color="95B3D7" w:sz="2" w:space="0"/>
              <w:bottom w:val="single" w:color="95B3D7" w:sz="12" w:space="0"/>
              <w:right w:val="nil"/>
            </w:tcBorders>
            <w:shd w:val="clear" w:color="auto" w:fill="FFFFFF"/>
            <w:vAlign w:val="top"/>
          </w:tcPr>
          <w:p w14:paraId="1F16EFDF">
            <w:pPr>
              <w:pStyle w:val="10"/>
              <w:keepNext w:val="0"/>
              <w:keepLines w:val="0"/>
              <w:widowControl/>
              <w:suppressLineNumbers w:val="0"/>
              <w:ind w:left="0" w:right="0"/>
              <w:rPr>
                <w:rFonts w:hint="default" w:ascii="Cambria" w:hAnsi="Cambria" w:eastAsia="宋体" w:cs="Times New Roman"/>
                <w:b/>
                <w:bCs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bdr w:val="none" w:color="auto" w:sz="0" w:space="0"/>
              </w:rPr>
              <w:t>形式</w:t>
            </w:r>
          </w:p>
        </w:tc>
        <w:tc>
          <w:tcPr>
            <w:tcW w:w="0" w:type="auto"/>
            <w:tcBorders>
              <w:top w:val="nil"/>
              <w:left w:val="single" w:color="95B3D7" w:sz="2" w:space="0"/>
              <w:bottom w:val="single" w:color="95B3D7" w:sz="12" w:space="0"/>
              <w:right w:val="nil"/>
            </w:tcBorders>
            <w:shd w:val="clear" w:color="auto" w:fill="FFFFFF"/>
            <w:vAlign w:val="top"/>
          </w:tcPr>
          <w:p w14:paraId="39475073">
            <w:pPr>
              <w:pStyle w:val="10"/>
              <w:keepNext w:val="0"/>
              <w:keepLines w:val="0"/>
              <w:widowControl/>
              <w:suppressLineNumbers w:val="0"/>
              <w:ind w:left="0" w:right="0"/>
              <w:rPr>
                <w:rFonts w:hint="default" w:ascii="Cambria" w:hAnsi="Cambria" w:eastAsia="宋体" w:cs="Times New Roman"/>
                <w:b/>
                <w:bCs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bdr w:val="none" w:color="auto" w:sz="0" w:space="0"/>
              </w:rPr>
              <w:t>说明</w:t>
            </w:r>
          </w:p>
        </w:tc>
      </w:tr>
      <w:tr w14:paraId="51FFC58E">
        <w:tblPrEx>
          <w:tblBorders>
            <w:top w:val="single" w:color="95B3D7" w:sz="2" w:space="0"/>
            <w:left w:val="none" w:color="auto" w:sz="6" w:space="0"/>
            <w:bottom w:val="single" w:color="95B3D7" w:sz="2" w:space="0"/>
            <w:right w:val="none" w:color="auto" w:sz="6" w:space="0"/>
            <w:insideH w:val="single" w:color="95B3D7" w:sz="2" w:space="0"/>
            <w:insideV w:val="single" w:color="95B3D7" w:sz="2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95B3D7" w:sz="2" w:space="0"/>
              <w:left w:val="nil"/>
              <w:bottom w:val="single" w:color="95B3D7" w:sz="2" w:space="0"/>
              <w:right w:val="single" w:color="95B3D7" w:sz="2" w:space="0"/>
            </w:tcBorders>
            <w:shd w:val="clear" w:color="auto" w:fill="DBE5F1"/>
            <w:vAlign w:val="top"/>
          </w:tcPr>
          <w:p w14:paraId="62FC57E3">
            <w:pPr>
              <w:pStyle w:val="10"/>
              <w:keepNext w:val="0"/>
              <w:keepLines w:val="0"/>
              <w:widowControl/>
              <w:suppressLineNumbers w:val="0"/>
              <w:ind w:left="0" w:right="0"/>
              <w:rPr>
                <w:rFonts w:hint="default" w:ascii="Cambria" w:hAnsi="Cambria" w:eastAsia="宋体" w:cs="Times New Roman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Cambria" w:hAnsi="Cambria" w:eastAsia="宋体" w:cs="Times New Roman"/>
                <w:sz w:val="24"/>
                <w:szCs w:val="24"/>
                <w:bdr w:val="none" w:color="auto" w:sz="0" w:space="0"/>
              </w:rPr>
              <w:t>1-1</w:t>
            </w:r>
          </w:p>
        </w:tc>
        <w:tc>
          <w:tcPr>
            <w:tcW w:w="0" w:type="auto"/>
            <w:tcBorders>
              <w:top w:val="single" w:color="95B3D7" w:sz="2" w:space="0"/>
              <w:left w:val="single" w:color="95B3D7" w:sz="2" w:space="0"/>
              <w:bottom w:val="single" w:color="95B3D7" w:sz="2" w:space="0"/>
              <w:right w:val="single" w:color="95B3D7" w:sz="2" w:space="0"/>
            </w:tcBorders>
            <w:shd w:val="clear" w:color="auto" w:fill="DBE5F1"/>
            <w:vAlign w:val="top"/>
          </w:tcPr>
          <w:p w14:paraId="21747BC5">
            <w:pPr>
              <w:pStyle w:val="10"/>
              <w:keepNext w:val="0"/>
              <w:keepLines w:val="0"/>
              <w:widowControl/>
              <w:suppressLineNumbers w:val="0"/>
              <w:ind w:left="0" w:right="0"/>
              <w:rPr>
                <w:rFonts w:hint="default" w:ascii="Cambria" w:hAnsi="Cambria" w:eastAsia="宋体" w:cs="Times New Roman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电网建设参数化成本公式</w:t>
            </w:r>
          </w:p>
        </w:tc>
        <w:tc>
          <w:tcPr>
            <w:tcW w:w="0" w:type="auto"/>
            <w:tcBorders>
              <w:top w:val="single" w:color="95B3D7" w:sz="2" w:space="0"/>
              <w:left w:val="single" w:color="95B3D7" w:sz="2" w:space="0"/>
              <w:bottom w:val="single" w:color="95B3D7" w:sz="2" w:space="0"/>
              <w:right w:val="single" w:color="95B3D7" w:sz="2" w:space="0"/>
            </w:tcBorders>
            <w:shd w:val="clear" w:color="auto" w:fill="DBE5F1"/>
            <w:vAlign w:val="top"/>
          </w:tcPr>
          <w:p w14:paraId="17A77938">
            <w:pPr>
              <w:pStyle w:val="10"/>
              <w:keepNext w:val="0"/>
              <w:keepLines w:val="0"/>
              <w:widowControl/>
              <w:suppressLineNumbers w:val="0"/>
              <w:ind w:left="0" w:right="0"/>
              <w:rPr>
                <w:rFonts w:hint="default" w:ascii="Cambria" w:hAnsi="Cambria" w:eastAsia="宋体" w:cs="Times New Roman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研究报告章节</w:t>
            </w:r>
            <w:r>
              <w:rPr>
                <w:rFonts w:hint="default" w:ascii="Cambria" w:hAnsi="Cambria" w:eastAsia="宋体" w:cs="Times New Roman"/>
                <w:sz w:val="24"/>
                <w:szCs w:val="24"/>
                <w:bdr w:val="none" w:color="auto" w:sz="0" w:space="0"/>
              </w:rPr>
              <w:t xml:space="preserve"> + </w:t>
            </w:r>
            <w:r>
              <w:rPr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可复用公式</w:t>
            </w:r>
          </w:p>
        </w:tc>
        <w:tc>
          <w:tcPr>
            <w:tcW w:w="0" w:type="auto"/>
            <w:tcBorders>
              <w:top w:val="single" w:color="95B3D7" w:sz="2" w:space="0"/>
              <w:left w:val="single" w:color="95B3D7" w:sz="2" w:space="0"/>
              <w:bottom w:val="single" w:color="95B3D7" w:sz="2" w:space="0"/>
              <w:right w:val="nil"/>
            </w:tcBorders>
            <w:shd w:val="clear" w:color="auto" w:fill="DBE5F1"/>
            <w:vAlign w:val="top"/>
          </w:tcPr>
          <w:p w14:paraId="017DF4D8">
            <w:pPr>
              <w:pStyle w:val="10"/>
              <w:keepNext w:val="0"/>
              <w:keepLines w:val="0"/>
              <w:widowControl/>
              <w:suppressLineNumbers w:val="0"/>
              <w:ind w:left="0" w:right="0"/>
              <w:rPr>
                <w:rFonts w:hint="default" w:ascii="Cambria" w:hAnsi="Cambria" w:eastAsia="宋体" w:cs="Times New Roman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基于回归分析</w:t>
            </w:r>
          </w:p>
        </w:tc>
      </w:tr>
      <w:tr w14:paraId="00D43974">
        <w:tblPrEx>
          <w:tblBorders>
            <w:top w:val="single" w:color="95B3D7" w:sz="2" w:space="0"/>
            <w:left w:val="none" w:color="auto" w:sz="6" w:space="0"/>
            <w:bottom w:val="single" w:color="95B3D7" w:sz="2" w:space="0"/>
            <w:right w:val="none" w:color="auto" w:sz="6" w:space="0"/>
            <w:insideH w:val="single" w:color="95B3D7" w:sz="2" w:space="0"/>
            <w:insideV w:val="single" w:color="95B3D7" w:sz="2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95B3D7" w:sz="2" w:space="0"/>
              <w:left w:val="nil"/>
              <w:bottom w:val="single" w:color="95B3D7" w:sz="2" w:space="0"/>
              <w:right w:val="single" w:color="95B3D7" w:sz="2" w:space="0"/>
            </w:tcBorders>
            <w:shd w:val="clear" w:color="auto" w:fill="DBE5F1"/>
            <w:vAlign w:val="top"/>
          </w:tcPr>
          <w:p w14:paraId="4A44A4B0">
            <w:pPr>
              <w:pStyle w:val="10"/>
              <w:keepNext w:val="0"/>
              <w:keepLines w:val="0"/>
              <w:widowControl/>
              <w:suppressLineNumbers w:val="0"/>
              <w:ind w:left="0" w:right="0"/>
              <w:rPr>
                <w:rFonts w:hint="default" w:ascii="Cambria" w:hAnsi="Cambria" w:eastAsia="宋体" w:cs="Times New Roman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Cambria" w:hAnsi="Cambria" w:eastAsia="宋体" w:cs="Times New Roman"/>
                <w:sz w:val="24"/>
                <w:szCs w:val="24"/>
                <w:bdr w:val="none" w:color="auto" w:sz="0" w:space="0"/>
              </w:rPr>
              <w:t>1-2</w:t>
            </w:r>
          </w:p>
        </w:tc>
        <w:tc>
          <w:tcPr>
            <w:tcW w:w="0" w:type="auto"/>
            <w:tcBorders>
              <w:top w:val="single" w:color="95B3D7" w:sz="2" w:space="0"/>
              <w:left w:val="single" w:color="95B3D7" w:sz="2" w:space="0"/>
              <w:bottom w:val="single" w:color="95B3D7" w:sz="2" w:space="0"/>
              <w:right w:val="single" w:color="95B3D7" w:sz="2" w:space="0"/>
            </w:tcBorders>
            <w:shd w:val="clear"/>
            <w:vAlign w:val="top"/>
          </w:tcPr>
          <w:p w14:paraId="33D7FD0E">
            <w:pPr>
              <w:pStyle w:val="10"/>
              <w:keepNext w:val="0"/>
              <w:keepLines w:val="0"/>
              <w:widowControl/>
              <w:suppressLineNumbers w:val="0"/>
              <w:ind w:left="0" w:right="0"/>
              <w:rPr>
                <w:rFonts w:hint="default" w:ascii="Cambria" w:hAnsi="Cambria" w:eastAsia="宋体" w:cs="Times New Roman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方案</w:t>
            </w:r>
            <w:r>
              <w:rPr>
                <w:rFonts w:hint="default" w:ascii="Cambria" w:hAnsi="Cambria" w:eastAsia="宋体" w:cs="Times New Roman"/>
                <w:sz w:val="24"/>
                <w:szCs w:val="24"/>
                <w:bdr w:val="none" w:color="auto" w:sz="0" w:space="0"/>
              </w:rPr>
              <w:t>A</w:t>
            </w:r>
            <w:r>
              <w:rPr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（严格</w:t>
            </w:r>
            <w:r>
              <w:rPr>
                <w:rFonts w:hint="default" w:ascii="Cambria" w:hAnsi="Cambria" w:eastAsia="Cambria" w:cs="Cambria"/>
                <w:sz w:val="24"/>
                <w:szCs w:val="24"/>
                <w:bdr w:val="none" w:color="auto" w:sz="0" w:space="0"/>
              </w:rPr>
              <w:t>+</w:t>
            </w:r>
            <w:r>
              <w:rPr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配储）</w:t>
            </w:r>
            <w:r>
              <w:rPr>
                <w:rFonts w:hint="default" w:ascii="Cambria" w:hAnsi="Cambria" w:eastAsia="Cambria" w:cs="Cambria"/>
                <w:sz w:val="24"/>
                <w:szCs w:val="24"/>
                <w:bdr w:val="none" w:color="auto" w:sz="0" w:space="0"/>
              </w:rPr>
              <w:t xml:space="preserve">vs </w:t>
            </w:r>
            <w:r>
              <w:rPr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方案</w:t>
            </w:r>
            <w:r>
              <w:rPr>
                <w:rFonts w:hint="default" w:ascii="Cambria" w:hAnsi="Cambria" w:eastAsia="Cambria" w:cs="Cambria"/>
                <w:sz w:val="24"/>
                <w:szCs w:val="24"/>
                <w:bdr w:val="none" w:color="auto" w:sz="0" w:space="0"/>
              </w:rPr>
              <w:t>B</w:t>
            </w:r>
            <w:r>
              <w:rPr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（弹性放宽</w:t>
            </w:r>
            <w:r>
              <w:rPr>
                <w:rFonts w:hint="default" w:ascii="Cambria" w:hAnsi="Cambria" w:eastAsia="Cambria" w:cs="Cambria"/>
                <w:sz w:val="24"/>
                <w:szCs w:val="24"/>
                <w:bdr w:val="none" w:color="auto" w:sz="0" w:space="0"/>
              </w:rPr>
              <w:t>+</w:t>
            </w:r>
            <w:r>
              <w:rPr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增容）全寿命周期成本对比报告</w:t>
            </w:r>
          </w:p>
        </w:tc>
        <w:tc>
          <w:tcPr>
            <w:tcW w:w="0" w:type="auto"/>
            <w:tcBorders>
              <w:top w:val="single" w:color="95B3D7" w:sz="2" w:space="0"/>
              <w:left w:val="single" w:color="95B3D7" w:sz="2" w:space="0"/>
              <w:bottom w:val="single" w:color="95B3D7" w:sz="2" w:space="0"/>
              <w:right w:val="single" w:color="95B3D7" w:sz="2" w:space="0"/>
            </w:tcBorders>
            <w:shd w:val="clear" w:color="auto" w:fill="DBE5F1"/>
            <w:vAlign w:val="top"/>
          </w:tcPr>
          <w:p w14:paraId="2271B514">
            <w:pPr>
              <w:pStyle w:val="10"/>
              <w:keepNext w:val="0"/>
              <w:keepLines w:val="0"/>
              <w:widowControl/>
              <w:suppressLineNumbers w:val="0"/>
              <w:ind w:left="0" w:right="0"/>
              <w:rPr>
                <w:rFonts w:hint="default" w:ascii="Cambria" w:hAnsi="Cambria" w:eastAsia="宋体" w:cs="Times New Roman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研究报告章节</w:t>
            </w:r>
            <w:r>
              <w:rPr>
                <w:rFonts w:hint="default" w:ascii="Cambria" w:hAnsi="Cambria" w:eastAsia="宋体" w:cs="Times New Roman"/>
                <w:sz w:val="24"/>
                <w:szCs w:val="24"/>
                <w:bdr w:val="none" w:color="auto" w:sz="0" w:space="0"/>
              </w:rPr>
              <w:t xml:space="preserve"> + </w:t>
            </w:r>
            <w:r>
              <w:rPr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对比表</w:t>
            </w:r>
          </w:p>
        </w:tc>
        <w:tc>
          <w:tcPr>
            <w:tcW w:w="0" w:type="auto"/>
            <w:tcBorders>
              <w:top w:val="single" w:color="95B3D7" w:sz="2" w:space="0"/>
              <w:left w:val="single" w:color="95B3D7" w:sz="2" w:space="0"/>
              <w:bottom w:val="single" w:color="95B3D7" w:sz="2" w:space="0"/>
              <w:right w:val="nil"/>
            </w:tcBorders>
            <w:shd w:val="clear"/>
            <w:vAlign w:val="top"/>
          </w:tcPr>
          <w:p w14:paraId="33817237">
            <w:pPr>
              <w:pStyle w:val="10"/>
              <w:keepNext w:val="0"/>
              <w:keepLines w:val="0"/>
              <w:widowControl/>
              <w:suppressLineNumbers w:val="0"/>
              <w:ind w:left="0" w:right="0"/>
              <w:rPr>
                <w:rFonts w:hint="default" w:ascii="Cambria" w:hAnsi="Cambria" w:eastAsia="宋体" w:cs="Times New Roman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年费用法，</w:t>
            </w:r>
            <w:r>
              <w:rPr>
                <w:rFonts w:hint="default" w:ascii="Cambria" w:hAnsi="Cambria" w:eastAsia="宋体" w:cs="Times New Roman"/>
                <w:sz w:val="24"/>
                <w:szCs w:val="24"/>
                <w:bdr w:val="none" w:color="auto" w:sz="0" w:space="0"/>
              </w:rPr>
              <w:t>Z1-Z5</w:t>
            </w:r>
            <w:r>
              <w:rPr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五项成本</w:t>
            </w:r>
          </w:p>
        </w:tc>
      </w:tr>
      <w:tr w14:paraId="6231B40F">
        <w:tblPrEx>
          <w:tblBorders>
            <w:top w:val="single" w:color="95B3D7" w:sz="2" w:space="0"/>
            <w:left w:val="none" w:color="auto" w:sz="6" w:space="0"/>
            <w:bottom w:val="single" w:color="95B3D7" w:sz="2" w:space="0"/>
            <w:right w:val="none" w:color="auto" w:sz="6" w:space="0"/>
            <w:insideH w:val="single" w:color="95B3D7" w:sz="2" w:space="0"/>
            <w:insideV w:val="single" w:color="95B3D7" w:sz="2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95B3D7" w:sz="2" w:space="0"/>
              <w:left w:val="nil"/>
              <w:bottom w:val="single" w:color="95B3D7" w:sz="2" w:space="0"/>
              <w:right w:val="single" w:color="95B3D7" w:sz="2" w:space="0"/>
            </w:tcBorders>
            <w:shd w:val="clear" w:color="auto" w:fill="DBE5F1"/>
            <w:vAlign w:val="top"/>
          </w:tcPr>
          <w:p w14:paraId="650AFA64">
            <w:pPr>
              <w:pStyle w:val="10"/>
              <w:keepNext w:val="0"/>
              <w:keepLines w:val="0"/>
              <w:widowControl/>
              <w:suppressLineNumbers w:val="0"/>
              <w:ind w:left="0" w:right="0"/>
              <w:rPr>
                <w:rFonts w:hint="default" w:ascii="Cambria" w:hAnsi="Cambria" w:eastAsia="宋体" w:cs="Times New Roman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Cambria" w:hAnsi="Cambria" w:eastAsia="宋体" w:cs="Times New Roman"/>
                <w:sz w:val="24"/>
                <w:szCs w:val="24"/>
                <w:bdr w:val="none" w:color="auto" w:sz="0" w:space="0"/>
              </w:rPr>
              <w:t>1-3</w:t>
            </w:r>
          </w:p>
        </w:tc>
        <w:tc>
          <w:tcPr>
            <w:tcW w:w="0" w:type="auto"/>
            <w:tcBorders>
              <w:top w:val="single" w:color="95B3D7" w:sz="2" w:space="0"/>
              <w:left w:val="single" w:color="95B3D7" w:sz="2" w:space="0"/>
              <w:bottom w:val="single" w:color="95B3D7" w:sz="2" w:space="0"/>
              <w:right w:val="single" w:color="95B3D7" w:sz="2" w:space="0"/>
            </w:tcBorders>
            <w:shd w:val="clear" w:color="auto" w:fill="DBE5F1"/>
            <w:vAlign w:val="top"/>
          </w:tcPr>
          <w:p w14:paraId="6BA89099">
            <w:pPr>
              <w:pStyle w:val="10"/>
              <w:keepNext w:val="0"/>
              <w:keepLines w:val="0"/>
              <w:widowControl/>
              <w:suppressLineNumbers w:val="0"/>
              <w:ind w:left="0" w:right="0"/>
              <w:rPr>
                <w:rFonts w:hint="default" w:ascii="Cambria" w:hAnsi="Cambria" w:eastAsia="宋体" w:cs="Times New Roman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Cambria" w:hAnsi="Cambria" w:eastAsia="宋体" w:cs="Times New Roman"/>
                <w:sz w:val="24"/>
                <w:szCs w:val="24"/>
                <w:bdr w:val="none" w:color="auto" w:sz="0" w:space="0"/>
              </w:rPr>
              <w:t>AHP</w:t>
            </w:r>
            <w:r>
              <w:rPr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容载比多准则决策模型</w:t>
            </w:r>
          </w:p>
        </w:tc>
        <w:tc>
          <w:tcPr>
            <w:tcW w:w="0" w:type="auto"/>
            <w:tcBorders>
              <w:top w:val="single" w:color="95B3D7" w:sz="2" w:space="0"/>
              <w:left w:val="single" w:color="95B3D7" w:sz="2" w:space="0"/>
              <w:bottom w:val="single" w:color="95B3D7" w:sz="2" w:space="0"/>
              <w:right w:val="single" w:color="95B3D7" w:sz="2" w:space="0"/>
            </w:tcBorders>
            <w:shd w:val="clear" w:color="auto" w:fill="DBE5F1"/>
            <w:vAlign w:val="top"/>
          </w:tcPr>
          <w:p w14:paraId="7C2C532B">
            <w:pPr>
              <w:pStyle w:val="10"/>
              <w:keepNext w:val="0"/>
              <w:keepLines w:val="0"/>
              <w:widowControl/>
              <w:suppressLineNumbers w:val="0"/>
              <w:ind w:left="0" w:right="0"/>
              <w:rPr>
                <w:rFonts w:hint="default" w:ascii="Cambria" w:hAnsi="Cambria" w:eastAsia="宋体" w:cs="Times New Roman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研究报告章节</w:t>
            </w:r>
            <w:r>
              <w:rPr>
                <w:rFonts w:hint="default" w:ascii="Cambria" w:hAnsi="Cambria" w:eastAsia="宋体" w:cs="Times New Roman"/>
                <w:sz w:val="24"/>
                <w:szCs w:val="24"/>
                <w:bdr w:val="none" w:color="auto" w:sz="0" w:space="0"/>
              </w:rPr>
              <w:t xml:space="preserve"> + </w:t>
            </w:r>
            <w:r>
              <w:rPr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可复用模型文件</w:t>
            </w:r>
          </w:p>
        </w:tc>
        <w:tc>
          <w:tcPr>
            <w:tcW w:w="0" w:type="auto"/>
            <w:tcBorders>
              <w:top w:val="single" w:color="95B3D7" w:sz="2" w:space="0"/>
              <w:left w:val="single" w:color="95B3D7" w:sz="2" w:space="0"/>
              <w:bottom w:val="single" w:color="95B3D7" w:sz="2" w:space="0"/>
              <w:right w:val="nil"/>
            </w:tcBorders>
            <w:shd w:val="clear" w:color="auto" w:fill="DBE5F1"/>
            <w:vAlign w:val="top"/>
          </w:tcPr>
          <w:p w14:paraId="1C483F0E">
            <w:pPr>
              <w:pStyle w:val="10"/>
              <w:keepNext w:val="0"/>
              <w:keepLines w:val="0"/>
              <w:widowControl/>
              <w:suppressLineNumbers w:val="0"/>
              <w:ind w:left="0" w:right="0"/>
              <w:rPr>
                <w:rFonts w:hint="default" w:ascii="Cambria" w:hAnsi="Cambria" w:eastAsia="宋体" w:cs="Times New Roman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含判断矩阵、一致性检验、等百分位法分档</w:t>
            </w:r>
          </w:p>
        </w:tc>
      </w:tr>
      <w:tr w14:paraId="535340D0">
        <w:tblPrEx>
          <w:tblBorders>
            <w:top w:val="single" w:color="95B3D7" w:sz="2" w:space="0"/>
            <w:left w:val="none" w:color="auto" w:sz="6" w:space="0"/>
            <w:bottom w:val="single" w:color="95B3D7" w:sz="2" w:space="0"/>
            <w:right w:val="none" w:color="auto" w:sz="6" w:space="0"/>
            <w:insideH w:val="single" w:color="95B3D7" w:sz="2" w:space="0"/>
            <w:insideV w:val="single" w:color="95B3D7" w:sz="2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95B3D7" w:sz="2" w:space="0"/>
              <w:left w:val="nil"/>
              <w:bottom w:val="single" w:color="95B3D7" w:sz="2" w:space="0"/>
              <w:right w:val="single" w:color="95B3D7" w:sz="2" w:space="0"/>
            </w:tcBorders>
            <w:shd w:val="clear" w:color="auto" w:fill="DBE5F1"/>
            <w:vAlign w:val="top"/>
          </w:tcPr>
          <w:p w14:paraId="33AAB9A1">
            <w:pPr>
              <w:pStyle w:val="10"/>
              <w:keepNext w:val="0"/>
              <w:keepLines w:val="0"/>
              <w:widowControl/>
              <w:suppressLineNumbers w:val="0"/>
              <w:ind w:left="0" w:right="0"/>
              <w:rPr>
                <w:rFonts w:hint="default" w:ascii="Cambria" w:hAnsi="Cambria" w:eastAsia="宋体" w:cs="Times New Roman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Cambria" w:hAnsi="Cambria" w:eastAsia="宋体" w:cs="Times New Roman"/>
                <w:sz w:val="24"/>
                <w:szCs w:val="24"/>
                <w:bdr w:val="none" w:color="auto" w:sz="0" w:space="0"/>
              </w:rPr>
              <w:t>1-4</w:t>
            </w:r>
          </w:p>
        </w:tc>
        <w:tc>
          <w:tcPr>
            <w:tcW w:w="0" w:type="auto"/>
            <w:tcBorders>
              <w:top w:val="single" w:color="95B3D7" w:sz="2" w:space="0"/>
              <w:left w:val="single" w:color="95B3D7" w:sz="2" w:space="0"/>
              <w:bottom w:val="single" w:color="95B3D7" w:sz="2" w:space="0"/>
              <w:right w:val="single" w:color="95B3D7" w:sz="2" w:space="0"/>
            </w:tcBorders>
            <w:shd w:val="clear"/>
            <w:vAlign w:val="top"/>
          </w:tcPr>
          <w:p w14:paraId="50544A8B">
            <w:pPr>
              <w:pStyle w:val="10"/>
              <w:keepNext w:val="0"/>
              <w:keepLines w:val="0"/>
              <w:widowControl/>
              <w:suppressLineNumbers w:val="0"/>
              <w:ind w:left="0" w:right="0"/>
              <w:rPr>
                <w:rFonts w:hint="default" w:ascii="Cambria" w:hAnsi="Cambria" w:eastAsia="宋体" w:cs="Times New Roman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sz w:val="24"/>
                <w:szCs w:val="24"/>
                <w:bdr w:val="none" w:color="auto" w:sz="0" w:space="0"/>
              </w:rPr>
              <w:t>“</w:t>
            </w:r>
            <w:r>
              <w:rPr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一片一策</w:t>
            </w:r>
            <w:r>
              <w:rPr>
                <w:rFonts w:hint="default" w:ascii="Cambria" w:hAnsi="Cambria" w:eastAsia="Cambria" w:cs="Cambria"/>
                <w:sz w:val="24"/>
                <w:szCs w:val="24"/>
                <w:bdr w:val="none" w:color="auto" w:sz="0" w:space="0"/>
              </w:rPr>
              <w:t>”</w:t>
            </w:r>
            <w:r>
              <w:rPr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弹性容载比规划建议表</w:t>
            </w:r>
          </w:p>
        </w:tc>
        <w:tc>
          <w:tcPr>
            <w:tcW w:w="0" w:type="auto"/>
            <w:tcBorders>
              <w:top w:val="single" w:color="95B3D7" w:sz="2" w:space="0"/>
              <w:left w:val="single" w:color="95B3D7" w:sz="2" w:space="0"/>
              <w:bottom w:val="single" w:color="95B3D7" w:sz="2" w:space="0"/>
              <w:right w:val="single" w:color="95B3D7" w:sz="2" w:space="0"/>
            </w:tcBorders>
            <w:shd w:val="clear" w:color="auto" w:fill="DBE5F1"/>
            <w:vAlign w:val="top"/>
          </w:tcPr>
          <w:p w14:paraId="63BDBB79">
            <w:pPr>
              <w:pStyle w:val="10"/>
              <w:keepNext w:val="0"/>
              <w:keepLines w:val="0"/>
              <w:widowControl/>
              <w:suppressLineNumbers w:val="0"/>
              <w:ind w:left="0" w:right="0"/>
              <w:rPr>
                <w:rFonts w:hint="default" w:ascii="Cambria" w:hAnsi="Cambria" w:eastAsia="宋体" w:cs="Times New Roman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研究报告章节</w:t>
            </w:r>
            <w:r>
              <w:rPr>
                <w:rFonts w:hint="default" w:ascii="Cambria" w:hAnsi="Cambria" w:eastAsia="宋体" w:cs="Times New Roman"/>
                <w:sz w:val="24"/>
                <w:szCs w:val="24"/>
                <w:bdr w:val="none" w:color="auto" w:sz="0" w:space="0"/>
              </w:rPr>
              <w:t xml:space="preserve"> + </w:t>
            </w:r>
            <w:r>
              <w:rPr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决策矩阵工具</w:t>
            </w:r>
          </w:p>
        </w:tc>
        <w:tc>
          <w:tcPr>
            <w:tcW w:w="0" w:type="auto"/>
            <w:tcBorders>
              <w:top w:val="single" w:color="95B3D7" w:sz="2" w:space="0"/>
              <w:left w:val="single" w:color="95B3D7" w:sz="2" w:space="0"/>
              <w:bottom w:val="single" w:color="95B3D7" w:sz="2" w:space="0"/>
              <w:right w:val="nil"/>
            </w:tcBorders>
            <w:shd w:val="clear"/>
            <w:vAlign w:val="top"/>
          </w:tcPr>
          <w:p w14:paraId="4B82D1F1">
            <w:pPr>
              <w:pStyle w:val="10"/>
              <w:keepNext w:val="0"/>
              <w:keepLines w:val="0"/>
              <w:widowControl/>
              <w:suppressLineNumbers w:val="0"/>
              <w:ind w:left="0" w:right="0"/>
              <w:rPr>
                <w:rFonts w:hint="default" w:ascii="Cambria" w:hAnsi="Cambria" w:eastAsia="宋体" w:cs="Times New Roman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每个典型片区一行，含源荷比、渗透率分档、推荐容载比区间、推荐技术方案组合</w:t>
            </w:r>
          </w:p>
        </w:tc>
      </w:tr>
      <w:tr w14:paraId="4978D184">
        <w:tblPrEx>
          <w:tblBorders>
            <w:top w:val="single" w:color="95B3D7" w:sz="2" w:space="0"/>
            <w:left w:val="none" w:color="auto" w:sz="6" w:space="0"/>
            <w:bottom w:val="single" w:color="95B3D7" w:sz="2" w:space="0"/>
            <w:right w:val="none" w:color="auto" w:sz="6" w:space="0"/>
            <w:insideH w:val="single" w:color="95B3D7" w:sz="2" w:space="0"/>
            <w:insideV w:val="single" w:color="95B3D7" w:sz="2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95B3D7" w:sz="2" w:space="0"/>
              <w:left w:val="nil"/>
              <w:bottom w:val="single" w:color="95B3D7" w:sz="2" w:space="0"/>
              <w:right w:val="single" w:color="95B3D7" w:sz="2" w:space="0"/>
            </w:tcBorders>
            <w:shd w:val="clear" w:color="auto" w:fill="DBE5F1"/>
            <w:vAlign w:val="top"/>
          </w:tcPr>
          <w:p w14:paraId="393BC0E4">
            <w:pPr>
              <w:pStyle w:val="10"/>
              <w:keepNext w:val="0"/>
              <w:keepLines w:val="0"/>
              <w:widowControl/>
              <w:suppressLineNumbers w:val="0"/>
              <w:ind w:left="0" w:right="0"/>
              <w:rPr>
                <w:rFonts w:hint="default" w:ascii="Cambria" w:hAnsi="Cambria" w:eastAsia="宋体" w:cs="Times New Roman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Cambria" w:hAnsi="Cambria" w:eastAsia="宋体" w:cs="Times New Roman"/>
                <w:sz w:val="24"/>
                <w:szCs w:val="24"/>
                <w:bdr w:val="none" w:color="auto" w:sz="0" w:space="0"/>
              </w:rPr>
              <w:t>1-5</w:t>
            </w:r>
          </w:p>
        </w:tc>
        <w:tc>
          <w:tcPr>
            <w:tcW w:w="0" w:type="auto"/>
            <w:tcBorders>
              <w:top w:val="single" w:color="95B3D7" w:sz="2" w:space="0"/>
              <w:left w:val="single" w:color="95B3D7" w:sz="2" w:space="0"/>
              <w:bottom w:val="single" w:color="95B3D7" w:sz="2" w:space="0"/>
              <w:right w:val="single" w:color="95B3D7" w:sz="2" w:space="0"/>
            </w:tcBorders>
            <w:shd w:val="clear" w:color="auto" w:fill="DBE5F1"/>
            <w:vAlign w:val="top"/>
          </w:tcPr>
          <w:p w14:paraId="49AE8CD7">
            <w:pPr>
              <w:pStyle w:val="10"/>
              <w:keepNext w:val="0"/>
              <w:keepLines w:val="0"/>
              <w:widowControl/>
              <w:suppressLineNumbers w:val="0"/>
              <w:ind w:left="0" w:right="0"/>
              <w:rPr>
                <w:rFonts w:hint="default" w:ascii="Cambria" w:hAnsi="Cambria" w:eastAsia="宋体" w:cs="Times New Roman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课题</w:t>
            </w:r>
            <w:r>
              <w:rPr>
                <w:rFonts w:hint="default" w:ascii="Cambria" w:hAnsi="Cambria" w:eastAsia="宋体" w:cs="Times New Roman"/>
                <w:sz w:val="24"/>
                <w:szCs w:val="24"/>
                <w:bdr w:val="none" w:color="auto" w:sz="0" w:space="0"/>
              </w:rPr>
              <w:t xml:space="preserve"> #1 </w:t>
            </w:r>
            <w:r>
              <w:rPr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论文</w:t>
            </w:r>
          </w:p>
        </w:tc>
        <w:tc>
          <w:tcPr>
            <w:tcW w:w="0" w:type="auto"/>
            <w:tcBorders>
              <w:top w:val="single" w:color="95B3D7" w:sz="2" w:space="0"/>
              <w:left w:val="single" w:color="95B3D7" w:sz="2" w:space="0"/>
              <w:bottom w:val="single" w:color="95B3D7" w:sz="2" w:space="0"/>
              <w:right w:val="single" w:color="95B3D7" w:sz="2" w:space="0"/>
            </w:tcBorders>
            <w:shd w:val="clear" w:color="auto" w:fill="DBE5F1"/>
            <w:vAlign w:val="top"/>
          </w:tcPr>
          <w:p w14:paraId="70A660CC">
            <w:pPr>
              <w:pStyle w:val="10"/>
              <w:keepNext w:val="0"/>
              <w:keepLines w:val="0"/>
              <w:widowControl/>
              <w:suppressLineNumbers w:val="0"/>
              <w:ind w:left="0" w:right="0"/>
              <w:rPr>
                <w:rFonts w:hint="default" w:ascii="Cambria" w:hAnsi="Cambria" w:eastAsia="宋体" w:cs="Times New Roman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期刊论文</w:t>
            </w:r>
            <w:r>
              <w:rPr>
                <w:rFonts w:hint="default" w:ascii="Cambria" w:hAnsi="Cambria" w:eastAsia="宋体" w:cs="Times New Roman"/>
                <w:sz w:val="24"/>
                <w:szCs w:val="24"/>
                <w:bdr w:val="none" w:color="auto" w:sz="0" w:space="0"/>
              </w:rPr>
              <w:t>1</w:t>
            </w:r>
            <w:r>
              <w:rPr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篇</w:t>
            </w:r>
          </w:p>
        </w:tc>
        <w:tc>
          <w:tcPr>
            <w:tcW w:w="0" w:type="auto"/>
            <w:tcBorders>
              <w:top w:val="single" w:color="95B3D7" w:sz="2" w:space="0"/>
              <w:left w:val="single" w:color="95B3D7" w:sz="2" w:space="0"/>
              <w:bottom w:val="single" w:color="95B3D7" w:sz="2" w:space="0"/>
              <w:right w:val="nil"/>
            </w:tcBorders>
            <w:shd w:val="clear" w:color="auto" w:fill="DBE5F1"/>
            <w:vAlign w:val="top"/>
          </w:tcPr>
          <w:p w14:paraId="7372FAC2">
            <w:pPr>
              <w:pStyle w:val="10"/>
              <w:keepNext w:val="0"/>
              <w:keepLines w:val="0"/>
              <w:widowControl/>
              <w:suppressLineNumbers w:val="0"/>
              <w:ind w:left="0" w:right="0"/>
              <w:rPr>
                <w:rFonts w:hint="default" w:ascii="Cambria" w:hAnsi="Cambria" w:eastAsia="宋体" w:cs="Times New Roman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目标期刊</w:t>
            </w:r>
          </w:p>
        </w:tc>
      </w:tr>
    </w:tbl>
    <w:p w14:paraId="71EEA82B">
      <w:pPr>
        <w:keepNext w:val="0"/>
        <w:keepLines w:val="0"/>
        <w:widowControl/>
        <w:suppressLineNumbers w:val="0"/>
        <w:spacing w:before="0" w:beforeAutospacing="1" w:after="200" w:afterAutospacing="0"/>
        <w:ind w:left="0" w:right="0"/>
        <w:jc w:val="left"/>
      </w:pPr>
      <w:r>
        <w:rPr>
          <w:rFonts w:hint="default" w:ascii="Cambria" w:hAnsi="Cambria" w:eastAsia="宋体" w:cs="Times New Roma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962650" cy="28575"/>
            <wp:effectExtent l="0" t="0" r="3810" b="1905"/>
            <wp:docPr id="2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62650" cy="28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7F9FBE2">
      <w:bookmarkStart w:id="2" w:name="_GoBack"/>
      <w:bookmarkEnd w:id="2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Noto Serif CJK TC Black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方正黑体_GB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OpenSymbol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微软雅黑">
    <w:altName w:val="方正黑体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altName w:val="DejaVu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Cambria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ubbi">
    <w:panose1 w:val="00000400000000000000"/>
    <w:charset w:val="00"/>
    <w:family w:val="auto"/>
    <w:pitch w:val="default"/>
    <w:sig w:usb0="00400000" w:usb1="00000000" w:usb2="00000000" w:usb3="00000000" w:csb0="00000000" w:csb1="00000000"/>
  </w:font>
  <w:font w:name="方正仿宋_GBK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5BA43E0"/>
    <w:multiLevelType w:val="multilevel"/>
    <w:tmpl w:val="F5BA43E0"/>
    <w:lvl w:ilvl="0" w:tentative="0">
      <w:start w:val="0"/>
      <w:numFmt w:val="bullet"/>
      <w:lvlText w:val="•"/>
      <w:lvlJc w:val="left"/>
      <w:pPr>
        <w:ind w:left="720" w:hanging="480"/>
      </w:pPr>
      <w:rPr>
        <w:rFonts w:hint="default" w:ascii="Times New Roman" w:hAnsi="Times New Roman" w:cs="Times New Roman"/>
      </w:rPr>
    </w:lvl>
    <w:lvl w:ilvl="1" w:tentative="0">
      <w:start w:val="0"/>
      <w:numFmt w:val="bullet"/>
      <w:lvlText w:val="–"/>
      <w:lvlJc w:val="left"/>
      <w:pPr>
        <w:ind w:left="1440" w:hanging="480"/>
      </w:pPr>
      <w:rPr>
        <w:rFonts w:hint="default" w:ascii="Times New Roman" w:hAnsi="Times New Roman" w:cs="Times New Roman"/>
      </w:rPr>
    </w:lvl>
    <w:lvl w:ilvl="2" w:tentative="0">
      <w:start w:val="0"/>
      <w:numFmt w:val="bullet"/>
      <w:lvlText w:val="•"/>
      <w:lvlJc w:val="left"/>
      <w:pPr>
        <w:ind w:left="2160" w:hanging="480"/>
      </w:pPr>
      <w:rPr>
        <w:rFonts w:hint="default" w:ascii="Times New Roman" w:hAnsi="Times New Roman" w:cs="Times New Roman"/>
      </w:rPr>
    </w:lvl>
    <w:lvl w:ilvl="3" w:tentative="0">
      <w:start w:val="0"/>
      <w:numFmt w:val="bullet"/>
      <w:lvlText w:val="–"/>
      <w:lvlJc w:val="left"/>
      <w:pPr>
        <w:ind w:left="2880" w:hanging="480"/>
      </w:pPr>
      <w:rPr>
        <w:rFonts w:hint="default" w:ascii="Times New Roman" w:hAnsi="Times New Roman" w:cs="Times New Roman"/>
      </w:rPr>
    </w:lvl>
    <w:lvl w:ilvl="4" w:tentative="0">
      <w:start w:val="0"/>
      <w:numFmt w:val="bullet"/>
      <w:lvlText w:val="•"/>
      <w:lvlJc w:val="left"/>
      <w:pPr>
        <w:ind w:left="3600" w:hanging="480"/>
      </w:pPr>
      <w:rPr>
        <w:rFonts w:hint="default" w:ascii="Times New Roman" w:hAnsi="Times New Roman" w:cs="Times New Roman"/>
      </w:rPr>
    </w:lvl>
    <w:lvl w:ilvl="5" w:tentative="0">
      <w:start w:val="0"/>
      <w:numFmt w:val="bullet"/>
      <w:lvlText w:val="–"/>
      <w:lvlJc w:val="left"/>
      <w:pPr>
        <w:ind w:left="4320" w:hanging="480"/>
      </w:pPr>
      <w:rPr>
        <w:rFonts w:hint="default" w:ascii="Times New Roman" w:hAnsi="Times New Roman" w:cs="Times New Roman"/>
      </w:rPr>
    </w:lvl>
    <w:lvl w:ilvl="6" w:tentative="0">
      <w:start w:val="0"/>
      <w:numFmt w:val="bullet"/>
      <w:lvlText w:val="•"/>
      <w:lvlJc w:val="left"/>
      <w:pPr>
        <w:ind w:left="5040" w:hanging="480"/>
      </w:pPr>
      <w:rPr>
        <w:rFonts w:hint="default" w:ascii="Times New Roman" w:hAnsi="Times New Roman" w:cs="Times New Roman"/>
      </w:rPr>
    </w:lvl>
    <w:lvl w:ilvl="7" w:tentative="0">
      <w:start w:val="0"/>
      <w:numFmt w:val="bullet"/>
      <w:lvlText w:val="–"/>
      <w:lvlJc w:val="left"/>
      <w:pPr>
        <w:ind w:left="5760" w:hanging="480"/>
      </w:pPr>
      <w:rPr>
        <w:rFonts w:hint="default" w:ascii="Times New Roman" w:hAnsi="Times New Roman" w:cs="Times New Roman"/>
      </w:rPr>
    </w:lvl>
    <w:lvl w:ilvl="8" w:tentative="0">
      <w:start w:val="0"/>
      <w:numFmt w:val="bullet"/>
      <w:lvlText w:val="•"/>
      <w:lvlJc w:val="left"/>
      <w:pPr>
        <w:ind w:left="6480" w:hanging="480"/>
      </w:pPr>
      <w:rPr>
        <w:rFonts w:hint="default" w:ascii="Times New Roman" w:hAnsi="Times New Roman"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34C61F"/>
    <w:rsid w:val="4134C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3"/>
    <w:qFormat/>
    <w:uiPriority w:val="0"/>
    <w:pPr>
      <w:keepNext/>
      <w:keepLines/>
      <w:widowControl w:val="0"/>
      <w:suppressLineNumbers w:val="0"/>
      <w:spacing w:before="480" w:beforeAutospacing="0" w:after="0" w:afterAutospacing="0"/>
      <w:jc w:val="left"/>
      <w:outlineLvl w:val="0"/>
    </w:pPr>
    <w:rPr>
      <w:rFonts w:hint="default" w:ascii="Calibri" w:hAnsi="Calibri" w:eastAsia="宋体" w:cs="Times New Roman"/>
      <w:b/>
      <w:bCs/>
      <w:color w:val="4F81BD"/>
      <w:kern w:val="0"/>
      <w:sz w:val="32"/>
      <w:szCs w:val="32"/>
      <w:lang w:val="en-US" w:eastAsia="zh-CN" w:bidi="ar"/>
    </w:rPr>
  </w:style>
  <w:style w:type="paragraph" w:styleId="4">
    <w:name w:val="heading 2"/>
    <w:basedOn w:val="1"/>
    <w:next w:val="3"/>
    <w:semiHidden/>
    <w:unhideWhenUsed/>
    <w:qFormat/>
    <w:uiPriority w:val="0"/>
    <w:pPr>
      <w:keepNext/>
      <w:keepLines/>
      <w:widowControl w:val="0"/>
      <w:suppressLineNumbers w:val="0"/>
      <w:spacing w:before="200" w:beforeAutospacing="0" w:after="0" w:afterAutospacing="0"/>
      <w:jc w:val="left"/>
      <w:outlineLvl w:val="1"/>
    </w:pPr>
    <w:rPr>
      <w:rFonts w:hint="default" w:ascii="Calibri" w:hAnsi="Calibri" w:eastAsia="宋体" w:cs="Times New Roman"/>
      <w:b/>
      <w:bCs/>
      <w:color w:val="4F81BD"/>
      <w:kern w:val="0"/>
      <w:sz w:val="28"/>
      <w:szCs w:val="28"/>
      <w:lang w:val="en-US" w:eastAsia="zh-CN" w:bidi="ar"/>
    </w:rPr>
  </w:style>
  <w:style w:type="paragraph" w:styleId="5">
    <w:name w:val="heading 3"/>
    <w:basedOn w:val="1"/>
    <w:next w:val="3"/>
    <w:semiHidden/>
    <w:unhideWhenUsed/>
    <w:qFormat/>
    <w:uiPriority w:val="0"/>
    <w:pPr>
      <w:keepNext/>
      <w:keepLines/>
      <w:widowControl w:val="0"/>
      <w:suppressLineNumbers w:val="0"/>
      <w:spacing w:before="200" w:beforeAutospacing="0" w:after="0" w:afterAutospacing="0"/>
      <w:jc w:val="left"/>
      <w:outlineLvl w:val="2"/>
    </w:pPr>
    <w:rPr>
      <w:rFonts w:hint="default" w:ascii="Calibri" w:hAnsi="Calibri" w:eastAsia="宋体" w:cs="Times New Roman"/>
      <w:b/>
      <w:bCs/>
      <w:color w:val="4F81BD"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uiPriority w:val="0"/>
    <w:pPr>
      <w:spacing w:before="180" w:beforeAutospacing="0" w:after="180" w:afterAutospacing="0"/>
      <w:jc w:val="left"/>
    </w:pPr>
    <w:rPr>
      <w:rFonts w:hint="default" w:ascii="Cambria" w:hAnsi="Cambria" w:eastAsia="宋体" w:cs="Times New Roman"/>
      <w:kern w:val="0"/>
      <w:sz w:val="24"/>
      <w:szCs w:val="24"/>
      <w:lang w:val="en-US" w:eastAsia="zh-CN" w:bidi="ar"/>
    </w:rPr>
  </w:style>
  <w:style w:type="paragraph" w:styleId="6">
    <w:name w:val="Block Text"/>
    <w:basedOn w:val="3"/>
    <w:next w:val="3"/>
    <w:uiPriority w:val="0"/>
    <w:pPr>
      <w:spacing w:before="100" w:beforeAutospacing="0" w:after="100" w:afterAutospacing="0"/>
      <w:ind w:left="480" w:right="480"/>
      <w:jc w:val="left"/>
    </w:pPr>
    <w:rPr>
      <w:rFonts w:hint="default" w:ascii="Cambria" w:hAnsi="Cambria" w:eastAsia="宋体" w:cs="Times New Roman"/>
      <w:kern w:val="0"/>
      <w:sz w:val="24"/>
      <w:szCs w:val="24"/>
      <w:lang w:val="en-US" w:eastAsia="zh-CN" w:bidi="ar"/>
    </w:rPr>
  </w:style>
  <w:style w:type="paragraph" w:customStyle="1" w:styleId="9">
    <w:name w:val="First Paragraph"/>
    <w:basedOn w:val="3"/>
    <w:next w:val="3"/>
    <w:uiPriority w:val="0"/>
    <w:pPr>
      <w:spacing w:before="180" w:beforeAutospacing="0" w:after="180" w:afterAutospacing="0"/>
      <w:jc w:val="left"/>
    </w:pPr>
    <w:rPr>
      <w:rFonts w:hint="default" w:ascii="Cambria" w:hAnsi="Cambria" w:eastAsia="宋体" w:cs="Times New Roman"/>
      <w:kern w:val="0"/>
      <w:sz w:val="24"/>
      <w:szCs w:val="24"/>
      <w:lang w:val="en-US" w:eastAsia="zh-CN" w:bidi="ar"/>
    </w:rPr>
  </w:style>
  <w:style w:type="paragraph" w:customStyle="1" w:styleId="10">
    <w:name w:val="Compact"/>
    <w:basedOn w:val="3"/>
    <w:uiPriority w:val="0"/>
    <w:pPr>
      <w:spacing w:before="36" w:beforeAutospacing="0" w:after="36" w:afterAutospacing="0"/>
      <w:jc w:val="left"/>
    </w:pPr>
    <w:rPr>
      <w:rFonts w:hint="default" w:ascii="Cambria" w:hAnsi="Cambria" w:eastAsia="宋体" w:cs="Times New Roman"/>
      <w:kern w:val="0"/>
      <w:sz w:val="24"/>
      <w:szCs w:val="24"/>
      <w:lang w:val="en-US" w:eastAsia="zh-CN" w:bidi="ar"/>
    </w:rPr>
  </w:style>
  <w:style w:type="table" w:customStyle="1" w:styleId="11">
    <w:name w:val="Grid Table 2 Accent 1"/>
    <w:basedOn w:val="7"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Borders>
        <w:top w:val="single" w:color="95B3D7" w:sz="2" w:space="0"/>
        <w:bottom w:val="single" w:color="95B3D7" w:sz="2" w:space="0"/>
        <w:insideH w:val="single" w:color="95B3D7" w:sz="2" w:space="0"/>
        <w:insideV w:val="single" w:color="95B3D7" w:sz="2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95B3D7" w:sz="2" w:space="0"/>
        <w:bottom w:val="single" w:color="95B3D7" w:sz="2" w:space="0"/>
      </w:tcBorders>
    </w:tcPr>
    <w:tblStylePr w:type="firstRow">
      <w:rPr>
        <w:rFonts w:hint="default" w:ascii="Times New Roman" w:hAnsi="Times New Roman" w:cs="Times New Roman"/>
        <w:b/>
        <w:bCs/>
      </w:rPr>
      <w:tblPr/>
      <w:tcPr>
        <w:tcBorders>
          <w:top w:val="nil"/>
          <w:bottom w:val="single" w:color="95B3D7" w:sz="12" w:space="0"/>
        </w:tcBorders>
        <w:shd w:val="clear" w:color="auto" w:fill="FFFFFF"/>
      </w:tcPr>
    </w:tblStylePr>
    <w:tblStylePr w:type="lastRow">
      <w:rPr>
        <w:rFonts w:hint="default" w:ascii="Times New Roman" w:hAnsi="Times New Roman" w:cs="Times New Roman"/>
        <w:b/>
        <w:bCs/>
      </w:rPr>
      <w:tblPr/>
      <w:tcPr>
        <w:tcBorders>
          <w:top w:val="double" w:color="95B3D7" w:sz="2" w:space="0"/>
          <w:bottom w:val="nil"/>
        </w:tcBorders>
        <w:shd w:val="clear" w:color="auto" w:fill="FFFFFF"/>
      </w:tcPr>
    </w:tblStylePr>
    <w:tblStylePr w:type="firstCol">
      <w:rPr>
        <w:rFonts w:hint="default" w:ascii="Times New Roman" w:hAnsi="Times New Roman" w:cs="Times New Roman"/>
        <w:b/>
        <w:bCs/>
      </w:rPr>
      <w:tblPr/>
    </w:tblStylePr>
    <w:tblStylePr w:type="lastCol">
      <w:rPr>
        <w:rFonts w:hint="default" w:ascii="Times New Roman" w:hAnsi="Times New Roman" w:cs="Times New Roman"/>
        <w:b/>
        <w:bCs/>
      </w:rPr>
      <w:tblPr/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Office_12.1.2.23578_F1E327BC-269C-435d-A152-05C5408002CA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2026-06-11T10:24:00Z</dcterms:created>
  <dc:creator>许恒</dc:creator>
  <cp:lastModifiedBy>许恒</cp:lastModifiedBy>
  <dcterms:modified xsi:type="dcterms:W3CDTF">2026-06-11T10:25:09Z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2052-12.1.2.23578</vt:lpwstr>
  </property>
  <property fmtid="{D5CDD505-2E9C-101B-9397-08002B2CF9AE}" pid="3" name="ICV">
    <vt:lpwstr>4E0FFAD7C208689B6A1C2A6A8F3520F4_41</vt:lpwstr>
  </property>
</Properties>
</file>